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71CFD8B1" w:rsidR="006419C3" w:rsidRDefault="004D121C" w:rsidP="006074FB">
      <w:pPr>
        <w:pStyle w:val="AssignHeader"/>
      </w:pPr>
      <w:r>
        <w:t>ECAD6009-C</w:t>
      </w:r>
      <w:r w:rsidR="009A0ECE">
        <w:t xml:space="preserve"> – Part A</w:t>
      </w: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41DBC1B6" w14:textId="77777777" w:rsidR="00801676" w:rsidRPr="00801676" w:rsidRDefault="00801676" w:rsidP="00801676">
      <w:pPr>
        <w:pStyle w:val="AssignBody"/>
      </w:pPr>
    </w:p>
    <w:p w14:paraId="0D1277F9" w14:textId="29FD89D8" w:rsidR="006074FB" w:rsidRDefault="00801676" w:rsidP="00801676">
      <w:pPr>
        <w:pStyle w:val="AssignBody"/>
      </w:pPr>
      <w:r w:rsidRPr="00801676">
        <w:t xml:space="preserve">Anderson, M. and Dunn, J. (2013) How drama activates </w:t>
      </w:r>
      <w:proofErr w:type="gramStart"/>
      <w:r w:rsidRPr="00801676">
        <w:t>learning :</w:t>
      </w:r>
      <w:proofErr w:type="gramEnd"/>
      <w:r w:rsidRPr="00801676">
        <w:t xml:space="preserve"> contemporary research and practice. Edited by M. Anderson and J. Dunn. New York: Bloomsbury Academic. Available at: https://doi.org/10.5040/9781472553010.</w:t>
      </w:r>
    </w:p>
    <w:p w14:paraId="51248DD9" w14:textId="77777777" w:rsidR="00801676" w:rsidRDefault="00801676" w:rsidP="006074FB">
      <w:pPr>
        <w:pStyle w:val="AssignBody"/>
      </w:pPr>
    </w:p>
    <w:p w14:paraId="1959FBEE" w14:textId="31EA858E" w:rsidR="006074FB" w:rsidRDefault="006074FB" w:rsidP="006074FB">
      <w:pPr>
        <w:pStyle w:val="AssignBody"/>
      </w:pPr>
      <w:r w:rsidRPr="00DB7A3A">
        <w:t xml:space="preserve">Baverstock, A. (2019) ‘What were the processes and outcomes of involving secondary school pupils transitioning from primary to secondary school in pre-arrival </w:t>
      </w:r>
      <w:proofErr w:type="gramStart"/>
      <w:r w:rsidRPr="00DB7A3A">
        <w:t>shared-reading</w:t>
      </w:r>
      <w:proofErr w:type="gramEnd"/>
      <w:r w:rsidRPr="00DB7A3A">
        <w:t>? A case study’, Education 3-13., 47(8), pp. 933–956.</w:t>
      </w:r>
    </w:p>
    <w:p w14:paraId="780EA34B" w14:textId="77777777" w:rsidR="006074FB" w:rsidRDefault="006074FB" w:rsidP="006074FB">
      <w:pPr>
        <w:pStyle w:val="AssignBody"/>
      </w:pPr>
    </w:p>
    <w:p w14:paraId="2C228692" w14:textId="1878795E" w:rsidR="006074FB" w:rsidRPr="00FB32B0" w:rsidRDefault="006074FB" w:rsidP="006074FB">
      <w:pPr>
        <w:pStyle w:val="AssignBody"/>
      </w:pPr>
      <w:r w:rsidRPr="000935D4">
        <w:t xml:space="preserve">British Educational Research Association [BERA] (2018) Ethical Guidelines for Educational Research, fourth edition, London. </w:t>
      </w:r>
      <w:r w:rsidRPr="006074FB">
        <w:rPr>
          <w:b/>
          <w:bCs/>
          <w:u w:val="single"/>
        </w:rPr>
        <w:t>https://www.bera.ac.uk/researchers-resources/publications/ethicalguidelines-for-educational-research-2018</w:t>
      </w:r>
    </w:p>
    <w:p w14:paraId="60583B6F" w14:textId="77777777" w:rsidR="006074FB" w:rsidRDefault="006074FB" w:rsidP="006074FB">
      <w:pPr>
        <w:pStyle w:val="AssignBody"/>
      </w:pPr>
    </w:p>
    <w:p w14:paraId="43914FDA" w14:textId="38170991" w:rsidR="006074FB" w:rsidRDefault="006074FB" w:rsidP="006074FB">
      <w:pPr>
        <w:pStyle w:val="AssignBody"/>
      </w:pPr>
      <w:r w:rsidRPr="00F01805">
        <w:t xml:space="preserve">Elliott-Johns, </w:t>
      </w:r>
      <w:proofErr w:type="gramStart"/>
      <w:r w:rsidRPr="00F01805">
        <w:t>S.E.</w:t>
      </w:r>
      <w:proofErr w:type="gramEnd"/>
      <w:r w:rsidRPr="00F01805">
        <w:t xml:space="preserve"> and Jarvis, D.H. (2017) Perspectives on Transitions in Schooling and Instructional Practice. Toronto: University of Toronto </w:t>
      </w:r>
      <w:proofErr w:type="gramStart"/>
      <w:r w:rsidRPr="00F01805">
        <w:t>Press,.</w:t>
      </w:r>
      <w:proofErr w:type="gramEnd"/>
      <w:r w:rsidRPr="00F01805">
        <w:t xml:space="preserve"> Available at: </w:t>
      </w:r>
      <w:r w:rsidRPr="006074FB">
        <w:rPr>
          <w:b/>
          <w:bCs/>
        </w:rPr>
        <w:t>https://doi.org/10.3138/9781442667105</w:t>
      </w:r>
      <w:r w:rsidRPr="00F01805">
        <w:t>.</w:t>
      </w:r>
    </w:p>
    <w:p w14:paraId="23EF5175" w14:textId="77777777" w:rsidR="006074FB" w:rsidRPr="006074FB" w:rsidRDefault="006074FB" w:rsidP="006074FB">
      <w:pPr>
        <w:pStyle w:val="AssignBody"/>
        <w:rPr>
          <w:rFonts w:cs="Arial"/>
          <w:color w:val="000000"/>
          <w:shd w:val="clear" w:color="auto" w:fill="FFFFFF"/>
        </w:rPr>
      </w:pPr>
    </w:p>
    <w:p w14:paraId="38B13C9B" w14:textId="33ECF13C" w:rsidR="006074FB" w:rsidRPr="006074FB" w:rsidRDefault="006074FB" w:rsidP="006074FB">
      <w:pPr>
        <w:pStyle w:val="AssignBody"/>
        <w:rPr>
          <w:rFonts w:cs="Arial"/>
          <w:sz w:val="16"/>
          <w:szCs w:val="16"/>
        </w:rPr>
      </w:pPr>
      <w:r w:rsidRPr="006074FB">
        <w:rPr>
          <w:rFonts w:cs="Arial"/>
          <w:color w:val="000000"/>
          <w:shd w:val="clear" w:color="auto" w:fill="FFFFFF"/>
        </w:rPr>
        <w:t>ESTYN. (2017). </w:t>
      </w:r>
      <w:r w:rsidRPr="006074FB">
        <w:rPr>
          <w:rFonts w:cs="Arial"/>
          <w:i/>
          <w:iCs/>
          <w:color w:val="000000"/>
        </w:rPr>
        <w:t>Effective partnerships that engage children and enrich the curriculum</w:t>
      </w:r>
      <w:r w:rsidRPr="006074FB">
        <w:rPr>
          <w:rFonts w:cs="Arial"/>
          <w:color w:val="000000"/>
          <w:shd w:val="clear" w:color="auto" w:fill="FFFFFF"/>
        </w:rPr>
        <w:t>. [Online]. ESTYN. Last Updated: 27 January 2017. Available at: https://www.estyn.gov.wales/effective-practice/effective-partnerships-engage-children-and-enrich-cur [Accessed 12 May 2023].</w:t>
      </w:r>
    </w:p>
    <w:p w14:paraId="554BAE4F" w14:textId="77777777" w:rsidR="006074FB" w:rsidRDefault="006074FB" w:rsidP="006074FB">
      <w:pPr>
        <w:pStyle w:val="AssignBody"/>
        <w:rPr>
          <w:rFonts w:cstheme="minorHAnsi"/>
        </w:rPr>
      </w:pPr>
    </w:p>
    <w:p w14:paraId="026EDB0E" w14:textId="5A8256E0" w:rsidR="000935D4" w:rsidRPr="000935D4" w:rsidRDefault="006074FB" w:rsidP="006074FB">
      <w:pPr>
        <w:pStyle w:val="AssignBody"/>
        <w:rPr>
          <w:rFonts w:asciiTheme="minorHAnsi" w:hAnsiTheme="minorHAnsi" w:cstheme="minorHAnsi"/>
          <w:sz w:val="16"/>
          <w:szCs w:val="16"/>
        </w:rPr>
      </w:pPr>
      <w:r w:rsidRPr="00FB32B0">
        <w:rPr>
          <w:rFonts w:cstheme="minorHAnsi"/>
        </w:rPr>
        <w:t xml:space="preserve">Floris, M. and </w:t>
      </w:r>
      <w:proofErr w:type="spellStart"/>
      <w:r w:rsidRPr="00FB32B0">
        <w:rPr>
          <w:rFonts w:cstheme="minorHAnsi"/>
        </w:rPr>
        <w:t>Pillitu</w:t>
      </w:r>
      <w:proofErr w:type="spellEnd"/>
      <w:r w:rsidRPr="00FB32B0">
        <w:rPr>
          <w:rFonts w:cstheme="minorHAnsi"/>
        </w:rPr>
        <w:t>, D. (2019) ‘Improving entrepreneurship education in primary schools: a pioneer project’, International journal of educational management, 33(6), pp. 1148–1169. Available at: https://doi.org/10.1108/IJEM-09-2018-0283.</w:t>
      </w:r>
    </w:p>
    <w:p w14:paraId="6147CAB1" w14:textId="77777777" w:rsidR="006074FB" w:rsidRDefault="006074FB" w:rsidP="006074FB">
      <w:pPr>
        <w:pStyle w:val="AssignBody"/>
        <w:rPr>
          <w:lang w:val="en-US"/>
        </w:rPr>
      </w:pPr>
    </w:p>
    <w:p w14:paraId="71D66C45" w14:textId="0974CF77" w:rsidR="000935D4" w:rsidRPr="000935D4" w:rsidRDefault="006074FB" w:rsidP="006074FB">
      <w:pPr>
        <w:pStyle w:val="AssignBody"/>
      </w:pPr>
      <w:r w:rsidRPr="000935D4">
        <w:rPr>
          <w:lang w:val="en-US"/>
        </w:rPr>
        <w:t xml:space="preserve">Forbes, A. and </w:t>
      </w:r>
      <w:proofErr w:type="spellStart"/>
      <w:r w:rsidRPr="000935D4">
        <w:rPr>
          <w:lang w:val="en-US"/>
        </w:rPr>
        <w:t>Skamp</w:t>
      </w:r>
      <w:proofErr w:type="spellEnd"/>
      <w:r w:rsidRPr="000935D4">
        <w:rPr>
          <w:lang w:val="en-US"/>
        </w:rPr>
        <w:t xml:space="preserve">, K. (2016) ‘Secondary Science Teachers’ and Students’ Involvement in a Primary School Community of Science </w:t>
      </w:r>
      <w:proofErr w:type="gramStart"/>
      <w:r w:rsidRPr="000935D4">
        <w:rPr>
          <w:lang w:val="en-US"/>
        </w:rPr>
        <w:t>Practice :</w:t>
      </w:r>
      <w:proofErr w:type="gramEnd"/>
      <w:r w:rsidRPr="000935D4">
        <w:rPr>
          <w:lang w:val="en-US"/>
        </w:rPr>
        <w:t xml:space="preserve"> How It Changed Their Practices and Interest in Science’, Research in science education (Australasian Science Education Research Association), 46(1), pp. 91–112. Available at: https://doi.org/10.1007/s11165-014-9457-3.</w:t>
      </w:r>
    </w:p>
    <w:p w14:paraId="5F32A244" w14:textId="77777777" w:rsidR="006074FB" w:rsidRDefault="006074FB" w:rsidP="006074FB">
      <w:pPr>
        <w:pStyle w:val="AssignBody"/>
        <w:rPr>
          <w:lang w:val="en-US"/>
        </w:rPr>
      </w:pPr>
    </w:p>
    <w:p w14:paraId="5D968BD0" w14:textId="77777777" w:rsidR="006074FB" w:rsidRDefault="006074FB" w:rsidP="006074FB">
      <w:pPr>
        <w:pStyle w:val="AssignBody"/>
        <w:rPr>
          <w:lang w:val="en-US"/>
        </w:rPr>
      </w:pPr>
    </w:p>
    <w:p w14:paraId="4A047826" w14:textId="5B29F136" w:rsidR="000935D4" w:rsidRPr="000935D4" w:rsidRDefault="006074FB" w:rsidP="006074FB">
      <w:pPr>
        <w:pStyle w:val="AssignBody"/>
      </w:pPr>
      <w:r>
        <w:rPr>
          <w:lang w:val="en-US"/>
        </w:rPr>
        <w:lastRenderedPageBreak/>
        <w:t>H</w:t>
      </w:r>
      <w:r w:rsidRPr="000935D4">
        <w:rPr>
          <w:lang w:val="en-US"/>
        </w:rPr>
        <w:t xml:space="preserve">ayes, N., </w:t>
      </w:r>
      <w:proofErr w:type="spellStart"/>
      <w:r w:rsidRPr="000935D4">
        <w:rPr>
          <w:lang w:val="en-US"/>
        </w:rPr>
        <w:t>Halpenny</w:t>
      </w:r>
      <w:proofErr w:type="spellEnd"/>
      <w:r w:rsidRPr="000935D4">
        <w:rPr>
          <w:lang w:val="en-US"/>
        </w:rPr>
        <w:t xml:space="preserve">, A.M. and O’Toole, L. (2017) Introducing Bronfenbrenner: a guide for practitioners and students in early years education. </w:t>
      </w:r>
      <w:proofErr w:type="gramStart"/>
      <w:r w:rsidRPr="000935D4">
        <w:rPr>
          <w:lang w:val="en-US"/>
        </w:rPr>
        <w:t>London ;</w:t>
      </w:r>
      <w:proofErr w:type="gramEnd"/>
      <w:r w:rsidRPr="000935D4">
        <w:rPr>
          <w:lang w:val="en-US"/>
        </w:rPr>
        <w:t xml:space="preserve">: Routledge. Available at: </w:t>
      </w:r>
      <w:r w:rsidRPr="006074FB">
        <w:rPr>
          <w:b/>
          <w:bCs/>
          <w:lang w:val="en-US"/>
        </w:rPr>
        <w:t>https://doi.org/10.4324/9781315646206</w:t>
      </w:r>
      <w:r w:rsidRPr="000935D4">
        <w:rPr>
          <w:lang w:val="en-US"/>
        </w:rPr>
        <w:t>.</w:t>
      </w:r>
    </w:p>
    <w:p w14:paraId="0CB117A3" w14:textId="77777777" w:rsidR="006074FB" w:rsidRDefault="006074FB" w:rsidP="006074FB">
      <w:pPr>
        <w:pStyle w:val="AssignBody"/>
        <w:rPr>
          <w:lang w:val="en-US"/>
        </w:rPr>
      </w:pPr>
    </w:p>
    <w:p w14:paraId="2882158F" w14:textId="6824571F" w:rsidR="006074FB" w:rsidRPr="00D55DA1" w:rsidRDefault="006074FB" w:rsidP="006074FB">
      <w:pPr>
        <w:pStyle w:val="AssignBody"/>
      </w:pPr>
      <w:proofErr w:type="spellStart"/>
      <w:r>
        <w:rPr>
          <w:lang w:val="en-US"/>
        </w:rPr>
        <w:t>J</w:t>
      </w:r>
      <w:r w:rsidRPr="000935D4">
        <w:rPr>
          <w:lang w:val="en-US"/>
        </w:rPr>
        <w:t>oronen</w:t>
      </w:r>
      <w:proofErr w:type="spellEnd"/>
      <w:r w:rsidRPr="000935D4">
        <w:rPr>
          <w:lang w:val="en-US"/>
        </w:rPr>
        <w:t xml:space="preserve">, K., </w:t>
      </w:r>
      <w:proofErr w:type="spellStart"/>
      <w:r w:rsidRPr="000935D4">
        <w:rPr>
          <w:lang w:val="en-US"/>
        </w:rPr>
        <w:t>Häkämies</w:t>
      </w:r>
      <w:proofErr w:type="spellEnd"/>
      <w:r w:rsidRPr="000935D4">
        <w:rPr>
          <w:lang w:val="en-US"/>
        </w:rPr>
        <w:t xml:space="preserve">, A. and </w:t>
      </w:r>
      <w:proofErr w:type="spellStart"/>
      <w:r w:rsidRPr="000935D4">
        <w:rPr>
          <w:lang w:val="en-US"/>
        </w:rPr>
        <w:t>Åstedt-Kurki</w:t>
      </w:r>
      <w:proofErr w:type="spellEnd"/>
      <w:r w:rsidRPr="000935D4">
        <w:rPr>
          <w:lang w:val="en-US"/>
        </w:rPr>
        <w:t xml:space="preserve">, P. (2011) ‘Children’s experiences of a drama </w:t>
      </w:r>
      <w:proofErr w:type="spellStart"/>
      <w:r w:rsidRPr="000935D4">
        <w:rPr>
          <w:lang w:val="en-US"/>
        </w:rPr>
        <w:t>programme</w:t>
      </w:r>
      <w:proofErr w:type="spellEnd"/>
      <w:r w:rsidRPr="000935D4">
        <w:rPr>
          <w:lang w:val="en-US"/>
        </w:rPr>
        <w:t xml:space="preserve"> in social and emotional learning’, Scandinavian journal of caring sciences. Submitted 30 April 2010; Accepted 21 December 2010, 25(4), pp. 671–678. Available at: </w:t>
      </w:r>
      <w:r w:rsidRPr="006074FB">
        <w:rPr>
          <w:b/>
          <w:bCs/>
          <w:lang w:val="en-US"/>
        </w:rPr>
        <w:t>https://doi.org/10.1111/j.1471-6712.2011.00877.x</w:t>
      </w:r>
      <w:r w:rsidRPr="000935D4">
        <w:rPr>
          <w:lang w:val="en-US"/>
        </w:rPr>
        <w:t>.</w:t>
      </w:r>
    </w:p>
    <w:p w14:paraId="2181DAEE" w14:textId="77777777" w:rsidR="006074FB" w:rsidRPr="00D55DA1" w:rsidRDefault="006074FB" w:rsidP="006074FB">
      <w:pPr>
        <w:pStyle w:val="AssignBody"/>
      </w:pPr>
    </w:p>
    <w:p w14:paraId="0DB896FC" w14:textId="57D1ADD3" w:rsidR="006074FB" w:rsidRPr="006074FB" w:rsidRDefault="006074FB" w:rsidP="006074FB">
      <w:pPr>
        <w:pStyle w:val="AssignBody"/>
        <w:rPr>
          <w:rFonts w:cs="Arial"/>
        </w:rPr>
      </w:pPr>
      <w:r w:rsidRPr="006074FB">
        <w:rPr>
          <w:rFonts w:cs="Arial"/>
        </w:rPr>
        <w:t>LaBarbera, R. (2017) ‘A Comparison of Teacher and Caregiver Perspectives of Collaboration in the Education of Students with Autism Spectrum Disorders’, Teacher education quarterly (Claremont, Calif.), 44(3), pp. 35–56.</w:t>
      </w:r>
    </w:p>
    <w:p w14:paraId="51ACB6DB" w14:textId="77777777" w:rsidR="006074FB" w:rsidRPr="006074FB" w:rsidRDefault="006074FB" w:rsidP="006074FB">
      <w:pPr>
        <w:pStyle w:val="AssignBody"/>
        <w:rPr>
          <w:rFonts w:cs="Arial"/>
        </w:rPr>
      </w:pPr>
    </w:p>
    <w:p w14:paraId="7D84EFB3" w14:textId="0DBB0A15" w:rsidR="006074FB" w:rsidRPr="006074FB" w:rsidRDefault="006074FB" w:rsidP="006074FB">
      <w:pPr>
        <w:pStyle w:val="AssignBody"/>
        <w:rPr>
          <w:rFonts w:cs="Arial"/>
        </w:rPr>
      </w:pPr>
      <w:r w:rsidRPr="006074FB">
        <w:rPr>
          <w:rFonts w:cs="Arial"/>
        </w:rPr>
        <w:t xml:space="preserve">Marks, J. et al. (2015) ‘Changing from primary to secondary school highlights opportunities for school environment interventions aiming to increase physical activity and reduce sedentary behaviour: a longitudinal cohort study’, The international journal of </w:t>
      </w:r>
      <w:proofErr w:type="spellStart"/>
      <w:r w:rsidRPr="006074FB">
        <w:rPr>
          <w:rFonts w:cs="Arial"/>
        </w:rPr>
        <w:t>behavioral</w:t>
      </w:r>
      <w:proofErr w:type="spellEnd"/>
      <w:r w:rsidRPr="006074FB">
        <w:rPr>
          <w:rFonts w:cs="Arial"/>
        </w:rPr>
        <w:t xml:space="preserve"> nutrition and physical activity, 12(1), pp. 59–59. Available at: </w:t>
      </w:r>
      <w:r w:rsidRPr="006074FB">
        <w:rPr>
          <w:rFonts w:cs="Arial"/>
          <w:b/>
          <w:bCs/>
        </w:rPr>
        <w:t>https://doi.org/10.1186/s12966-015-0218-0</w:t>
      </w:r>
      <w:r w:rsidRPr="006074FB">
        <w:rPr>
          <w:rFonts w:cs="Arial"/>
        </w:rPr>
        <w:t>.</w:t>
      </w:r>
    </w:p>
    <w:p w14:paraId="6FECA208" w14:textId="77777777" w:rsidR="006074FB" w:rsidRPr="005B110A" w:rsidRDefault="006074FB" w:rsidP="006074FB">
      <w:pPr>
        <w:pStyle w:val="AssignBody"/>
        <w:rPr>
          <w:rFonts w:asciiTheme="minorHAnsi" w:hAnsiTheme="minorHAnsi" w:cstheme="minorHAnsi"/>
        </w:rPr>
      </w:pPr>
    </w:p>
    <w:p w14:paraId="6410FE6C" w14:textId="77777777" w:rsidR="006074FB" w:rsidRPr="007079F5" w:rsidRDefault="006074FB" w:rsidP="006074FB">
      <w:pPr>
        <w:pStyle w:val="AssignBody"/>
      </w:pPr>
      <w:r w:rsidRPr="000935D4">
        <w:rPr>
          <w:lang w:val="en-US"/>
        </w:rPr>
        <w:t>My Local School. (2022). </w:t>
      </w:r>
      <w:r w:rsidRPr="000935D4">
        <w:rPr>
          <w:i/>
          <w:iCs/>
          <w:highlight w:val="black"/>
          <w:lang w:val="en-US"/>
        </w:rPr>
        <w:t>Maes Yr Haul Broadlands</w:t>
      </w:r>
      <w:r w:rsidRPr="000935D4">
        <w:rPr>
          <w:lang w:val="en-US"/>
        </w:rPr>
        <w:t>. [Online]. My Local School. Available at: https://mylocalschool.gov.wales/School/</w:t>
      </w:r>
      <w:r w:rsidRPr="000935D4">
        <w:rPr>
          <w:highlight w:val="black"/>
          <w:lang w:val="en-US"/>
        </w:rPr>
        <w:t xml:space="preserve">6722367?lang=en#0 </w:t>
      </w:r>
      <w:r w:rsidRPr="000935D4">
        <w:rPr>
          <w:lang w:val="en-US"/>
        </w:rPr>
        <w:t>[Accessed 9 May 2023].</w:t>
      </w:r>
    </w:p>
    <w:p w14:paraId="32EAF33D" w14:textId="77777777" w:rsidR="006074FB" w:rsidRDefault="006074FB" w:rsidP="006074FB">
      <w:pPr>
        <w:pStyle w:val="AssignBody"/>
      </w:pPr>
    </w:p>
    <w:p w14:paraId="7AFD5643" w14:textId="1F763EC6" w:rsidR="006074FB" w:rsidRPr="00DF4D7C" w:rsidRDefault="006074FB" w:rsidP="006074FB">
      <w:pPr>
        <w:pStyle w:val="AssignBody"/>
      </w:pPr>
      <w:r w:rsidRPr="007079F5">
        <w:t xml:space="preserve">Niemi, R., </w:t>
      </w:r>
      <w:proofErr w:type="spellStart"/>
      <w:r w:rsidRPr="007079F5">
        <w:t>Kumpulainen</w:t>
      </w:r>
      <w:proofErr w:type="spellEnd"/>
      <w:r w:rsidRPr="007079F5">
        <w:t xml:space="preserve">, K. and </w:t>
      </w:r>
      <w:proofErr w:type="spellStart"/>
      <w:r w:rsidRPr="007079F5">
        <w:t>Lipponen</w:t>
      </w:r>
      <w:proofErr w:type="spellEnd"/>
      <w:r w:rsidRPr="007079F5">
        <w:t xml:space="preserve">, L. (2015) ‘Pupils as active participants: Diamond ranking as a tool to investigate pupils’ experiences of classroom practices’, European educational research journal EERJ, 14(2), pp. 138–150. Available at: </w:t>
      </w:r>
      <w:r w:rsidRPr="006074FB">
        <w:rPr>
          <w:b/>
          <w:bCs/>
        </w:rPr>
        <w:t>https://doi.org/10.1177/1474904115571797</w:t>
      </w:r>
      <w:r w:rsidRPr="007079F5">
        <w:t>.</w:t>
      </w:r>
    </w:p>
    <w:p w14:paraId="72D1A057" w14:textId="77777777" w:rsidR="006074FB" w:rsidRDefault="006074FB" w:rsidP="006074FB">
      <w:pPr>
        <w:pStyle w:val="AssignBody"/>
      </w:pPr>
    </w:p>
    <w:p w14:paraId="63E35128" w14:textId="7A824658" w:rsidR="006074FB" w:rsidRPr="00673870" w:rsidRDefault="006074FB" w:rsidP="006074FB">
      <w:pPr>
        <w:pStyle w:val="AssignBody"/>
      </w:pPr>
      <w:r w:rsidRPr="00DF4D7C">
        <w:t xml:space="preserve">Ni </w:t>
      </w:r>
      <w:proofErr w:type="spellStart"/>
      <w:r w:rsidRPr="00DF4D7C">
        <w:t>Shuilleabhain</w:t>
      </w:r>
      <w:proofErr w:type="spellEnd"/>
      <w:r w:rsidRPr="00DF4D7C">
        <w:t>, A., Cronin, A. and Prendergast, M. (2021) ‘Maths Sparks engagement programme: investigating the impact on under-privileged pupils’ attitudes towards mathematics’, Teaching mathematics and its applications, 40(2), pp. 133–153. Available at: https://doi.org/10.1093/teamat/hraa009.</w:t>
      </w:r>
    </w:p>
    <w:p w14:paraId="1AFE3854" w14:textId="77777777" w:rsidR="006074FB" w:rsidRDefault="006074FB" w:rsidP="006074FB">
      <w:pPr>
        <w:pStyle w:val="AssignBody"/>
      </w:pPr>
    </w:p>
    <w:p w14:paraId="22AD5F73" w14:textId="6F012BE7" w:rsidR="000935D4" w:rsidRPr="000935D4" w:rsidRDefault="006074FB" w:rsidP="006074FB">
      <w:pPr>
        <w:pStyle w:val="AssignBody"/>
      </w:pPr>
      <w:r w:rsidRPr="00673870">
        <w:t>Peer-led provision (2006). London: Teachers TV/UK Department of Education.</w:t>
      </w:r>
    </w:p>
    <w:p w14:paraId="7033722D" w14:textId="08ACF0A0" w:rsidR="006074FB" w:rsidRPr="00613374" w:rsidRDefault="006074FB" w:rsidP="006074FB">
      <w:pPr>
        <w:pStyle w:val="AssignBody"/>
      </w:pPr>
      <w:r w:rsidRPr="000935D4">
        <w:rPr>
          <w:lang w:val="en-US"/>
        </w:rPr>
        <w:t xml:space="preserve">Reimers, F.M. and Reimers, F.M. (2021) Implementing Deeper Learning and 21st Century Education Reforms Building an Education Renaissance After a Global Pandemic. 1st ed. 2021. Edited by F.M. Reimers. Cham: Springer Nature. </w:t>
      </w:r>
      <w:r w:rsidRPr="006074FB">
        <w:t>Available</w:t>
      </w:r>
      <w:r w:rsidRPr="000935D4">
        <w:rPr>
          <w:lang w:val="en-US"/>
        </w:rPr>
        <w:t xml:space="preserve"> at: </w:t>
      </w:r>
      <w:r w:rsidRPr="006074FB">
        <w:rPr>
          <w:b/>
          <w:bCs/>
          <w:lang w:val="en-US"/>
        </w:rPr>
        <w:t>https://doi.org/10.1007/978-3-030-57039-2</w:t>
      </w:r>
      <w:r w:rsidRPr="000935D4">
        <w:rPr>
          <w:lang w:val="en-US"/>
        </w:rPr>
        <w:t>.</w:t>
      </w:r>
    </w:p>
    <w:p w14:paraId="5E1BD415" w14:textId="77777777" w:rsidR="006074FB" w:rsidRPr="006074FB" w:rsidRDefault="006074FB" w:rsidP="006074FB">
      <w:pPr>
        <w:pStyle w:val="AssignBody"/>
        <w:rPr>
          <w:rFonts w:cs="Arial"/>
          <w:lang w:val="en-US"/>
        </w:rPr>
      </w:pPr>
    </w:p>
    <w:p w14:paraId="00B0196B" w14:textId="25C3A84A" w:rsidR="006074FB" w:rsidRDefault="006074FB" w:rsidP="006074FB">
      <w:pPr>
        <w:pStyle w:val="AssignBody"/>
        <w:rPr>
          <w:rFonts w:cs="Arial"/>
        </w:rPr>
      </w:pPr>
      <w:r w:rsidRPr="006074FB">
        <w:rPr>
          <w:rFonts w:cs="Arial"/>
          <w:lang w:val="en-US"/>
        </w:rPr>
        <w:t xml:space="preserve">[School X] (2022) </w:t>
      </w:r>
      <w:r w:rsidRPr="006074FB">
        <w:rPr>
          <w:rFonts w:cs="Arial"/>
          <w:i/>
          <w:iCs/>
        </w:rPr>
        <w:t xml:space="preserve">School Improvement Plan 2022 – 2023. </w:t>
      </w:r>
      <w:r w:rsidRPr="006074FB">
        <w:rPr>
          <w:rFonts w:cs="Arial"/>
        </w:rPr>
        <w:t>[School X]</w:t>
      </w:r>
    </w:p>
    <w:p w14:paraId="06F70578" w14:textId="77777777" w:rsidR="006074FB" w:rsidRPr="006074FB" w:rsidRDefault="006074FB" w:rsidP="006074FB">
      <w:pPr>
        <w:pStyle w:val="AssignBody"/>
        <w:rPr>
          <w:rFonts w:cs="Arial"/>
          <w:i/>
          <w:iCs/>
        </w:rPr>
      </w:pPr>
    </w:p>
    <w:p w14:paraId="7ECBD517" w14:textId="77777777" w:rsidR="006074FB" w:rsidRDefault="006074FB" w:rsidP="006074FB">
      <w:pPr>
        <w:pStyle w:val="AssignBody"/>
        <w:rPr>
          <w:lang w:val="en-US"/>
        </w:rPr>
      </w:pPr>
      <w:r w:rsidRPr="000935D4">
        <w:rPr>
          <w:lang w:val="en-US"/>
        </w:rPr>
        <w:t>Simmonds, M. (2013) ‘How to improve links between primary and secondary school’, Teaching geography, 38(1), pp. 28–29.</w:t>
      </w:r>
    </w:p>
    <w:p w14:paraId="697549A6" w14:textId="77777777" w:rsidR="006074FB" w:rsidRPr="007079F5" w:rsidRDefault="006074FB" w:rsidP="006074FB">
      <w:pPr>
        <w:ind w:left="360"/>
        <w:rPr>
          <w:b/>
          <w:bCs/>
        </w:rPr>
      </w:pPr>
    </w:p>
    <w:p w14:paraId="5397631C" w14:textId="758D7515" w:rsidR="006074FB" w:rsidRDefault="006074FB" w:rsidP="006074FB">
      <w:pPr>
        <w:pStyle w:val="AssignBody"/>
      </w:pPr>
      <w:r w:rsidRPr="007079F5">
        <w:t xml:space="preserve">Thomson, P. and Gunter, H. (2006) ‘From “consulting pupils” to “pupils as researchers”: a situated case narrative’, British educational research journal. Accepted 15 July 2005, 32(6), pp. 839–856. Available at: </w:t>
      </w:r>
      <w:r w:rsidRPr="006074FB">
        <w:rPr>
          <w:b/>
          <w:bCs/>
        </w:rPr>
        <w:t>https://doi.org/10.1080/01411920600989487</w:t>
      </w:r>
      <w:r w:rsidRPr="007079F5">
        <w:t>.</w:t>
      </w:r>
    </w:p>
    <w:p w14:paraId="71C20209" w14:textId="77777777" w:rsidR="006074FB" w:rsidRPr="006074FB" w:rsidRDefault="006074FB" w:rsidP="006074FB">
      <w:pPr>
        <w:pStyle w:val="AssignBody"/>
        <w:rPr>
          <w:rFonts w:cs="Arial"/>
        </w:rPr>
      </w:pPr>
    </w:p>
    <w:p w14:paraId="3AD4FD72" w14:textId="77777777" w:rsidR="006074FB" w:rsidRPr="006074FB" w:rsidRDefault="006074FB" w:rsidP="006074FB">
      <w:pPr>
        <w:pStyle w:val="AssignBody"/>
        <w:rPr>
          <w:rFonts w:cs="Arial"/>
          <w:sz w:val="16"/>
          <w:szCs w:val="16"/>
        </w:rPr>
      </w:pPr>
      <w:r w:rsidRPr="006074FB">
        <w:rPr>
          <w:rFonts w:cs="Arial"/>
          <w:color w:val="000000"/>
          <w:shd w:val="clear" w:color="auto" w:fill="FFFFFF"/>
        </w:rPr>
        <w:t>UNICEF. (2020). </w:t>
      </w:r>
      <w:r w:rsidRPr="006074FB">
        <w:rPr>
          <w:rFonts w:cs="Arial"/>
          <w:i/>
          <w:iCs/>
          <w:color w:val="000000"/>
        </w:rPr>
        <w:t xml:space="preserve">The Right to Participation is one of the most important principles in becoming a Rights Respecting </w:t>
      </w:r>
      <w:proofErr w:type="gramStart"/>
      <w:r w:rsidRPr="006074FB">
        <w:rPr>
          <w:rFonts w:cs="Arial"/>
          <w:i/>
          <w:iCs/>
          <w:color w:val="000000"/>
        </w:rPr>
        <w:t>School.</w:t>
      </w:r>
      <w:r w:rsidRPr="006074FB">
        <w:rPr>
          <w:rFonts w:cs="Arial"/>
          <w:color w:val="000000"/>
          <w:shd w:val="clear" w:color="auto" w:fill="FFFFFF"/>
        </w:rPr>
        <w:t>.</w:t>
      </w:r>
      <w:proofErr w:type="gramEnd"/>
      <w:r w:rsidRPr="006074FB">
        <w:rPr>
          <w:rFonts w:cs="Arial"/>
          <w:color w:val="000000"/>
          <w:shd w:val="clear" w:color="auto" w:fill="FFFFFF"/>
        </w:rPr>
        <w:t xml:space="preserve"> [Online]. UNICEF. Available at: https://www.unicef.org.uk/rights-respecting-schools/the-right-to-participation/#:~:text=One%20of%20t [Accessed 10 May 2023].</w:t>
      </w:r>
    </w:p>
    <w:p w14:paraId="180BC0BA" w14:textId="77777777" w:rsidR="006074FB" w:rsidRDefault="006074FB" w:rsidP="006074FB">
      <w:pPr>
        <w:pStyle w:val="AssignBody"/>
        <w:rPr>
          <w:rFonts w:cstheme="minorHAnsi"/>
          <w:sz w:val="16"/>
          <w:szCs w:val="16"/>
        </w:rPr>
      </w:pPr>
    </w:p>
    <w:p w14:paraId="15ED6FE5" w14:textId="77777777" w:rsidR="006074FB" w:rsidRPr="006074FB" w:rsidRDefault="006074FB" w:rsidP="006074FB">
      <w:pPr>
        <w:pStyle w:val="AssignBody"/>
        <w:rPr>
          <w:rFonts w:cs="Arial"/>
          <w:sz w:val="10"/>
          <w:szCs w:val="10"/>
        </w:rPr>
      </w:pPr>
      <w:r w:rsidRPr="006074FB">
        <w:rPr>
          <w:rFonts w:cs="Arial"/>
          <w:color w:val="000000"/>
          <w:shd w:val="clear" w:color="auto" w:fill="FFFFFF"/>
        </w:rPr>
        <w:t>Welsh Government. (2017). </w:t>
      </w:r>
      <w:r w:rsidRPr="006074FB">
        <w:rPr>
          <w:rFonts w:cs="Arial"/>
          <w:i/>
          <w:iCs/>
          <w:color w:val="000000"/>
        </w:rPr>
        <w:t>Professional standards</w:t>
      </w:r>
      <w:r w:rsidRPr="006074FB">
        <w:rPr>
          <w:rFonts w:cs="Arial"/>
          <w:color w:val="000000"/>
          <w:shd w:val="clear" w:color="auto" w:fill="FFFFFF"/>
        </w:rPr>
        <w:t>. [Online]. HWB Wales. Last Updated: 06 July 2020. Available at: https://hwb.gov.wales/professional-development/professional-standards/ [Accessed 12 May 2023].</w:t>
      </w:r>
    </w:p>
    <w:p w14:paraId="50EA733D" w14:textId="77777777" w:rsidR="006074FB" w:rsidRPr="006074FB" w:rsidRDefault="006074FB" w:rsidP="006074FB">
      <w:pPr>
        <w:pStyle w:val="AssignBody"/>
        <w:rPr>
          <w:rFonts w:cs="Arial"/>
          <w:sz w:val="16"/>
          <w:szCs w:val="16"/>
        </w:rPr>
      </w:pPr>
    </w:p>
    <w:p w14:paraId="4D53DD33" w14:textId="0DC7DF2C" w:rsidR="006074FB" w:rsidRPr="006074FB" w:rsidRDefault="006074FB" w:rsidP="006074FB">
      <w:pPr>
        <w:pStyle w:val="AssignBody"/>
        <w:rPr>
          <w:rFonts w:cs="Arial"/>
          <w:color w:val="000000"/>
          <w:shd w:val="clear" w:color="auto" w:fill="FFFFFF"/>
        </w:rPr>
      </w:pPr>
      <w:r w:rsidRPr="006074FB">
        <w:rPr>
          <w:rFonts w:cs="Arial"/>
          <w:color w:val="000000"/>
          <w:shd w:val="clear" w:color="auto" w:fill="FFFFFF"/>
        </w:rPr>
        <w:t>Welsh Government. (2018). </w:t>
      </w:r>
      <w:r w:rsidRPr="006074FB">
        <w:rPr>
          <w:rFonts w:cs="Arial"/>
          <w:i/>
          <w:iCs/>
          <w:color w:val="000000"/>
        </w:rPr>
        <w:t>Schools in Wales as learning organisations</w:t>
      </w:r>
      <w:r w:rsidRPr="006074FB">
        <w:rPr>
          <w:rFonts w:cs="Arial"/>
          <w:color w:val="000000"/>
          <w:shd w:val="clear" w:color="auto" w:fill="FFFFFF"/>
        </w:rPr>
        <w:t>. [Online]. HWB Wales. Available at: https://hwb.gov.wales/api/storage/f87e720f-8568-4a60-9383-55e20b9a1bb7/schools-in-wales-as-learning- [Accessed 12 May 2023].</w:t>
      </w:r>
    </w:p>
    <w:p w14:paraId="117A8F0B" w14:textId="77777777" w:rsidR="006074FB" w:rsidRPr="00AB1BD8" w:rsidRDefault="006074FB" w:rsidP="006074FB">
      <w:pPr>
        <w:pStyle w:val="AssignBody"/>
        <w:rPr>
          <w:rFonts w:asciiTheme="minorHAnsi" w:hAnsiTheme="minorHAnsi" w:cstheme="minorHAnsi"/>
        </w:rPr>
      </w:pPr>
    </w:p>
    <w:p w14:paraId="2559D8E7" w14:textId="77777777" w:rsidR="000935D4" w:rsidRPr="000935D4" w:rsidRDefault="006074FB" w:rsidP="006074FB">
      <w:pPr>
        <w:pStyle w:val="AssignBody"/>
      </w:pPr>
      <w:r w:rsidRPr="005B27FA">
        <w:t>Welsh Government. (2020). </w:t>
      </w:r>
      <w:r w:rsidRPr="005B27FA">
        <w:rPr>
          <w:i/>
          <w:iCs/>
        </w:rPr>
        <w:t>Developing a vision for curriculum design</w:t>
      </w:r>
      <w:r w:rsidRPr="005B27FA">
        <w:t>. [Online]. HWB Wales. Last Updated: 10 January 2022. Available at: https://hwb.gov.wales/curriculum-for-wales/designing-your-curriculum/developing-a-vision-for-curricu [Accessed 10 May 2023].</w:t>
      </w:r>
    </w:p>
    <w:p w14:paraId="7BE709F0" w14:textId="77777777" w:rsidR="006074FB" w:rsidRPr="007079F5" w:rsidRDefault="006074FB" w:rsidP="006074FB">
      <w:pPr>
        <w:pStyle w:val="AssignBody"/>
      </w:pPr>
    </w:p>
    <w:p w14:paraId="59833375" w14:textId="77777777" w:rsidR="006074FB" w:rsidRPr="009B47AE" w:rsidRDefault="006074FB" w:rsidP="00E611D9">
      <w:pPr>
        <w:pStyle w:val="AssignBody"/>
        <w:rPr>
          <w:b/>
        </w:rPr>
      </w:pPr>
    </w:p>
    <w:p w14:paraId="5DC0C5BF" w14:textId="78D7879C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CD5AD8" w14:textId="77777777" w:rsidR="0014540B" w:rsidRDefault="0014540B" w:rsidP="00E611D9">
      <w:pPr>
        <w:spacing w:after="0" w:line="240" w:lineRule="auto"/>
      </w:pPr>
      <w:r>
        <w:separator/>
      </w:r>
    </w:p>
  </w:endnote>
  <w:endnote w:type="continuationSeparator" w:id="0">
    <w:p w14:paraId="20455DC4" w14:textId="77777777" w:rsidR="0014540B" w:rsidRDefault="0014540B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E3345C" w14:textId="77777777" w:rsidR="0014540B" w:rsidRDefault="0014540B" w:rsidP="00E611D9">
      <w:pPr>
        <w:spacing w:after="0" w:line="240" w:lineRule="auto"/>
      </w:pPr>
      <w:r>
        <w:separator/>
      </w:r>
    </w:p>
  </w:footnote>
  <w:footnote w:type="continuationSeparator" w:id="0">
    <w:p w14:paraId="1955921F" w14:textId="77777777" w:rsidR="0014540B" w:rsidRDefault="0014540B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5983AE4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6074FB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533B669D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6074FB">
            <w:rPr>
              <w:rFonts w:ascii="Arial" w:hAnsi="Arial" w:cs="Arial"/>
            </w:rPr>
            <w:t>1900806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6712E45"/>
    <w:multiLevelType w:val="hybridMultilevel"/>
    <w:tmpl w:val="8D2A291E"/>
    <w:lvl w:ilvl="0" w:tplc="86B0B8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D14B7B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21A5AD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7D4679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9402A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CC8C78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D08228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566DF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EC2F7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8240853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4540B"/>
    <w:rsid w:val="001D2CF5"/>
    <w:rsid w:val="002229F0"/>
    <w:rsid w:val="002B6004"/>
    <w:rsid w:val="003B567F"/>
    <w:rsid w:val="003E55AE"/>
    <w:rsid w:val="00433F17"/>
    <w:rsid w:val="004D121C"/>
    <w:rsid w:val="00556AF9"/>
    <w:rsid w:val="005956FB"/>
    <w:rsid w:val="006074FB"/>
    <w:rsid w:val="006419C3"/>
    <w:rsid w:val="00691A46"/>
    <w:rsid w:val="006B5861"/>
    <w:rsid w:val="006D5D8F"/>
    <w:rsid w:val="00801676"/>
    <w:rsid w:val="00817F7A"/>
    <w:rsid w:val="00877A8E"/>
    <w:rsid w:val="009A0ECE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6074FB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6074FB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819</Words>
  <Characters>4669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Amelia Harwood</cp:lastModifiedBy>
  <cp:revision>2</cp:revision>
  <dcterms:created xsi:type="dcterms:W3CDTF">2023-05-15T19:42:00Z</dcterms:created>
  <dcterms:modified xsi:type="dcterms:W3CDTF">2023-05-15T19:42:00Z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