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2E4D861">
      <w:pPr>
        <w:spacing w:line="360" w:lineRule="auto"/>
        <w:rPr>
          <w:rFonts w:ascii="Times New Roman" w:hAnsi="Times New Roman" w:cs="Times New Roman"/>
          <w:sz w:val="24"/>
          <w:szCs w:val="24"/>
        </w:rPr>
      </w:pPr>
    </w:p>
    <w:p w14:paraId="704DC186">
      <w:pPr>
        <w:spacing w:line="360" w:lineRule="auto"/>
        <w:rPr>
          <w:rFonts w:ascii="Times New Roman" w:hAnsi="Times New Roman" w:cs="Times New Roman"/>
          <w:sz w:val="24"/>
          <w:szCs w:val="24"/>
        </w:rPr>
      </w:pPr>
    </w:p>
    <w:p w14:paraId="72062C09">
      <w:pPr>
        <w:spacing w:line="360" w:lineRule="auto"/>
        <w:rPr>
          <w:rFonts w:ascii="Times New Roman" w:hAnsi="Times New Roman" w:cs="Times New Roman"/>
          <w:sz w:val="24"/>
          <w:szCs w:val="24"/>
        </w:rPr>
      </w:pPr>
    </w:p>
    <w:p w14:paraId="4DAEB933">
      <w:pPr>
        <w:spacing w:line="360" w:lineRule="auto"/>
        <w:jc w:val="center"/>
        <w:rPr>
          <w:rFonts w:ascii="Times New Roman" w:hAnsi="Times New Roman" w:cs="Times New Roman"/>
          <w:b/>
          <w:bCs/>
          <w:sz w:val="36"/>
          <w:szCs w:val="36"/>
        </w:rPr>
      </w:pPr>
      <w:bookmarkStart w:id="0" w:name="_Hlk193140873"/>
      <w:r>
        <w:rPr>
          <w:rFonts w:hint="eastAsia" w:ascii="Times New Roman" w:hAnsi="Times New Roman" w:cs="Times New Roman"/>
          <w:b/>
          <w:bCs/>
          <w:sz w:val="36"/>
          <w:szCs w:val="36"/>
        </w:rPr>
        <w:t xml:space="preserve">University of Wales </w:t>
      </w:r>
    </w:p>
    <w:p w14:paraId="035AA86A">
      <w:pPr>
        <w:spacing w:line="360" w:lineRule="auto"/>
        <w:jc w:val="center"/>
        <w:rPr>
          <w:rFonts w:ascii="Times New Roman" w:hAnsi="Times New Roman" w:cs="Times New Roman"/>
          <w:b/>
          <w:bCs/>
          <w:i/>
          <w:iCs/>
          <w:sz w:val="32"/>
          <w:szCs w:val="32"/>
        </w:rPr>
      </w:pPr>
      <w:r>
        <w:rPr>
          <w:rFonts w:hint="eastAsia" w:ascii="Times New Roman" w:hAnsi="Times New Roman" w:cs="Times New Roman"/>
          <w:b/>
          <w:bCs/>
          <w:i/>
          <w:iCs/>
          <w:sz w:val="32"/>
          <w:szCs w:val="32"/>
        </w:rPr>
        <w:t>-Trinity Saint David-</w:t>
      </w:r>
    </w:p>
    <w:bookmarkEnd w:id="0"/>
    <w:p w14:paraId="418D048E">
      <w:pPr>
        <w:spacing w:line="360" w:lineRule="auto"/>
        <w:jc w:val="center"/>
        <w:rPr>
          <w:rFonts w:ascii="Times New Roman" w:hAnsi="Times New Roman" w:cs="Times New Roman"/>
          <w:b/>
          <w:bCs/>
          <w:sz w:val="32"/>
          <w:szCs w:val="32"/>
        </w:rPr>
      </w:pPr>
      <w:r>
        <w:rPr>
          <w:rFonts w:hint="eastAsia" w:ascii="Times New Roman" w:hAnsi="Times New Roman" w:cs="Times New Roman"/>
          <w:b/>
          <w:bCs/>
          <w:sz w:val="32"/>
          <w:szCs w:val="32"/>
          <w:lang w:val="en-US" w:eastAsia="zh-CN"/>
        </w:rPr>
        <w:t>BMBM</w:t>
      </w:r>
      <w:r>
        <w:rPr>
          <w:rFonts w:hint="eastAsia" w:ascii="Times New Roman" w:hAnsi="Times New Roman" w:cs="Times New Roman"/>
          <w:b/>
          <w:bCs/>
          <w:sz w:val="32"/>
          <w:szCs w:val="32"/>
        </w:rPr>
        <w:t xml:space="preserve">6015 </w:t>
      </w:r>
      <w:r>
        <w:rPr>
          <w:rFonts w:ascii="Times New Roman" w:hAnsi="Times New Roman" w:cs="Times New Roman"/>
          <w:b/>
          <w:bCs/>
          <w:sz w:val="32"/>
          <w:szCs w:val="32"/>
        </w:rPr>
        <w:t>–</w:t>
      </w:r>
      <w:r>
        <w:rPr>
          <w:rFonts w:hint="eastAsia" w:ascii="Times New Roman" w:hAnsi="Times New Roman" w:cs="Times New Roman"/>
          <w:b/>
          <w:bCs/>
          <w:sz w:val="32"/>
          <w:szCs w:val="32"/>
        </w:rPr>
        <w:t xml:space="preserve"> Strategic Management and Sustainability</w:t>
      </w:r>
    </w:p>
    <w:p w14:paraId="77B22DCA">
      <w:pPr>
        <w:spacing w:line="360" w:lineRule="auto"/>
        <w:rPr>
          <w:rFonts w:ascii="Times New Roman" w:hAnsi="Times New Roman" w:cs="Times New Roman"/>
          <w:sz w:val="24"/>
          <w:szCs w:val="24"/>
        </w:rPr>
      </w:pPr>
    </w:p>
    <w:p w14:paraId="09939F0A">
      <w:pPr>
        <w:spacing w:line="360" w:lineRule="auto"/>
        <w:rPr>
          <w:rFonts w:ascii="Times New Roman" w:hAnsi="Times New Roman" w:cs="Times New Roman"/>
          <w:b/>
          <w:bCs/>
          <w:sz w:val="24"/>
          <w:szCs w:val="24"/>
        </w:rPr>
      </w:pPr>
    </w:p>
    <w:p w14:paraId="1BD4DA60">
      <w:pPr>
        <w:spacing w:line="360" w:lineRule="auto"/>
        <w:rPr>
          <w:rFonts w:ascii="Times New Roman" w:hAnsi="Times New Roman" w:cs="Times New Roman"/>
          <w:b/>
          <w:bCs/>
          <w:sz w:val="24"/>
          <w:szCs w:val="24"/>
        </w:rPr>
      </w:pPr>
    </w:p>
    <w:p w14:paraId="2270E664">
      <w:pPr>
        <w:spacing w:line="360" w:lineRule="auto"/>
        <w:rPr>
          <w:rFonts w:ascii="Times New Roman" w:hAnsi="Times New Roman" w:cs="Times New Roman"/>
          <w:b/>
          <w:bCs/>
          <w:sz w:val="24"/>
          <w:szCs w:val="24"/>
        </w:rPr>
      </w:pPr>
    </w:p>
    <w:p w14:paraId="0F6D3096">
      <w:pPr>
        <w:spacing w:line="360" w:lineRule="auto"/>
        <w:rPr>
          <w:rFonts w:ascii="Times New Roman" w:hAnsi="Times New Roman" w:cs="Times New Roman"/>
          <w:b/>
          <w:bCs/>
          <w:sz w:val="32"/>
          <w:szCs w:val="32"/>
        </w:rPr>
      </w:pPr>
    </w:p>
    <w:p w14:paraId="7F48F176">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Strategic Analysis and Sustainable Strategy Development</w:t>
      </w:r>
    </w:p>
    <w:p w14:paraId="2C6429DD">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Taking Tesla as An Example</w:t>
      </w:r>
    </w:p>
    <w:p w14:paraId="19A6CFA4">
      <w:pPr>
        <w:spacing w:line="360" w:lineRule="auto"/>
        <w:rPr>
          <w:rFonts w:ascii="Times New Roman" w:hAnsi="Times New Roman" w:cs="Times New Roman"/>
          <w:sz w:val="24"/>
          <w:szCs w:val="24"/>
        </w:rPr>
      </w:pPr>
    </w:p>
    <w:p w14:paraId="2F787D94">
      <w:pPr>
        <w:spacing w:line="360" w:lineRule="auto"/>
        <w:rPr>
          <w:rFonts w:ascii="Times New Roman" w:hAnsi="Times New Roman" w:cs="Times New Roman"/>
          <w:sz w:val="24"/>
          <w:szCs w:val="24"/>
        </w:rPr>
      </w:pPr>
    </w:p>
    <w:p w14:paraId="3C7656AE">
      <w:pPr>
        <w:spacing w:line="360" w:lineRule="auto"/>
        <w:rPr>
          <w:rFonts w:ascii="Times New Roman" w:hAnsi="Times New Roman" w:cs="Times New Roman"/>
          <w:sz w:val="24"/>
          <w:szCs w:val="24"/>
        </w:rPr>
      </w:pPr>
    </w:p>
    <w:p w14:paraId="22E828BB">
      <w:pPr>
        <w:spacing w:line="360" w:lineRule="auto"/>
        <w:rPr>
          <w:rFonts w:ascii="Times New Roman" w:hAnsi="Times New Roman" w:cs="Times New Roman"/>
          <w:sz w:val="24"/>
          <w:szCs w:val="24"/>
        </w:rPr>
      </w:pPr>
    </w:p>
    <w:p w14:paraId="3F6F4767">
      <w:pPr>
        <w:spacing w:line="360" w:lineRule="auto"/>
        <w:rPr>
          <w:rFonts w:ascii="Times New Roman" w:hAnsi="Times New Roman" w:cs="Times New Roman"/>
          <w:sz w:val="24"/>
          <w:szCs w:val="24"/>
        </w:rPr>
      </w:pPr>
    </w:p>
    <w:p w14:paraId="2B132079">
      <w:pPr>
        <w:spacing w:line="360" w:lineRule="auto"/>
        <w:rPr>
          <w:rFonts w:ascii="Times New Roman" w:hAnsi="Times New Roman" w:cs="Times New Roman"/>
          <w:sz w:val="24"/>
          <w:szCs w:val="24"/>
        </w:rPr>
      </w:pPr>
    </w:p>
    <w:p w14:paraId="17D18492">
      <w:pPr>
        <w:spacing w:line="360" w:lineRule="auto"/>
        <w:rPr>
          <w:rFonts w:ascii="Times New Roman" w:hAnsi="Times New Roman" w:cs="Times New Roman"/>
          <w:sz w:val="24"/>
          <w:szCs w:val="24"/>
        </w:rPr>
      </w:pPr>
    </w:p>
    <w:p w14:paraId="5BD79ADF">
      <w:pPr>
        <w:spacing w:line="360" w:lineRule="auto"/>
        <w:rPr>
          <w:rFonts w:ascii="Times New Roman" w:hAnsi="Times New Roman" w:cs="Times New Roman"/>
          <w:sz w:val="24"/>
          <w:szCs w:val="24"/>
        </w:rPr>
      </w:pPr>
    </w:p>
    <w:p w14:paraId="09B787BB">
      <w:pPr>
        <w:spacing w:line="360" w:lineRule="auto"/>
        <w:rPr>
          <w:rFonts w:ascii="Times New Roman" w:hAnsi="Times New Roman" w:cs="Times New Roman"/>
          <w:sz w:val="24"/>
          <w:szCs w:val="24"/>
        </w:rPr>
      </w:pPr>
    </w:p>
    <w:p w14:paraId="60DEC801">
      <w:pPr>
        <w:spacing w:line="360" w:lineRule="auto"/>
        <w:rPr>
          <w:rFonts w:ascii="Times New Roman" w:hAnsi="Times New Roman" w:cs="Times New Roman"/>
          <w:sz w:val="24"/>
          <w:szCs w:val="24"/>
        </w:rPr>
      </w:pPr>
    </w:p>
    <w:p w14:paraId="5DABBB9B">
      <w:pPr>
        <w:spacing w:line="360" w:lineRule="auto"/>
        <w:jc w:val="center"/>
        <w:rPr>
          <w:rFonts w:hint="default" w:ascii="Times New Roman" w:hAnsi="Times New Roman" w:cs="Times New Roman" w:eastAsiaTheme="minorEastAsia"/>
          <w:color w:val="000000" w:themeColor="text1"/>
          <w:sz w:val="24"/>
          <w:szCs w:val="24"/>
          <w:highlight w:val="none"/>
          <w:shd w:val="clear" w:color="FFFFFF" w:fill="D9D9D9"/>
          <w:lang w:val="en-US" w:eastAsia="zh-CN"/>
          <w14:textFill>
            <w14:solidFill>
              <w14:schemeClr w14:val="tx1"/>
            </w14:solidFill>
          </w14:textFill>
        </w:rPr>
      </w:pPr>
      <w:bookmarkStart w:id="1" w:name="_Hlk193140897"/>
      <w:r>
        <w:rPr>
          <w:rFonts w:hint="eastAsia" w:ascii="Times New Roman" w:hAnsi="Times New Roman" w:cs="Times New Roman"/>
          <w:color w:val="000000" w:themeColor="text1"/>
          <w:sz w:val="24"/>
          <w:szCs w:val="24"/>
          <w:highlight w:val="none"/>
          <w:shd w:val="clear" w:color="FFFFFF" w:fill="D9D9D9"/>
          <w14:textFill>
            <w14:solidFill>
              <w14:schemeClr w14:val="tx1"/>
            </w14:solidFill>
          </w14:textFill>
        </w:rPr>
        <w:t>Student Name</w:t>
      </w:r>
      <w:r>
        <w:rPr>
          <w:rFonts w:hint="eastAsia" w:ascii="Times New Roman" w:hAnsi="Times New Roman" w:cs="Times New Roman"/>
          <w:color w:val="000000" w:themeColor="text1"/>
          <w:sz w:val="24"/>
          <w:szCs w:val="24"/>
          <w:highlight w:val="none"/>
          <w:shd w:val="clear" w:color="FFFFFF" w:fill="D9D9D9"/>
          <w:lang w:val="en-US" w:eastAsia="zh-CN"/>
          <w14:textFill>
            <w14:solidFill>
              <w14:schemeClr w14:val="tx1"/>
            </w14:solidFill>
          </w14:textFill>
        </w:rPr>
        <w:t xml:space="preserve"> Yuyang Chen</w:t>
      </w:r>
    </w:p>
    <w:p w14:paraId="35FB3ED6">
      <w:pPr>
        <w:spacing w:line="360" w:lineRule="auto"/>
        <w:jc w:val="center"/>
        <w:rPr>
          <w:rFonts w:hint="eastAsia" w:ascii="Times New Roman" w:hAnsi="Times New Roman" w:cs="Times New Roman" w:eastAsiaTheme="minorEastAsia"/>
          <w:color w:val="000000" w:themeColor="text1"/>
          <w:sz w:val="24"/>
          <w:szCs w:val="24"/>
          <w:highlight w:val="none"/>
          <w:shd w:val="clear" w:color="FFFFFF" w:fill="D9D9D9"/>
          <w:lang w:val="en-US" w:eastAsia="zh-CN"/>
          <w14:textFill>
            <w14:solidFill>
              <w14:schemeClr w14:val="tx1"/>
            </w14:solidFill>
          </w14:textFill>
        </w:rPr>
      </w:pPr>
      <w:r>
        <w:rPr>
          <w:rFonts w:hint="eastAsia" w:ascii="Times New Roman" w:hAnsi="Times New Roman" w:cs="Times New Roman"/>
          <w:color w:val="000000" w:themeColor="text1"/>
          <w:sz w:val="24"/>
          <w:szCs w:val="24"/>
          <w:highlight w:val="none"/>
          <w:shd w:val="clear" w:color="FFFFFF" w:fill="D9D9D9"/>
          <w14:textFill>
            <w14:solidFill>
              <w14:schemeClr w14:val="tx1"/>
            </w14:solidFill>
          </w14:textFill>
        </w:rPr>
        <w:t>Student ID</w:t>
      </w:r>
      <w:r>
        <w:rPr>
          <w:rFonts w:hint="eastAsia" w:ascii="Times New Roman" w:hAnsi="Times New Roman" w:cs="Times New Roman"/>
          <w:color w:val="000000" w:themeColor="text1"/>
          <w:sz w:val="24"/>
          <w:szCs w:val="24"/>
          <w:highlight w:val="none"/>
          <w:shd w:val="clear" w:color="FFFFFF" w:fill="D9D9D9"/>
          <w:lang w:val="en-US" w:eastAsia="zh-CN"/>
          <w14:textFill>
            <w14:solidFill>
              <w14:schemeClr w14:val="tx1"/>
            </w14:solidFill>
          </w14:textFill>
        </w:rPr>
        <w:t xml:space="preserve"> 2400262 </w:t>
      </w:r>
    </w:p>
    <w:p w14:paraId="6D633053">
      <w:pPr>
        <w:spacing w:line="360" w:lineRule="auto"/>
        <w:jc w:val="center"/>
        <w:rPr>
          <w:rFonts w:hint="default" w:ascii="Times New Roman" w:hAnsi="Times New Roman" w:cs="Times New Roman" w:eastAsiaTheme="minorEastAsia"/>
          <w:color w:val="000000" w:themeColor="text1"/>
          <w:sz w:val="24"/>
          <w:szCs w:val="24"/>
          <w:highlight w:val="none"/>
          <w:shd w:val="clear" w:color="FFFFFF" w:fill="D9D9D9"/>
          <w:lang w:val="en-US" w:eastAsia="zh-CN"/>
          <w14:textFill>
            <w14:solidFill>
              <w14:schemeClr w14:val="tx1"/>
            </w14:solidFill>
          </w14:textFill>
        </w:rPr>
      </w:pPr>
      <w:r>
        <w:rPr>
          <w:rFonts w:hint="eastAsia" w:ascii="Times New Roman" w:hAnsi="Times New Roman" w:cs="Times New Roman"/>
          <w:color w:val="000000" w:themeColor="text1"/>
          <w:sz w:val="24"/>
          <w:szCs w:val="24"/>
          <w:highlight w:val="none"/>
          <w:shd w:val="clear" w:color="FFFFFF" w:fill="D9D9D9"/>
          <w14:textFill>
            <w14:solidFill>
              <w14:schemeClr w14:val="tx1"/>
            </w14:solidFill>
          </w14:textFill>
        </w:rPr>
        <w:t>Date</w:t>
      </w:r>
      <w:r>
        <w:rPr>
          <w:rFonts w:hint="eastAsia" w:ascii="Times New Roman" w:hAnsi="Times New Roman" w:cs="Times New Roman"/>
          <w:color w:val="000000" w:themeColor="text1"/>
          <w:sz w:val="24"/>
          <w:szCs w:val="24"/>
          <w:highlight w:val="none"/>
          <w:shd w:val="clear" w:color="FFFFFF" w:fill="D9D9D9"/>
          <w:lang w:val="en-US" w:eastAsia="zh-CN"/>
          <w14:textFill>
            <w14:solidFill>
              <w14:schemeClr w14:val="tx1"/>
            </w14:solidFill>
          </w14:textFill>
        </w:rPr>
        <w:t xml:space="preserve"> 20/3/2025</w:t>
      </w:r>
    </w:p>
    <w:bookmarkEnd w:id="1"/>
    <w:p w14:paraId="20492312">
      <w:pPr>
        <w:spacing w:line="360" w:lineRule="auto"/>
        <w:rPr>
          <w:rFonts w:ascii="Times New Roman" w:hAnsi="Times New Roman" w:cs="Times New Roman"/>
          <w:sz w:val="24"/>
          <w:szCs w:val="24"/>
        </w:rPr>
      </w:pPr>
    </w:p>
    <w:p w14:paraId="1CCE0546">
      <w:pPr>
        <w:spacing w:line="360" w:lineRule="auto"/>
        <w:jc w:val="center"/>
        <w:rPr>
          <w:rFonts w:ascii="Times New Roman" w:hAnsi="Times New Roman" w:cs="Times New Roman"/>
          <w:b/>
          <w:bCs/>
          <w:sz w:val="24"/>
          <w:szCs w:val="24"/>
        </w:rPr>
      </w:pPr>
    </w:p>
    <w:p w14:paraId="2C94C40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Contents</w:t>
      </w:r>
    </w:p>
    <w:p w14:paraId="62318B13">
      <w:pPr>
        <w:pStyle w:val="5"/>
        <w:tabs>
          <w:tab w:val="right" w:leader="dot" w:pos="8296"/>
        </w:tabs>
        <w:spacing w:after="156" w:afterLines="50" w:line="36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"_Toc191158258" </w:instrText>
      </w:r>
      <w:r>
        <w:fldChar w:fldCharType="separate"/>
      </w:r>
      <w:r>
        <w:rPr>
          <w:rStyle w:val="12"/>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_Toc191158258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1B130C5">
      <w:pPr>
        <w:pStyle w:val="5"/>
        <w:tabs>
          <w:tab w:val="left" w:pos="42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"_Toc191158259" </w:instrText>
      </w:r>
      <w:r>
        <w:fldChar w:fldCharType="separate"/>
      </w:r>
      <w:r>
        <w:rPr>
          <w:rStyle w:val="12"/>
          <w:rFonts w:ascii="Times New Roman" w:hAnsi="Times New Roman" w:cs="Times New Roman"/>
          <w:sz w:val="24"/>
          <w:szCs w:val="24"/>
        </w:rPr>
        <w:t>1.</w:t>
      </w:r>
      <w:r>
        <w:rPr>
          <w:rFonts w:ascii="Times New Roman" w:hAnsi="Times New Roman" w:cs="Times New Roman"/>
          <w:sz w:val="24"/>
          <w:szCs w:val="24"/>
        </w:rPr>
        <w:tab/>
      </w:r>
      <w:r>
        <w:rPr>
          <w:rStyle w:val="12"/>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_Toc191158259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5A8B961">
      <w:pPr>
        <w:pStyle w:val="5"/>
        <w:tabs>
          <w:tab w:val="left" w:pos="42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"_Toc191158260" </w:instrText>
      </w:r>
      <w:r>
        <w:fldChar w:fldCharType="separate"/>
      </w:r>
      <w:r>
        <w:rPr>
          <w:rStyle w:val="12"/>
          <w:rFonts w:ascii="Times New Roman" w:hAnsi="Times New Roman" w:cs="Times New Roman"/>
          <w:sz w:val="24"/>
          <w:szCs w:val="24"/>
        </w:rPr>
        <w:t>2.</w:t>
      </w:r>
      <w:r>
        <w:rPr>
          <w:rFonts w:ascii="Times New Roman" w:hAnsi="Times New Roman" w:cs="Times New Roman"/>
          <w:sz w:val="24"/>
          <w:szCs w:val="24"/>
        </w:rPr>
        <w:tab/>
      </w:r>
      <w:r>
        <w:rPr>
          <w:rStyle w:val="12"/>
          <w:rFonts w:ascii="Times New Roman" w:hAnsi="Times New Roman" w:cs="Times New Roman"/>
          <w:sz w:val="24"/>
          <w:szCs w:val="24"/>
        </w:rPr>
        <w:t>External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_Toc191158260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4DC8079">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"_Toc191158261" </w:instrText>
      </w:r>
      <w:r>
        <w:fldChar w:fldCharType="separate"/>
      </w:r>
      <w:r>
        <w:rPr>
          <w:rStyle w:val="12"/>
          <w:rFonts w:ascii="Times New Roman" w:hAnsi="Times New Roman" w:cs="Times New Roman"/>
          <w:sz w:val="24"/>
          <w:szCs w:val="24"/>
        </w:rPr>
        <w:t>2.1</w:t>
      </w:r>
      <w:r>
        <w:rPr>
          <w:rFonts w:ascii="Times New Roman" w:hAnsi="Times New Roman" w:cs="Times New Roman"/>
          <w:sz w:val="24"/>
          <w:szCs w:val="24"/>
        </w:rPr>
        <w:tab/>
      </w:r>
      <w:r>
        <w:rPr>
          <w:rStyle w:val="12"/>
          <w:rFonts w:ascii="Times New Roman" w:hAnsi="Times New Roman" w:cs="Times New Roman"/>
          <w:sz w:val="24"/>
          <w:szCs w:val="24"/>
        </w:rPr>
        <w:t>PESTEL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_Toc191158261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A3991AD">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"_Toc191158262" </w:instrText>
      </w:r>
      <w:r>
        <w:fldChar w:fldCharType="separate"/>
      </w:r>
      <w:r>
        <w:rPr>
          <w:rStyle w:val="12"/>
          <w:rFonts w:ascii="Times New Roman" w:hAnsi="Times New Roman" w:cs="Times New Roman"/>
          <w:sz w:val="24"/>
          <w:szCs w:val="24"/>
        </w:rPr>
        <w:t>2.2</w:t>
      </w:r>
      <w:r>
        <w:rPr>
          <w:rFonts w:ascii="Times New Roman" w:hAnsi="Times New Roman" w:cs="Times New Roman"/>
          <w:sz w:val="24"/>
          <w:szCs w:val="24"/>
        </w:rPr>
        <w:tab/>
      </w:r>
      <w:r>
        <w:rPr>
          <w:rStyle w:val="12"/>
          <w:rFonts w:ascii="Times New Roman" w:hAnsi="Times New Roman" w:cs="Times New Roman"/>
          <w:sz w:val="24"/>
          <w:szCs w:val="24"/>
        </w:rPr>
        <w:t>Porter’s Five Forces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_Toc191158262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D966D04">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"_Toc191158263" </w:instrText>
      </w:r>
      <w:r>
        <w:fldChar w:fldCharType="separate"/>
      </w:r>
      <w:r>
        <w:rPr>
          <w:rStyle w:val="12"/>
          <w:rFonts w:ascii="Times New Roman" w:hAnsi="Times New Roman" w:cs="Times New Roman"/>
          <w:sz w:val="24"/>
          <w:szCs w:val="24"/>
        </w:rPr>
        <w:t>2.3</w:t>
      </w:r>
      <w:r>
        <w:rPr>
          <w:rFonts w:ascii="Times New Roman" w:hAnsi="Times New Roman" w:cs="Times New Roman"/>
          <w:sz w:val="24"/>
          <w:szCs w:val="24"/>
        </w:rPr>
        <w:tab/>
      </w:r>
      <w:r>
        <w:rPr>
          <w:rStyle w:val="12"/>
          <w:rFonts w:ascii="Times New Roman" w:hAnsi="Times New Roman" w:cs="Times New Roman"/>
          <w:sz w:val="24"/>
          <w:szCs w:val="24"/>
        </w:rPr>
        <w:t>Key Economic Trends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EE1241F">
      <w:pPr>
        <w:pStyle w:val="5"/>
        <w:tabs>
          <w:tab w:val="left" w:pos="42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"_Toc191158264" </w:instrText>
      </w:r>
      <w:r>
        <w:fldChar w:fldCharType="separate"/>
      </w:r>
      <w:r>
        <w:rPr>
          <w:rStyle w:val="12"/>
          <w:rFonts w:ascii="Times New Roman" w:hAnsi="Times New Roman" w:cs="Times New Roman"/>
          <w:sz w:val="24"/>
          <w:szCs w:val="24"/>
        </w:rPr>
        <w:t>3.</w:t>
      </w:r>
      <w:r>
        <w:rPr>
          <w:rFonts w:ascii="Times New Roman" w:hAnsi="Times New Roman" w:cs="Times New Roman"/>
          <w:sz w:val="24"/>
          <w:szCs w:val="24"/>
        </w:rPr>
        <w:tab/>
      </w:r>
      <w:r>
        <w:rPr>
          <w:rStyle w:val="12"/>
          <w:rFonts w:ascii="Times New Roman" w:hAnsi="Times New Roman" w:cs="Times New Roman"/>
          <w:sz w:val="24"/>
          <w:szCs w:val="24"/>
        </w:rPr>
        <w:t>Internal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_Toc191158264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E3381DD">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"_Toc191158265" </w:instrText>
      </w:r>
      <w:r>
        <w:fldChar w:fldCharType="separate"/>
      </w:r>
      <w:r>
        <w:rPr>
          <w:rStyle w:val="12"/>
          <w:rFonts w:ascii="Times New Roman" w:hAnsi="Times New Roman" w:cs="Times New Roman"/>
          <w:sz w:val="24"/>
          <w:szCs w:val="24"/>
        </w:rPr>
        <w:t>3.1</w:t>
      </w:r>
      <w:r>
        <w:rPr>
          <w:rFonts w:ascii="Times New Roman" w:hAnsi="Times New Roman" w:cs="Times New Roman"/>
          <w:sz w:val="24"/>
          <w:szCs w:val="24"/>
        </w:rPr>
        <w:tab/>
      </w:r>
      <w:r>
        <w:rPr>
          <w:rStyle w:val="12"/>
          <w:rFonts w:ascii="Times New Roman" w:hAnsi="Times New Roman" w:cs="Times New Roman"/>
          <w:sz w:val="24"/>
          <w:szCs w:val="24"/>
        </w:rPr>
        <w:t>Resource-Based View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_Toc191158265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909FBDD">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"_Toc191158266" </w:instrText>
      </w:r>
      <w:r>
        <w:fldChar w:fldCharType="separate"/>
      </w:r>
      <w:r>
        <w:rPr>
          <w:rStyle w:val="12"/>
          <w:rFonts w:ascii="Times New Roman" w:hAnsi="Times New Roman" w:cs="Times New Roman"/>
          <w:sz w:val="24"/>
          <w:szCs w:val="24"/>
        </w:rPr>
        <w:t>3.2</w:t>
      </w:r>
      <w:r>
        <w:rPr>
          <w:rFonts w:ascii="Times New Roman" w:hAnsi="Times New Roman" w:cs="Times New Roman"/>
          <w:sz w:val="24"/>
          <w:szCs w:val="24"/>
        </w:rPr>
        <w:tab/>
      </w:r>
      <w:r>
        <w:rPr>
          <w:rStyle w:val="12"/>
          <w:rFonts w:ascii="Times New Roman" w:hAnsi="Times New Roman" w:cs="Times New Roman"/>
          <w:sz w:val="24"/>
          <w:szCs w:val="24"/>
        </w:rPr>
        <w:t>Value Chain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_Toc191158266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F101B70">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"_Toc191158267" </w:instrText>
      </w:r>
      <w:r>
        <w:fldChar w:fldCharType="separate"/>
      </w:r>
      <w:r>
        <w:rPr>
          <w:rStyle w:val="12"/>
          <w:rFonts w:ascii="Times New Roman" w:hAnsi="Times New Roman" w:cs="Times New Roman"/>
          <w:sz w:val="24"/>
          <w:szCs w:val="24"/>
        </w:rPr>
        <w:t>3.3</w:t>
      </w:r>
      <w:r>
        <w:rPr>
          <w:rFonts w:ascii="Times New Roman" w:hAnsi="Times New Roman" w:cs="Times New Roman"/>
          <w:sz w:val="24"/>
          <w:szCs w:val="24"/>
        </w:rPr>
        <w:tab/>
      </w:r>
      <w:r>
        <w:rPr>
          <w:rStyle w:val="12"/>
          <w:rFonts w:ascii="Times New Roman" w:hAnsi="Times New Roman" w:cs="Times New Roman"/>
          <w:sz w:val="24"/>
          <w:szCs w:val="24"/>
        </w:rPr>
        <w:t>SWOT/TOWS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_Toc191158267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7F95C79">
      <w:pPr>
        <w:pStyle w:val="5"/>
        <w:tabs>
          <w:tab w:val="left" w:pos="42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"_Toc191158268" </w:instrText>
      </w:r>
      <w:r>
        <w:fldChar w:fldCharType="separate"/>
      </w:r>
      <w:r>
        <w:rPr>
          <w:rStyle w:val="12"/>
          <w:rFonts w:ascii="Times New Roman" w:hAnsi="Times New Roman" w:cs="Times New Roman"/>
          <w:sz w:val="24"/>
          <w:szCs w:val="24"/>
        </w:rPr>
        <w:t>4.</w:t>
      </w:r>
      <w:r>
        <w:rPr>
          <w:rFonts w:ascii="Times New Roman" w:hAnsi="Times New Roman" w:cs="Times New Roman"/>
          <w:sz w:val="24"/>
          <w:szCs w:val="24"/>
        </w:rPr>
        <w:tab/>
      </w:r>
      <w:r>
        <w:rPr>
          <w:rStyle w:val="12"/>
          <w:rFonts w:ascii="Times New Roman" w:hAnsi="Times New Roman" w:cs="Times New Roman"/>
          <w:sz w:val="24"/>
          <w:szCs w:val="24"/>
        </w:rPr>
        <w:t>Strategy Formulation &amp; Competitive Positioning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_Toc191158268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45D5E0E">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"_Toc191158269" </w:instrText>
      </w:r>
      <w:r>
        <w:fldChar w:fldCharType="separate"/>
      </w:r>
      <w:r>
        <w:rPr>
          <w:rStyle w:val="12"/>
          <w:rFonts w:ascii="Times New Roman" w:hAnsi="Times New Roman" w:cs="Times New Roman"/>
          <w:sz w:val="24"/>
          <w:szCs w:val="24"/>
        </w:rPr>
        <w:t>4.1</w:t>
      </w:r>
      <w:r>
        <w:rPr>
          <w:rFonts w:ascii="Times New Roman" w:hAnsi="Times New Roman" w:cs="Times New Roman"/>
          <w:sz w:val="24"/>
          <w:szCs w:val="24"/>
        </w:rPr>
        <w:tab/>
      </w:r>
      <w:r>
        <w:rPr>
          <w:rStyle w:val="12"/>
          <w:rFonts w:ascii="Times New Roman" w:hAnsi="Times New Roman" w:cs="Times New Roman"/>
          <w:sz w:val="24"/>
          <w:szCs w:val="24"/>
        </w:rPr>
        <w:t>Poter’s Generic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_Toc191158269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CEE1F98">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"_Toc191158270" </w:instrText>
      </w:r>
      <w:r>
        <w:fldChar w:fldCharType="separate"/>
      </w:r>
      <w:r>
        <w:rPr>
          <w:rStyle w:val="12"/>
          <w:rFonts w:ascii="Times New Roman" w:hAnsi="Times New Roman" w:cs="Times New Roman"/>
          <w:sz w:val="24"/>
          <w:szCs w:val="24"/>
        </w:rPr>
        <w:t>4.2</w:t>
      </w:r>
      <w:r>
        <w:rPr>
          <w:rFonts w:ascii="Times New Roman" w:hAnsi="Times New Roman" w:cs="Times New Roman"/>
          <w:sz w:val="24"/>
          <w:szCs w:val="24"/>
        </w:rPr>
        <w:tab/>
      </w:r>
      <w:r>
        <w:rPr>
          <w:rStyle w:val="12"/>
          <w:rFonts w:ascii="Times New Roman" w:hAnsi="Times New Roman" w:cs="Times New Roman"/>
          <w:sz w:val="24"/>
          <w:szCs w:val="24"/>
        </w:rPr>
        <w:t>Ansoff’s Matrix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_Toc191158270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63EE242">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"_Toc191158271" </w:instrText>
      </w:r>
      <w:r>
        <w:fldChar w:fldCharType="separate"/>
      </w:r>
      <w:r>
        <w:rPr>
          <w:rStyle w:val="12"/>
          <w:rFonts w:ascii="Times New Roman" w:hAnsi="Times New Roman" w:cs="Times New Roman"/>
          <w:sz w:val="24"/>
          <w:szCs w:val="24"/>
        </w:rPr>
        <w:t>4.3</w:t>
      </w:r>
      <w:r>
        <w:rPr>
          <w:rFonts w:ascii="Times New Roman" w:hAnsi="Times New Roman" w:cs="Times New Roman"/>
          <w:sz w:val="24"/>
          <w:szCs w:val="24"/>
        </w:rPr>
        <w:tab/>
      </w:r>
      <w:r>
        <w:rPr>
          <w:rStyle w:val="12"/>
          <w:rFonts w:ascii="Times New Roman" w:hAnsi="Times New Roman" w:cs="Times New Roman"/>
          <w:sz w:val="24"/>
          <w:szCs w:val="24"/>
        </w:rPr>
        <w:t>Mergers &amp; Acquisitions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_Toc191158271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57AE83A">
      <w:pPr>
        <w:pStyle w:val="5"/>
        <w:tabs>
          <w:tab w:val="left" w:pos="42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"_Toc191158272" </w:instrText>
      </w:r>
      <w:r>
        <w:fldChar w:fldCharType="separate"/>
      </w:r>
      <w:r>
        <w:rPr>
          <w:rStyle w:val="12"/>
          <w:rFonts w:ascii="Times New Roman" w:hAnsi="Times New Roman" w:cs="Times New Roman"/>
          <w:sz w:val="24"/>
          <w:szCs w:val="24"/>
        </w:rPr>
        <w:t>5.</w:t>
      </w:r>
      <w:r>
        <w:rPr>
          <w:rFonts w:ascii="Times New Roman" w:hAnsi="Times New Roman" w:cs="Times New Roman"/>
          <w:sz w:val="24"/>
          <w:szCs w:val="24"/>
        </w:rPr>
        <w:tab/>
      </w:r>
      <w:r>
        <w:rPr>
          <w:rStyle w:val="12"/>
          <w:rFonts w:ascii="Times New Roman" w:hAnsi="Times New Roman" w:cs="Times New Roman"/>
          <w:sz w:val="24"/>
          <w:szCs w:val="24"/>
        </w:rPr>
        <w:t>Sustainability &amp; Strategic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_Toc191158272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72BC247">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"_Toc191158273" </w:instrText>
      </w:r>
      <w:r>
        <w:fldChar w:fldCharType="separate"/>
      </w:r>
      <w:r>
        <w:rPr>
          <w:rStyle w:val="12"/>
          <w:rFonts w:ascii="Times New Roman" w:hAnsi="Times New Roman" w:cs="Times New Roman"/>
          <w:sz w:val="24"/>
          <w:szCs w:val="24"/>
        </w:rPr>
        <w:t>5.1</w:t>
      </w:r>
      <w:r>
        <w:rPr>
          <w:rFonts w:ascii="Times New Roman" w:hAnsi="Times New Roman" w:cs="Times New Roman"/>
          <w:sz w:val="24"/>
          <w:szCs w:val="24"/>
        </w:rPr>
        <w:tab/>
      </w:r>
      <w:r>
        <w:rPr>
          <w:rStyle w:val="12"/>
          <w:rFonts w:ascii="Times New Roman" w:hAnsi="Times New Roman" w:cs="Times New Roman"/>
          <w:sz w:val="24"/>
          <w:szCs w:val="24"/>
        </w:rPr>
        <w:t>Sustainability Initiatives and Strategic Implications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_Toc191158273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4C8E307">
      <w:pPr>
        <w:pStyle w:val="7"/>
        <w:tabs>
          <w:tab w:val="left" w:pos="110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"_Toc191158274" </w:instrText>
      </w:r>
      <w:r>
        <w:fldChar w:fldCharType="separate"/>
      </w:r>
      <w:r>
        <w:rPr>
          <w:rStyle w:val="12"/>
          <w:rFonts w:ascii="Times New Roman" w:hAnsi="Times New Roman" w:cs="Times New Roman"/>
          <w:sz w:val="24"/>
          <w:szCs w:val="24"/>
        </w:rPr>
        <w:t>5.2</w:t>
      </w:r>
      <w:r>
        <w:rPr>
          <w:rFonts w:ascii="Times New Roman" w:hAnsi="Times New Roman" w:cs="Times New Roman"/>
          <w:sz w:val="24"/>
          <w:szCs w:val="24"/>
        </w:rPr>
        <w:tab/>
      </w:r>
      <w:r>
        <w:rPr>
          <w:rStyle w:val="12"/>
          <w:rFonts w:ascii="Times New Roman" w:hAnsi="Times New Roman" w:cs="Times New Roman"/>
          <w:sz w:val="24"/>
          <w:szCs w:val="24"/>
        </w:rPr>
        <w:t>Recommendations for Improving Strategic Positioning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_Toc191158274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9BA5717">
      <w:pPr>
        <w:pStyle w:val="5"/>
        <w:tabs>
          <w:tab w:val="left" w:pos="420"/>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"_Toc191158275" </w:instrText>
      </w:r>
      <w:r>
        <w:fldChar w:fldCharType="separate"/>
      </w:r>
      <w:r>
        <w:rPr>
          <w:rStyle w:val="12"/>
          <w:rFonts w:ascii="Times New Roman" w:hAnsi="Times New Roman" w:cs="Times New Roman"/>
          <w:sz w:val="24"/>
          <w:szCs w:val="24"/>
        </w:rPr>
        <w:t>6.</w:t>
      </w:r>
      <w:r>
        <w:rPr>
          <w:rFonts w:ascii="Times New Roman" w:hAnsi="Times New Roman" w:cs="Times New Roman"/>
          <w:sz w:val="24"/>
          <w:szCs w:val="24"/>
        </w:rPr>
        <w:tab/>
      </w:r>
      <w:r>
        <w:rPr>
          <w:rStyle w:val="12"/>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_Toc191158275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CABD523">
      <w:pPr>
        <w:pStyle w:val="5"/>
        <w:tabs>
          <w:tab w:val="right" w:leader="dot" w:pos="8296"/>
        </w:tabs>
        <w:spacing w:after="156" w:afterLines="50" w:line="360" w:lineRule="auto"/>
        <w:rPr>
          <w:rFonts w:ascii="Times New Roman" w:hAnsi="Times New Roman" w:cs="Times New Roman"/>
          <w:sz w:val="24"/>
          <w:szCs w:val="24"/>
        </w:rPr>
      </w:pPr>
      <w:r>
        <w:fldChar w:fldCharType="begin"/>
      </w:r>
      <w:r>
        <w:instrText xml:space="preserve"> HYPERLINK \l "_Toc191158276" </w:instrText>
      </w:r>
      <w:r>
        <w:fldChar w:fldCharType="separate"/>
      </w:r>
      <w:r>
        <w:rPr>
          <w:rStyle w:val="12"/>
          <w:rFonts w:ascii="Times New Roman" w:hAnsi="Times New Roman" w:cs="Times New Roman"/>
          <w:sz w:val="24"/>
          <w:szCs w:val="24"/>
        </w:rPr>
        <w:t>Reference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_Toc191158276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71C7A01">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fldChar w:fldCharType="end"/>
      </w:r>
    </w:p>
    <w:p w14:paraId="4475CA1A">
      <w:pPr>
        <w:spacing w:after="156" w:afterLines="50" w:line="360" w:lineRule="auto"/>
        <w:rPr>
          <w:rFonts w:ascii="Times New Roman" w:hAnsi="Times New Roman" w:cs="Times New Roman"/>
          <w:sz w:val="24"/>
          <w:szCs w:val="24"/>
        </w:rPr>
      </w:pPr>
    </w:p>
    <w:p w14:paraId="6B77265D">
      <w:pPr>
        <w:spacing w:line="360" w:lineRule="auto"/>
        <w:rPr>
          <w:rFonts w:ascii="Times New Roman" w:hAnsi="Times New Roman" w:cs="Times New Roman"/>
          <w:sz w:val="24"/>
          <w:szCs w:val="24"/>
        </w:rPr>
      </w:pPr>
    </w:p>
    <w:p w14:paraId="49E18D29">
      <w:pPr>
        <w:pStyle w:val="2"/>
        <w:spacing w:after="156" w:afterLines="50" w:line="360" w:lineRule="auto"/>
        <w:jc w:val="center"/>
        <w:rPr>
          <w:rFonts w:ascii="Times New Roman" w:hAnsi="Times New Roman" w:cs="Times New Roman"/>
          <w:b/>
          <w:bCs/>
          <w:color w:val="auto"/>
          <w:sz w:val="24"/>
          <w:szCs w:val="24"/>
        </w:rPr>
      </w:pPr>
      <w:bookmarkStart w:id="2" w:name="_Toc191158258"/>
      <w:r>
        <w:rPr>
          <w:rFonts w:ascii="Times New Roman" w:hAnsi="Times New Roman" w:cs="Times New Roman"/>
          <w:b/>
          <w:bCs/>
          <w:color w:val="auto"/>
          <w:sz w:val="24"/>
          <w:szCs w:val="24"/>
        </w:rPr>
        <w:t>Executive Summary</w:t>
      </w:r>
      <w:bookmarkEnd w:id="2"/>
    </w:p>
    <w:p w14:paraId="6CF1303D">
      <w:pPr>
        <w:spacing w:after="156" w:afterLines="50" w:line="360" w:lineRule="auto"/>
        <w:rPr>
          <w:rFonts w:ascii="Times New Roman" w:hAnsi="Times New Roman" w:cs="Times New Roman"/>
          <w:sz w:val="24"/>
          <w:szCs w:val="24"/>
        </w:rPr>
      </w:pPr>
      <w:r>
        <w:rPr>
          <w:rFonts w:hint="eastAsia" w:ascii="Times New Roman" w:hAnsi="Times New Roman" w:cs="Times New Roman"/>
          <w:sz w:val="24"/>
          <w:szCs w:val="24"/>
        </w:rPr>
        <w:t>This report offers a strategic position analysis of Tesla, Inc.  It examines Tesla</w:t>
      </w:r>
      <w:r>
        <w:rPr>
          <w:rFonts w:ascii="Times New Roman" w:hAnsi="Times New Roman" w:cs="Times New Roman"/>
          <w:sz w:val="24"/>
          <w:szCs w:val="24"/>
        </w:rPr>
        <w:t>’</w:t>
      </w:r>
      <w:r>
        <w:rPr>
          <w:rFonts w:hint="eastAsia" w:ascii="Times New Roman" w:hAnsi="Times New Roman" w:cs="Times New Roman"/>
          <w:sz w:val="24"/>
          <w:szCs w:val="24"/>
        </w:rPr>
        <w:t>s external and internal environments using frameworks like PESTEL, Porter</w:t>
      </w:r>
      <w:r>
        <w:rPr>
          <w:rFonts w:ascii="Times New Roman" w:hAnsi="Times New Roman" w:cs="Times New Roman"/>
          <w:sz w:val="24"/>
          <w:szCs w:val="24"/>
        </w:rPr>
        <w:t>’</w:t>
      </w:r>
      <w:r>
        <w:rPr>
          <w:rFonts w:hint="eastAsia" w:ascii="Times New Roman" w:hAnsi="Times New Roman" w:cs="Times New Roman"/>
          <w:sz w:val="24"/>
          <w:szCs w:val="24"/>
        </w:rPr>
        <w:t>s Five Forces, SWOT/TOWS analysis, etc. Key challenges include raw material price fluctuations, interest rate volatility, intense competition, and capacity expansion issues. Tesla</w:t>
      </w:r>
      <w:r>
        <w:rPr>
          <w:rFonts w:ascii="Times New Roman" w:hAnsi="Times New Roman" w:cs="Times New Roman"/>
          <w:sz w:val="24"/>
          <w:szCs w:val="24"/>
        </w:rPr>
        <w:t>’</w:t>
      </w:r>
      <w:r>
        <w:rPr>
          <w:rFonts w:hint="eastAsia" w:ascii="Times New Roman" w:hAnsi="Times New Roman" w:cs="Times New Roman"/>
          <w:sz w:val="24"/>
          <w:szCs w:val="24"/>
        </w:rPr>
        <w:t xml:space="preserve">s competitive strategies, such as differentiation leadership and cost leadership, are highlighted, along with its focus on sustainability through renewable energy and sustainable manufacturing. Recommendations include improving supply chain transparency, promoting a circular economy, and addressing ethical concerns in autonomous driving.  </w:t>
      </w:r>
    </w:p>
    <w:p w14:paraId="7BD485E6">
      <w:pPr>
        <w:spacing w:after="156" w:afterLines="50" w:line="360" w:lineRule="auto"/>
        <w:rPr>
          <w:rFonts w:ascii="Times New Roman" w:hAnsi="Times New Roman" w:cs="Times New Roman"/>
          <w:sz w:val="24"/>
          <w:szCs w:val="24"/>
        </w:rPr>
      </w:pPr>
    </w:p>
    <w:p w14:paraId="2321BE92">
      <w:pPr>
        <w:spacing w:line="360" w:lineRule="auto"/>
        <w:rPr>
          <w:rFonts w:ascii="Times New Roman" w:hAnsi="Times New Roman" w:cs="Times New Roman"/>
          <w:sz w:val="24"/>
          <w:szCs w:val="24"/>
        </w:rPr>
      </w:pPr>
    </w:p>
    <w:p w14:paraId="60989DCF">
      <w:pPr>
        <w:spacing w:line="360" w:lineRule="auto"/>
        <w:rPr>
          <w:rFonts w:ascii="Times New Roman" w:hAnsi="Times New Roman" w:cs="Times New Roman"/>
          <w:sz w:val="24"/>
          <w:szCs w:val="24"/>
        </w:rPr>
      </w:pPr>
    </w:p>
    <w:p w14:paraId="59EB05EF">
      <w:pPr>
        <w:spacing w:line="360" w:lineRule="auto"/>
        <w:rPr>
          <w:rFonts w:ascii="Times New Roman" w:hAnsi="Times New Roman" w:cs="Times New Roman"/>
          <w:sz w:val="24"/>
          <w:szCs w:val="24"/>
        </w:rPr>
      </w:pPr>
    </w:p>
    <w:p w14:paraId="284F85B5">
      <w:pPr>
        <w:spacing w:line="360" w:lineRule="auto"/>
        <w:rPr>
          <w:rFonts w:ascii="Times New Roman" w:hAnsi="Times New Roman" w:cs="Times New Roman"/>
          <w:sz w:val="24"/>
          <w:szCs w:val="24"/>
        </w:rPr>
      </w:pPr>
    </w:p>
    <w:p w14:paraId="0DC9291A">
      <w:pPr>
        <w:spacing w:line="360" w:lineRule="auto"/>
        <w:rPr>
          <w:rFonts w:ascii="Times New Roman" w:hAnsi="Times New Roman" w:cs="Times New Roman"/>
          <w:sz w:val="24"/>
          <w:szCs w:val="24"/>
        </w:rPr>
      </w:pPr>
    </w:p>
    <w:p w14:paraId="793A94B2">
      <w:pPr>
        <w:spacing w:line="360" w:lineRule="auto"/>
        <w:rPr>
          <w:rFonts w:ascii="Times New Roman" w:hAnsi="Times New Roman" w:cs="Times New Roman"/>
          <w:sz w:val="24"/>
          <w:szCs w:val="24"/>
        </w:rPr>
      </w:pPr>
    </w:p>
    <w:p w14:paraId="57677117">
      <w:pPr>
        <w:spacing w:line="360" w:lineRule="auto"/>
        <w:rPr>
          <w:rFonts w:ascii="Times New Roman" w:hAnsi="Times New Roman" w:cs="Times New Roman"/>
          <w:sz w:val="24"/>
          <w:szCs w:val="24"/>
        </w:rPr>
      </w:pPr>
    </w:p>
    <w:p w14:paraId="366A6615">
      <w:pPr>
        <w:spacing w:line="360" w:lineRule="auto"/>
        <w:rPr>
          <w:rFonts w:ascii="Times New Roman" w:hAnsi="Times New Roman" w:cs="Times New Roman"/>
          <w:sz w:val="24"/>
          <w:szCs w:val="24"/>
        </w:rPr>
      </w:pPr>
    </w:p>
    <w:p w14:paraId="2ADB0E98">
      <w:pPr>
        <w:spacing w:line="360" w:lineRule="auto"/>
        <w:rPr>
          <w:rFonts w:ascii="Times New Roman" w:hAnsi="Times New Roman" w:cs="Times New Roman"/>
          <w:sz w:val="24"/>
          <w:szCs w:val="24"/>
        </w:rPr>
      </w:pPr>
    </w:p>
    <w:p w14:paraId="30CBA454">
      <w:pPr>
        <w:spacing w:line="360" w:lineRule="auto"/>
        <w:rPr>
          <w:rFonts w:ascii="Times New Roman" w:hAnsi="Times New Roman" w:cs="Times New Roman"/>
          <w:sz w:val="24"/>
          <w:szCs w:val="24"/>
        </w:rPr>
      </w:pPr>
    </w:p>
    <w:p w14:paraId="0F6BEC75">
      <w:pPr>
        <w:spacing w:line="360" w:lineRule="auto"/>
        <w:rPr>
          <w:rFonts w:ascii="Times New Roman" w:hAnsi="Times New Roman" w:cs="Times New Roman"/>
          <w:sz w:val="24"/>
          <w:szCs w:val="24"/>
        </w:rPr>
      </w:pPr>
    </w:p>
    <w:p w14:paraId="3A5AF1FC">
      <w:pPr>
        <w:spacing w:line="360" w:lineRule="auto"/>
        <w:rPr>
          <w:rFonts w:ascii="Times New Roman" w:hAnsi="Times New Roman" w:cs="Times New Roman"/>
          <w:sz w:val="24"/>
          <w:szCs w:val="24"/>
        </w:rPr>
      </w:pPr>
    </w:p>
    <w:p w14:paraId="4E023433">
      <w:pPr>
        <w:spacing w:line="360" w:lineRule="auto"/>
        <w:rPr>
          <w:rFonts w:ascii="Times New Roman" w:hAnsi="Times New Roman" w:cs="Times New Roman"/>
          <w:sz w:val="24"/>
          <w:szCs w:val="24"/>
        </w:rPr>
      </w:pPr>
    </w:p>
    <w:p w14:paraId="459978B2">
      <w:pPr>
        <w:spacing w:line="360" w:lineRule="auto"/>
        <w:rPr>
          <w:rFonts w:ascii="Times New Roman" w:hAnsi="Times New Roman" w:cs="Times New Roman"/>
          <w:sz w:val="24"/>
          <w:szCs w:val="24"/>
        </w:rPr>
      </w:pPr>
    </w:p>
    <w:p w14:paraId="2BB81B48">
      <w:pPr>
        <w:spacing w:line="360" w:lineRule="auto"/>
        <w:rPr>
          <w:rFonts w:ascii="Times New Roman" w:hAnsi="Times New Roman" w:cs="Times New Roman"/>
          <w:sz w:val="24"/>
          <w:szCs w:val="24"/>
        </w:rPr>
      </w:pPr>
    </w:p>
    <w:p w14:paraId="50FB7218">
      <w:pPr>
        <w:spacing w:line="360" w:lineRule="auto"/>
        <w:rPr>
          <w:rFonts w:ascii="Times New Roman" w:hAnsi="Times New Roman" w:cs="Times New Roman"/>
          <w:sz w:val="24"/>
          <w:szCs w:val="24"/>
        </w:rPr>
      </w:pPr>
    </w:p>
    <w:p w14:paraId="2B1C2367">
      <w:pPr>
        <w:spacing w:after="156" w:afterLines="50" w:line="360" w:lineRule="auto"/>
        <w:rPr>
          <w:rFonts w:ascii="Times New Roman" w:hAnsi="Times New Roman" w:cs="Times New Roman"/>
          <w:sz w:val="24"/>
          <w:szCs w:val="24"/>
        </w:rPr>
      </w:pPr>
    </w:p>
    <w:p w14:paraId="7186F025">
      <w:pPr>
        <w:pStyle w:val="13"/>
        <w:numPr>
          <w:ilvl w:val="0"/>
          <w:numId w:val="1"/>
        </w:numPr>
        <w:spacing w:after="156" w:afterLines="50" w:line="360" w:lineRule="auto"/>
        <w:outlineLvl w:val="0"/>
        <w:rPr>
          <w:rFonts w:ascii="Times New Roman" w:hAnsi="Times New Roman" w:cs="Times New Roman"/>
          <w:b/>
          <w:bCs/>
          <w:sz w:val="24"/>
          <w:szCs w:val="24"/>
        </w:rPr>
      </w:pPr>
      <w:bookmarkStart w:id="3" w:name="_Toc191158259"/>
      <w:r>
        <w:rPr>
          <w:rFonts w:ascii="Times New Roman" w:hAnsi="Times New Roman" w:cs="Times New Roman"/>
          <w:b/>
          <w:bCs/>
          <w:sz w:val="24"/>
          <w:szCs w:val="24"/>
        </w:rPr>
        <w:t>Introduction</w:t>
      </w:r>
      <w:bookmarkEnd w:id="3"/>
    </w:p>
    <w:p w14:paraId="60B7B174">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Founded in 2003, Tesla is dedicated to designing, developing, manufacturing, selling, and leasing high-performance all-electric vehicles and energy generation and storage systems (Tesla, Inc., 2024). In 2023, it ranked among the 15 most valuable brands in all industries and has been at the top of the list of best-selling electric vehicle brands for many years (Carlier, 2024).</w:t>
      </w:r>
    </w:p>
    <w:p w14:paraId="021F8C48">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From the strategic analysis perspective, Tesla is in the rapidly changing automotive industry, facing a complex economic environment and fierce competition. </w:t>
      </w:r>
    </w:p>
    <w:p w14:paraId="0F55512B">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The key economic challenges Tesla is currently facing include: 1) fluctuations in raw material prices, and 2) fluctuations in interest rates. Electric vehicle production is highly dependent on raw materials such as lithium and cobalt, and the prices of these raw materials fluctuate due to global supply and demand, geopolitical factors, and other factors (International Energy Agency, 2024). Besides, the rise and fall of interest rates in the macro-economy directly affect consumers’ car purchase costs, so interest rate fluctuations will directly impact Tesla’s sales performance.</w:t>
      </w:r>
    </w:p>
    <w:p w14:paraId="57179C23">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From the perspective of strategic challenges, key challenges include: 1) intensified competition and 2) capacity expansion problems. The new energy vehicle market is booming, and many traditional and emerging car companies have poured in, eroding Tesla’s market share (Carlier, 2024). Besides, the expansion of production capacity requires land acquisition, supporting supply chain deployment, personnel recruitment and training, and many other issues. All these factors restrict the speed of capacity expansion.</w:t>
      </w:r>
    </w:p>
    <w:p w14:paraId="4A9046D1">
      <w:pPr>
        <w:spacing w:after="156" w:afterLines="50" w:line="360" w:lineRule="auto"/>
        <w:rPr>
          <w:rFonts w:ascii="Times New Roman" w:hAnsi="Times New Roman" w:cs="Times New Roman"/>
          <w:sz w:val="24"/>
          <w:szCs w:val="24"/>
        </w:rPr>
      </w:pPr>
    </w:p>
    <w:p w14:paraId="449BC179">
      <w:pPr>
        <w:spacing w:after="156" w:afterLines="50" w:line="360" w:lineRule="auto"/>
        <w:rPr>
          <w:rFonts w:ascii="Times New Roman" w:hAnsi="Times New Roman" w:cs="Times New Roman"/>
          <w:sz w:val="24"/>
          <w:szCs w:val="24"/>
        </w:rPr>
      </w:pPr>
    </w:p>
    <w:p w14:paraId="73545034">
      <w:pPr>
        <w:spacing w:after="156" w:afterLines="50" w:line="360" w:lineRule="auto"/>
        <w:rPr>
          <w:rFonts w:ascii="Times New Roman" w:hAnsi="Times New Roman" w:cs="Times New Roman"/>
          <w:sz w:val="24"/>
          <w:szCs w:val="24"/>
        </w:rPr>
      </w:pPr>
    </w:p>
    <w:p w14:paraId="19CFAA94">
      <w:pPr>
        <w:spacing w:after="156" w:afterLines="50" w:line="360" w:lineRule="auto"/>
        <w:rPr>
          <w:rFonts w:ascii="Times New Roman" w:hAnsi="Times New Roman" w:cs="Times New Roman"/>
          <w:sz w:val="24"/>
          <w:szCs w:val="24"/>
        </w:rPr>
      </w:pPr>
    </w:p>
    <w:p w14:paraId="1DEA1A08">
      <w:pPr>
        <w:spacing w:after="156" w:afterLines="50" w:line="360" w:lineRule="auto"/>
        <w:rPr>
          <w:rFonts w:ascii="Times New Roman" w:hAnsi="Times New Roman" w:cs="Times New Roman"/>
          <w:sz w:val="24"/>
          <w:szCs w:val="24"/>
        </w:rPr>
      </w:pPr>
    </w:p>
    <w:p w14:paraId="3FCDE06D">
      <w:pPr>
        <w:pStyle w:val="13"/>
        <w:numPr>
          <w:ilvl w:val="0"/>
          <w:numId w:val="1"/>
        </w:numPr>
        <w:spacing w:after="156" w:afterLines="50" w:line="360" w:lineRule="auto"/>
        <w:outlineLvl w:val="0"/>
        <w:rPr>
          <w:rFonts w:ascii="Times New Roman" w:hAnsi="Times New Roman" w:cs="Times New Roman"/>
          <w:b/>
          <w:bCs/>
          <w:sz w:val="24"/>
          <w:szCs w:val="24"/>
        </w:rPr>
      </w:pPr>
      <w:bookmarkStart w:id="4" w:name="_Toc191158260"/>
      <w:r>
        <w:rPr>
          <w:rFonts w:ascii="Times New Roman" w:hAnsi="Times New Roman" w:cs="Times New Roman"/>
          <w:b/>
          <w:bCs/>
          <w:sz w:val="24"/>
          <w:szCs w:val="24"/>
        </w:rPr>
        <w:t>External Analysis</w:t>
      </w:r>
      <w:bookmarkEnd w:id="4"/>
    </w:p>
    <w:p w14:paraId="58279D26">
      <w:pPr>
        <w:pStyle w:val="13"/>
        <w:numPr>
          <w:ilvl w:val="1"/>
          <w:numId w:val="1"/>
        </w:numPr>
        <w:spacing w:after="156" w:afterLines="50" w:line="360" w:lineRule="auto"/>
        <w:outlineLvl w:val="1"/>
        <w:rPr>
          <w:rFonts w:ascii="Times New Roman" w:hAnsi="Times New Roman" w:cs="Times New Roman"/>
          <w:b/>
          <w:bCs/>
          <w:sz w:val="24"/>
          <w:szCs w:val="24"/>
        </w:rPr>
      </w:pPr>
      <w:bookmarkStart w:id="5" w:name="_Toc191158261"/>
      <w:r>
        <w:rPr>
          <w:rFonts w:ascii="Times New Roman" w:hAnsi="Times New Roman" w:cs="Times New Roman"/>
          <w:b/>
          <w:bCs/>
          <w:sz w:val="24"/>
          <w:szCs w:val="24"/>
        </w:rPr>
        <w:t>PESTEL Analysis</w:t>
      </w:r>
      <w:bookmarkEnd w:id="5"/>
      <w:bookmarkStart w:id="6" w:name="_Hlk191023164"/>
    </w:p>
    <w:bookmarkEnd w:id="6"/>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09"/>
        <w:gridCol w:w="6713"/>
      </w:tblGrid>
      <w:tr w14:paraId="4BDFDD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9" w:type="dxa"/>
            <w:shd w:val="clear" w:color="auto" w:fill="EAEDF1" w:themeFill="text2" w:themeFillTint="1A"/>
          </w:tcPr>
          <w:p w14:paraId="02C495B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6713" w:type="dxa"/>
            <w:shd w:val="clear" w:color="auto" w:fill="EAEDF1" w:themeFill="text2" w:themeFillTint="1A"/>
          </w:tcPr>
          <w:p w14:paraId="4AAF8DC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Contents</w:t>
            </w:r>
          </w:p>
        </w:tc>
      </w:tr>
      <w:tr w14:paraId="6BB162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9" w:type="dxa"/>
          </w:tcPr>
          <w:p w14:paraId="665084AA">
            <w:pPr>
              <w:spacing w:line="360" w:lineRule="auto"/>
              <w:rPr>
                <w:rFonts w:ascii="Times New Roman" w:hAnsi="Times New Roman" w:cs="Times New Roman"/>
                <w:sz w:val="24"/>
                <w:szCs w:val="24"/>
              </w:rPr>
            </w:pPr>
            <w:r>
              <w:rPr>
                <w:rFonts w:ascii="Times New Roman" w:hAnsi="Times New Roman" w:cs="Times New Roman"/>
                <w:sz w:val="24"/>
                <w:szCs w:val="24"/>
              </w:rPr>
              <w:t>Political</w:t>
            </w:r>
          </w:p>
        </w:tc>
        <w:tc>
          <w:tcPr>
            <w:tcW w:w="6713" w:type="dxa"/>
          </w:tcPr>
          <w:p w14:paraId="39FE4BDE">
            <w:pPr>
              <w:spacing w:line="360" w:lineRule="auto"/>
              <w:rPr>
                <w:rFonts w:ascii="Times New Roman" w:hAnsi="Times New Roman" w:cs="Times New Roman"/>
                <w:sz w:val="24"/>
                <w:szCs w:val="24"/>
              </w:rPr>
            </w:pPr>
            <w:r>
              <w:rPr>
                <w:rFonts w:ascii="Times New Roman" w:hAnsi="Times New Roman" w:cs="Times New Roman"/>
                <w:sz w:val="24"/>
                <w:szCs w:val="24"/>
              </w:rPr>
              <w:t>Governments around the world are continuously increasing their policy support for the new energy vehicle industry (which is beneficial to Tesla’s development) (International Energy Agency, 2021). Changes in trade policies and tariffs also affect Tesla’s global supply chain layout and overseas market expansion.</w:t>
            </w:r>
          </w:p>
        </w:tc>
      </w:tr>
      <w:tr w14:paraId="593105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9" w:type="dxa"/>
          </w:tcPr>
          <w:p w14:paraId="0F2B4CC6">
            <w:pPr>
              <w:spacing w:line="360" w:lineRule="auto"/>
              <w:rPr>
                <w:rFonts w:ascii="Times New Roman" w:hAnsi="Times New Roman" w:cs="Times New Roman"/>
                <w:sz w:val="24"/>
                <w:szCs w:val="24"/>
              </w:rPr>
            </w:pPr>
            <w:r>
              <w:rPr>
                <w:rFonts w:ascii="Times New Roman" w:hAnsi="Times New Roman" w:cs="Times New Roman"/>
                <w:sz w:val="24"/>
                <w:szCs w:val="24"/>
              </w:rPr>
              <w:t>Economic</w:t>
            </w:r>
          </w:p>
        </w:tc>
        <w:tc>
          <w:tcPr>
            <w:tcW w:w="6713" w:type="dxa"/>
          </w:tcPr>
          <w:p w14:paraId="0B2D054D">
            <w:pPr>
              <w:spacing w:line="360" w:lineRule="auto"/>
              <w:rPr>
                <w:rFonts w:ascii="Times New Roman" w:hAnsi="Times New Roman" w:cs="Times New Roman"/>
                <w:sz w:val="24"/>
                <w:szCs w:val="24"/>
              </w:rPr>
            </w:pPr>
            <w:r>
              <w:rPr>
                <w:rFonts w:ascii="Times New Roman" w:hAnsi="Times New Roman" w:cs="Times New Roman"/>
                <w:sz w:val="24"/>
                <w:szCs w:val="24"/>
              </w:rPr>
              <w:t>The overall development trend of the global economy will affect consumer purchasing power.</w:t>
            </w:r>
          </w:p>
        </w:tc>
      </w:tr>
      <w:tr w14:paraId="252373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9" w:type="dxa"/>
          </w:tcPr>
          <w:p w14:paraId="48A85319">
            <w:pPr>
              <w:spacing w:line="360" w:lineRule="auto"/>
              <w:rPr>
                <w:rFonts w:ascii="Times New Roman" w:hAnsi="Times New Roman" w:cs="Times New Roman"/>
                <w:sz w:val="24"/>
                <w:szCs w:val="24"/>
              </w:rPr>
            </w:pPr>
            <w:r>
              <w:rPr>
                <w:rFonts w:ascii="Times New Roman" w:hAnsi="Times New Roman" w:cs="Times New Roman"/>
                <w:sz w:val="24"/>
                <w:szCs w:val="24"/>
              </w:rPr>
              <w:t>Social</w:t>
            </w:r>
          </w:p>
        </w:tc>
        <w:tc>
          <w:tcPr>
            <w:tcW w:w="6713" w:type="dxa"/>
          </w:tcPr>
          <w:p w14:paraId="7C88BF65">
            <w:pPr>
              <w:spacing w:line="360" w:lineRule="auto"/>
              <w:rPr>
                <w:rFonts w:ascii="Times New Roman" w:hAnsi="Times New Roman" w:cs="Times New Roman"/>
                <w:sz w:val="24"/>
                <w:szCs w:val="24"/>
              </w:rPr>
            </w:pPr>
            <w:r>
              <w:rPr>
                <w:rFonts w:ascii="Times New Roman" w:hAnsi="Times New Roman" w:cs="Times New Roman"/>
                <w:sz w:val="24"/>
                <w:szCs w:val="24"/>
              </w:rPr>
              <w:t>The improvement in consumers’ environmental awareness and the increase in demand for green travel have promoted the development of new energy vehicles.</w:t>
            </w:r>
          </w:p>
        </w:tc>
      </w:tr>
      <w:tr w14:paraId="249178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9" w:type="dxa"/>
          </w:tcPr>
          <w:p w14:paraId="5C0B9402">
            <w:pPr>
              <w:spacing w:line="360" w:lineRule="auto"/>
              <w:rPr>
                <w:rFonts w:ascii="Times New Roman" w:hAnsi="Times New Roman" w:cs="Times New Roman"/>
                <w:sz w:val="24"/>
                <w:szCs w:val="24"/>
              </w:rPr>
            </w:pPr>
            <w:r>
              <w:rPr>
                <w:rFonts w:ascii="Times New Roman" w:hAnsi="Times New Roman" w:cs="Times New Roman"/>
                <w:sz w:val="24"/>
                <w:szCs w:val="24"/>
              </w:rPr>
              <w:t>Technological</w:t>
            </w:r>
          </w:p>
        </w:tc>
        <w:tc>
          <w:tcPr>
            <w:tcW w:w="6713" w:type="dxa"/>
          </w:tcPr>
          <w:p w14:paraId="433A09A9">
            <w:pPr>
              <w:spacing w:line="360" w:lineRule="auto"/>
              <w:rPr>
                <w:rFonts w:ascii="Times New Roman" w:hAnsi="Times New Roman" w:cs="Times New Roman"/>
                <w:sz w:val="24"/>
                <w:szCs w:val="24"/>
              </w:rPr>
            </w:pPr>
            <w:r>
              <w:rPr>
                <w:rFonts w:ascii="Times New Roman" w:hAnsi="Times New Roman" w:cs="Times New Roman"/>
                <w:sz w:val="24"/>
                <w:szCs w:val="24"/>
              </w:rPr>
              <w:t>The continuous innovation of battery technology has created opportunities for Tesla’s development. However, the improvement in the widespread application of automatic (intelligent) driving technology in many car brands has presented challenges to Tesla (Ren, 2025).</w:t>
            </w:r>
          </w:p>
        </w:tc>
      </w:tr>
      <w:tr w14:paraId="415A48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9" w:type="dxa"/>
          </w:tcPr>
          <w:p w14:paraId="7BCF6E58">
            <w:pPr>
              <w:spacing w:line="360" w:lineRule="auto"/>
              <w:rPr>
                <w:rFonts w:ascii="Times New Roman" w:hAnsi="Times New Roman" w:cs="Times New Roman"/>
                <w:sz w:val="24"/>
                <w:szCs w:val="24"/>
              </w:rPr>
            </w:pPr>
            <w:r>
              <w:rPr>
                <w:rFonts w:ascii="Times New Roman" w:hAnsi="Times New Roman" w:cs="Times New Roman"/>
                <w:sz w:val="24"/>
                <w:szCs w:val="24"/>
              </w:rPr>
              <w:t>Environmental</w:t>
            </w:r>
          </w:p>
        </w:tc>
        <w:tc>
          <w:tcPr>
            <w:tcW w:w="6713" w:type="dxa"/>
          </w:tcPr>
          <w:p w14:paraId="5FC91C94">
            <w:pPr>
              <w:spacing w:line="360" w:lineRule="auto"/>
              <w:rPr>
                <w:rFonts w:ascii="Times New Roman" w:hAnsi="Times New Roman" w:cs="Times New Roman"/>
                <w:sz w:val="24"/>
                <w:szCs w:val="24"/>
              </w:rPr>
            </w:pPr>
            <w:r>
              <w:rPr>
                <w:rFonts w:ascii="Times New Roman" w:hAnsi="Times New Roman" w:cs="Times New Roman"/>
                <w:sz w:val="24"/>
                <w:szCs w:val="24"/>
              </w:rPr>
              <w:t>Countries’ strict control of carbon emissions has made the development of new energy vehicles an inevitable trend, creating a favorable development environment for Tesla.</w:t>
            </w:r>
          </w:p>
        </w:tc>
      </w:tr>
      <w:tr w14:paraId="7048CD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9" w:type="dxa"/>
          </w:tcPr>
          <w:p w14:paraId="3F93EF49">
            <w:pPr>
              <w:spacing w:line="360" w:lineRule="auto"/>
              <w:rPr>
                <w:rFonts w:ascii="Times New Roman" w:hAnsi="Times New Roman" w:cs="Times New Roman"/>
                <w:sz w:val="24"/>
                <w:szCs w:val="24"/>
              </w:rPr>
            </w:pPr>
            <w:r>
              <w:rPr>
                <w:rFonts w:ascii="Times New Roman" w:hAnsi="Times New Roman" w:cs="Times New Roman"/>
                <w:sz w:val="24"/>
                <w:szCs w:val="24"/>
              </w:rPr>
              <w:t>Legal</w:t>
            </w:r>
          </w:p>
        </w:tc>
        <w:tc>
          <w:tcPr>
            <w:tcW w:w="6713" w:type="dxa"/>
          </w:tcPr>
          <w:p w14:paraId="294FAA66">
            <w:pPr>
              <w:spacing w:line="360" w:lineRule="auto"/>
              <w:rPr>
                <w:rFonts w:ascii="Times New Roman" w:hAnsi="Times New Roman" w:cs="Times New Roman"/>
                <w:sz w:val="24"/>
                <w:szCs w:val="24"/>
              </w:rPr>
            </w:pPr>
            <w:r>
              <w:rPr>
                <w:rFonts w:ascii="Times New Roman" w:hAnsi="Times New Roman" w:cs="Times New Roman"/>
                <w:sz w:val="24"/>
                <w:szCs w:val="24"/>
              </w:rPr>
              <w:t>The increasingly improved safety standards and emission regulations for new energy vehicles in various countries have forced Tesla to pay more attention to the legal requirements of different countries to ensure that its products are qualified and compliant.</w:t>
            </w:r>
          </w:p>
        </w:tc>
      </w:tr>
    </w:tbl>
    <w:p w14:paraId="3403FF16">
      <w:pPr>
        <w:pStyle w:val="3"/>
        <w:spacing w:after="156" w:afterLines="50" w:line="360" w:lineRule="auto"/>
        <w:jc w:val="center"/>
        <w:rPr>
          <w:rFonts w:ascii="Times New Roman" w:hAnsi="Times New Roman" w:cs="Times New Roman"/>
          <w:sz w:val="24"/>
          <w:szCs w:val="24"/>
        </w:rPr>
      </w:pPr>
      <w:bookmarkStart w:id="7" w:name="_Toc191158198"/>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xml:space="preserve"> Tesla’s PESTEL Analysis</w:t>
      </w:r>
      <w:bookmarkEnd w:id="7"/>
    </w:p>
    <w:p w14:paraId="19374AA9">
      <w:pPr>
        <w:rPr>
          <w:rFonts w:ascii="Times New Roman" w:hAnsi="Times New Roman" w:cs="Times New Roman"/>
          <w:sz w:val="24"/>
          <w:szCs w:val="24"/>
        </w:rPr>
      </w:pPr>
    </w:p>
    <w:p w14:paraId="528640F8">
      <w:pPr>
        <w:rPr>
          <w:rFonts w:ascii="Times New Roman" w:hAnsi="Times New Roman" w:cs="Times New Roman"/>
          <w:sz w:val="24"/>
          <w:szCs w:val="24"/>
        </w:rPr>
      </w:pPr>
    </w:p>
    <w:p w14:paraId="185DB1C2">
      <w:pPr>
        <w:pStyle w:val="13"/>
        <w:numPr>
          <w:ilvl w:val="1"/>
          <w:numId w:val="1"/>
        </w:numPr>
        <w:spacing w:after="156" w:afterLines="50" w:line="360" w:lineRule="auto"/>
        <w:outlineLvl w:val="1"/>
        <w:rPr>
          <w:rFonts w:ascii="Times New Roman" w:hAnsi="Times New Roman" w:cs="Times New Roman"/>
          <w:b/>
          <w:bCs/>
          <w:sz w:val="24"/>
          <w:szCs w:val="24"/>
        </w:rPr>
      </w:pPr>
      <w:bookmarkStart w:id="8" w:name="_Toc191158262"/>
      <w:r>
        <w:rPr>
          <w:rFonts w:ascii="Times New Roman" w:hAnsi="Times New Roman" w:cs="Times New Roman"/>
          <w:b/>
          <w:bCs/>
          <w:sz w:val="24"/>
          <w:szCs w:val="24"/>
        </w:rPr>
        <w:t>Porter’s Five Forces Analysis</w:t>
      </w:r>
      <w:bookmarkEnd w:id="8"/>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96"/>
        <w:gridCol w:w="4529"/>
        <w:gridCol w:w="1397"/>
      </w:tblGrid>
      <w:tr w14:paraId="444FD9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36" w:type="dxa"/>
            <w:shd w:val="clear" w:color="auto" w:fill="EAEDF1" w:themeFill="text2" w:themeFillTint="1A"/>
          </w:tcPr>
          <w:p w14:paraId="5D790CE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5103" w:type="dxa"/>
            <w:shd w:val="clear" w:color="auto" w:fill="EAEDF1" w:themeFill="text2" w:themeFillTint="1A"/>
          </w:tcPr>
          <w:p w14:paraId="07F016CB">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Contents</w:t>
            </w:r>
          </w:p>
        </w:tc>
        <w:tc>
          <w:tcPr>
            <w:tcW w:w="1468" w:type="dxa"/>
            <w:shd w:val="clear" w:color="auto" w:fill="EAEDF1" w:themeFill="text2" w:themeFillTint="1A"/>
          </w:tcPr>
          <w:p w14:paraId="20A7114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Degree</w:t>
            </w:r>
          </w:p>
        </w:tc>
      </w:tr>
      <w:tr w14:paraId="2FC250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36" w:type="dxa"/>
          </w:tcPr>
          <w:p w14:paraId="4668CF03">
            <w:pPr>
              <w:spacing w:line="360" w:lineRule="auto"/>
              <w:rPr>
                <w:rFonts w:ascii="Times New Roman" w:hAnsi="Times New Roman" w:cs="Times New Roman"/>
                <w:sz w:val="24"/>
                <w:szCs w:val="24"/>
              </w:rPr>
            </w:pPr>
            <w:r>
              <w:rPr>
                <w:rFonts w:ascii="Times New Roman" w:hAnsi="Times New Roman" w:cs="Times New Roman"/>
                <w:sz w:val="24"/>
                <w:szCs w:val="24"/>
              </w:rPr>
              <w:t>The threat of new entrants</w:t>
            </w:r>
          </w:p>
        </w:tc>
        <w:tc>
          <w:tcPr>
            <w:tcW w:w="5103" w:type="dxa"/>
          </w:tcPr>
          <w:p w14:paraId="3DDA8579">
            <w:pPr>
              <w:spacing w:line="360" w:lineRule="auto"/>
              <w:rPr>
                <w:rFonts w:ascii="Times New Roman" w:hAnsi="Times New Roman" w:cs="Times New Roman"/>
                <w:sz w:val="24"/>
                <w:szCs w:val="24"/>
              </w:rPr>
            </w:pPr>
            <w:r>
              <w:rPr>
                <w:rFonts w:ascii="Times New Roman" w:hAnsi="Times New Roman" w:cs="Times New Roman"/>
                <w:sz w:val="24"/>
                <w:szCs w:val="24"/>
              </w:rPr>
              <w:t>The new energy vehicle industry has broad prospects, relatively low policy barriers, and technical thresholds. Although Tesla has a leading advantage, it will be threatened by new entrants.</w:t>
            </w:r>
          </w:p>
        </w:tc>
        <w:tc>
          <w:tcPr>
            <w:tcW w:w="1468" w:type="dxa"/>
          </w:tcPr>
          <w:p w14:paraId="033F5591">
            <w:pPr>
              <w:spacing w:line="360" w:lineRule="auto"/>
              <w:rPr>
                <w:rFonts w:ascii="Times New Roman" w:hAnsi="Times New Roman" w:cs="Times New Roman"/>
                <w:sz w:val="24"/>
                <w:szCs w:val="24"/>
              </w:rPr>
            </w:pPr>
            <w:r>
              <w:rPr>
                <w:rFonts w:ascii="Times New Roman" w:hAnsi="Times New Roman" w:cs="Times New Roman"/>
                <w:sz w:val="24"/>
                <w:szCs w:val="24"/>
              </w:rPr>
              <w:t>Medium to high</w:t>
            </w:r>
          </w:p>
        </w:tc>
      </w:tr>
      <w:tr w14:paraId="2F316E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36" w:type="dxa"/>
          </w:tcPr>
          <w:p w14:paraId="4C9CDA41">
            <w:pPr>
              <w:spacing w:line="360" w:lineRule="auto"/>
              <w:rPr>
                <w:rFonts w:ascii="Times New Roman" w:hAnsi="Times New Roman" w:cs="Times New Roman"/>
                <w:sz w:val="24"/>
                <w:szCs w:val="24"/>
              </w:rPr>
            </w:pPr>
            <w:r>
              <w:rPr>
                <w:rFonts w:ascii="Times New Roman" w:hAnsi="Times New Roman" w:cs="Times New Roman"/>
                <w:sz w:val="24"/>
                <w:szCs w:val="24"/>
              </w:rPr>
              <w:t>Bargaining power of suppliers</w:t>
            </w:r>
          </w:p>
        </w:tc>
        <w:tc>
          <w:tcPr>
            <w:tcW w:w="5103" w:type="dxa"/>
          </w:tcPr>
          <w:p w14:paraId="386DDA50">
            <w:pPr>
              <w:spacing w:line="360" w:lineRule="auto"/>
              <w:rPr>
                <w:rFonts w:ascii="Times New Roman" w:hAnsi="Times New Roman" w:cs="Times New Roman"/>
                <w:sz w:val="24"/>
                <w:szCs w:val="24"/>
              </w:rPr>
            </w:pPr>
            <w:r>
              <w:rPr>
                <w:rFonts w:ascii="Times New Roman" w:hAnsi="Times New Roman" w:cs="Times New Roman"/>
                <w:sz w:val="24"/>
                <w:szCs w:val="24"/>
              </w:rPr>
              <w:t xml:space="preserve">Tesla’s production is highly dependent on key raw materials such as lithium and cobalt, and these raw material suppliers are relatively concentrated. </w:t>
            </w:r>
          </w:p>
        </w:tc>
        <w:tc>
          <w:tcPr>
            <w:tcW w:w="1468" w:type="dxa"/>
          </w:tcPr>
          <w:p w14:paraId="695CFBB6">
            <w:pPr>
              <w:spacing w:line="360" w:lineRule="auto"/>
              <w:rPr>
                <w:rFonts w:ascii="Times New Roman" w:hAnsi="Times New Roman" w:cs="Times New Roman"/>
                <w:sz w:val="24"/>
                <w:szCs w:val="24"/>
              </w:rPr>
            </w:pPr>
            <w:r>
              <w:rPr>
                <w:rFonts w:ascii="Times New Roman" w:hAnsi="Times New Roman" w:cs="Times New Roman"/>
                <w:sz w:val="24"/>
                <w:szCs w:val="24"/>
              </w:rPr>
              <w:t>High</w:t>
            </w:r>
          </w:p>
        </w:tc>
      </w:tr>
      <w:tr w14:paraId="28BAD7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36" w:type="dxa"/>
          </w:tcPr>
          <w:p w14:paraId="1663487E">
            <w:pPr>
              <w:spacing w:line="360" w:lineRule="auto"/>
              <w:rPr>
                <w:rFonts w:ascii="Times New Roman" w:hAnsi="Times New Roman" w:cs="Times New Roman"/>
                <w:sz w:val="24"/>
                <w:szCs w:val="24"/>
              </w:rPr>
            </w:pPr>
            <w:r>
              <w:rPr>
                <w:rFonts w:ascii="Times New Roman" w:hAnsi="Times New Roman" w:cs="Times New Roman"/>
                <w:sz w:val="24"/>
                <w:szCs w:val="24"/>
              </w:rPr>
              <w:t>Bargaining power of buyers</w:t>
            </w:r>
          </w:p>
        </w:tc>
        <w:tc>
          <w:tcPr>
            <w:tcW w:w="5103" w:type="dxa"/>
          </w:tcPr>
          <w:p w14:paraId="79E0BC6C">
            <w:pPr>
              <w:spacing w:line="360" w:lineRule="auto"/>
              <w:rPr>
                <w:rFonts w:ascii="Times New Roman" w:hAnsi="Times New Roman" w:cs="Times New Roman"/>
                <w:sz w:val="24"/>
                <w:szCs w:val="24"/>
              </w:rPr>
            </w:pPr>
            <w:r>
              <w:rPr>
                <w:rFonts w:ascii="Times New Roman" w:hAnsi="Times New Roman" w:cs="Times New Roman"/>
                <w:sz w:val="24"/>
                <w:szCs w:val="24"/>
              </w:rPr>
              <w:t>Competition in the new energy vehicle market has intensified, product homogeneity has gradually emerged, and buyers have more products to choose from.</w:t>
            </w:r>
          </w:p>
        </w:tc>
        <w:tc>
          <w:tcPr>
            <w:tcW w:w="1468" w:type="dxa"/>
          </w:tcPr>
          <w:p w14:paraId="3DA97358">
            <w:pPr>
              <w:spacing w:line="360" w:lineRule="auto"/>
              <w:rPr>
                <w:rFonts w:ascii="Times New Roman" w:hAnsi="Times New Roman" w:cs="Times New Roman"/>
                <w:sz w:val="24"/>
                <w:szCs w:val="24"/>
              </w:rPr>
            </w:pPr>
            <w:r>
              <w:rPr>
                <w:rFonts w:ascii="Times New Roman" w:hAnsi="Times New Roman" w:cs="Times New Roman"/>
                <w:sz w:val="24"/>
                <w:szCs w:val="24"/>
              </w:rPr>
              <w:t>High</w:t>
            </w:r>
          </w:p>
        </w:tc>
      </w:tr>
      <w:tr w14:paraId="3B8619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36" w:type="dxa"/>
          </w:tcPr>
          <w:p w14:paraId="22E65B7E">
            <w:pPr>
              <w:spacing w:line="360" w:lineRule="auto"/>
              <w:rPr>
                <w:rFonts w:ascii="Times New Roman" w:hAnsi="Times New Roman" w:cs="Times New Roman"/>
                <w:sz w:val="24"/>
                <w:szCs w:val="24"/>
              </w:rPr>
            </w:pPr>
            <w:r>
              <w:rPr>
                <w:rFonts w:ascii="Times New Roman" w:hAnsi="Times New Roman" w:cs="Times New Roman"/>
                <w:sz w:val="24"/>
                <w:szCs w:val="24"/>
              </w:rPr>
              <w:t>Rivalry among existing competitors</w:t>
            </w:r>
          </w:p>
        </w:tc>
        <w:tc>
          <w:tcPr>
            <w:tcW w:w="5103" w:type="dxa"/>
          </w:tcPr>
          <w:p w14:paraId="7A50B8C7">
            <w:pPr>
              <w:spacing w:line="360" w:lineRule="auto"/>
              <w:rPr>
                <w:rFonts w:ascii="Times New Roman" w:hAnsi="Times New Roman" w:cs="Times New Roman"/>
                <w:sz w:val="24"/>
                <w:szCs w:val="24"/>
              </w:rPr>
            </w:pPr>
            <w:r>
              <w:rPr>
                <w:rFonts w:ascii="Times New Roman" w:hAnsi="Times New Roman" w:cs="Times New Roman"/>
                <w:sz w:val="24"/>
                <w:szCs w:val="24"/>
              </w:rPr>
              <w:t>The new energy vehicle market is booming, and many traditional car companies and emerging companies have participated in the competition.</w:t>
            </w:r>
          </w:p>
        </w:tc>
        <w:tc>
          <w:tcPr>
            <w:tcW w:w="1468" w:type="dxa"/>
          </w:tcPr>
          <w:p w14:paraId="05CD997E">
            <w:pPr>
              <w:spacing w:line="360" w:lineRule="auto"/>
              <w:rPr>
                <w:rFonts w:ascii="Times New Roman" w:hAnsi="Times New Roman" w:cs="Times New Roman"/>
                <w:sz w:val="24"/>
                <w:szCs w:val="24"/>
              </w:rPr>
            </w:pPr>
            <w:r>
              <w:rPr>
                <w:rFonts w:ascii="Times New Roman" w:hAnsi="Times New Roman" w:cs="Times New Roman"/>
                <w:sz w:val="24"/>
                <w:szCs w:val="24"/>
              </w:rPr>
              <w:t>High</w:t>
            </w:r>
          </w:p>
        </w:tc>
      </w:tr>
      <w:tr w14:paraId="349CBC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36" w:type="dxa"/>
          </w:tcPr>
          <w:p w14:paraId="22804869">
            <w:pPr>
              <w:spacing w:line="360" w:lineRule="auto"/>
              <w:rPr>
                <w:rFonts w:ascii="Times New Roman" w:hAnsi="Times New Roman" w:cs="Times New Roman"/>
                <w:sz w:val="24"/>
                <w:szCs w:val="24"/>
              </w:rPr>
            </w:pPr>
            <w:r>
              <w:rPr>
                <w:rFonts w:ascii="Times New Roman" w:hAnsi="Times New Roman" w:cs="Times New Roman"/>
                <w:sz w:val="24"/>
                <w:szCs w:val="24"/>
              </w:rPr>
              <w:t>The threat of substitute products</w:t>
            </w:r>
          </w:p>
        </w:tc>
        <w:tc>
          <w:tcPr>
            <w:tcW w:w="5103" w:type="dxa"/>
          </w:tcPr>
          <w:p w14:paraId="2E66AA0E">
            <w:pPr>
              <w:spacing w:line="360" w:lineRule="auto"/>
              <w:rPr>
                <w:rFonts w:ascii="Times New Roman" w:hAnsi="Times New Roman" w:cs="Times New Roman"/>
                <w:sz w:val="24"/>
                <w:szCs w:val="24"/>
              </w:rPr>
            </w:pPr>
            <w:r>
              <w:rPr>
                <w:rFonts w:ascii="Times New Roman" w:hAnsi="Times New Roman" w:cs="Times New Roman"/>
                <w:sz w:val="24"/>
                <w:szCs w:val="24"/>
              </w:rPr>
              <w:t>Fuel vehicles currently still occupy a large share of the market, see Figure 1 (Statista Research Department, 2022). Besides, public transportation and shared travel will form a certain degree of substitution for private cars.</w:t>
            </w:r>
          </w:p>
        </w:tc>
        <w:tc>
          <w:tcPr>
            <w:tcW w:w="1468" w:type="dxa"/>
          </w:tcPr>
          <w:p w14:paraId="3396A09F">
            <w:pPr>
              <w:spacing w:line="360" w:lineRule="auto"/>
              <w:rPr>
                <w:rFonts w:ascii="Times New Roman" w:hAnsi="Times New Roman" w:cs="Times New Roman"/>
                <w:sz w:val="24"/>
                <w:szCs w:val="24"/>
              </w:rPr>
            </w:pPr>
            <w:r>
              <w:rPr>
                <w:rFonts w:ascii="Times New Roman" w:hAnsi="Times New Roman" w:cs="Times New Roman"/>
                <w:sz w:val="24"/>
                <w:szCs w:val="24"/>
              </w:rPr>
              <w:t>Medium</w:t>
            </w:r>
          </w:p>
        </w:tc>
      </w:tr>
    </w:tbl>
    <w:p w14:paraId="7C047B95">
      <w:pPr>
        <w:pStyle w:val="3"/>
        <w:spacing w:after="156" w:afterLines="50" w:line="360" w:lineRule="auto"/>
        <w:jc w:val="center"/>
        <w:rPr>
          <w:rFonts w:ascii="Times New Roman" w:hAnsi="Times New Roman" w:cs="Times New Roman"/>
          <w:sz w:val="24"/>
          <w:szCs w:val="24"/>
        </w:rPr>
      </w:pPr>
      <w:bookmarkStart w:id="9" w:name="_Toc191158199"/>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xml:space="preserve"> Tesla’s Porter’s Five Forces Analysis</w:t>
      </w:r>
      <w:bookmarkEnd w:id="9"/>
    </w:p>
    <w:p w14:paraId="53060547">
      <w:pPr>
        <w:spacing w:after="156" w:afterLines="50"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3898900" cy="2422525"/>
            <wp:effectExtent l="0" t="0" r="6350" b="15875"/>
            <wp:docPr id="12328848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884882" name="图片 1"/>
                    <pic:cNvPicPr>
                      <a:picLocks noChangeAspect="1"/>
                    </pic:cNvPicPr>
                  </pic:nvPicPr>
                  <pic:blipFill>
                    <a:blip r:embed="rId5"/>
                    <a:stretch>
                      <a:fillRect/>
                    </a:stretch>
                  </pic:blipFill>
                  <pic:spPr>
                    <a:xfrm>
                      <a:off x="0" y="0"/>
                      <a:ext cx="3906813" cy="2428000"/>
                    </a:xfrm>
                    <a:prstGeom prst="rect">
                      <a:avLst/>
                    </a:prstGeom>
                  </pic:spPr>
                </pic:pic>
              </a:graphicData>
            </a:graphic>
          </wp:inline>
        </w:drawing>
      </w:r>
    </w:p>
    <w:p w14:paraId="29056244">
      <w:pPr>
        <w:pStyle w:val="3"/>
        <w:spacing w:after="156" w:afterLines="50" w:line="360" w:lineRule="auto"/>
        <w:jc w:val="center"/>
        <w:rPr>
          <w:rFonts w:hint="default" w:ascii="Times New Roman" w:hAnsi="Times New Roman" w:eastAsia="黑体" w:cs="Times New Roman"/>
          <w:sz w:val="24"/>
          <w:szCs w:val="24"/>
          <w:lang w:val="en-US" w:eastAsia="zh-CN"/>
        </w:rPr>
      </w:pPr>
      <w:bookmarkStart w:id="10" w:name="_Toc191158191"/>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Figure_ \* ARABIC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xml:space="preserve"> Car Sales Worldwide by Fuel Technology 2019 &amp; 20</w:t>
      </w:r>
      <w:bookmarkEnd w:id="10"/>
      <w:r>
        <w:rPr>
          <w:rFonts w:hint="eastAsia" w:ascii="Times New Roman" w:hAnsi="Times New Roman" w:cs="Times New Roman"/>
          <w:sz w:val="24"/>
          <w:szCs w:val="24"/>
          <w:lang w:val="en-US" w:eastAsia="zh-CN"/>
        </w:rPr>
        <w:t>30</w:t>
      </w:r>
    </w:p>
    <w:p w14:paraId="4E978CA4">
      <w:pPr>
        <w:pStyle w:val="13"/>
        <w:numPr>
          <w:ilvl w:val="1"/>
          <w:numId w:val="1"/>
        </w:numPr>
        <w:spacing w:after="156" w:afterLines="50" w:line="360" w:lineRule="auto"/>
        <w:outlineLvl w:val="1"/>
        <w:rPr>
          <w:rFonts w:ascii="Times New Roman" w:hAnsi="Times New Roman" w:cs="Times New Roman"/>
          <w:b/>
          <w:bCs/>
          <w:sz w:val="24"/>
          <w:szCs w:val="24"/>
        </w:rPr>
      </w:pPr>
      <w:bookmarkStart w:id="11" w:name="_Toc191158263"/>
      <w:r>
        <w:rPr>
          <w:rFonts w:ascii="Times New Roman" w:hAnsi="Times New Roman" w:cs="Times New Roman"/>
          <w:b/>
          <w:bCs/>
          <w:sz w:val="24"/>
          <w:szCs w:val="24"/>
        </w:rPr>
        <w:t>Key Economic Trends</w:t>
      </w:r>
      <w:bookmarkEnd w:id="11"/>
    </w:p>
    <w:p w14:paraId="26FB436D">
      <w:pPr>
        <w:pStyle w:val="13"/>
        <w:numPr>
          <w:ilvl w:val="0"/>
          <w:numId w:val="2"/>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Global Economic Integration Trend</w:t>
      </w:r>
    </w:p>
    <w:p w14:paraId="105669E4">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Global economic integration enables Tesla to deploy production, sales, and supply chains on a global scale, but at the same time, it also needs to bear the risks brought by global economic fluctuations.</w:t>
      </w:r>
    </w:p>
    <w:p w14:paraId="5E2919A2">
      <w:pPr>
        <w:pStyle w:val="13"/>
        <w:numPr>
          <w:ilvl w:val="0"/>
          <w:numId w:val="2"/>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Green Economic Development Trend</w:t>
      </w:r>
    </w:p>
    <w:p w14:paraId="69C93277">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The green economy has become an important direction for global economic development (UN Environment Programme, 2025). As an important part of the green economy, the market demand for new energy vehicles will continue to grow. </w:t>
      </w:r>
    </w:p>
    <w:p w14:paraId="66A1FE88">
      <w:pPr>
        <w:pStyle w:val="13"/>
        <w:numPr>
          <w:ilvl w:val="0"/>
          <w:numId w:val="2"/>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Digital Economic Trend</w:t>
      </w:r>
    </w:p>
    <w:p w14:paraId="1E6D9D79">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Automobile intelligence and networking have become a development trend. Tesla needs to increase its R&amp;D investment in the fields of autonomous driving and vehicle networking and improve the digital level of its products.</w:t>
      </w:r>
    </w:p>
    <w:p w14:paraId="01350344">
      <w:pPr>
        <w:spacing w:after="156" w:afterLines="50" w:line="360" w:lineRule="auto"/>
        <w:rPr>
          <w:rFonts w:ascii="Times New Roman" w:hAnsi="Times New Roman" w:cs="Times New Roman"/>
          <w:sz w:val="24"/>
          <w:szCs w:val="24"/>
        </w:rPr>
      </w:pPr>
    </w:p>
    <w:p w14:paraId="51074D39">
      <w:pPr>
        <w:spacing w:after="156" w:afterLines="50" w:line="360" w:lineRule="auto"/>
        <w:rPr>
          <w:rFonts w:ascii="Times New Roman" w:hAnsi="Times New Roman" w:cs="Times New Roman"/>
          <w:sz w:val="24"/>
          <w:szCs w:val="24"/>
        </w:rPr>
      </w:pPr>
    </w:p>
    <w:p w14:paraId="078FC449">
      <w:pPr>
        <w:spacing w:after="156" w:afterLines="50" w:line="360" w:lineRule="auto"/>
        <w:rPr>
          <w:rFonts w:ascii="Times New Roman" w:hAnsi="Times New Roman" w:cs="Times New Roman"/>
          <w:sz w:val="24"/>
          <w:szCs w:val="24"/>
        </w:rPr>
      </w:pPr>
    </w:p>
    <w:p w14:paraId="181F1757">
      <w:pPr>
        <w:pStyle w:val="13"/>
        <w:numPr>
          <w:ilvl w:val="0"/>
          <w:numId w:val="1"/>
        </w:numPr>
        <w:spacing w:after="156" w:afterLines="50" w:line="360" w:lineRule="auto"/>
        <w:outlineLvl w:val="0"/>
        <w:rPr>
          <w:rFonts w:ascii="Times New Roman" w:hAnsi="Times New Roman" w:cs="Times New Roman"/>
          <w:b/>
          <w:bCs/>
          <w:sz w:val="24"/>
          <w:szCs w:val="24"/>
        </w:rPr>
      </w:pPr>
      <w:bookmarkStart w:id="12" w:name="_Toc191158264"/>
      <w:r>
        <w:rPr>
          <w:rFonts w:ascii="Times New Roman" w:hAnsi="Times New Roman" w:cs="Times New Roman"/>
          <w:b/>
          <w:bCs/>
          <w:sz w:val="24"/>
          <w:szCs w:val="24"/>
        </w:rPr>
        <w:t>Internal Analysis</w:t>
      </w:r>
      <w:bookmarkEnd w:id="12"/>
    </w:p>
    <w:p w14:paraId="7BCF2E68">
      <w:pPr>
        <w:pStyle w:val="13"/>
        <w:numPr>
          <w:ilvl w:val="1"/>
          <w:numId w:val="1"/>
        </w:numPr>
        <w:spacing w:after="156" w:afterLines="50" w:line="360" w:lineRule="auto"/>
        <w:outlineLvl w:val="1"/>
        <w:rPr>
          <w:rFonts w:ascii="Times New Roman" w:hAnsi="Times New Roman" w:cs="Times New Roman"/>
          <w:b/>
          <w:bCs/>
          <w:sz w:val="24"/>
          <w:szCs w:val="24"/>
        </w:rPr>
      </w:pPr>
      <w:bookmarkStart w:id="13" w:name="_Toc191158265"/>
      <w:r>
        <w:rPr>
          <w:rFonts w:ascii="Times New Roman" w:hAnsi="Times New Roman" w:cs="Times New Roman"/>
          <w:b/>
          <w:bCs/>
          <w:sz w:val="24"/>
          <w:szCs w:val="24"/>
        </w:rPr>
        <w:t>Resource-Based View Analysis</w:t>
      </w:r>
      <w:bookmarkEnd w:id="13"/>
    </w:p>
    <w:p w14:paraId="563448C3">
      <w:pPr>
        <w:pStyle w:val="13"/>
        <w:numPr>
          <w:ilvl w:val="0"/>
          <w:numId w:val="3"/>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Tangible Resources</w:t>
      </w:r>
    </w:p>
    <w:p w14:paraId="2ED839C8">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It refers to resources that have a physical form (Clulow et al., 2007), such as the super factories in the United States and China, and the extensive sales and service network established worldwide.</w:t>
      </w:r>
    </w:p>
    <w:p w14:paraId="382D786F">
      <w:pPr>
        <w:pStyle w:val="13"/>
        <w:numPr>
          <w:ilvl w:val="0"/>
          <w:numId w:val="3"/>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Intangible Resources</w:t>
      </w:r>
    </w:p>
    <w:p w14:paraId="43721ECE">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It refers to resources that do not have a physical form (Clulow et al., 2007), such as 1) Tesla’s high-end and innovative brand image, brand awareness, and reputation, 2) Tesla’s large number of patents in battery technology and autonomous driving technology, etc.</w:t>
      </w:r>
    </w:p>
    <w:p w14:paraId="0C148E92">
      <w:pPr>
        <w:pStyle w:val="13"/>
        <w:numPr>
          <w:ilvl w:val="0"/>
          <w:numId w:val="3"/>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Capabilities (Core Competitiveness)</w:t>
      </w:r>
    </w:p>
    <w:p w14:paraId="0BAE2054">
      <w:pPr>
        <w:widowControl/>
        <w:spacing w:after="156" w:afterLines="50" w:line="360" w:lineRule="auto"/>
        <w:rPr>
          <w:rFonts w:ascii="Times New Roman" w:hAnsi="Times New Roman" w:eastAsia="宋体" w:cs="Times New Roman"/>
          <w:kern w:val="0"/>
          <w:sz w:val="24"/>
          <w:szCs w:val="24"/>
          <w14:ligatures w14:val="none"/>
        </w:rPr>
      </w:pPr>
      <w:r>
        <w:rPr>
          <w:rFonts w:ascii="Times New Roman" w:hAnsi="Times New Roman" w:eastAsia="宋体" w:cs="Times New Roman"/>
          <w:kern w:val="0"/>
          <w:sz w:val="24"/>
          <w:szCs w:val="24"/>
          <w14:ligatures w14:val="none"/>
        </w:rPr>
        <w:t xml:space="preserve">Continuous investment in research and development has enabled Tesla to maintain its leading position in battery energy density improvement and autonomous driving algorithm optimization (Liu, 2021; Liu &amp; Meng, 2017). Besides, it has effectively reduced production costs by vertically integrating the supply chain and optimizing production processes (Naor et al., 2021; Zheng, 2024). </w:t>
      </w:r>
    </w:p>
    <w:p w14:paraId="321AED37">
      <w:pPr>
        <w:pStyle w:val="13"/>
        <w:numPr>
          <w:ilvl w:val="1"/>
          <w:numId w:val="1"/>
        </w:numPr>
        <w:spacing w:after="156" w:afterLines="50" w:line="360" w:lineRule="auto"/>
        <w:outlineLvl w:val="1"/>
        <w:rPr>
          <w:rFonts w:ascii="Times New Roman" w:hAnsi="Times New Roman" w:cs="Times New Roman"/>
          <w:b/>
          <w:bCs/>
          <w:sz w:val="24"/>
          <w:szCs w:val="24"/>
        </w:rPr>
      </w:pPr>
      <w:bookmarkStart w:id="14" w:name="_Toc191158266"/>
      <w:r>
        <w:rPr>
          <w:rFonts w:ascii="Times New Roman" w:hAnsi="Times New Roman" w:cs="Times New Roman"/>
          <w:b/>
          <w:bCs/>
          <w:sz w:val="24"/>
          <w:szCs w:val="24"/>
        </w:rPr>
        <w:t>Value Chain Analysis</w:t>
      </w:r>
      <w:bookmarkEnd w:id="14"/>
    </w:p>
    <w:p w14:paraId="4E0B2162">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Value chain analysis divides the activities of an enterprise into a series of interrelated value-added activities, which together constitute the enterprise’s value chain (Zamora, 2016). </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26"/>
        <w:gridCol w:w="1843"/>
        <w:gridCol w:w="5153"/>
      </w:tblGrid>
      <w:tr w14:paraId="35EE5A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6" w:type="dxa"/>
            <w:shd w:val="clear" w:color="auto" w:fill="EAEDF1" w:themeFill="text2" w:themeFillTint="1A"/>
          </w:tcPr>
          <w:p w14:paraId="1C0C949B">
            <w:pPr>
              <w:tabs>
                <w:tab w:val="left" w:pos="1417"/>
              </w:tabs>
              <w:spacing w:line="360" w:lineRule="auto"/>
              <w:jc w:val="center"/>
              <w:rPr>
                <w:rFonts w:ascii="Times New Roman" w:hAnsi="Times New Roman" w:cs="Times New Roman"/>
                <w:b/>
                <w:bCs/>
                <w:sz w:val="24"/>
                <w:szCs w:val="24"/>
              </w:rPr>
            </w:pPr>
          </w:p>
        </w:tc>
        <w:tc>
          <w:tcPr>
            <w:tcW w:w="1843" w:type="dxa"/>
            <w:shd w:val="clear" w:color="auto" w:fill="EAEDF1" w:themeFill="text2" w:themeFillTint="1A"/>
          </w:tcPr>
          <w:p w14:paraId="29ADB648">
            <w:pPr>
              <w:tabs>
                <w:tab w:val="left" w:pos="1417"/>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5153" w:type="dxa"/>
            <w:shd w:val="clear" w:color="auto" w:fill="EAEDF1" w:themeFill="text2" w:themeFillTint="1A"/>
          </w:tcPr>
          <w:p w14:paraId="0836B5F0">
            <w:pPr>
              <w:tabs>
                <w:tab w:val="left" w:pos="1417"/>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Contents</w:t>
            </w:r>
          </w:p>
        </w:tc>
      </w:tr>
      <w:tr w14:paraId="4086BE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6" w:type="dxa"/>
            <w:vMerge w:val="restart"/>
          </w:tcPr>
          <w:p w14:paraId="140488B2">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Primary Activities</w:t>
            </w:r>
          </w:p>
        </w:tc>
        <w:tc>
          <w:tcPr>
            <w:tcW w:w="1843" w:type="dxa"/>
          </w:tcPr>
          <w:p w14:paraId="0CFCCCF0">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Production operations</w:t>
            </w:r>
          </w:p>
        </w:tc>
        <w:tc>
          <w:tcPr>
            <w:tcW w:w="5153" w:type="dxa"/>
          </w:tcPr>
          <w:p w14:paraId="594ED679">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Using advanced production technology and automation equipment to improve production efficiency and product quality (Naor et al., 2021).</w:t>
            </w:r>
          </w:p>
        </w:tc>
      </w:tr>
      <w:tr w14:paraId="4303DD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6" w:type="dxa"/>
            <w:vMerge w:val="continue"/>
          </w:tcPr>
          <w:p w14:paraId="0C395149">
            <w:pPr>
              <w:tabs>
                <w:tab w:val="left" w:pos="1417"/>
              </w:tabs>
              <w:spacing w:line="360" w:lineRule="auto"/>
              <w:rPr>
                <w:rFonts w:ascii="Times New Roman" w:hAnsi="Times New Roman" w:cs="Times New Roman"/>
                <w:sz w:val="24"/>
                <w:szCs w:val="24"/>
              </w:rPr>
            </w:pPr>
          </w:p>
        </w:tc>
        <w:tc>
          <w:tcPr>
            <w:tcW w:w="1843" w:type="dxa"/>
          </w:tcPr>
          <w:p w14:paraId="0DF007B5">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Marketing</w:t>
            </w:r>
          </w:p>
        </w:tc>
        <w:tc>
          <w:tcPr>
            <w:tcW w:w="5153" w:type="dxa"/>
          </w:tcPr>
          <w:p w14:paraId="4C646858">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Marketing is carried out through a combination of online and offline methods to enhance consumers’ shopping experience (Li, 2023).</w:t>
            </w:r>
          </w:p>
        </w:tc>
      </w:tr>
      <w:tr w14:paraId="0081CE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6" w:type="dxa"/>
            <w:vMerge w:val="continue"/>
          </w:tcPr>
          <w:p w14:paraId="065AEF71">
            <w:pPr>
              <w:tabs>
                <w:tab w:val="left" w:pos="1417"/>
              </w:tabs>
              <w:spacing w:line="360" w:lineRule="auto"/>
              <w:rPr>
                <w:rFonts w:ascii="Times New Roman" w:hAnsi="Times New Roman" w:cs="Times New Roman"/>
                <w:sz w:val="24"/>
                <w:szCs w:val="24"/>
              </w:rPr>
            </w:pPr>
          </w:p>
        </w:tc>
        <w:tc>
          <w:tcPr>
            <w:tcW w:w="1843" w:type="dxa"/>
          </w:tcPr>
          <w:p w14:paraId="69A07620">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Service system construction</w:t>
            </w:r>
          </w:p>
        </w:tc>
        <w:tc>
          <w:tcPr>
            <w:tcW w:w="5153" w:type="dxa"/>
          </w:tcPr>
          <w:p w14:paraId="4BE08CAE">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Tesla provides online services, a technical support team, mobile services, and information and resource-sharing services (Chen &amp; Perez, 2018).</w:t>
            </w:r>
          </w:p>
        </w:tc>
      </w:tr>
      <w:tr w14:paraId="597E6F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6" w:type="dxa"/>
            <w:vMerge w:val="restart"/>
          </w:tcPr>
          <w:p w14:paraId="0EC880DD">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Secondary Activities</w:t>
            </w:r>
          </w:p>
        </w:tc>
        <w:tc>
          <w:tcPr>
            <w:tcW w:w="1843" w:type="dxa"/>
          </w:tcPr>
          <w:p w14:paraId="3D044DDE">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Purchasing management</w:t>
            </w:r>
          </w:p>
        </w:tc>
        <w:tc>
          <w:tcPr>
            <w:tcW w:w="5153" w:type="dxa"/>
          </w:tcPr>
          <w:p w14:paraId="692C09BC">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Tesla has established long-term cooperative relationships with global suppliers to ensure a stable supply of raw materials and parts (Zheng, 2024).</w:t>
            </w:r>
          </w:p>
        </w:tc>
      </w:tr>
      <w:tr w14:paraId="67C61E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6" w:type="dxa"/>
            <w:vMerge w:val="continue"/>
          </w:tcPr>
          <w:p w14:paraId="6292F025">
            <w:pPr>
              <w:tabs>
                <w:tab w:val="left" w:pos="1417"/>
              </w:tabs>
              <w:spacing w:line="360" w:lineRule="auto"/>
              <w:rPr>
                <w:rFonts w:ascii="Times New Roman" w:hAnsi="Times New Roman" w:cs="Times New Roman"/>
                <w:sz w:val="24"/>
                <w:szCs w:val="24"/>
              </w:rPr>
            </w:pPr>
          </w:p>
        </w:tc>
        <w:tc>
          <w:tcPr>
            <w:tcW w:w="1843" w:type="dxa"/>
          </w:tcPr>
          <w:p w14:paraId="3A13A6E4">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Technology development</w:t>
            </w:r>
          </w:p>
        </w:tc>
        <w:tc>
          <w:tcPr>
            <w:tcW w:w="5153" w:type="dxa"/>
          </w:tcPr>
          <w:p w14:paraId="1EF63E70">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Continuously invest a large amount of money in technology research and development, and continuously launch new technologies and products (Tesla, Inc., 2024).</w:t>
            </w:r>
          </w:p>
        </w:tc>
      </w:tr>
      <w:tr w14:paraId="2B7B80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6" w:type="dxa"/>
            <w:vMerge w:val="continue"/>
          </w:tcPr>
          <w:p w14:paraId="369505A8">
            <w:pPr>
              <w:tabs>
                <w:tab w:val="left" w:pos="1417"/>
              </w:tabs>
              <w:spacing w:line="360" w:lineRule="auto"/>
              <w:rPr>
                <w:rFonts w:ascii="Times New Roman" w:hAnsi="Times New Roman" w:cs="Times New Roman"/>
                <w:sz w:val="24"/>
                <w:szCs w:val="24"/>
              </w:rPr>
            </w:pPr>
          </w:p>
        </w:tc>
        <w:tc>
          <w:tcPr>
            <w:tcW w:w="1843" w:type="dxa"/>
          </w:tcPr>
          <w:p w14:paraId="0E06DA32">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Human resources management</w:t>
            </w:r>
          </w:p>
        </w:tc>
        <w:tc>
          <w:tcPr>
            <w:tcW w:w="5153" w:type="dxa"/>
          </w:tcPr>
          <w:p w14:paraId="37ED73AD">
            <w:pPr>
              <w:tabs>
                <w:tab w:val="left" w:pos="1417"/>
              </w:tabs>
              <w:spacing w:line="360" w:lineRule="auto"/>
              <w:rPr>
                <w:rFonts w:ascii="Times New Roman" w:hAnsi="Times New Roman" w:cs="Times New Roman"/>
                <w:sz w:val="24"/>
                <w:szCs w:val="24"/>
              </w:rPr>
            </w:pPr>
            <w:r>
              <w:rPr>
                <w:rFonts w:ascii="Times New Roman" w:hAnsi="Times New Roman" w:cs="Times New Roman"/>
                <w:sz w:val="24"/>
                <w:szCs w:val="24"/>
              </w:rPr>
              <w:t>Focus on talent training and introduction, provide competitive salaries, and a good working environment (Jia et al., 2023).</w:t>
            </w:r>
          </w:p>
        </w:tc>
      </w:tr>
    </w:tbl>
    <w:p w14:paraId="3C00613E">
      <w:pPr>
        <w:pStyle w:val="3"/>
        <w:spacing w:after="156" w:afterLines="50" w:line="360" w:lineRule="auto"/>
        <w:jc w:val="center"/>
        <w:rPr>
          <w:rFonts w:ascii="Times New Roman" w:hAnsi="Times New Roman" w:cs="Times New Roman"/>
          <w:sz w:val="24"/>
          <w:szCs w:val="24"/>
        </w:rPr>
      </w:pPr>
      <w:bookmarkStart w:id="15" w:name="_Toc191158200"/>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xml:space="preserve"> Tesla’s Value Chain Analysis</w:t>
      </w:r>
      <w:bookmarkEnd w:id="15"/>
    </w:p>
    <w:p w14:paraId="35BCF064">
      <w:pPr>
        <w:pStyle w:val="13"/>
        <w:numPr>
          <w:ilvl w:val="0"/>
          <w:numId w:val="0"/>
        </w:numPr>
        <w:spacing w:after="156" w:afterLines="50" w:line="360" w:lineRule="auto"/>
        <w:ind w:leftChars="0"/>
        <w:outlineLvl w:val="1"/>
        <w:rPr>
          <w:rFonts w:ascii="Times New Roman" w:hAnsi="Times New Roman" w:cs="Times New Roman"/>
          <w:b/>
          <w:bCs/>
          <w:sz w:val="24"/>
          <w:szCs w:val="24"/>
        </w:rPr>
      </w:pPr>
      <w:bookmarkStart w:id="16" w:name="_Toc191158267"/>
    </w:p>
    <w:p w14:paraId="69D9B3B5">
      <w:pPr>
        <w:pStyle w:val="13"/>
        <w:numPr>
          <w:ilvl w:val="0"/>
          <w:numId w:val="0"/>
        </w:numPr>
        <w:spacing w:after="156" w:afterLines="50" w:line="360" w:lineRule="auto"/>
        <w:ind w:leftChars="0"/>
        <w:outlineLvl w:val="1"/>
        <w:rPr>
          <w:rFonts w:ascii="Times New Roman" w:hAnsi="Times New Roman" w:cs="Times New Roman"/>
          <w:b/>
          <w:bCs/>
          <w:sz w:val="24"/>
          <w:szCs w:val="24"/>
        </w:rPr>
      </w:pPr>
    </w:p>
    <w:p w14:paraId="07197980">
      <w:pPr>
        <w:pStyle w:val="13"/>
        <w:numPr>
          <w:ilvl w:val="0"/>
          <w:numId w:val="0"/>
        </w:numPr>
        <w:spacing w:after="156" w:afterLines="50" w:line="360" w:lineRule="auto"/>
        <w:ind w:leftChars="0"/>
        <w:outlineLvl w:val="1"/>
        <w:rPr>
          <w:rFonts w:ascii="Times New Roman" w:hAnsi="Times New Roman" w:cs="Times New Roman"/>
          <w:b/>
          <w:bCs/>
          <w:sz w:val="24"/>
          <w:szCs w:val="24"/>
        </w:rPr>
      </w:pPr>
    </w:p>
    <w:p w14:paraId="30624E58">
      <w:pPr>
        <w:pStyle w:val="13"/>
        <w:numPr>
          <w:ilvl w:val="0"/>
          <w:numId w:val="0"/>
        </w:numPr>
        <w:spacing w:after="156" w:afterLines="50" w:line="360" w:lineRule="auto"/>
        <w:ind w:leftChars="0"/>
        <w:outlineLvl w:val="1"/>
        <w:rPr>
          <w:rFonts w:ascii="Times New Roman" w:hAnsi="Times New Roman" w:cs="Times New Roman"/>
          <w:b/>
          <w:bCs/>
          <w:sz w:val="24"/>
          <w:szCs w:val="24"/>
        </w:rPr>
      </w:pPr>
    </w:p>
    <w:p w14:paraId="7D364E99">
      <w:pPr>
        <w:pStyle w:val="13"/>
        <w:numPr>
          <w:ilvl w:val="0"/>
          <w:numId w:val="0"/>
        </w:numPr>
        <w:spacing w:after="156" w:afterLines="50" w:line="360" w:lineRule="auto"/>
        <w:ind w:leftChars="0"/>
        <w:outlineLvl w:val="1"/>
        <w:rPr>
          <w:rFonts w:ascii="Times New Roman" w:hAnsi="Times New Roman" w:cs="Times New Roman"/>
          <w:b/>
          <w:bCs/>
          <w:sz w:val="24"/>
          <w:szCs w:val="24"/>
        </w:rPr>
      </w:pPr>
    </w:p>
    <w:p w14:paraId="759F5931">
      <w:pPr>
        <w:pStyle w:val="13"/>
        <w:numPr>
          <w:ilvl w:val="1"/>
          <w:numId w:val="1"/>
        </w:numPr>
        <w:spacing w:after="156" w:afterLines="50" w:line="360" w:lineRule="auto"/>
        <w:outlineLvl w:val="1"/>
        <w:rPr>
          <w:rFonts w:ascii="Times New Roman" w:hAnsi="Times New Roman" w:cs="Times New Roman"/>
          <w:b/>
          <w:bCs/>
          <w:sz w:val="24"/>
          <w:szCs w:val="24"/>
        </w:rPr>
      </w:pPr>
      <w:r>
        <w:rPr>
          <w:rFonts w:ascii="Times New Roman" w:hAnsi="Times New Roman" w:cs="Times New Roman"/>
          <w:b/>
          <w:bCs/>
          <w:sz w:val="24"/>
          <w:szCs w:val="24"/>
        </w:rPr>
        <w:t>SWOT/TOWS Analysis</w:t>
      </w:r>
      <w:bookmarkEnd w:id="16"/>
    </w:p>
    <w:tbl>
      <w:tblPr>
        <w:tblStyle w:val="9"/>
        <w:tblW w:w="11199" w:type="dxa"/>
        <w:tblInd w:w="-11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733"/>
        <w:gridCol w:w="3733"/>
        <w:gridCol w:w="3733"/>
      </w:tblGrid>
      <w:tr w14:paraId="758CCD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7" w:hRule="atLeast"/>
        </w:trPr>
        <w:tc>
          <w:tcPr>
            <w:tcW w:w="3733" w:type="dxa"/>
            <w:vMerge w:val="restart"/>
          </w:tcPr>
          <w:p w14:paraId="7D2DAC8D">
            <w:pPr>
              <w:spacing w:line="360" w:lineRule="auto"/>
              <w:rPr>
                <w:rFonts w:ascii="Times New Roman" w:hAnsi="Times New Roman" w:cs="Times New Roman"/>
                <w:sz w:val="24"/>
                <w:szCs w:val="24"/>
              </w:rPr>
            </w:pPr>
          </w:p>
        </w:tc>
        <w:tc>
          <w:tcPr>
            <w:tcW w:w="3733" w:type="dxa"/>
            <w:shd w:val="clear" w:color="auto" w:fill="EAEDF1" w:themeFill="text2" w:themeFillTint="1A"/>
          </w:tcPr>
          <w:p w14:paraId="5C4191E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Strengths</w:t>
            </w:r>
          </w:p>
        </w:tc>
        <w:tc>
          <w:tcPr>
            <w:tcW w:w="3733" w:type="dxa"/>
            <w:shd w:val="clear" w:color="auto" w:fill="EAEDF1" w:themeFill="text2" w:themeFillTint="1A"/>
          </w:tcPr>
          <w:p w14:paraId="5A86844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Weakness</w:t>
            </w:r>
          </w:p>
        </w:tc>
      </w:tr>
      <w:tr w14:paraId="0DF5EA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4" w:hRule="atLeast"/>
        </w:trPr>
        <w:tc>
          <w:tcPr>
            <w:tcW w:w="3733" w:type="dxa"/>
            <w:vMerge w:val="continue"/>
          </w:tcPr>
          <w:p w14:paraId="35A7A165">
            <w:pPr>
              <w:spacing w:line="360" w:lineRule="auto"/>
              <w:rPr>
                <w:rFonts w:ascii="Times New Roman" w:hAnsi="Times New Roman" w:cs="Times New Roman"/>
                <w:sz w:val="24"/>
                <w:szCs w:val="24"/>
              </w:rPr>
            </w:pPr>
          </w:p>
        </w:tc>
        <w:tc>
          <w:tcPr>
            <w:tcW w:w="3733" w:type="dxa"/>
          </w:tcPr>
          <w:p w14:paraId="7AE77123">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Strong brand influence (Carlier, 2024)</w:t>
            </w:r>
          </w:p>
          <w:p w14:paraId="1BEC3691">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Focus on technological innovation (Carlier, 2024)</w:t>
            </w:r>
          </w:p>
          <w:p w14:paraId="4FF60D0D">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Own a global charging network (Tesla, 2025a)</w:t>
            </w:r>
          </w:p>
          <w:p w14:paraId="2D5F844A">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Own a huge database (Cantamessa et al., 2020)</w:t>
            </w:r>
          </w:p>
        </w:tc>
        <w:tc>
          <w:tcPr>
            <w:tcW w:w="3733" w:type="dxa"/>
          </w:tcPr>
          <w:p w14:paraId="4462D92F">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Face production bottlenecks (Micheletta, 2024)</w:t>
            </w:r>
          </w:p>
          <w:p w14:paraId="1F32B2CC">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Product quality problems (Garsten, 2023)</w:t>
            </w:r>
          </w:p>
          <w:p w14:paraId="770203F6">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High prices</w:t>
            </w:r>
          </w:p>
          <w:p w14:paraId="235EFBFD">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Heavily dependent on the US market (Carlier, 2024)</w:t>
            </w:r>
          </w:p>
        </w:tc>
      </w:tr>
      <w:tr w14:paraId="31E926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3733" w:type="dxa"/>
            <w:shd w:val="clear" w:color="auto" w:fill="EAEDF1" w:themeFill="text2" w:themeFillTint="1A"/>
          </w:tcPr>
          <w:p w14:paraId="2E2110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Opportunities</w:t>
            </w:r>
          </w:p>
        </w:tc>
        <w:tc>
          <w:tcPr>
            <w:tcW w:w="3733" w:type="dxa"/>
            <w:shd w:val="clear" w:color="auto" w:fill="EAEDF1" w:themeFill="text2" w:themeFillTint="1A"/>
          </w:tcPr>
          <w:p w14:paraId="457FEA4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S/O</w:t>
            </w:r>
          </w:p>
        </w:tc>
        <w:tc>
          <w:tcPr>
            <w:tcW w:w="3733" w:type="dxa"/>
            <w:shd w:val="clear" w:color="auto" w:fill="EAEDF1" w:themeFill="text2" w:themeFillTint="1A"/>
          </w:tcPr>
          <w:p w14:paraId="574CA1D4">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W/O</w:t>
            </w:r>
          </w:p>
        </w:tc>
      </w:tr>
      <w:tr w14:paraId="007346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7" w:hRule="atLeast"/>
        </w:trPr>
        <w:tc>
          <w:tcPr>
            <w:tcW w:w="3733" w:type="dxa"/>
          </w:tcPr>
          <w:p w14:paraId="587C5F9B">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The new energy vehicle market has good development prospects</w:t>
            </w:r>
          </w:p>
          <w:p w14:paraId="366CAB14">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Governments of various countries have introduced policy support (International Energy Agency, 2021)</w:t>
            </w:r>
          </w:p>
          <w:p w14:paraId="01EBFC14">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There are many emerging markets to expand businesses</w:t>
            </w:r>
          </w:p>
          <w:p w14:paraId="55324EA0">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Tesla can launch more models</w:t>
            </w:r>
          </w:p>
          <w:p w14:paraId="05FF3549">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Sustainable energy business development has prospects</w:t>
            </w:r>
          </w:p>
        </w:tc>
        <w:tc>
          <w:tcPr>
            <w:tcW w:w="3733" w:type="dxa"/>
          </w:tcPr>
          <w:p w14:paraId="2AABDDE1">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Use brand influence to launch more products to seize market share</w:t>
            </w:r>
          </w:p>
          <w:p w14:paraId="1E6BC899">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Leverage the advantages of charging network and data to create a better user experience</w:t>
            </w:r>
          </w:p>
        </w:tc>
        <w:tc>
          <w:tcPr>
            <w:tcW w:w="3733" w:type="dxa"/>
          </w:tcPr>
          <w:p w14:paraId="27FB507A">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Increase production investment to increase production capacity</w:t>
            </w:r>
          </w:p>
          <w:p w14:paraId="6F4B2951">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Strengthening quality and quality management, improving brand image</w:t>
            </w:r>
          </w:p>
          <w:p w14:paraId="317CEFD4">
            <w:pPr>
              <w:pStyle w:val="13"/>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Launch more affordable models and expand market coverage</w:t>
            </w:r>
          </w:p>
          <w:p w14:paraId="210964F8">
            <w:pPr>
              <w:pStyle w:val="13"/>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Actively expand overseas markets to reduce dependence on the US market</w:t>
            </w:r>
          </w:p>
        </w:tc>
      </w:tr>
      <w:tr w14:paraId="3D9409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7" w:hRule="atLeast"/>
        </w:trPr>
        <w:tc>
          <w:tcPr>
            <w:tcW w:w="3733" w:type="dxa"/>
            <w:shd w:val="clear" w:color="auto" w:fill="EAEDF1" w:themeFill="text2" w:themeFillTint="1A"/>
          </w:tcPr>
          <w:p w14:paraId="61637BA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Threats</w:t>
            </w:r>
          </w:p>
        </w:tc>
        <w:tc>
          <w:tcPr>
            <w:tcW w:w="3733" w:type="dxa"/>
            <w:shd w:val="clear" w:color="auto" w:fill="EAEDF1" w:themeFill="text2" w:themeFillTint="1A"/>
          </w:tcPr>
          <w:p w14:paraId="408AAA0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w:t>
            </w:r>
          </w:p>
        </w:tc>
        <w:tc>
          <w:tcPr>
            <w:tcW w:w="3733" w:type="dxa"/>
            <w:shd w:val="clear" w:color="auto" w:fill="EAEDF1" w:themeFill="text2" w:themeFillTint="1A"/>
          </w:tcPr>
          <w:p w14:paraId="22A8B77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W/T</w:t>
            </w:r>
          </w:p>
        </w:tc>
      </w:tr>
      <w:tr w14:paraId="279901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7" w:hRule="atLeast"/>
        </w:trPr>
        <w:tc>
          <w:tcPr>
            <w:tcW w:w="3733" w:type="dxa"/>
          </w:tcPr>
          <w:p w14:paraId="732C4556">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Intensified competition</w:t>
            </w:r>
          </w:p>
          <w:p w14:paraId="046CD9A0">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Face supply chain risks (International Energy Agency, 2024)</w:t>
            </w:r>
          </w:p>
          <w:p w14:paraId="5EE57975">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Economic recession</w:t>
            </w:r>
          </w:p>
          <w:p w14:paraId="24716F66">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Technology risks</w:t>
            </w:r>
          </w:p>
          <w:p w14:paraId="2ECB5321">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Geopolitical risks (S&amp;P Global, 2025)</w:t>
            </w:r>
          </w:p>
        </w:tc>
        <w:tc>
          <w:tcPr>
            <w:tcW w:w="3733" w:type="dxa"/>
          </w:tcPr>
          <w:p w14:paraId="4940DFDF">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Use brand influence to respond to challenges from competitors</w:t>
            </w:r>
          </w:p>
          <w:p w14:paraId="5428ECD6">
            <w:pPr>
              <w:pStyle w:val="13"/>
              <w:numPr>
                <w:ilvl w:val="0"/>
                <w:numId w:val="0"/>
              </w:numPr>
              <w:spacing w:line="360" w:lineRule="auto"/>
              <w:ind w:leftChars="0"/>
              <w:rPr>
                <w:rFonts w:hint="eastAsia" w:ascii="Times New Roman" w:hAnsi="Times New Roman" w:cs="Times New Roman"/>
                <w:sz w:val="24"/>
                <w:szCs w:val="24"/>
                <w:lang w:val="en-US" w:eastAsia="zh-CN"/>
              </w:rPr>
            </w:pPr>
          </w:p>
          <w:p w14:paraId="58D94168">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 xml:space="preserve">Combine charging network and data advantages to develop new business models </w:t>
            </w:r>
          </w:p>
        </w:tc>
        <w:tc>
          <w:tcPr>
            <w:tcW w:w="3733" w:type="dxa"/>
          </w:tcPr>
          <w:p w14:paraId="21AF12FE">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Strengthening cost control, improving production efficiency, and responding to the challenges of economic recession</w:t>
            </w:r>
          </w:p>
          <w:p w14:paraId="54785671">
            <w:pPr>
              <w:pStyle w:val="13"/>
              <w:numPr>
                <w:ilvl w:val="0"/>
                <w:numId w:val="0"/>
              </w:numPr>
              <w:spacing w:line="360" w:lineRule="auto"/>
              <w:ind w:leftChars="0"/>
              <w:rPr>
                <w:rFonts w:ascii="Times New Roman" w:hAnsi="Times New Roman" w:cs="Times New Roman"/>
                <w:sz w:val="24"/>
                <w:szCs w:val="24"/>
              </w:rPr>
            </w:pPr>
            <w:r>
              <w:rPr>
                <w:rFonts w:hint="eastAsia" w:ascii="Times New Roman" w:hAnsi="Times New Roman" w:cs="Times New Roman"/>
                <w:sz w:val="24"/>
                <w:szCs w:val="24"/>
                <w:lang w:val="en-US" w:eastAsia="zh-CN"/>
              </w:rPr>
              <w:t>*</w:t>
            </w:r>
            <w:r>
              <w:rPr>
                <w:rFonts w:ascii="Times New Roman" w:hAnsi="Times New Roman" w:cs="Times New Roman"/>
                <w:sz w:val="24"/>
                <w:szCs w:val="24"/>
              </w:rPr>
              <w:t>Strengthening cooperation with suppliers to ensure the stability of the supply chain</w:t>
            </w:r>
          </w:p>
        </w:tc>
      </w:tr>
    </w:tbl>
    <w:p w14:paraId="33D853F1">
      <w:pPr>
        <w:pStyle w:val="3"/>
        <w:spacing w:after="156" w:afterLines="50" w:line="360" w:lineRule="auto"/>
        <w:jc w:val="center"/>
        <w:rPr>
          <w:rFonts w:ascii="Times New Roman" w:hAnsi="Times New Roman" w:cs="Times New Roman"/>
          <w:sz w:val="24"/>
          <w:szCs w:val="24"/>
        </w:rPr>
      </w:pPr>
      <w:bookmarkStart w:id="17" w:name="_Toc191158201"/>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Table_ \* ARABIC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 xml:space="preserve"> Tesla’s SWOT/TOWS Analysis</w:t>
      </w:r>
      <w:bookmarkEnd w:id="17"/>
    </w:p>
    <w:p w14:paraId="0D1917E0">
      <w:pPr>
        <w:pStyle w:val="13"/>
        <w:numPr>
          <w:ilvl w:val="0"/>
          <w:numId w:val="1"/>
        </w:numPr>
        <w:spacing w:after="156" w:afterLines="50" w:line="360" w:lineRule="auto"/>
        <w:outlineLvl w:val="0"/>
        <w:rPr>
          <w:rFonts w:ascii="Times New Roman" w:hAnsi="Times New Roman" w:cs="Times New Roman"/>
          <w:b/>
          <w:bCs/>
          <w:sz w:val="24"/>
          <w:szCs w:val="24"/>
        </w:rPr>
      </w:pPr>
      <w:bookmarkStart w:id="18" w:name="_Toc191158268"/>
      <w:r>
        <w:rPr>
          <w:rFonts w:ascii="Times New Roman" w:hAnsi="Times New Roman" w:cs="Times New Roman"/>
          <w:b/>
          <w:bCs/>
          <w:sz w:val="24"/>
          <w:szCs w:val="24"/>
        </w:rPr>
        <w:t>Strategy Formulation &amp; Competitive Positioning</w:t>
      </w:r>
      <w:bookmarkEnd w:id="18"/>
    </w:p>
    <w:p w14:paraId="16B59F41">
      <w:pPr>
        <w:pStyle w:val="13"/>
        <w:numPr>
          <w:ilvl w:val="1"/>
          <w:numId w:val="1"/>
        </w:numPr>
        <w:spacing w:after="156" w:afterLines="50" w:line="360" w:lineRule="auto"/>
        <w:outlineLvl w:val="1"/>
        <w:rPr>
          <w:rFonts w:ascii="Times New Roman" w:hAnsi="Times New Roman" w:cs="Times New Roman"/>
          <w:b/>
          <w:bCs/>
          <w:sz w:val="24"/>
          <w:szCs w:val="24"/>
        </w:rPr>
      </w:pPr>
      <w:bookmarkStart w:id="19" w:name="_Toc191158269"/>
      <w:r>
        <w:rPr>
          <w:rFonts w:ascii="Times New Roman" w:hAnsi="Times New Roman" w:cs="Times New Roman"/>
          <w:b/>
          <w:bCs/>
          <w:sz w:val="24"/>
          <w:szCs w:val="24"/>
        </w:rPr>
        <w:t>Poter’s Generic Strategies</w:t>
      </w:r>
      <w:bookmarkEnd w:id="19"/>
    </w:p>
    <w:p w14:paraId="50AB40E7">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Porter’s generic strategies contain three major strategies, see Figure 2.</w:t>
      </w:r>
    </w:p>
    <w:p w14:paraId="54E5B1E9">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3477895" cy="2286000"/>
            <wp:effectExtent l="0" t="0" r="8255" b="0"/>
            <wp:docPr id="69733517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35179" name="图片 1"/>
                    <pic:cNvPicPr>
                      <a:picLocks noChangeAspect="1"/>
                    </pic:cNvPicPr>
                  </pic:nvPicPr>
                  <pic:blipFill>
                    <a:blip r:embed="rId6"/>
                    <a:stretch>
                      <a:fillRect/>
                    </a:stretch>
                  </pic:blipFill>
                  <pic:spPr>
                    <a:xfrm>
                      <a:off x="0" y="0"/>
                      <a:ext cx="3491218" cy="2294418"/>
                    </a:xfrm>
                    <a:prstGeom prst="rect">
                      <a:avLst/>
                    </a:prstGeom>
                  </pic:spPr>
                </pic:pic>
              </a:graphicData>
            </a:graphic>
          </wp:inline>
        </w:drawing>
      </w:r>
    </w:p>
    <w:p w14:paraId="0AE7293D">
      <w:pPr>
        <w:pStyle w:val="3"/>
        <w:spacing w:after="156" w:afterLines="50" w:line="360" w:lineRule="auto"/>
        <w:jc w:val="center"/>
        <w:rPr>
          <w:rFonts w:ascii="Times New Roman" w:hAnsi="Times New Roman" w:cs="Times New Roman"/>
          <w:sz w:val="24"/>
          <w:szCs w:val="24"/>
        </w:rPr>
      </w:pPr>
      <w:bookmarkStart w:id="20" w:name="_Toc191158192"/>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Figure_ \* ARABIC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xml:space="preserve"> Porter’s Generic Strategies</w:t>
      </w:r>
      <w:bookmarkEnd w:id="20"/>
    </w:p>
    <w:p w14:paraId="6125CAB9">
      <w:pPr>
        <w:spacing w:after="156" w:afterLines="50" w:line="360" w:lineRule="auto"/>
        <w:jc w:val="center"/>
        <w:rPr>
          <w:rFonts w:ascii="Times New Roman" w:hAnsi="Times New Roman" w:cs="Times New Roman"/>
          <w:sz w:val="24"/>
          <w:szCs w:val="24"/>
        </w:rPr>
      </w:pPr>
      <w:r>
        <w:rPr>
          <w:rFonts w:ascii="Times New Roman" w:hAnsi="Times New Roman" w:cs="Times New Roman"/>
          <w:sz w:val="24"/>
          <w:szCs w:val="24"/>
        </w:rPr>
        <w:t>Source. Subrahmanyam, 2019</w:t>
      </w:r>
    </w:p>
    <w:p w14:paraId="01DEF294">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For Tesla, for each of the different strategies, the specific information on the strategies it currently adopts is as follows.</w:t>
      </w:r>
    </w:p>
    <w:p w14:paraId="610CC34C">
      <w:pPr>
        <w:pStyle w:val="13"/>
        <w:numPr>
          <w:ilvl w:val="0"/>
          <w:numId w:val="5"/>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Differentiation leadership strategy: Product innovation, global charging network, technological innovation, brand image, and unique user service (Chen &amp; Perez, 2018; Cantamessa et al., 2020; Abdelazim, 2022; Tesla, Inc., 2024).</w:t>
      </w:r>
    </w:p>
    <w:p w14:paraId="41AD28E8">
      <w:pPr>
        <w:pStyle w:val="13"/>
        <w:numPr>
          <w:ilvl w:val="0"/>
          <w:numId w:val="5"/>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Cost leadership strategy: Battery cost control, production efficiency improvement, and supply chain integration (König et al., 2021; Carlier, 2024, Zheng, 2024).</w:t>
      </w:r>
    </w:p>
    <w:p w14:paraId="2B072526">
      <w:pPr>
        <w:pStyle w:val="13"/>
        <w:numPr>
          <w:ilvl w:val="0"/>
          <w:numId w:val="5"/>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Differentiation focus strategy: Focus on different models and target audiences and focus on different product features (such as intelligence, networking, and electrification) (Kay et al., 2024; Tesla, 2025b).</w:t>
      </w:r>
    </w:p>
    <w:p w14:paraId="4C28E69D">
      <w:pPr>
        <w:pStyle w:val="13"/>
        <w:numPr>
          <w:ilvl w:val="1"/>
          <w:numId w:val="1"/>
        </w:numPr>
        <w:spacing w:after="156" w:afterLines="50" w:line="360" w:lineRule="auto"/>
        <w:outlineLvl w:val="1"/>
        <w:rPr>
          <w:rFonts w:ascii="Times New Roman" w:hAnsi="Times New Roman" w:cs="Times New Roman"/>
          <w:b/>
          <w:bCs/>
          <w:sz w:val="24"/>
          <w:szCs w:val="24"/>
        </w:rPr>
      </w:pPr>
      <w:bookmarkStart w:id="21" w:name="_Toc191158270"/>
      <w:r>
        <w:rPr>
          <w:rFonts w:ascii="Times New Roman" w:hAnsi="Times New Roman" w:cs="Times New Roman"/>
          <w:b/>
          <w:bCs/>
          <w:sz w:val="24"/>
          <w:szCs w:val="24"/>
        </w:rPr>
        <w:t>Ansoff’s Matrix</w:t>
      </w:r>
      <w:bookmarkEnd w:id="21"/>
    </w:p>
    <w:p w14:paraId="5823FDA2">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Ansoff’s matrix contains four quadrants, corresponding to different types of markets and the growth strategies that companies can adopt in combination with their products (Zugay &amp; Zakaria, 2023). For Tesla, the following measures can be taken in each of the four strategies.</w:t>
      </w:r>
    </w:p>
    <w:p w14:paraId="77C61F91">
      <w:pPr>
        <w:spacing w:after="156" w:afterLines="50"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2887345" cy="2668270"/>
            <wp:effectExtent l="0" t="0" r="8255" b="17780"/>
            <wp:docPr id="19799154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15497" name="图片 1"/>
                    <pic:cNvPicPr>
                      <a:picLocks noChangeAspect="1"/>
                    </pic:cNvPicPr>
                  </pic:nvPicPr>
                  <pic:blipFill>
                    <a:blip r:embed="rId7"/>
                    <a:stretch>
                      <a:fillRect/>
                    </a:stretch>
                  </pic:blipFill>
                  <pic:spPr>
                    <a:xfrm>
                      <a:off x="0" y="0"/>
                      <a:ext cx="2901438" cy="2681367"/>
                    </a:xfrm>
                    <a:prstGeom prst="rect">
                      <a:avLst/>
                    </a:prstGeom>
                  </pic:spPr>
                </pic:pic>
              </a:graphicData>
            </a:graphic>
          </wp:inline>
        </w:drawing>
      </w:r>
    </w:p>
    <w:p w14:paraId="06B5F737">
      <w:pPr>
        <w:pStyle w:val="3"/>
        <w:spacing w:after="156" w:afterLines="50" w:line="360" w:lineRule="auto"/>
        <w:jc w:val="center"/>
        <w:rPr>
          <w:rFonts w:ascii="Times New Roman" w:hAnsi="Times New Roman" w:cs="Times New Roman"/>
          <w:sz w:val="24"/>
          <w:szCs w:val="24"/>
        </w:rPr>
      </w:pPr>
      <w:bookmarkStart w:id="22" w:name="_Toc191158193"/>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Figure_ \* ARABIC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xml:space="preserve"> The Ansoff Matrix</w:t>
      </w:r>
      <w:bookmarkEnd w:id="22"/>
    </w:p>
    <w:p w14:paraId="0DD99E13">
      <w:pPr>
        <w:spacing w:after="156" w:afterLines="5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bookmarkStart w:id="23" w:name="_Hlk191068680"/>
      <w:r>
        <w:rPr>
          <w:rFonts w:ascii="Times New Roman" w:hAnsi="Times New Roman" w:cs="Times New Roman"/>
          <w:sz w:val="24"/>
          <w:szCs w:val="24"/>
        </w:rPr>
        <w:t>Oxford College of Marketing, 2025</w:t>
      </w:r>
      <w:bookmarkEnd w:id="23"/>
    </w:p>
    <w:p w14:paraId="7091EF01">
      <w:pPr>
        <w:pStyle w:val="13"/>
        <w:numPr>
          <w:ilvl w:val="0"/>
          <w:numId w:val="6"/>
        </w:numPr>
        <w:spacing w:after="156" w:afterLines="50" w:line="360" w:lineRule="auto"/>
        <w:rPr>
          <w:rFonts w:ascii="Times New Roman" w:hAnsi="Times New Roman" w:cs="Times New Roman"/>
          <w:sz w:val="24"/>
          <w:szCs w:val="24"/>
        </w:rPr>
      </w:pPr>
      <w:bookmarkStart w:id="24" w:name="OLE_LINK1"/>
      <w:r>
        <w:rPr>
          <w:rFonts w:ascii="Times New Roman" w:hAnsi="Times New Roman" w:cs="Times New Roman"/>
          <w:sz w:val="24"/>
          <w:szCs w:val="24"/>
        </w:rPr>
        <w:t>Market penetration: lowering prices or offering promotions to attract more consumers.</w:t>
      </w:r>
    </w:p>
    <w:p w14:paraId="298AEABB">
      <w:pPr>
        <w:pStyle w:val="13"/>
        <w:numPr>
          <w:ilvl w:val="0"/>
          <w:numId w:val="6"/>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Market development: entering emerging markets.</w:t>
      </w:r>
    </w:p>
    <w:p w14:paraId="515BDB07">
      <w:pPr>
        <w:pStyle w:val="13"/>
        <w:numPr>
          <w:ilvl w:val="0"/>
          <w:numId w:val="6"/>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Product development: launching new models and developing new battery technologies.</w:t>
      </w:r>
    </w:p>
    <w:p w14:paraId="4BEE863E">
      <w:pPr>
        <w:pStyle w:val="13"/>
        <w:numPr>
          <w:ilvl w:val="0"/>
          <w:numId w:val="6"/>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Diversification: developing new products for new markets, trying energy business expansion, and building cross-border cooperation and innovation (such as interconnection between vehicles and furniture equipment to create a smart life ecosystem).</w:t>
      </w:r>
    </w:p>
    <w:bookmarkEnd w:id="24"/>
    <w:p w14:paraId="18A0C52E">
      <w:pPr>
        <w:pStyle w:val="13"/>
        <w:numPr>
          <w:ilvl w:val="1"/>
          <w:numId w:val="1"/>
        </w:numPr>
        <w:spacing w:after="156" w:afterLines="50" w:line="360" w:lineRule="auto"/>
        <w:outlineLvl w:val="1"/>
        <w:rPr>
          <w:rFonts w:ascii="Times New Roman" w:hAnsi="Times New Roman" w:cs="Times New Roman"/>
          <w:b/>
          <w:bCs/>
          <w:sz w:val="24"/>
          <w:szCs w:val="24"/>
        </w:rPr>
      </w:pPr>
      <w:bookmarkStart w:id="25" w:name="_Toc191158271"/>
      <w:r>
        <w:rPr>
          <w:rFonts w:ascii="Times New Roman" w:hAnsi="Times New Roman" w:cs="Times New Roman"/>
          <w:b/>
          <w:bCs/>
          <w:sz w:val="24"/>
          <w:szCs w:val="24"/>
        </w:rPr>
        <w:t>Mergers &amp; Acquisitions</w:t>
      </w:r>
      <w:bookmarkEnd w:id="25"/>
    </w:p>
    <w:p w14:paraId="6AB92237">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In 2016, Tesla announced the acquisition of solar panel manufacturer SolarCity for $2.6 billion worth of Tesla stock (Gilson &amp; Sarah, 2017).</w:t>
      </w:r>
    </w:p>
    <w:p w14:paraId="5B629423">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In 2019, Tesla completed the acquisition of Maxwell Technologies (Tesla, 2019).</w:t>
      </w:r>
    </w:p>
    <w:p w14:paraId="6FD9DBBA">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In 2019, Tesla bought computer vision start-up DeepScale (Kolodny, 2019).</w:t>
      </w:r>
    </w:p>
    <w:p w14:paraId="13CF66AF">
      <w:pPr>
        <w:pStyle w:val="13"/>
        <w:numPr>
          <w:ilvl w:val="0"/>
          <w:numId w:val="1"/>
        </w:numPr>
        <w:spacing w:after="156" w:afterLines="50" w:line="360" w:lineRule="auto"/>
        <w:outlineLvl w:val="0"/>
        <w:rPr>
          <w:rFonts w:ascii="Times New Roman" w:hAnsi="Times New Roman" w:cs="Times New Roman"/>
          <w:b/>
          <w:bCs/>
          <w:sz w:val="24"/>
          <w:szCs w:val="24"/>
        </w:rPr>
      </w:pPr>
      <w:bookmarkStart w:id="26" w:name="_Toc191158272"/>
      <w:r>
        <w:rPr>
          <w:rFonts w:ascii="Times New Roman" w:hAnsi="Times New Roman" w:cs="Times New Roman"/>
          <w:b/>
          <w:bCs/>
          <w:sz w:val="24"/>
          <w:szCs w:val="24"/>
        </w:rPr>
        <w:t>Sustainability &amp; Strategic Recommendations</w:t>
      </w:r>
      <w:bookmarkEnd w:id="26"/>
    </w:p>
    <w:p w14:paraId="16A301A6">
      <w:pPr>
        <w:pStyle w:val="13"/>
        <w:numPr>
          <w:ilvl w:val="1"/>
          <w:numId w:val="1"/>
        </w:numPr>
        <w:spacing w:after="156" w:afterLines="50" w:line="360" w:lineRule="auto"/>
        <w:outlineLvl w:val="1"/>
        <w:rPr>
          <w:rFonts w:ascii="Times New Roman" w:hAnsi="Times New Roman" w:cs="Times New Roman"/>
          <w:b/>
          <w:bCs/>
          <w:sz w:val="24"/>
          <w:szCs w:val="24"/>
        </w:rPr>
      </w:pPr>
      <w:bookmarkStart w:id="27" w:name="_Toc191158273"/>
      <w:r>
        <w:rPr>
          <w:rFonts w:ascii="Times New Roman" w:hAnsi="Times New Roman" w:cs="Times New Roman"/>
          <w:b/>
          <w:bCs/>
          <w:sz w:val="24"/>
          <w:szCs w:val="24"/>
        </w:rPr>
        <w:t>Sustainability Initiatives and Strategic Implications</w:t>
      </w:r>
      <w:bookmarkEnd w:id="27"/>
    </w:p>
    <w:p w14:paraId="0682E805">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Tesla’s current sustainable development revolves around products, energy, manufacturing, and supply chain. At the product level, it promotes the production of zero-emission electric vehicles and reduces carbon emissions in the transportation sector (Tesla, 2023). In terms of energy, it develops solar energy storage business and promotes the popularization and application of renewable energy (Tesla, 2023). In terms of manufacturing, it adopts sustainable manufacturing processes to reduce resource consumption and environmental pollution in the production process (Tesla, 2023). In terms of the supply chain, it strengthens management to ensure sustainability and social responsibility (Tesla, 2023).</w:t>
      </w:r>
    </w:p>
    <w:p w14:paraId="670BA975">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The strategic significance of Tesla’s adherence to sustainable development lies in its ability to enhance its brand image, reduce operating costs, better respond to policies and regulations of various countries, and help attract investment for further development.</w:t>
      </w:r>
    </w:p>
    <w:p w14:paraId="4570DCB3">
      <w:pPr>
        <w:pStyle w:val="13"/>
        <w:numPr>
          <w:ilvl w:val="1"/>
          <w:numId w:val="1"/>
        </w:numPr>
        <w:spacing w:after="156" w:afterLines="50" w:line="360" w:lineRule="auto"/>
        <w:outlineLvl w:val="1"/>
        <w:rPr>
          <w:rFonts w:ascii="Times New Roman" w:hAnsi="Times New Roman" w:cs="Times New Roman"/>
          <w:b/>
          <w:bCs/>
          <w:sz w:val="24"/>
          <w:szCs w:val="24"/>
        </w:rPr>
      </w:pPr>
      <w:bookmarkStart w:id="28" w:name="_Toc191158274"/>
      <w:r>
        <w:rPr>
          <w:rFonts w:ascii="Times New Roman" w:hAnsi="Times New Roman" w:cs="Times New Roman"/>
          <w:b/>
          <w:bCs/>
          <w:sz w:val="24"/>
          <w:szCs w:val="24"/>
        </w:rPr>
        <w:t>Recommendations for Improving Strategic Positioning</w:t>
      </w:r>
      <w:bookmarkEnd w:id="28"/>
    </w:p>
    <w:p w14:paraId="15CF87C9">
      <w:p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To further enhance its strategic positioning and be consistent with environmental and social sustainability, Tesla can consider the following suggestions:</w:t>
      </w:r>
    </w:p>
    <w:p w14:paraId="5598EBCE">
      <w:pPr>
        <w:pStyle w:val="13"/>
        <w:numPr>
          <w:ilvl w:val="0"/>
          <w:numId w:val="7"/>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Further strengthen supply chain transparency and strengthen supplier audits.</w:t>
      </w:r>
    </w:p>
    <w:p w14:paraId="669B2A1B">
      <w:pPr>
        <w:pStyle w:val="13"/>
        <w:numPr>
          <w:ilvl w:val="0"/>
          <w:numId w:val="7"/>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Promote the development of a circular economy and further reduce resource waste and environmental pollution by building battery recycling and utilization technologies.</w:t>
      </w:r>
    </w:p>
    <w:p w14:paraId="69AB39B4">
      <w:pPr>
        <w:pStyle w:val="13"/>
        <w:numPr>
          <w:ilvl w:val="0"/>
          <w:numId w:val="7"/>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Strengthen international cooperation and promote sustainable global development through cooperation with governments, companies, and non-governmental organizations.</w:t>
      </w:r>
    </w:p>
    <w:p w14:paraId="68D19DCF">
      <w:pPr>
        <w:pStyle w:val="13"/>
        <w:numPr>
          <w:ilvl w:val="0"/>
          <w:numId w:val="7"/>
        </w:numPr>
        <w:spacing w:after="156" w:afterLines="50" w:line="360" w:lineRule="auto"/>
        <w:rPr>
          <w:rFonts w:ascii="Times New Roman" w:hAnsi="Times New Roman" w:cs="Times New Roman"/>
          <w:sz w:val="24"/>
          <w:szCs w:val="24"/>
        </w:rPr>
      </w:pPr>
      <w:r>
        <w:rPr>
          <w:rFonts w:ascii="Times New Roman" w:hAnsi="Times New Roman" w:cs="Times New Roman"/>
          <w:sz w:val="24"/>
          <w:szCs w:val="24"/>
        </w:rPr>
        <w:t>Tesla should strengthen its consideration of ethical issues at the moral level, such as how the safety habits of autonomous driving technology and data privacy protection can be more appropriately handled.</w:t>
      </w:r>
    </w:p>
    <w:p w14:paraId="15A19707">
      <w:pPr>
        <w:pStyle w:val="13"/>
        <w:widowControl w:val="0"/>
        <w:numPr>
          <w:numId w:val="0"/>
        </w:numPr>
        <w:spacing w:after="156" w:afterLines="50" w:line="360" w:lineRule="auto"/>
        <w:contextualSpacing/>
        <w:jc w:val="both"/>
        <w:rPr>
          <w:rFonts w:ascii="Times New Roman" w:hAnsi="Times New Roman" w:cs="Times New Roman"/>
          <w:sz w:val="24"/>
          <w:szCs w:val="24"/>
        </w:rPr>
      </w:pPr>
    </w:p>
    <w:p w14:paraId="355110F0">
      <w:pPr>
        <w:pStyle w:val="13"/>
        <w:widowControl w:val="0"/>
        <w:numPr>
          <w:numId w:val="0"/>
        </w:numPr>
        <w:spacing w:after="156" w:afterLines="50" w:line="360" w:lineRule="auto"/>
        <w:contextualSpacing/>
        <w:jc w:val="both"/>
        <w:rPr>
          <w:rFonts w:ascii="Times New Roman" w:hAnsi="Times New Roman" w:cs="Times New Roman"/>
          <w:sz w:val="24"/>
          <w:szCs w:val="24"/>
        </w:rPr>
      </w:pPr>
      <w:bookmarkStart w:id="32" w:name="_GoBack"/>
      <w:bookmarkEnd w:id="32"/>
    </w:p>
    <w:p w14:paraId="4C9FEBDC">
      <w:pPr>
        <w:pStyle w:val="13"/>
        <w:numPr>
          <w:ilvl w:val="0"/>
          <w:numId w:val="1"/>
        </w:numPr>
        <w:spacing w:after="156" w:afterLines="50" w:line="360" w:lineRule="auto"/>
        <w:outlineLvl w:val="0"/>
        <w:rPr>
          <w:rFonts w:ascii="Times New Roman" w:hAnsi="Times New Roman" w:cs="Times New Roman"/>
          <w:b/>
          <w:bCs/>
          <w:sz w:val="24"/>
          <w:szCs w:val="24"/>
        </w:rPr>
      </w:pPr>
      <w:bookmarkStart w:id="29" w:name="_Toc191158275"/>
      <w:r>
        <w:rPr>
          <w:rFonts w:ascii="Times New Roman" w:hAnsi="Times New Roman" w:cs="Times New Roman"/>
          <w:b/>
          <w:bCs/>
          <w:sz w:val="24"/>
          <w:szCs w:val="24"/>
        </w:rPr>
        <w:t>Conclusion</w:t>
      </w:r>
      <w:bookmarkEnd w:id="29"/>
    </w:p>
    <w:p w14:paraId="2E2832B6">
      <w:pPr>
        <w:spacing w:after="156" w:afterLines="50" w:line="360" w:lineRule="auto"/>
        <w:rPr>
          <w:rFonts w:ascii="Times New Roman" w:hAnsi="Times New Roman" w:cs="Times New Roman"/>
          <w:sz w:val="24"/>
          <w:szCs w:val="24"/>
        </w:rPr>
      </w:pPr>
      <w:r>
        <w:rPr>
          <w:rFonts w:hint="eastAsia" w:ascii="Times New Roman" w:hAnsi="Times New Roman" w:cs="Times New Roman"/>
          <w:sz w:val="24"/>
          <w:szCs w:val="24"/>
        </w:rPr>
        <w:t>This report analyzed the strategic position of Tesla. The macroenvironment</w:t>
      </w:r>
      <w:r>
        <w:rPr>
          <w:rFonts w:ascii="Times New Roman" w:hAnsi="Times New Roman" w:cs="Times New Roman"/>
          <w:sz w:val="24"/>
          <w:szCs w:val="24"/>
        </w:rPr>
        <w:t>’</w:t>
      </w:r>
      <w:r>
        <w:rPr>
          <w:rFonts w:hint="eastAsia" w:ascii="Times New Roman" w:hAnsi="Times New Roman" w:cs="Times New Roman"/>
          <w:sz w:val="24"/>
          <w:szCs w:val="24"/>
        </w:rPr>
        <w:t>s support for new energy and related industries aids Tesla</w:t>
      </w:r>
      <w:r>
        <w:rPr>
          <w:rFonts w:ascii="Times New Roman" w:hAnsi="Times New Roman" w:cs="Times New Roman"/>
          <w:sz w:val="24"/>
          <w:szCs w:val="24"/>
        </w:rPr>
        <w:t>’</w:t>
      </w:r>
      <w:r>
        <w:rPr>
          <w:rFonts w:hint="eastAsia" w:ascii="Times New Roman" w:hAnsi="Times New Roman" w:cs="Times New Roman"/>
          <w:sz w:val="24"/>
          <w:szCs w:val="24"/>
        </w:rPr>
        <w:t>s development. However, in light of intensifying market competition, supply chain risks, and technological challenges, Tesla must enhance its differentiation strategy and cost control while fostering sustainable development. It</w:t>
      </w:r>
      <w:r>
        <w:rPr>
          <w:rFonts w:ascii="Times New Roman" w:hAnsi="Times New Roman" w:cs="Times New Roman"/>
          <w:sz w:val="24"/>
          <w:szCs w:val="24"/>
        </w:rPr>
        <w:t xml:space="preserve"> has established itself as a dominant player in the electric vehicle and renewable energy sectors, leveraging its strong brand, technological innovation, and global charging network. However, the company faces significant challenges, including raw material price volatility, intense competition, and capacity expansion issues. Through strategic frameworks such as PESTEL, Porter’s Five Forces, and SWOT/TOWS analysis, this report has identified key areas where Tesla can strengthen its market position. By continuing to focus on differentiation, cost leadership, and sustainable practices, Tesla can enhance its competitive advantage. Strategic recommendations include improving supply chain transparency, promoting a circular economy, strengthening international cooperation, and addressing ethical considerations in autonomous driving technology.</w:t>
      </w:r>
      <w:r>
        <w:rPr>
          <w:rFonts w:hint="eastAsia" w:ascii="Times New Roman" w:hAnsi="Times New Roman" w:cs="Times New Roman"/>
          <w:sz w:val="24"/>
          <w:szCs w:val="24"/>
        </w:rPr>
        <w:t xml:space="preserve"> </w:t>
      </w:r>
      <w:r>
        <w:rPr>
          <w:rFonts w:ascii="Times New Roman" w:hAnsi="Times New Roman" w:cs="Times New Roman"/>
          <w:sz w:val="24"/>
          <w:szCs w:val="24"/>
        </w:rPr>
        <w:t>By aligning its strategies with environmental and social sustainability, Tesla can ensure long-term growth and maintain its leadership in the evolving automotive industry.</w:t>
      </w:r>
    </w:p>
    <w:p w14:paraId="572E3726">
      <w:pPr>
        <w:spacing w:line="360" w:lineRule="auto"/>
        <w:rPr>
          <w:rFonts w:ascii="Times New Roman" w:hAnsi="Times New Roman" w:cs="Times New Roman"/>
          <w:sz w:val="24"/>
          <w:szCs w:val="24"/>
        </w:rPr>
      </w:pPr>
    </w:p>
    <w:p w14:paraId="23068E23">
      <w:pPr>
        <w:spacing w:line="360" w:lineRule="auto"/>
        <w:rPr>
          <w:rFonts w:ascii="Times New Roman" w:hAnsi="Times New Roman" w:cs="Times New Roman"/>
          <w:sz w:val="24"/>
          <w:szCs w:val="24"/>
        </w:rPr>
      </w:pPr>
    </w:p>
    <w:p w14:paraId="7C60A69A">
      <w:pPr>
        <w:spacing w:line="360" w:lineRule="auto"/>
        <w:rPr>
          <w:rFonts w:ascii="Times New Roman" w:hAnsi="Times New Roman" w:cs="Times New Roman"/>
          <w:sz w:val="24"/>
          <w:szCs w:val="24"/>
        </w:rPr>
      </w:pPr>
    </w:p>
    <w:p w14:paraId="2D0F2F24">
      <w:pPr>
        <w:spacing w:line="360" w:lineRule="auto"/>
        <w:rPr>
          <w:rFonts w:ascii="Times New Roman" w:hAnsi="Times New Roman" w:cs="Times New Roman"/>
          <w:sz w:val="24"/>
          <w:szCs w:val="24"/>
        </w:rPr>
      </w:pPr>
    </w:p>
    <w:p w14:paraId="4EFDABDB">
      <w:pPr>
        <w:spacing w:line="360" w:lineRule="auto"/>
        <w:rPr>
          <w:rFonts w:ascii="Times New Roman" w:hAnsi="Times New Roman" w:cs="Times New Roman"/>
          <w:sz w:val="24"/>
          <w:szCs w:val="24"/>
        </w:rPr>
      </w:pPr>
    </w:p>
    <w:p w14:paraId="6B8D9AB3">
      <w:pPr>
        <w:spacing w:line="360" w:lineRule="auto"/>
        <w:rPr>
          <w:rFonts w:ascii="Times New Roman" w:hAnsi="Times New Roman" w:cs="Times New Roman"/>
          <w:sz w:val="24"/>
          <w:szCs w:val="24"/>
        </w:rPr>
      </w:pPr>
    </w:p>
    <w:p w14:paraId="3863814D">
      <w:pPr>
        <w:spacing w:line="360" w:lineRule="auto"/>
        <w:rPr>
          <w:rFonts w:ascii="Times New Roman" w:hAnsi="Times New Roman" w:cs="Times New Roman"/>
          <w:sz w:val="24"/>
          <w:szCs w:val="24"/>
        </w:rPr>
      </w:pPr>
    </w:p>
    <w:p w14:paraId="2387B36C">
      <w:pPr>
        <w:spacing w:line="360" w:lineRule="auto"/>
        <w:rPr>
          <w:rFonts w:ascii="Times New Roman" w:hAnsi="Times New Roman" w:cs="Times New Roman"/>
          <w:sz w:val="24"/>
          <w:szCs w:val="24"/>
        </w:rPr>
      </w:pPr>
    </w:p>
    <w:p w14:paraId="001B29EA">
      <w:pPr>
        <w:spacing w:line="360" w:lineRule="auto"/>
        <w:rPr>
          <w:rFonts w:ascii="Times New Roman" w:hAnsi="Times New Roman" w:cs="Times New Roman"/>
          <w:sz w:val="24"/>
          <w:szCs w:val="24"/>
        </w:rPr>
      </w:pPr>
    </w:p>
    <w:p w14:paraId="5CCB3902">
      <w:pPr>
        <w:spacing w:line="360" w:lineRule="auto"/>
        <w:rPr>
          <w:rFonts w:ascii="Times New Roman" w:hAnsi="Times New Roman" w:cs="Times New Roman"/>
          <w:sz w:val="24"/>
          <w:szCs w:val="24"/>
        </w:rPr>
      </w:pPr>
    </w:p>
    <w:p w14:paraId="6CA23516">
      <w:pPr>
        <w:spacing w:after="156" w:afterLines="50" w:line="360" w:lineRule="auto"/>
        <w:rPr>
          <w:rFonts w:ascii="Times New Roman" w:hAnsi="Times New Roman" w:cs="Times New Roman"/>
          <w:sz w:val="24"/>
          <w:szCs w:val="24"/>
        </w:rPr>
      </w:pPr>
    </w:p>
    <w:p w14:paraId="4D87ACAE">
      <w:pPr>
        <w:pStyle w:val="2"/>
        <w:spacing w:after="156" w:afterLines="50" w:line="360" w:lineRule="auto"/>
        <w:rPr>
          <w:rFonts w:ascii="Times New Roman" w:hAnsi="Times New Roman" w:cs="Times New Roman"/>
          <w:b/>
          <w:bCs/>
          <w:color w:val="auto"/>
          <w:sz w:val="24"/>
          <w:szCs w:val="24"/>
        </w:rPr>
      </w:pPr>
      <w:bookmarkStart w:id="30" w:name="_Toc191158276"/>
      <w:r>
        <w:rPr>
          <w:rFonts w:ascii="Times New Roman" w:hAnsi="Times New Roman" w:cs="Times New Roman"/>
          <w:b/>
          <w:bCs/>
          <w:color w:val="auto"/>
          <w:sz w:val="24"/>
          <w:szCs w:val="24"/>
        </w:rPr>
        <w:t>Reference</w:t>
      </w:r>
      <w:bookmarkEnd w:id="30"/>
      <w:r>
        <w:rPr>
          <w:rFonts w:hint="eastAsia" w:ascii="Times New Roman" w:hAnsi="Times New Roman" w:cs="Times New Roman"/>
          <w:b/>
          <w:bCs/>
          <w:color w:val="auto"/>
          <w:sz w:val="24"/>
          <w:szCs w:val="24"/>
        </w:rPr>
        <w:t xml:space="preserve"> </w:t>
      </w:r>
    </w:p>
    <w:p w14:paraId="68F8727D">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Abdelazim, Z. (2022) ‘Business Strategy-Automotive Business Case-Tesla’</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Available at SSRN 4453857</w:t>
      </w:r>
      <w:r>
        <w:rPr>
          <w:rFonts w:ascii="Times New Roman" w:hAnsi="Times New Roman" w:cs="Times New Roman"/>
          <w:sz w:val="24"/>
          <w:szCs w:val="24"/>
        </w:rPr>
        <w:t>.</w:t>
      </w:r>
    </w:p>
    <w:p w14:paraId="1E4D191A">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Cantamessa, M., Montagna, F., Altavilla, S.</w:t>
      </w:r>
      <w:r>
        <w:rPr>
          <w:rFonts w:hint="eastAsia" w:ascii="Times New Roman" w:hAnsi="Times New Roman" w:cs="Times New Roman"/>
          <w:sz w:val="24"/>
          <w:szCs w:val="24"/>
        </w:rPr>
        <w:t xml:space="preserve"> and </w:t>
      </w:r>
      <w:r>
        <w:rPr>
          <w:rFonts w:ascii="Times New Roman" w:hAnsi="Times New Roman" w:cs="Times New Roman"/>
          <w:sz w:val="24"/>
          <w:szCs w:val="24"/>
        </w:rPr>
        <w:t>Casagrande-Seretti, A. (2020) ‘Data-driven design: the new challenges of digitalization on product design and development’</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Design Science</w:t>
      </w:r>
      <w:r>
        <w:rPr>
          <w:rFonts w:ascii="Times New Roman" w:hAnsi="Times New Roman" w:cs="Times New Roman"/>
          <w:sz w:val="24"/>
          <w:szCs w:val="24"/>
        </w:rPr>
        <w:t>, 6,</w:t>
      </w:r>
      <w:r>
        <w:rPr>
          <w:rFonts w:hint="eastAsia" w:ascii="Times New Roman" w:hAnsi="Times New Roman" w:cs="Times New Roman"/>
          <w:sz w:val="24"/>
          <w:szCs w:val="24"/>
        </w:rPr>
        <w:t xml:space="preserve"> p.</w:t>
      </w:r>
      <w:r>
        <w:rPr>
          <w:rFonts w:ascii="Times New Roman" w:hAnsi="Times New Roman" w:cs="Times New Roman"/>
          <w:sz w:val="24"/>
          <w:szCs w:val="24"/>
        </w:rPr>
        <w:t>e27.</w:t>
      </w:r>
    </w:p>
    <w:p w14:paraId="0EC8BF4F">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Carlier, M. (2024) </w:t>
      </w:r>
      <w:r>
        <w:rPr>
          <w:rFonts w:ascii="Times New Roman" w:hAnsi="Times New Roman" w:cs="Times New Roman"/>
          <w:i/>
          <w:iCs/>
          <w:sz w:val="24"/>
          <w:szCs w:val="24"/>
        </w:rPr>
        <w:t>Tesla - statistics &amp; facts</w:t>
      </w:r>
      <w:r>
        <w:rPr>
          <w:rFonts w:ascii="Times New Roman" w:hAnsi="Times New Roman" w:cs="Times New Roman"/>
          <w:sz w:val="24"/>
          <w:szCs w:val="24"/>
        </w:rPr>
        <w:t xml:space="preserve">. Available at: </w:t>
      </w:r>
      <w:r>
        <w:fldChar w:fldCharType="begin"/>
      </w:r>
      <w:r>
        <w:instrText xml:space="preserve"> HYPERLINK "file:///C:\\Users\\User\\Desktop\\2.20\\特斯拉%20reference.docx" \l "topicOverview" </w:instrText>
      </w:r>
      <w:r>
        <w:fldChar w:fldCharType="separate"/>
      </w:r>
      <w:r>
        <w:rPr>
          <w:rStyle w:val="12"/>
          <w:rFonts w:ascii="Times New Roman" w:hAnsi="Times New Roman" w:cs="Times New Roman"/>
          <w:sz w:val="24"/>
          <w:szCs w:val="24"/>
        </w:rPr>
        <w:t>https://www.statista.com/topics/2086/tesla/#topicOverview</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465FEA67">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Chen, Y.</w:t>
      </w:r>
      <w:r>
        <w:rPr>
          <w:rFonts w:hint="eastAsia" w:ascii="Times New Roman" w:hAnsi="Times New Roman" w:cs="Times New Roman"/>
          <w:sz w:val="24"/>
          <w:szCs w:val="24"/>
        </w:rPr>
        <w:t xml:space="preserve"> and </w:t>
      </w:r>
      <w:r>
        <w:rPr>
          <w:rFonts w:ascii="Times New Roman" w:hAnsi="Times New Roman" w:cs="Times New Roman"/>
          <w:sz w:val="24"/>
          <w:szCs w:val="24"/>
        </w:rPr>
        <w:t>Perez, Y. (2018) ‘Business model design: lessons learned from Tesla Motors’</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Towards a sustainable economy: Paradoxes and trends in energy and transportation</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pp. </w:t>
      </w:r>
      <w:r>
        <w:rPr>
          <w:rFonts w:ascii="Times New Roman" w:hAnsi="Times New Roman" w:cs="Times New Roman"/>
          <w:sz w:val="24"/>
          <w:szCs w:val="24"/>
        </w:rPr>
        <w:t>53-69.</w:t>
      </w:r>
    </w:p>
    <w:p w14:paraId="68B04DCD">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Clulow, V., Barry, C.</w:t>
      </w:r>
      <w:r>
        <w:rPr>
          <w:rFonts w:hint="eastAsia" w:ascii="Times New Roman" w:hAnsi="Times New Roman" w:cs="Times New Roman"/>
          <w:sz w:val="24"/>
          <w:szCs w:val="24"/>
        </w:rPr>
        <w:t xml:space="preserve"> and </w:t>
      </w:r>
      <w:r>
        <w:rPr>
          <w:rFonts w:ascii="Times New Roman" w:hAnsi="Times New Roman" w:cs="Times New Roman"/>
          <w:sz w:val="24"/>
          <w:szCs w:val="24"/>
        </w:rPr>
        <w:t>Gerstman, J. (2007) ‘The resource‐based view and value: the customer‐based view of the firm’</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Journal of European industrial training</w:t>
      </w:r>
      <w:r>
        <w:rPr>
          <w:rFonts w:ascii="Times New Roman" w:hAnsi="Times New Roman" w:cs="Times New Roman"/>
          <w:sz w:val="24"/>
          <w:szCs w:val="24"/>
        </w:rPr>
        <w:t xml:space="preserve">, 31(1), </w:t>
      </w:r>
      <w:r>
        <w:rPr>
          <w:rFonts w:hint="eastAsia" w:ascii="Times New Roman" w:hAnsi="Times New Roman" w:cs="Times New Roman"/>
          <w:sz w:val="24"/>
          <w:szCs w:val="24"/>
        </w:rPr>
        <w:t xml:space="preserve">pp. </w:t>
      </w:r>
      <w:r>
        <w:rPr>
          <w:rFonts w:ascii="Times New Roman" w:hAnsi="Times New Roman" w:cs="Times New Roman"/>
          <w:sz w:val="24"/>
          <w:szCs w:val="24"/>
        </w:rPr>
        <w:t>19-35.</w:t>
      </w:r>
    </w:p>
    <w:p w14:paraId="4EA5B040">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Garsten, E. (2023) </w:t>
      </w:r>
      <w:r>
        <w:rPr>
          <w:rFonts w:ascii="Times New Roman" w:hAnsi="Times New Roman" w:cs="Times New Roman"/>
          <w:i/>
          <w:iCs/>
          <w:sz w:val="24"/>
          <w:szCs w:val="24"/>
        </w:rPr>
        <w:t>Tech, Tesla Problematic In J.D. Power Initial Quality Study, Stellantis Shines</w:t>
      </w:r>
      <w:r>
        <w:rPr>
          <w:rFonts w:hint="eastAsia" w:ascii="Times New Roman" w:hAnsi="Times New Roman" w:cs="Times New Roman"/>
          <w:sz w:val="24"/>
          <w:szCs w:val="24"/>
        </w:rPr>
        <w:t>.</w:t>
      </w:r>
      <w:r>
        <w:rPr>
          <w:rFonts w:ascii="Times New Roman" w:hAnsi="Times New Roman" w:cs="Times New Roman"/>
          <w:sz w:val="24"/>
          <w:szCs w:val="24"/>
        </w:rPr>
        <w:t xml:space="preserve"> Available at: </w:t>
      </w:r>
      <w:r>
        <w:fldChar w:fldCharType="begin"/>
      </w:r>
      <w:r>
        <w:instrText xml:space="preserve"> HYPERLINK "https://www.forbes.com/sites/edgarsten/2023/06/22/tech-tesla-problematic-in-jd-power-initial-quality-study-stellantis-shines/" </w:instrText>
      </w:r>
      <w:r>
        <w:fldChar w:fldCharType="separate"/>
      </w:r>
      <w:r>
        <w:rPr>
          <w:rStyle w:val="12"/>
          <w:rFonts w:ascii="Times New Roman" w:hAnsi="Times New Roman" w:cs="Times New Roman"/>
          <w:sz w:val="24"/>
          <w:szCs w:val="24"/>
        </w:rPr>
        <w:t>https://www.forbes.com/sites/edgarsten/2023/06/22/tech-tesla-problematic-in-jd-power-initial-quality-study-stellantis-shines/</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45676DFA">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Gilson, S.C.</w:t>
      </w:r>
      <w:r>
        <w:rPr>
          <w:rFonts w:hint="eastAsia" w:ascii="Times New Roman" w:hAnsi="Times New Roman" w:cs="Times New Roman"/>
          <w:sz w:val="24"/>
          <w:szCs w:val="24"/>
        </w:rPr>
        <w:t xml:space="preserve"> and </w:t>
      </w:r>
      <w:r>
        <w:rPr>
          <w:rFonts w:ascii="Times New Roman" w:hAnsi="Times New Roman" w:cs="Times New Roman"/>
          <w:sz w:val="24"/>
          <w:szCs w:val="24"/>
        </w:rPr>
        <w:t xml:space="preserve">Sarah, L. A. (2017) </w:t>
      </w:r>
      <w:r>
        <w:rPr>
          <w:rFonts w:ascii="Times New Roman" w:hAnsi="Times New Roman" w:cs="Times New Roman"/>
          <w:i/>
          <w:iCs/>
          <w:sz w:val="24"/>
          <w:szCs w:val="24"/>
        </w:rPr>
        <w:t>Tesla: Merging with SolarCity</w:t>
      </w:r>
      <w:r>
        <w:rPr>
          <w:rFonts w:ascii="Times New Roman" w:hAnsi="Times New Roman" w:cs="Times New Roman"/>
          <w:sz w:val="24"/>
          <w:szCs w:val="24"/>
        </w:rPr>
        <w:t xml:space="preserve">. Available at: </w:t>
      </w:r>
      <w:r>
        <w:fldChar w:fldCharType="begin"/>
      </w:r>
      <w:r>
        <w:instrText xml:space="preserve"> HYPERLINK "https://www.hbs.edu/faculty/Pages/item.aspx?num=53652" </w:instrText>
      </w:r>
      <w:r>
        <w:fldChar w:fldCharType="separate"/>
      </w:r>
      <w:r>
        <w:rPr>
          <w:rStyle w:val="12"/>
          <w:rFonts w:ascii="Times New Roman" w:hAnsi="Times New Roman" w:cs="Times New Roman"/>
          <w:sz w:val="24"/>
          <w:szCs w:val="24"/>
        </w:rPr>
        <w:t>https://www.hbs.edu/faculty/Pages/item.aspx?num=53652</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2BF2EAC9">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International Energy Agency. (2021) </w:t>
      </w:r>
      <w:r>
        <w:rPr>
          <w:rFonts w:ascii="Times New Roman" w:hAnsi="Times New Roman" w:cs="Times New Roman"/>
          <w:i/>
          <w:iCs/>
          <w:sz w:val="24"/>
          <w:szCs w:val="24"/>
        </w:rPr>
        <w:t>Policies to promote electric vehicle deployment</w:t>
      </w:r>
      <w:r>
        <w:rPr>
          <w:rFonts w:ascii="Times New Roman" w:hAnsi="Times New Roman" w:cs="Times New Roman"/>
          <w:sz w:val="24"/>
          <w:szCs w:val="24"/>
        </w:rPr>
        <w:t xml:space="preserve">. Available at: </w:t>
      </w:r>
      <w:r>
        <w:fldChar w:fldCharType="begin"/>
      </w:r>
      <w:r>
        <w:instrText xml:space="preserve"> HYPERLINK "https://www.iea.org/reports/global-ev-outlook-2021/policies-to-promote-electric-vehicle-deployment" </w:instrText>
      </w:r>
      <w:r>
        <w:fldChar w:fldCharType="separate"/>
      </w:r>
      <w:r>
        <w:rPr>
          <w:rStyle w:val="12"/>
          <w:rFonts w:ascii="Times New Roman" w:hAnsi="Times New Roman" w:cs="Times New Roman"/>
          <w:sz w:val="24"/>
          <w:szCs w:val="24"/>
        </w:rPr>
        <w:t>https://www.iea.org/reports/global-ev-outlook-2021/policies-to-promote-electric-vehicle-deployment</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2125E821">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International Energy Agency. (2024) </w:t>
      </w:r>
      <w:r>
        <w:rPr>
          <w:rFonts w:ascii="Times New Roman" w:hAnsi="Times New Roman" w:cs="Times New Roman"/>
          <w:i/>
          <w:iCs/>
          <w:sz w:val="24"/>
          <w:szCs w:val="24"/>
        </w:rPr>
        <w:t>Trends in electric vehicle batteries</w:t>
      </w:r>
      <w:r>
        <w:rPr>
          <w:rFonts w:ascii="Times New Roman" w:hAnsi="Times New Roman" w:cs="Times New Roman"/>
          <w:sz w:val="24"/>
          <w:szCs w:val="24"/>
        </w:rPr>
        <w:t xml:space="preserve">. Available at: </w:t>
      </w:r>
      <w:r>
        <w:fldChar w:fldCharType="begin"/>
      </w:r>
      <w:r>
        <w:instrText xml:space="preserve"> HYPERLINK "https://www.iea.org/reports/global-ev-outlook-2024/trends-in-electric-vehicle-batteries" </w:instrText>
      </w:r>
      <w:r>
        <w:fldChar w:fldCharType="separate"/>
      </w:r>
      <w:r>
        <w:rPr>
          <w:rStyle w:val="12"/>
          <w:rFonts w:ascii="Times New Roman" w:hAnsi="Times New Roman" w:cs="Times New Roman"/>
          <w:sz w:val="24"/>
          <w:szCs w:val="24"/>
        </w:rPr>
        <w:t>https://www.iea.org/reports/global-ev-outlook-2024/trends-in-electric-vehicle-batteries</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4646FBED">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Jie, Z., Ma, T. H., Wu, X.</w:t>
      </w:r>
      <w:r>
        <w:rPr>
          <w:rFonts w:hint="eastAsia" w:ascii="Times New Roman" w:hAnsi="Times New Roman" w:cs="Times New Roman"/>
          <w:sz w:val="24"/>
          <w:szCs w:val="24"/>
        </w:rPr>
        <w:t xml:space="preserve"> and </w:t>
      </w:r>
      <w:r>
        <w:rPr>
          <w:rFonts w:ascii="Times New Roman" w:hAnsi="Times New Roman" w:cs="Times New Roman"/>
          <w:sz w:val="24"/>
          <w:szCs w:val="24"/>
        </w:rPr>
        <w:t>Xia, M. (2023) ‘Tesla’s Global Talent Strategy Research and Prospects’</w:t>
      </w:r>
      <w:r>
        <w:rPr>
          <w:rFonts w:hint="eastAsia" w:ascii="Times New Roman" w:hAnsi="Times New Roman" w:cs="Times New Roman"/>
          <w:sz w:val="24"/>
          <w:szCs w:val="24"/>
        </w:rPr>
        <w:t>, i</w:t>
      </w:r>
      <w:r>
        <w:rPr>
          <w:rFonts w:ascii="Times New Roman" w:hAnsi="Times New Roman" w:cs="Times New Roman"/>
          <w:sz w:val="24"/>
          <w:szCs w:val="24"/>
        </w:rPr>
        <w:t xml:space="preserve">n </w:t>
      </w:r>
      <w:r>
        <w:rPr>
          <w:rFonts w:ascii="Times New Roman" w:hAnsi="Times New Roman" w:cs="Times New Roman"/>
          <w:i/>
          <w:iCs/>
          <w:sz w:val="24"/>
          <w:szCs w:val="24"/>
        </w:rPr>
        <w:t>Proceedings of the 6th International Conference on Economic Management and Green Development</w:t>
      </w:r>
      <w:r>
        <w:rPr>
          <w:rFonts w:ascii="Times New Roman" w:hAnsi="Times New Roman" w:cs="Times New Roman"/>
          <w:sz w:val="24"/>
          <w:szCs w:val="24"/>
        </w:rPr>
        <w:t>. Singapore: Springer Nature Singapore</w:t>
      </w:r>
      <w:r>
        <w:rPr>
          <w:rFonts w:hint="eastAsia" w:ascii="Times New Roman" w:hAnsi="Times New Roman" w:cs="Times New Roman"/>
          <w:sz w:val="24"/>
          <w:szCs w:val="24"/>
        </w:rPr>
        <w:t xml:space="preserve">, </w:t>
      </w:r>
      <w:r>
        <w:rPr>
          <w:rFonts w:ascii="Times New Roman" w:hAnsi="Times New Roman" w:cs="Times New Roman"/>
          <w:sz w:val="24"/>
          <w:szCs w:val="24"/>
        </w:rPr>
        <w:t>pp. 1097-1107</w:t>
      </w:r>
      <w:r>
        <w:rPr>
          <w:rFonts w:hint="eastAsia" w:ascii="Times New Roman" w:hAnsi="Times New Roman" w:cs="Times New Roman"/>
          <w:sz w:val="24"/>
          <w:szCs w:val="24"/>
        </w:rPr>
        <w:t>.</w:t>
      </w:r>
    </w:p>
    <w:p w14:paraId="2C3B86F2">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Kay, G., Mayo, A.</w:t>
      </w:r>
      <w:r>
        <w:rPr>
          <w:rFonts w:hint="eastAsia" w:ascii="Times New Roman" w:hAnsi="Times New Roman" w:cs="Times New Roman"/>
          <w:sz w:val="24"/>
          <w:szCs w:val="24"/>
        </w:rPr>
        <w:t xml:space="preserve"> and </w:t>
      </w:r>
      <w:r>
        <w:rPr>
          <w:rFonts w:ascii="Times New Roman" w:hAnsi="Times New Roman" w:cs="Times New Roman"/>
          <w:sz w:val="24"/>
          <w:szCs w:val="24"/>
        </w:rPr>
        <w:t xml:space="preserve">Altchek, A. (2024) </w:t>
      </w:r>
      <w:r>
        <w:rPr>
          <w:rFonts w:ascii="Times New Roman" w:hAnsi="Times New Roman" w:cs="Times New Roman"/>
          <w:i/>
          <w:iCs/>
          <w:sz w:val="24"/>
          <w:szCs w:val="24"/>
        </w:rPr>
        <w:t>23 Tesla features that make them unlike any other electric cars</w:t>
      </w:r>
      <w:r>
        <w:rPr>
          <w:rFonts w:ascii="Times New Roman" w:hAnsi="Times New Roman" w:cs="Times New Roman"/>
          <w:sz w:val="24"/>
          <w:szCs w:val="24"/>
        </w:rPr>
        <w:t xml:space="preserve">. Available at: </w:t>
      </w:r>
      <w:r>
        <w:fldChar w:fldCharType="begin"/>
      </w:r>
      <w:r>
        <w:instrText xml:space="preserve"> HYPERLINK "https://www.businessinsider.com/tesla-features" </w:instrText>
      </w:r>
      <w:r>
        <w:fldChar w:fldCharType="separate"/>
      </w:r>
      <w:r>
        <w:rPr>
          <w:rStyle w:val="12"/>
          <w:rFonts w:ascii="Times New Roman" w:hAnsi="Times New Roman" w:cs="Times New Roman"/>
          <w:sz w:val="24"/>
          <w:szCs w:val="24"/>
        </w:rPr>
        <w:t>https://www.businessinsider.com/tesla-features</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 </w:t>
      </w:r>
    </w:p>
    <w:p w14:paraId="02B4AF36">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Kolodny, L. (2019) </w:t>
      </w:r>
      <w:r>
        <w:rPr>
          <w:rFonts w:ascii="Times New Roman" w:hAnsi="Times New Roman" w:cs="Times New Roman"/>
          <w:i/>
          <w:iCs/>
          <w:sz w:val="24"/>
          <w:szCs w:val="24"/>
        </w:rPr>
        <w:t>Tesla is buying computer vision start-up DeepScale in a quest to create truly driverless cars</w:t>
      </w:r>
      <w:r>
        <w:rPr>
          <w:rFonts w:ascii="Times New Roman" w:hAnsi="Times New Roman" w:cs="Times New Roman"/>
          <w:sz w:val="24"/>
          <w:szCs w:val="24"/>
        </w:rPr>
        <w:t xml:space="preserve">.  Available at: </w:t>
      </w:r>
      <w:r>
        <w:fldChar w:fldCharType="begin"/>
      </w:r>
      <w:r>
        <w:instrText xml:space="preserve"> HYPERLINK "https://www.cnbc.com/2019/10/01/tesla-acquiring-deepscale-computer-vision-start-up-for-self-driving.html" </w:instrText>
      </w:r>
      <w:r>
        <w:fldChar w:fldCharType="separate"/>
      </w:r>
      <w:r>
        <w:rPr>
          <w:rStyle w:val="12"/>
          <w:rFonts w:ascii="Times New Roman" w:hAnsi="Times New Roman" w:cs="Times New Roman"/>
          <w:sz w:val="24"/>
          <w:szCs w:val="24"/>
        </w:rPr>
        <w:t>https://www.cnbc.com/2019/10/01/tesla-acquiring-deepscale-computer-vision-start-up-for-self-driving.html</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68B24E0E">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König, A., Nicoletti, L., Schröder, D., Wolff, S., Waclaw, A.</w:t>
      </w:r>
      <w:r>
        <w:rPr>
          <w:rFonts w:hint="eastAsia" w:ascii="Times New Roman" w:hAnsi="Times New Roman" w:cs="Times New Roman"/>
          <w:sz w:val="24"/>
          <w:szCs w:val="24"/>
        </w:rPr>
        <w:t xml:space="preserve"> and </w:t>
      </w:r>
      <w:r>
        <w:rPr>
          <w:rFonts w:ascii="Times New Roman" w:hAnsi="Times New Roman" w:cs="Times New Roman"/>
          <w:sz w:val="24"/>
          <w:szCs w:val="24"/>
        </w:rPr>
        <w:t>Lienkamp, M. (2021) ‘An overview of parameter and cost for battery electric vehicles’</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World Electric Vehicle Journal</w:t>
      </w:r>
      <w:r>
        <w:rPr>
          <w:rFonts w:ascii="Times New Roman" w:hAnsi="Times New Roman" w:cs="Times New Roman"/>
          <w:sz w:val="24"/>
          <w:szCs w:val="24"/>
        </w:rPr>
        <w:t xml:space="preserve">, 12(1), </w:t>
      </w:r>
      <w:r>
        <w:rPr>
          <w:rFonts w:hint="eastAsia" w:ascii="Times New Roman" w:hAnsi="Times New Roman" w:cs="Times New Roman"/>
          <w:sz w:val="24"/>
          <w:szCs w:val="24"/>
        </w:rPr>
        <w:t>p.</w:t>
      </w:r>
      <w:r>
        <w:rPr>
          <w:rFonts w:ascii="Times New Roman" w:hAnsi="Times New Roman" w:cs="Times New Roman"/>
          <w:sz w:val="24"/>
          <w:szCs w:val="24"/>
        </w:rPr>
        <w:t>21.</w:t>
      </w:r>
    </w:p>
    <w:p w14:paraId="1B696C12">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Li, Y. (2023) ‘Analysis of Tesla’s Marketing Strategy Model’</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Advances in Economics, Management and Political Sciences</w:t>
      </w:r>
      <w:r>
        <w:rPr>
          <w:rFonts w:ascii="Times New Roman" w:hAnsi="Times New Roman" w:cs="Times New Roman"/>
          <w:sz w:val="24"/>
          <w:szCs w:val="24"/>
        </w:rPr>
        <w:t xml:space="preserve">, 54, </w:t>
      </w:r>
      <w:r>
        <w:rPr>
          <w:rFonts w:hint="eastAsia" w:ascii="Times New Roman" w:hAnsi="Times New Roman" w:cs="Times New Roman"/>
          <w:sz w:val="24"/>
          <w:szCs w:val="24"/>
        </w:rPr>
        <w:t xml:space="preserve">pp. </w:t>
      </w:r>
      <w:r>
        <w:rPr>
          <w:rFonts w:ascii="Times New Roman" w:hAnsi="Times New Roman" w:cs="Times New Roman"/>
          <w:sz w:val="24"/>
          <w:szCs w:val="24"/>
        </w:rPr>
        <w:t>33-39.</w:t>
      </w:r>
    </w:p>
    <w:p w14:paraId="3663B81F">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Liu, J. H.</w:t>
      </w:r>
      <w:r>
        <w:rPr>
          <w:rFonts w:hint="eastAsia" w:ascii="Times New Roman" w:hAnsi="Times New Roman" w:cs="Times New Roman"/>
          <w:sz w:val="24"/>
          <w:szCs w:val="24"/>
        </w:rPr>
        <w:t xml:space="preserve"> and </w:t>
      </w:r>
      <w:r>
        <w:rPr>
          <w:rFonts w:ascii="Times New Roman" w:hAnsi="Times New Roman" w:cs="Times New Roman"/>
          <w:sz w:val="24"/>
          <w:szCs w:val="24"/>
        </w:rPr>
        <w:t>Meng, Z. (2017) ‘Innovation model analysis of new energy vehicles: taking Toyota, Tesla and BYD as an example’</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Procedia engineering</w:t>
      </w:r>
      <w:r>
        <w:rPr>
          <w:rFonts w:ascii="Times New Roman" w:hAnsi="Times New Roman" w:cs="Times New Roman"/>
          <w:sz w:val="24"/>
          <w:szCs w:val="24"/>
        </w:rPr>
        <w:t xml:space="preserve">, 174, </w:t>
      </w:r>
      <w:r>
        <w:rPr>
          <w:rFonts w:hint="eastAsia" w:ascii="Times New Roman" w:hAnsi="Times New Roman" w:cs="Times New Roman"/>
          <w:sz w:val="24"/>
          <w:szCs w:val="24"/>
        </w:rPr>
        <w:t xml:space="preserve">pp. </w:t>
      </w:r>
      <w:r>
        <w:rPr>
          <w:rFonts w:ascii="Times New Roman" w:hAnsi="Times New Roman" w:cs="Times New Roman"/>
          <w:sz w:val="24"/>
          <w:szCs w:val="24"/>
        </w:rPr>
        <w:t>965-972.</w:t>
      </w:r>
    </w:p>
    <w:p w14:paraId="2A9B3EFA">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Liu, S. (2021) ‘Competition and valuation: a case study of Tesla Motors’</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hint="eastAsia" w:ascii="Times New Roman" w:hAnsi="Times New Roman" w:cs="Times New Roman"/>
          <w:sz w:val="24"/>
          <w:szCs w:val="24"/>
        </w:rPr>
        <w:t>i</w:t>
      </w:r>
      <w:r>
        <w:rPr>
          <w:rFonts w:ascii="Times New Roman" w:hAnsi="Times New Roman" w:cs="Times New Roman"/>
          <w:sz w:val="24"/>
          <w:szCs w:val="24"/>
        </w:rPr>
        <w:t xml:space="preserve">n </w:t>
      </w:r>
      <w:r>
        <w:rPr>
          <w:rFonts w:ascii="Times New Roman" w:hAnsi="Times New Roman" w:cs="Times New Roman"/>
          <w:i/>
          <w:iCs/>
          <w:sz w:val="24"/>
          <w:szCs w:val="24"/>
        </w:rPr>
        <w:t>IOP Conference Series: Earth and Environmental Science</w:t>
      </w:r>
      <w:r>
        <w:rPr>
          <w:rFonts w:hint="eastAsia" w:ascii="Times New Roman" w:hAnsi="Times New Roman" w:cs="Times New Roman"/>
          <w:i/>
          <w:iCs/>
          <w:sz w:val="24"/>
          <w:szCs w:val="24"/>
        </w:rPr>
        <w:t xml:space="preserve">. </w:t>
      </w:r>
      <w:r>
        <w:rPr>
          <w:rFonts w:ascii="Times New Roman" w:hAnsi="Times New Roman" w:cs="Times New Roman"/>
          <w:sz w:val="24"/>
          <w:szCs w:val="24"/>
        </w:rPr>
        <w:t>IOP Publishing</w:t>
      </w:r>
      <w:r>
        <w:rPr>
          <w:rFonts w:hint="eastAsia" w:ascii="Times New Roman" w:hAnsi="Times New Roman" w:cs="Times New Roman"/>
          <w:sz w:val="24"/>
          <w:szCs w:val="24"/>
        </w:rPr>
        <w:t xml:space="preserve">, </w:t>
      </w:r>
      <w:r>
        <w:rPr>
          <w:rFonts w:ascii="Times New Roman" w:hAnsi="Times New Roman" w:cs="Times New Roman"/>
          <w:sz w:val="24"/>
          <w:szCs w:val="24"/>
        </w:rPr>
        <w:t>692</w:t>
      </w:r>
      <w:r>
        <w:rPr>
          <w:rFonts w:hint="eastAsia" w:ascii="Times New Roman" w:hAnsi="Times New Roman" w:cs="Times New Roman"/>
          <w:sz w:val="24"/>
          <w:szCs w:val="24"/>
        </w:rPr>
        <w:t>(</w:t>
      </w:r>
      <w:r>
        <w:rPr>
          <w:rFonts w:ascii="Times New Roman" w:hAnsi="Times New Roman" w:cs="Times New Roman"/>
          <w:sz w:val="24"/>
          <w:szCs w:val="24"/>
        </w:rPr>
        <w:t>2</w:t>
      </w:r>
      <w:r>
        <w:rPr>
          <w:rFonts w:hint="eastAsia" w:ascii="Times New Roman" w:hAnsi="Times New Roman" w:cs="Times New Roman"/>
          <w:sz w:val="24"/>
          <w:szCs w:val="24"/>
        </w:rPr>
        <w:t>)</w:t>
      </w:r>
      <w:r>
        <w:rPr>
          <w:rFonts w:ascii="Times New Roman" w:hAnsi="Times New Roman" w:cs="Times New Roman"/>
          <w:sz w:val="24"/>
          <w:szCs w:val="24"/>
        </w:rPr>
        <w:t>, p. 022103.</w:t>
      </w:r>
    </w:p>
    <w:p w14:paraId="20CBBBC3">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Micheletta, M. (2024) </w:t>
      </w:r>
      <w:r>
        <w:rPr>
          <w:rFonts w:ascii="Times New Roman" w:hAnsi="Times New Roman" w:cs="Times New Roman"/>
          <w:i/>
          <w:iCs/>
          <w:sz w:val="24"/>
          <w:szCs w:val="24"/>
        </w:rPr>
        <w:t>Tesla’s EV boom overshadowed by alarming production bottlenecks</w:t>
      </w:r>
      <w:r>
        <w:rPr>
          <w:rFonts w:ascii="Times New Roman" w:hAnsi="Times New Roman" w:cs="Times New Roman"/>
          <w:sz w:val="24"/>
          <w:szCs w:val="24"/>
        </w:rPr>
        <w:t xml:space="preserve">. Available at: </w:t>
      </w:r>
      <w:r>
        <w:fldChar w:fldCharType="begin"/>
      </w:r>
      <w:r>
        <w:instrText xml:space="preserve"> HYPERLINK "https://www.autoblog.com/news/teslas-ev-boom-overshadowed-by-alarming-production-bottlenecks" </w:instrText>
      </w:r>
      <w:r>
        <w:fldChar w:fldCharType="separate"/>
      </w:r>
      <w:r>
        <w:rPr>
          <w:rStyle w:val="12"/>
          <w:rFonts w:ascii="Times New Roman" w:hAnsi="Times New Roman" w:cs="Times New Roman"/>
          <w:sz w:val="24"/>
          <w:szCs w:val="24"/>
        </w:rPr>
        <w:t>https://www.autoblog.com/news/teslas-ev-boom-overshadowed-by-alarming-production-bottlenecks</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42EEF17F">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Naor, M., Coman, A.</w:t>
      </w:r>
      <w:r>
        <w:rPr>
          <w:rFonts w:hint="eastAsia" w:ascii="Times New Roman" w:hAnsi="Times New Roman" w:cs="Times New Roman"/>
          <w:sz w:val="24"/>
          <w:szCs w:val="24"/>
        </w:rPr>
        <w:t xml:space="preserve"> and </w:t>
      </w:r>
      <w:r>
        <w:rPr>
          <w:rFonts w:ascii="Times New Roman" w:hAnsi="Times New Roman" w:cs="Times New Roman"/>
          <w:sz w:val="24"/>
          <w:szCs w:val="24"/>
        </w:rPr>
        <w:t>Wiznizer, A. (2021) ‘Vertically integrated supply chain of batteries, electric vehicles, and charging infrastructure: A review of three milestone projects from theory of constraints perspective’</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Sustainability</w:t>
      </w:r>
      <w:r>
        <w:rPr>
          <w:rFonts w:ascii="Times New Roman" w:hAnsi="Times New Roman" w:cs="Times New Roman"/>
          <w:sz w:val="24"/>
          <w:szCs w:val="24"/>
        </w:rPr>
        <w:t xml:space="preserve">, 13(7), </w:t>
      </w:r>
      <w:r>
        <w:rPr>
          <w:rFonts w:hint="eastAsia" w:ascii="Times New Roman" w:hAnsi="Times New Roman" w:cs="Times New Roman"/>
          <w:sz w:val="24"/>
          <w:szCs w:val="24"/>
        </w:rPr>
        <w:t>p.</w:t>
      </w:r>
      <w:r>
        <w:rPr>
          <w:rFonts w:ascii="Times New Roman" w:hAnsi="Times New Roman" w:cs="Times New Roman"/>
          <w:sz w:val="24"/>
          <w:szCs w:val="24"/>
        </w:rPr>
        <w:t>3632.</w:t>
      </w:r>
    </w:p>
    <w:p w14:paraId="63B35DD1">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Oxford College of Marketing. (2025) </w:t>
      </w:r>
      <w:r>
        <w:rPr>
          <w:rFonts w:ascii="Times New Roman" w:hAnsi="Times New Roman" w:cs="Times New Roman"/>
          <w:i/>
          <w:iCs/>
          <w:sz w:val="24"/>
          <w:szCs w:val="24"/>
        </w:rPr>
        <w:t>Using The Ansoff Matrix to Develop Marketing Strategy</w:t>
      </w:r>
      <w:r>
        <w:rPr>
          <w:rFonts w:ascii="Times New Roman" w:hAnsi="Times New Roman" w:cs="Times New Roman"/>
          <w:sz w:val="24"/>
          <w:szCs w:val="24"/>
        </w:rPr>
        <w:t xml:space="preserve">. Available at: </w:t>
      </w:r>
      <w:r>
        <w:fldChar w:fldCharType="begin"/>
      </w:r>
      <w:r>
        <w:instrText xml:space="preserve"> HYPERLINK "https://blog.oxfordcollegeofmarketing.com/2016/08/01/using-ansoff-matrix-develop-marketing-strategy/" </w:instrText>
      </w:r>
      <w:r>
        <w:fldChar w:fldCharType="separate"/>
      </w:r>
      <w:r>
        <w:rPr>
          <w:rStyle w:val="12"/>
          <w:rFonts w:ascii="Times New Roman" w:hAnsi="Times New Roman" w:cs="Times New Roman"/>
          <w:sz w:val="24"/>
          <w:szCs w:val="24"/>
        </w:rPr>
        <w:t>https://blog.oxfordcollegeofmarketing.com/2016/08/01/using-ansoff-matrix-develop-marketing-strategy/</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 </w:t>
      </w:r>
    </w:p>
    <w:p w14:paraId="7322FC1B">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Ren, D. (2025) </w:t>
      </w:r>
      <w:r>
        <w:rPr>
          <w:rFonts w:ascii="Times New Roman" w:hAnsi="Times New Roman" w:cs="Times New Roman"/>
          <w:i/>
          <w:iCs/>
          <w:sz w:val="24"/>
          <w:szCs w:val="24"/>
        </w:rPr>
        <w:t>15 million new Chinese EVs to have self-driving features this year</w:t>
      </w:r>
      <w:r>
        <w:rPr>
          <w:rFonts w:ascii="Times New Roman" w:hAnsi="Times New Roman" w:cs="Times New Roman"/>
          <w:sz w:val="24"/>
          <w:szCs w:val="24"/>
        </w:rPr>
        <w:t xml:space="preserve">. Available at: </w:t>
      </w:r>
      <w:r>
        <w:fldChar w:fldCharType="begin"/>
      </w:r>
      <w:r>
        <w:instrText xml:space="preserve"> HYPERLINK "https://www.scmp.com/business/china-business/article/3297060/15-million-new-chinese-evs-have-self-driving-features-year" </w:instrText>
      </w:r>
      <w:r>
        <w:fldChar w:fldCharType="separate"/>
      </w:r>
      <w:r>
        <w:rPr>
          <w:rStyle w:val="12"/>
          <w:rFonts w:ascii="Times New Roman" w:hAnsi="Times New Roman" w:cs="Times New Roman"/>
          <w:sz w:val="24"/>
          <w:szCs w:val="24"/>
        </w:rPr>
        <w:t>https://www.scmp.com/business/china-business/article/3297060/15-million-new-chinese-evs-have-self-driving-features-year</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202E8834">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S&amp;P Global. (2025) </w:t>
      </w:r>
      <w:r>
        <w:rPr>
          <w:rFonts w:ascii="Times New Roman" w:hAnsi="Times New Roman" w:cs="Times New Roman"/>
          <w:i/>
          <w:iCs/>
          <w:sz w:val="24"/>
          <w:szCs w:val="24"/>
        </w:rPr>
        <w:t>Top Geopolitical Risks of 2025</w:t>
      </w:r>
      <w:r>
        <w:rPr>
          <w:rFonts w:ascii="Times New Roman" w:hAnsi="Times New Roman" w:cs="Times New Roman"/>
          <w:sz w:val="24"/>
          <w:szCs w:val="24"/>
        </w:rPr>
        <w:t xml:space="preserve">. Available at: </w:t>
      </w:r>
      <w:r>
        <w:fldChar w:fldCharType="begin"/>
      </w:r>
      <w:r>
        <w:instrText xml:space="preserve"> HYPERLINK "https://www.spglobal.com/en/research-insights/market-insights/geopolitical-risk" </w:instrText>
      </w:r>
      <w:r>
        <w:fldChar w:fldCharType="separate"/>
      </w:r>
      <w:r>
        <w:rPr>
          <w:rStyle w:val="12"/>
          <w:rFonts w:ascii="Times New Roman" w:hAnsi="Times New Roman" w:cs="Times New Roman"/>
          <w:sz w:val="24"/>
          <w:szCs w:val="24"/>
        </w:rPr>
        <w:t>https://www.spglobal.com/en/research-insights/market-insights/geopolitical-risk</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342BF80D">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Statista Research Department. (2022) </w:t>
      </w:r>
      <w:r>
        <w:rPr>
          <w:rFonts w:ascii="Times New Roman" w:hAnsi="Times New Roman" w:cs="Times New Roman"/>
          <w:i/>
          <w:iCs/>
          <w:sz w:val="24"/>
          <w:szCs w:val="24"/>
        </w:rPr>
        <w:t>Breakdown of global car sales in 2019 and 2030, by fuel technology</w:t>
      </w:r>
      <w:r>
        <w:rPr>
          <w:rFonts w:ascii="Times New Roman" w:hAnsi="Times New Roman" w:cs="Times New Roman"/>
          <w:sz w:val="24"/>
          <w:szCs w:val="24"/>
        </w:rPr>
        <w:t xml:space="preserve">. Available at: </w:t>
      </w:r>
      <w:r>
        <w:fldChar w:fldCharType="begin"/>
      </w:r>
      <w:r>
        <w:instrText xml:space="preserve"> HYPERLINK "https://www.statista.com/statistics/827460/global-car-sales-by-fuel-technology/" </w:instrText>
      </w:r>
      <w:r>
        <w:fldChar w:fldCharType="separate"/>
      </w:r>
      <w:r>
        <w:rPr>
          <w:rStyle w:val="12"/>
          <w:rFonts w:ascii="Times New Roman" w:hAnsi="Times New Roman" w:cs="Times New Roman"/>
          <w:sz w:val="24"/>
          <w:szCs w:val="24"/>
        </w:rPr>
        <w:t>https://www.statista.com/statistics/827460/global-car-sales-by-fuel-technology/</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15D7D74D">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Subrahmanyam, S. (2019) ‘Carrefour’s competitive strategy-cost leadership and differentiation: A case study’</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Pacific Business Review International</w:t>
      </w:r>
      <w:r>
        <w:rPr>
          <w:rFonts w:ascii="Times New Roman" w:hAnsi="Times New Roman" w:cs="Times New Roman"/>
          <w:sz w:val="24"/>
          <w:szCs w:val="24"/>
        </w:rPr>
        <w:t xml:space="preserve">, 11(8), </w:t>
      </w:r>
      <w:r>
        <w:rPr>
          <w:rFonts w:hint="eastAsia" w:ascii="Times New Roman" w:hAnsi="Times New Roman" w:cs="Times New Roman"/>
          <w:sz w:val="24"/>
          <w:szCs w:val="24"/>
        </w:rPr>
        <w:t xml:space="preserve">pp. </w:t>
      </w:r>
      <w:r>
        <w:rPr>
          <w:rFonts w:ascii="Times New Roman" w:hAnsi="Times New Roman" w:cs="Times New Roman"/>
          <w:sz w:val="24"/>
          <w:szCs w:val="24"/>
        </w:rPr>
        <w:t>137-145.</w:t>
      </w:r>
    </w:p>
    <w:p w14:paraId="146B70E1">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Tesla, Inc. (2024) </w:t>
      </w:r>
      <w:r>
        <w:rPr>
          <w:rFonts w:ascii="Times New Roman" w:hAnsi="Times New Roman" w:cs="Times New Roman"/>
          <w:i/>
          <w:iCs/>
          <w:sz w:val="24"/>
          <w:szCs w:val="24"/>
        </w:rPr>
        <w:t>Annual Report 2024</w:t>
      </w:r>
      <w:r>
        <w:rPr>
          <w:rFonts w:ascii="Times New Roman" w:hAnsi="Times New Roman" w:cs="Times New Roman"/>
          <w:sz w:val="24"/>
          <w:szCs w:val="24"/>
        </w:rPr>
        <w:t xml:space="preserve">.  Available at: </w:t>
      </w:r>
      <w:r>
        <w:fldChar w:fldCharType="begin"/>
      </w:r>
      <w:r>
        <w:instrText xml:space="preserve"> HYPERLINK "https://ir.tesla.com/_flysystem/s3/sec/000162828024002390/tsla-20231231-gen.pdf" </w:instrText>
      </w:r>
      <w:r>
        <w:fldChar w:fldCharType="separate"/>
      </w:r>
      <w:r>
        <w:rPr>
          <w:rStyle w:val="11"/>
          <w:rFonts w:ascii="Times New Roman" w:hAnsi="Times New Roman" w:cs="Times New Roman"/>
          <w:sz w:val="24"/>
          <w:szCs w:val="24"/>
        </w:rPr>
        <w:t>https://ir.tesla.com/_flysystem/s3/sec/000162828024002390/tsla-20231231-gen.pdf</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20 February 2025).</w:t>
      </w:r>
    </w:p>
    <w:p w14:paraId="78D61B49">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Tesla. (2019) Tesla Completes Acquisition of Maxwell Technologies. Available at: </w:t>
      </w:r>
      <w:r>
        <w:fldChar w:fldCharType="begin"/>
      </w:r>
      <w:r>
        <w:instrText xml:space="preserve"> HYPERLINK "https://ir.tesla.com/press-release/tesla-completes-acquisition-maxwell-technologies" </w:instrText>
      </w:r>
      <w:r>
        <w:fldChar w:fldCharType="separate"/>
      </w:r>
      <w:r>
        <w:rPr>
          <w:rStyle w:val="12"/>
          <w:rFonts w:ascii="Times New Roman" w:hAnsi="Times New Roman" w:cs="Times New Roman"/>
          <w:sz w:val="24"/>
          <w:szCs w:val="24"/>
        </w:rPr>
        <w:t>https://ir.tesla.com/press-release/tesla-completes-acquisition-maxwell-technologies</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48E1BE86">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Tesla. (2023) </w:t>
      </w:r>
      <w:r>
        <w:rPr>
          <w:rFonts w:ascii="Times New Roman" w:hAnsi="Times New Roman" w:cs="Times New Roman"/>
          <w:i/>
          <w:iCs/>
          <w:sz w:val="24"/>
          <w:szCs w:val="24"/>
        </w:rPr>
        <w:t>2023-Tesla-Impact-Report</w:t>
      </w:r>
      <w:r>
        <w:rPr>
          <w:rFonts w:ascii="Times New Roman" w:hAnsi="Times New Roman" w:cs="Times New Roman"/>
          <w:sz w:val="24"/>
          <w:szCs w:val="24"/>
        </w:rPr>
        <w:t xml:space="preserve">. Available at: </w:t>
      </w:r>
      <w:r>
        <w:fldChar w:fldCharType="begin"/>
      </w:r>
      <w:r>
        <w:instrText xml:space="preserve"> HYPERLINK "https://www.tesla.com/ns_videos/2023-tesla-impact-report.pdf" </w:instrText>
      </w:r>
      <w:r>
        <w:fldChar w:fldCharType="separate"/>
      </w:r>
      <w:r>
        <w:rPr>
          <w:rStyle w:val="12"/>
          <w:rFonts w:ascii="Times New Roman" w:hAnsi="Times New Roman" w:cs="Times New Roman"/>
          <w:sz w:val="24"/>
          <w:szCs w:val="24"/>
        </w:rPr>
        <w:t>https://www.tesla.com/ns_videos/2023-tesla-impact-report.pdf</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1756F007">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Tesla. (2025a). </w:t>
      </w:r>
      <w:r>
        <w:rPr>
          <w:rFonts w:ascii="Times New Roman" w:hAnsi="Times New Roman" w:cs="Times New Roman"/>
          <w:i/>
          <w:iCs/>
          <w:sz w:val="24"/>
          <w:szCs w:val="24"/>
        </w:rPr>
        <w:t>Supercharger</w:t>
      </w:r>
      <w:r>
        <w:rPr>
          <w:rFonts w:ascii="Times New Roman" w:hAnsi="Times New Roman" w:cs="Times New Roman"/>
          <w:sz w:val="24"/>
          <w:szCs w:val="24"/>
        </w:rPr>
        <w:t xml:space="preserve">. Available at: </w:t>
      </w:r>
      <w:r>
        <w:fldChar w:fldCharType="begin"/>
      </w:r>
      <w:r>
        <w:instrText xml:space="preserve"> HYPERLINK "https://www.tesla.com/supercharger" </w:instrText>
      </w:r>
      <w:r>
        <w:fldChar w:fldCharType="separate"/>
      </w:r>
      <w:r>
        <w:rPr>
          <w:rStyle w:val="12"/>
          <w:rFonts w:ascii="Times New Roman" w:hAnsi="Times New Roman" w:cs="Times New Roman"/>
          <w:sz w:val="24"/>
          <w:szCs w:val="24"/>
        </w:rPr>
        <w:t>https://www.tesla.com/supercharger</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7D42EBBF">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Tesla. (2025</w:t>
      </w:r>
      <w:r>
        <w:rPr>
          <w:rFonts w:hint="eastAsia" w:ascii="Times New Roman" w:hAnsi="Times New Roman" w:cs="Times New Roman"/>
          <w:sz w:val="24"/>
          <w:szCs w:val="24"/>
        </w:rPr>
        <w:t>b</w:t>
      </w:r>
      <w:r>
        <w:rPr>
          <w:rFonts w:ascii="Times New Roman" w:hAnsi="Times New Roman" w:cs="Times New Roman"/>
          <w:sz w:val="24"/>
          <w:szCs w:val="24"/>
        </w:rPr>
        <w:t xml:space="preserve">). </w:t>
      </w:r>
      <w:r>
        <w:rPr>
          <w:rFonts w:ascii="Times New Roman" w:hAnsi="Times New Roman" w:cs="Times New Roman"/>
          <w:i/>
          <w:iCs/>
          <w:sz w:val="24"/>
          <w:szCs w:val="24"/>
        </w:rPr>
        <w:t>Autopilot and Full Self-Driving (Supervised)</w:t>
      </w:r>
      <w:r>
        <w:rPr>
          <w:rFonts w:ascii="Times New Roman" w:hAnsi="Times New Roman" w:cs="Times New Roman"/>
          <w:sz w:val="24"/>
          <w:szCs w:val="24"/>
        </w:rPr>
        <w:t xml:space="preserve">. Available at: </w:t>
      </w:r>
      <w:r>
        <w:fldChar w:fldCharType="begin"/>
      </w:r>
      <w:r>
        <w:instrText xml:space="preserve"> HYPERLINK "https://www.tesla.com/support/autopilot" </w:instrText>
      </w:r>
      <w:r>
        <w:fldChar w:fldCharType="separate"/>
      </w:r>
      <w:r>
        <w:rPr>
          <w:rStyle w:val="12"/>
          <w:rFonts w:ascii="Times New Roman" w:hAnsi="Times New Roman" w:cs="Times New Roman"/>
          <w:sz w:val="24"/>
          <w:szCs w:val="24"/>
        </w:rPr>
        <w:t>https://www.tesla.com/support/autopilot</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w:t>
      </w:r>
      <w:bookmarkStart w:id="31" w:name="OLE_LINK2"/>
      <w:r>
        <w:rPr>
          <w:rFonts w:ascii="Times New Roman" w:hAnsi="Times New Roman" w:cs="Times New Roman"/>
          <w:sz w:val="24"/>
          <w:szCs w:val="24"/>
        </w:rPr>
        <w:t xml:space="preserve">(Accessed 21 February 2025). </w:t>
      </w:r>
      <w:bookmarkEnd w:id="31"/>
    </w:p>
    <w:p w14:paraId="0B5AE8DD">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 xml:space="preserve">UN Environment Programme. (2025) </w:t>
      </w:r>
      <w:r>
        <w:rPr>
          <w:rFonts w:ascii="Times New Roman" w:hAnsi="Times New Roman" w:cs="Times New Roman"/>
          <w:i/>
          <w:iCs/>
          <w:sz w:val="24"/>
          <w:szCs w:val="24"/>
        </w:rPr>
        <w:t>Green Economy</w:t>
      </w:r>
      <w:r>
        <w:rPr>
          <w:rFonts w:ascii="Times New Roman" w:hAnsi="Times New Roman" w:cs="Times New Roman"/>
          <w:sz w:val="24"/>
          <w:szCs w:val="24"/>
        </w:rPr>
        <w:t xml:space="preserve">. Available at: </w:t>
      </w:r>
      <w:r>
        <w:fldChar w:fldCharType="begin"/>
      </w:r>
      <w:r>
        <w:instrText xml:space="preserve"> HYPERLINK "https://www.unep.org/regions/asia-and-pacific/regional-initiatives/supporting-resource-efficiency/green-economy" </w:instrText>
      </w:r>
      <w:r>
        <w:fldChar w:fldCharType="separate"/>
      </w:r>
      <w:r>
        <w:rPr>
          <w:rStyle w:val="12"/>
          <w:rFonts w:ascii="Times New Roman" w:hAnsi="Times New Roman" w:cs="Times New Roman"/>
          <w:sz w:val="24"/>
          <w:szCs w:val="24"/>
        </w:rPr>
        <w:t>https://www.unep.org/regions/asia-and-pacific/regional-initiatives/supporting-resource-efficiency/green-economy</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21 February 2025).</w:t>
      </w:r>
    </w:p>
    <w:p w14:paraId="39A41E1C">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Zamora, E. A. (2016) ‘Value chain analysis: A brief review’</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Asian Journal of Innovation and Policy</w:t>
      </w:r>
      <w:r>
        <w:rPr>
          <w:rFonts w:ascii="Times New Roman" w:hAnsi="Times New Roman" w:cs="Times New Roman"/>
          <w:sz w:val="24"/>
          <w:szCs w:val="24"/>
        </w:rPr>
        <w:t xml:space="preserve">, 5(2), </w:t>
      </w:r>
      <w:r>
        <w:rPr>
          <w:rFonts w:hint="eastAsia" w:ascii="Times New Roman" w:hAnsi="Times New Roman" w:cs="Times New Roman"/>
          <w:sz w:val="24"/>
          <w:szCs w:val="24"/>
        </w:rPr>
        <w:t xml:space="preserve">pp. </w:t>
      </w:r>
      <w:r>
        <w:rPr>
          <w:rFonts w:ascii="Times New Roman" w:hAnsi="Times New Roman" w:cs="Times New Roman"/>
          <w:sz w:val="24"/>
          <w:szCs w:val="24"/>
        </w:rPr>
        <w:t>116-128.</w:t>
      </w:r>
    </w:p>
    <w:p w14:paraId="6823D802">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Zheng, S. (2024) ‘Analysis of the Tesla’s Sustainable Supply Chain Management’</w:t>
      </w:r>
      <w:r>
        <w:rPr>
          <w:rFonts w:hint="eastAsia"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Advances in Economics, Management and Political Sciences</w:t>
      </w:r>
      <w:r>
        <w:rPr>
          <w:rFonts w:ascii="Times New Roman" w:hAnsi="Times New Roman" w:cs="Times New Roman"/>
          <w:sz w:val="24"/>
          <w:szCs w:val="24"/>
        </w:rPr>
        <w:t xml:space="preserve">, 84, </w:t>
      </w:r>
      <w:r>
        <w:rPr>
          <w:rFonts w:hint="eastAsia" w:ascii="Times New Roman" w:hAnsi="Times New Roman" w:cs="Times New Roman"/>
          <w:sz w:val="24"/>
          <w:szCs w:val="24"/>
        </w:rPr>
        <w:t xml:space="preserve">pp. </w:t>
      </w:r>
      <w:r>
        <w:rPr>
          <w:rFonts w:ascii="Times New Roman" w:hAnsi="Times New Roman" w:cs="Times New Roman"/>
          <w:sz w:val="24"/>
          <w:szCs w:val="24"/>
        </w:rPr>
        <w:t>49-55.</w:t>
      </w:r>
    </w:p>
    <w:p w14:paraId="4222BBA3">
      <w:pPr>
        <w:spacing w:after="156" w:afterLines="50" w:line="360" w:lineRule="auto"/>
        <w:ind w:left="480" w:hanging="480" w:hangingChars="200"/>
        <w:rPr>
          <w:rFonts w:ascii="Times New Roman" w:hAnsi="Times New Roman" w:cs="Times New Roman"/>
          <w:sz w:val="24"/>
          <w:szCs w:val="24"/>
        </w:rPr>
      </w:pPr>
      <w:r>
        <w:rPr>
          <w:rFonts w:ascii="Times New Roman" w:hAnsi="Times New Roman" w:cs="Times New Roman"/>
          <w:sz w:val="24"/>
          <w:szCs w:val="24"/>
        </w:rPr>
        <w:t>Zugay, B.</w:t>
      </w:r>
      <w:r>
        <w:rPr>
          <w:rFonts w:hint="eastAsia" w:ascii="Times New Roman" w:hAnsi="Times New Roman" w:cs="Times New Roman"/>
          <w:sz w:val="24"/>
          <w:szCs w:val="24"/>
        </w:rPr>
        <w:t xml:space="preserve"> and </w:t>
      </w:r>
      <w:r>
        <w:rPr>
          <w:rFonts w:ascii="Times New Roman" w:hAnsi="Times New Roman" w:cs="Times New Roman"/>
          <w:sz w:val="24"/>
          <w:szCs w:val="24"/>
        </w:rPr>
        <w:t xml:space="preserve">Zakaria, R. (2023). </w:t>
      </w:r>
      <w:r>
        <w:rPr>
          <w:rFonts w:ascii="Times New Roman" w:hAnsi="Times New Roman" w:cs="Times New Roman"/>
          <w:i/>
          <w:iCs/>
          <w:sz w:val="24"/>
          <w:szCs w:val="24"/>
        </w:rPr>
        <w:t>Ansoff matrix</w:t>
      </w:r>
      <w:r>
        <w:rPr>
          <w:rFonts w:ascii="Times New Roman" w:hAnsi="Times New Roman" w:cs="Times New Roman"/>
          <w:sz w:val="24"/>
          <w:szCs w:val="24"/>
        </w:rPr>
        <w:t>. SAGE Publications, Inc.</w:t>
      </w:r>
    </w:p>
    <w:p w14:paraId="7EF40CB6"/>
    <w:sectPr>
      <w:footerReference r:id="rId3" w:type="default"/>
      <w:pgSz w:w="11906" w:h="16838"/>
      <w:pgMar w:top="1440" w:right="1800" w:bottom="1440" w:left="1800"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32174717"/>
    </w:sdtPr>
    <w:sdtContent>
      <w:p w14:paraId="31EB5542">
        <w:pPr>
          <w:pStyle w:val="4"/>
          <w:jc w:val="center"/>
          <w:rPr>
            <w:rFonts w:hint="eastAsia"/>
          </w:rPr>
        </w:pPr>
        <w:r>
          <w:fldChar w:fldCharType="begin"/>
        </w:r>
        <w:r>
          <w:instrText xml:space="preserve">PAGE   \* MERGEFORMAT</w:instrText>
        </w:r>
        <w:r>
          <w:fldChar w:fldCharType="separate"/>
        </w:r>
        <w:r>
          <w:rPr>
            <w:lang w:val="zh-CN"/>
          </w:rPr>
          <w:t>2</w:t>
        </w:r>
        <w:r>
          <w:fldChar w:fldCharType="end"/>
        </w:r>
      </w:p>
    </w:sdtContent>
  </w:sdt>
  <w:p w14:paraId="2C329BD2">
    <w:pPr>
      <w:pStyle w:val="4"/>
      <w:rPr>
        <w:rFonts w:hint="eastAsia"/>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C43321C"/>
    <w:multiLevelType w:val="multilevel"/>
    <w:tmpl w:val="2C43321C"/>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1">
    <w:nsid w:val="33627AE1"/>
    <w:multiLevelType w:val="multilevel"/>
    <w:tmpl w:val="33627AE1"/>
    <w:lvl w:ilvl="0" w:tentative="0">
      <w:start w:val="1"/>
      <w:numFmt w:val="decimal"/>
      <w:lvlText w:val="%1."/>
      <w:lvlJc w:val="left"/>
      <w:pPr>
        <w:ind w:left="360" w:hanging="360"/>
      </w:pPr>
      <w:rPr>
        <w:rFonts w:hint="default"/>
      </w:r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2">
    <w:nsid w:val="39CF04B5"/>
    <w:multiLevelType w:val="multilevel"/>
    <w:tmpl w:val="39CF04B5"/>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3">
    <w:nsid w:val="45842C9F"/>
    <w:multiLevelType w:val="multilevel"/>
    <w:tmpl w:val="45842C9F"/>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4">
    <w:nsid w:val="48E77C7A"/>
    <w:multiLevelType w:val="multilevel"/>
    <w:tmpl w:val="48E77C7A"/>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5">
    <w:nsid w:val="4C121BC2"/>
    <w:multiLevelType w:val="multilevel"/>
    <w:tmpl w:val="4C121BC2"/>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abstractNum w:abstractNumId="6">
    <w:nsid w:val="672669AA"/>
    <w:multiLevelType w:val="multilevel"/>
    <w:tmpl w:val="672669AA"/>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num w:numId="1">
    <w:abstractNumId w:val="1"/>
  </w:num>
  <w:num w:numId="2">
    <w:abstractNumId w:val="4"/>
  </w:num>
  <w:num w:numId="3">
    <w:abstractNumId w:val="6"/>
  </w:num>
  <w:num w:numId="4">
    <w:abstractNumId w:val="3"/>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9"/>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0B93DC2"/>
    <w:rsid w:val="406D2153"/>
    <w:rsid w:val="40BF1677"/>
    <w:rsid w:val="4E434405"/>
    <w:rsid w:val="75003F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35" w:semiHidden="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next w:val="1"/>
    <w:qFormat/>
    <w:uiPriority w:val="9"/>
    <w:pPr>
      <w:keepNext/>
      <w:keepLines/>
      <w:spacing w:before="480" w:after="80"/>
      <w:outlineLvl w:val="0"/>
    </w:pPr>
    <w:rPr>
      <w:rFonts w:asciiTheme="majorHAnsi" w:hAnsiTheme="majorHAnsi" w:eastAsiaTheme="majorEastAsia" w:cstheme="majorBidi"/>
      <w:color w:val="2E54A1" w:themeColor="accent1" w:themeShade="BF"/>
      <w:sz w:val="48"/>
      <w:szCs w:val="48"/>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3">
    <w:name w:val="caption"/>
    <w:basedOn w:val="1"/>
    <w:next w:val="1"/>
    <w:unhideWhenUsed/>
    <w:qFormat/>
    <w:uiPriority w:val="35"/>
    <w:rPr>
      <w:rFonts w:eastAsia="黑体" w:asciiTheme="majorHAnsi" w:hAnsiTheme="majorHAnsi" w:cstheme="majorBidi"/>
      <w:sz w:val="20"/>
      <w:szCs w:val="20"/>
    </w:rPr>
  </w:style>
  <w:style w:type="paragraph" w:styleId="4">
    <w:name w:val="footer"/>
    <w:basedOn w:val="1"/>
    <w:unhideWhenUsed/>
    <w:qFormat/>
    <w:uiPriority w:val="99"/>
    <w:pPr>
      <w:tabs>
        <w:tab w:val="center" w:pos="4153"/>
        <w:tab w:val="right" w:pos="8306"/>
      </w:tabs>
      <w:snapToGrid w:val="0"/>
      <w:jc w:val="left"/>
    </w:pPr>
    <w:rPr>
      <w:sz w:val="18"/>
      <w:szCs w:val="18"/>
    </w:rPr>
  </w:style>
  <w:style w:type="paragraph" w:styleId="5">
    <w:name w:val="toc 1"/>
    <w:basedOn w:val="1"/>
    <w:next w:val="1"/>
    <w:unhideWhenUsed/>
    <w:qFormat/>
    <w:uiPriority w:val="39"/>
  </w:style>
  <w:style w:type="paragraph" w:styleId="6">
    <w:name w:val="table of figures"/>
    <w:basedOn w:val="1"/>
    <w:next w:val="1"/>
    <w:unhideWhenUsed/>
    <w:qFormat/>
    <w:uiPriority w:val="99"/>
    <w:pPr>
      <w:ind w:left="200" w:leftChars="200" w:hanging="200" w:hangingChars="200"/>
    </w:pPr>
  </w:style>
  <w:style w:type="paragraph" w:styleId="7">
    <w:name w:val="toc 2"/>
    <w:basedOn w:val="1"/>
    <w:next w:val="1"/>
    <w:unhideWhenUsed/>
    <w:qFormat/>
    <w:uiPriority w:val="39"/>
    <w:pPr>
      <w:ind w:left="420" w:leftChars="200"/>
    </w:pPr>
  </w:style>
  <w:style w:type="table" w:styleId="9">
    <w:name w:val="Table Grid"/>
    <w:basedOn w:val="8"/>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FollowedHyperlink"/>
    <w:basedOn w:val="10"/>
    <w:uiPriority w:val="0"/>
    <w:rPr>
      <w:color w:val="800080"/>
      <w:u w:val="single"/>
    </w:rPr>
  </w:style>
  <w:style w:type="character" w:styleId="12">
    <w:name w:val="Hyperlink"/>
    <w:basedOn w:val="10"/>
    <w:unhideWhenUsed/>
    <w:qFormat/>
    <w:uiPriority w:val="99"/>
    <w:rPr>
      <w:color w:val="0026E5" w:themeColor="hyperlink"/>
      <w:u w:val="single"/>
      <w14:textFill>
        <w14:solidFill>
          <w14:schemeClr w14:val="hlink"/>
        </w14:solidFill>
      </w14:textFill>
    </w:rPr>
  </w:style>
  <w:style w:type="paragraph" w:styleId="13">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1122</Words>
  <Characters>6786</Characters>
  <Lines>0</Lines>
  <Paragraphs>0</Paragraphs>
  <TotalTime>27</TotalTime>
  <ScaleCrop>false</ScaleCrop>
  <LinksUpToDate>false</LinksUpToDate>
  <CharactersWithSpaces>7827</CharactersWithSpaces>
  <Application>WPS Office_12.1.0.20305_F1E327BC-269C-435d-A152-05C5408002CA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2025-03-19T17:43:00Z</dcterms:created>
  <dc:creator>17158</dc:creator>
  <cp:lastModifiedBy>WPS_1479666331</cp:lastModifiedBy>
  <dcterms:modified xsi:type="dcterms:W3CDTF">2025-03-19T20:14:24Z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2052-12.1.0.20305</vt:lpwstr>
  </property>
  <property fmtid="{D5CDD505-2E9C-101B-9397-08002B2CF9AE}" pid="3" name="KSOTemplateDocerSaveRecord">
    <vt:lpwstr>eyJoZGlkIjoiNjBjYjRkYmY0NGFjZDgyYmQ0ZDczOWFjNWY5MjM1N2MiLCJ1c2VySWQiOiIxNDc5NjY2MzMxIn0=</vt:lpwstr>
  </property>
  <property fmtid="{D5CDD505-2E9C-101B-9397-08002B2CF9AE}" pid="4" name="ICV">
    <vt:lpwstr>36E2D065480B426E89A251C12210B271_12</vt:lpwstr>
  </property>
</Properties>
</file>