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894803" w14:textId="15B92C30" w:rsidR="0067029D" w:rsidRDefault="0069081D" w:rsidP="0069081D">
      <w:pPr>
        <w:jc w:val="center"/>
        <w:rPr>
          <w:rFonts w:asciiTheme="majorHAnsi" w:hAnsiTheme="majorHAnsi" w:cstheme="majorHAnsi"/>
          <w:sz w:val="28"/>
          <w:szCs w:val="28"/>
        </w:rPr>
      </w:pPr>
      <w:r w:rsidRPr="0069081D">
        <w:rPr>
          <w:rFonts w:asciiTheme="majorHAnsi" w:hAnsiTheme="majorHAnsi" w:cstheme="majorHAnsi"/>
          <w:sz w:val="28"/>
          <w:szCs w:val="28"/>
        </w:rPr>
        <w:t>Abstract</w:t>
      </w:r>
    </w:p>
    <w:p w14:paraId="793EA667" w14:textId="3A77ADC7" w:rsidR="0069081D" w:rsidRDefault="0069081D" w:rsidP="0069081D">
      <w:pPr>
        <w:rPr>
          <w:rFonts w:cstheme="minorHAnsi"/>
        </w:rPr>
      </w:pPr>
      <w:r>
        <w:rPr>
          <w:rFonts w:cstheme="minorHAnsi"/>
        </w:rPr>
        <w:t xml:space="preserve">My research will focus on the evolution of roman banqueting culture from the humbler beginnings of the Republic through to the extravagance of the early / middle Imperial period banquets. The primary question will be </w:t>
      </w:r>
      <w:proofErr w:type="gramStart"/>
      <w:r>
        <w:rPr>
          <w:rFonts w:cstheme="minorHAnsi"/>
        </w:rPr>
        <w:t>whether or not</w:t>
      </w:r>
      <w:proofErr w:type="gramEnd"/>
      <w:r>
        <w:rPr>
          <w:rFonts w:cstheme="minorHAnsi"/>
        </w:rPr>
        <w:t xml:space="preserve"> there were significant changes</w:t>
      </w:r>
      <w:r w:rsidR="00273116">
        <w:rPr>
          <w:rFonts w:cstheme="minorHAnsi"/>
        </w:rPr>
        <w:t xml:space="preserve"> in terms of food, spice, architecture, social ritual, wine etc.</w:t>
      </w:r>
      <w:r>
        <w:rPr>
          <w:rFonts w:cstheme="minorHAnsi"/>
        </w:rPr>
        <w:t xml:space="preserve"> </w:t>
      </w:r>
      <w:r w:rsidR="00273116">
        <w:rPr>
          <w:rFonts w:cstheme="minorHAnsi"/>
        </w:rPr>
        <w:t xml:space="preserve">These changes will be analysed against the backdrop of changing factors of wider Rome </w:t>
      </w:r>
    </w:p>
    <w:p w14:paraId="4AD0D913" w14:textId="77777777" w:rsidR="00092709" w:rsidRDefault="0069081D" w:rsidP="0069081D">
      <w:pPr>
        <w:rPr>
          <w:rFonts w:cstheme="minorHAnsi"/>
        </w:rPr>
      </w:pPr>
      <w:r>
        <w:rPr>
          <w:rFonts w:cstheme="minorHAnsi"/>
        </w:rPr>
        <w:t xml:space="preserve">The main argument will be built around the idea that the changing of banqueting culture can be tracked largely through material changes such as food, wine and the construction / layout of the banqueting rooms themselves, and that a large extent of these material changes can be linked to the expansion of Roman borders and trade links. </w:t>
      </w:r>
      <w:r w:rsidR="00273116">
        <w:rPr>
          <w:rFonts w:cstheme="minorHAnsi"/>
        </w:rPr>
        <w:t xml:space="preserve">The amount of evidence available for different periods will vary </w:t>
      </w:r>
      <w:r w:rsidR="00DE2BD8">
        <w:rPr>
          <w:rFonts w:cstheme="minorHAnsi"/>
        </w:rPr>
        <w:t>–</w:t>
      </w:r>
      <w:r w:rsidR="00273116">
        <w:rPr>
          <w:rFonts w:cstheme="minorHAnsi"/>
        </w:rPr>
        <w:t xml:space="preserve"> </w:t>
      </w:r>
      <w:r w:rsidR="00DE2BD8">
        <w:rPr>
          <w:rFonts w:cstheme="minorHAnsi"/>
        </w:rPr>
        <w:t xml:space="preserve">it may be that </w:t>
      </w:r>
      <w:proofErr w:type="gramStart"/>
      <w:r w:rsidR="00DE2BD8">
        <w:rPr>
          <w:rFonts w:cstheme="minorHAnsi"/>
        </w:rPr>
        <w:t>the majority of</w:t>
      </w:r>
      <w:proofErr w:type="gramEnd"/>
      <w:r w:rsidR="00DE2BD8">
        <w:rPr>
          <w:rFonts w:cstheme="minorHAnsi"/>
        </w:rPr>
        <w:t xml:space="preserve"> the focus may end up in the later times that will be looked at. </w:t>
      </w:r>
      <w:r w:rsidR="00163B81">
        <w:rPr>
          <w:rFonts w:cstheme="minorHAnsi"/>
        </w:rPr>
        <w:t>There would</w:t>
      </w:r>
      <w:r w:rsidR="00DE2BD8">
        <w:rPr>
          <w:rFonts w:cstheme="minorHAnsi"/>
        </w:rPr>
        <w:t xml:space="preserve"> </w:t>
      </w:r>
      <w:r w:rsidR="00163B81">
        <w:rPr>
          <w:rFonts w:cstheme="minorHAnsi"/>
        </w:rPr>
        <w:t>be an element of structuralism, in a likely comparison between early Roman banqueting and banqueting within Greek / Etruscan culture</w:t>
      </w:r>
      <w:r w:rsidR="001F1BCD">
        <w:rPr>
          <w:rFonts w:cstheme="minorHAnsi"/>
        </w:rPr>
        <w:t>, though this comparison must remain short to avoid losing focus.</w:t>
      </w:r>
    </w:p>
    <w:p w14:paraId="520E00C1" w14:textId="77777777" w:rsidR="00092709" w:rsidRDefault="00092709" w:rsidP="00092709">
      <w:pPr>
        <w:jc w:val="center"/>
        <w:rPr>
          <w:rFonts w:cstheme="minorHAnsi"/>
          <w:sz w:val="28"/>
          <w:szCs w:val="28"/>
          <w:u w:val="single"/>
        </w:rPr>
      </w:pPr>
    </w:p>
    <w:p w14:paraId="71F2B848" w14:textId="77777777" w:rsidR="00092709" w:rsidRDefault="00092709" w:rsidP="00092709">
      <w:pPr>
        <w:jc w:val="center"/>
        <w:rPr>
          <w:rFonts w:cstheme="minorHAnsi"/>
          <w:sz w:val="28"/>
          <w:szCs w:val="28"/>
          <w:u w:val="single"/>
        </w:rPr>
      </w:pPr>
    </w:p>
    <w:p w14:paraId="697F13B0" w14:textId="77777777" w:rsidR="00092709" w:rsidRDefault="00092709" w:rsidP="00092709">
      <w:pPr>
        <w:jc w:val="center"/>
        <w:rPr>
          <w:rFonts w:cstheme="minorHAnsi"/>
          <w:sz w:val="28"/>
          <w:szCs w:val="28"/>
          <w:u w:val="single"/>
        </w:rPr>
      </w:pPr>
    </w:p>
    <w:p w14:paraId="20ACC170" w14:textId="77777777" w:rsidR="00092709" w:rsidRDefault="00092709" w:rsidP="00092709">
      <w:pPr>
        <w:jc w:val="center"/>
        <w:rPr>
          <w:rFonts w:cstheme="minorHAnsi"/>
          <w:sz w:val="28"/>
          <w:szCs w:val="28"/>
          <w:u w:val="single"/>
        </w:rPr>
      </w:pPr>
    </w:p>
    <w:p w14:paraId="0814FDA1" w14:textId="77777777" w:rsidR="00092709" w:rsidRDefault="00092709" w:rsidP="00092709">
      <w:pPr>
        <w:jc w:val="center"/>
        <w:rPr>
          <w:rFonts w:cstheme="minorHAnsi"/>
          <w:sz w:val="28"/>
          <w:szCs w:val="28"/>
          <w:u w:val="single"/>
        </w:rPr>
      </w:pPr>
    </w:p>
    <w:p w14:paraId="09DD3942" w14:textId="77777777" w:rsidR="00092709" w:rsidRDefault="00092709" w:rsidP="00092709">
      <w:pPr>
        <w:jc w:val="center"/>
        <w:rPr>
          <w:rFonts w:cstheme="minorHAnsi"/>
          <w:sz w:val="28"/>
          <w:szCs w:val="28"/>
          <w:u w:val="single"/>
        </w:rPr>
      </w:pPr>
    </w:p>
    <w:p w14:paraId="66C8A132" w14:textId="77777777" w:rsidR="00092709" w:rsidRDefault="00092709" w:rsidP="00092709">
      <w:pPr>
        <w:jc w:val="center"/>
        <w:rPr>
          <w:rFonts w:cstheme="minorHAnsi"/>
          <w:sz w:val="28"/>
          <w:szCs w:val="28"/>
          <w:u w:val="single"/>
        </w:rPr>
      </w:pPr>
    </w:p>
    <w:p w14:paraId="6CC6C0C7" w14:textId="77777777" w:rsidR="00092709" w:rsidRDefault="00092709" w:rsidP="00092709">
      <w:pPr>
        <w:jc w:val="center"/>
        <w:rPr>
          <w:rFonts w:cstheme="minorHAnsi"/>
          <w:sz w:val="28"/>
          <w:szCs w:val="28"/>
          <w:u w:val="single"/>
        </w:rPr>
      </w:pPr>
    </w:p>
    <w:p w14:paraId="346574D3" w14:textId="77777777" w:rsidR="00092709" w:rsidRDefault="00092709" w:rsidP="00092709">
      <w:pPr>
        <w:jc w:val="center"/>
        <w:rPr>
          <w:rFonts w:cstheme="minorHAnsi"/>
          <w:sz w:val="28"/>
          <w:szCs w:val="28"/>
          <w:u w:val="single"/>
        </w:rPr>
      </w:pPr>
    </w:p>
    <w:p w14:paraId="28AB933C" w14:textId="77777777" w:rsidR="00092709" w:rsidRDefault="00092709" w:rsidP="00092709">
      <w:pPr>
        <w:jc w:val="center"/>
        <w:rPr>
          <w:rFonts w:cstheme="minorHAnsi"/>
          <w:sz w:val="28"/>
          <w:szCs w:val="28"/>
          <w:u w:val="single"/>
        </w:rPr>
      </w:pPr>
    </w:p>
    <w:p w14:paraId="73EBCB09" w14:textId="77777777" w:rsidR="00092709" w:rsidRDefault="00092709" w:rsidP="00092709">
      <w:pPr>
        <w:jc w:val="center"/>
        <w:rPr>
          <w:rFonts w:cstheme="minorHAnsi"/>
          <w:sz w:val="28"/>
          <w:szCs w:val="28"/>
          <w:u w:val="single"/>
        </w:rPr>
      </w:pPr>
    </w:p>
    <w:p w14:paraId="1CB2611F" w14:textId="77777777" w:rsidR="00092709" w:rsidRDefault="00092709" w:rsidP="00092709">
      <w:pPr>
        <w:jc w:val="center"/>
        <w:rPr>
          <w:rFonts w:cstheme="minorHAnsi"/>
          <w:sz w:val="28"/>
          <w:szCs w:val="28"/>
          <w:u w:val="single"/>
        </w:rPr>
      </w:pPr>
    </w:p>
    <w:p w14:paraId="1CA1604A" w14:textId="77777777" w:rsidR="00092709" w:rsidRDefault="00092709" w:rsidP="00092709">
      <w:pPr>
        <w:jc w:val="center"/>
        <w:rPr>
          <w:rFonts w:cstheme="minorHAnsi"/>
          <w:sz w:val="28"/>
          <w:szCs w:val="28"/>
          <w:u w:val="single"/>
        </w:rPr>
      </w:pPr>
    </w:p>
    <w:p w14:paraId="3DE71F34" w14:textId="77777777" w:rsidR="00092709" w:rsidRDefault="00092709" w:rsidP="00092709">
      <w:pPr>
        <w:jc w:val="center"/>
        <w:rPr>
          <w:rFonts w:cstheme="minorHAnsi"/>
          <w:sz w:val="28"/>
          <w:szCs w:val="28"/>
          <w:u w:val="single"/>
        </w:rPr>
      </w:pPr>
    </w:p>
    <w:p w14:paraId="5E524E80" w14:textId="77777777" w:rsidR="00092709" w:rsidRDefault="00092709" w:rsidP="00092709">
      <w:pPr>
        <w:jc w:val="center"/>
        <w:rPr>
          <w:rFonts w:cstheme="minorHAnsi"/>
          <w:sz w:val="28"/>
          <w:szCs w:val="28"/>
          <w:u w:val="single"/>
        </w:rPr>
      </w:pPr>
    </w:p>
    <w:p w14:paraId="40240799" w14:textId="77777777" w:rsidR="00092709" w:rsidRDefault="00092709" w:rsidP="00092709">
      <w:pPr>
        <w:jc w:val="center"/>
        <w:rPr>
          <w:rFonts w:cstheme="minorHAnsi"/>
          <w:sz w:val="28"/>
          <w:szCs w:val="28"/>
          <w:u w:val="single"/>
        </w:rPr>
      </w:pPr>
    </w:p>
    <w:p w14:paraId="758DC5BB" w14:textId="77777777" w:rsidR="00092709" w:rsidRDefault="00092709" w:rsidP="00092709">
      <w:pPr>
        <w:jc w:val="center"/>
        <w:rPr>
          <w:rFonts w:cstheme="minorHAnsi"/>
          <w:sz w:val="28"/>
          <w:szCs w:val="28"/>
          <w:u w:val="single"/>
        </w:rPr>
      </w:pPr>
    </w:p>
    <w:p w14:paraId="7FD7BFE4" w14:textId="77777777" w:rsidR="00092709" w:rsidRDefault="00092709" w:rsidP="00092709">
      <w:pPr>
        <w:jc w:val="center"/>
        <w:rPr>
          <w:rFonts w:cstheme="minorHAnsi"/>
          <w:sz w:val="28"/>
          <w:szCs w:val="28"/>
          <w:u w:val="single"/>
        </w:rPr>
      </w:pPr>
    </w:p>
    <w:p w14:paraId="4E96E041" w14:textId="5AE78B4C" w:rsidR="00092709" w:rsidRPr="00092709" w:rsidRDefault="00092709" w:rsidP="00092709">
      <w:pPr>
        <w:jc w:val="center"/>
        <w:rPr>
          <w:rFonts w:cstheme="minorHAnsi"/>
          <w:sz w:val="28"/>
          <w:szCs w:val="28"/>
          <w:u w:val="single"/>
        </w:rPr>
      </w:pPr>
      <w:r w:rsidRPr="00092709">
        <w:rPr>
          <w:rFonts w:cstheme="minorHAnsi"/>
          <w:sz w:val="28"/>
          <w:szCs w:val="28"/>
          <w:u w:val="single"/>
        </w:rPr>
        <w:lastRenderedPageBreak/>
        <w:t>Draft Plan</w:t>
      </w:r>
    </w:p>
    <w:p w14:paraId="0D26016C" w14:textId="07625578" w:rsidR="00092709" w:rsidRPr="00092709" w:rsidRDefault="00092709" w:rsidP="00092709">
      <w:pPr>
        <w:jc w:val="center"/>
        <w:rPr>
          <w:rFonts w:cstheme="minorHAnsi"/>
          <w:sz w:val="28"/>
          <w:szCs w:val="28"/>
          <w:u w:val="single"/>
        </w:rPr>
      </w:pPr>
      <w:r w:rsidRPr="00092709">
        <w:rPr>
          <w:rFonts w:cstheme="minorHAnsi"/>
          <w:sz w:val="28"/>
          <w:szCs w:val="28"/>
          <w:u w:val="single"/>
        </w:rPr>
        <w:t>Austerity to Extravagance: Examining Changes</w:t>
      </w:r>
    </w:p>
    <w:p w14:paraId="06113D9E" w14:textId="77777777" w:rsidR="00092709" w:rsidRPr="00092709" w:rsidRDefault="00092709" w:rsidP="00092709">
      <w:pPr>
        <w:jc w:val="center"/>
        <w:rPr>
          <w:rFonts w:cstheme="minorHAnsi"/>
          <w:sz w:val="28"/>
          <w:szCs w:val="28"/>
          <w:u w:val="single"/>
        </w:rPr>
      </w:pPr>
      <w:r w:rsidRPr="00092709">
        <w:rPr>
          <w:rFonts w:cstheme="minorHAnsi"/>
          <w:sz w:val="28"/>
          <w:szCs w:val="28"/>
          <w:u w:val="single"/>
        </w:rPr>
        <w:t>in Roman Banqueting Culture</w:t>
      </w:r>
    </w:p>
    <w:p w14:paraId="5E757E69" w14:textId="77777777" w:rsidR="00092709" w:rsidRPr="00092709" w:rsidRDefault="00092709" w:rsidP="00092709">
      <w:pPr>
        <w:rPr>
          <w:rFonts w:cstheme="minorHAnsi"/>
        </w:rPr>
      </w:pPr>
    </w:p>
    <w:p w14:paraId="5C7F5BD5" w14:textId="77777777" w:rsidR="00092709" w:rsidRPr="00092709" w:rsidRDefault="00092709" w:rsidP="00092709">
      <w:pPr>
        <w:rPr>
          <w:rFonts w:cstheme="minorHAnsi"/>
        </w:rPr>
      </w:pPr>
      <w:r w:rsidRPr="00092709">
        <w:rPr>
          <w:rFonts w:cstheme="minorHAnsi"/>
        </w:rPr>
        <w:t>1.</w:t>
      </w:r>
      <w:r w:rsidRPr="00092709">
        <w:rPr>
          <w:rFonts w:cstheme="minorHAnsi"/>
        </w:rPr>
        <w:tab/>
        <w:t>Introduction</w:t>
      </w:r>
    </w:p>
    <w:p w14:paraId="1CF2E47B" w14:textId="77777777" w:rsidR="00092709" w:rsidRPr="00092709" w:rsidRDefault="00092709" w:rsidP="00092709">
      <w:pPr>
        <w:rPr>
          <w:rFonts w:cstheme="minorHAnsi"/>
        </w:rPr>
      </w:pPr>
      <w:r w:rsidRPr="00092709">
        <w:rPr>
          <w:rFonts w:cstheme="minorHAnsi"/>
        </w:rPr>
        <w:t>Brief overview of the ‘generic features’ of Roman banqueting – posture, social experience, food, drink etc.</w:t>
      </w:r>
    </w:p>
    <w:p w14:paraId="2D33FDF4" w14:textId="77777777" w:rsidR="00092709" w:rsidRPr="00092709" w:rsidRDefault="00092709" w:rsidP="00092709">
      <w:pPr>
        <w:rPr>
          <w:rFonts w:cstheme="minorHAnsi"/>
        </w:rPr>
      </w:pPr>
      <w:r w:rsidRPr="00092709">
        <w:rPr>
          <w:rFonts w:cstheme="minorHAnsi"/>
        </w:rPr>
        <w:t xml:space="preserve">Discuss theory briefly – materiality for understanding the banqueting experience, potentially structuralism / post-structuralism for comparing Roman banquets to Greek / Etruscan banquets and what that means (perhaps not so austere to begin with?). </w:t>
      </w:r>
    </w:p>
    <w:p w14:paraId="3EA2471E" w14:textId="77777777" w:rsidR="00092709" w:rsidRPr="00092709" w:rsidRDefault="00092709" w:rsidP="00092709">
      <w:pPr>
        <w:rPr>
          <w:rFonts w:cstheme="minorHAnsi"/>
        </w:rPr>
      </w:pPr>
      <w:r w:rsidRPr="00092709">
        <w:rPr>
          <w:rFonts w:cstheme="minorHAnsi"/>
        </w:rPr>
        <w:t>Likely to encounter Marxism regarding reasons for cultural shifts (wealthy displaying power).</w:t>
      </w:r>
    </w:p>
    <w:p w14:paraId="728F1CB1" w14:textId="77777777" w:rsidR="00092709" w:rsidRPr="00092709" w:rsidRDefault="00092709" w:rsidP="00092709">
      <w:pPr>
        <w:rPr>
          <w:rFonts w:cstheme="minorHAnsi"/>
        </w:rPr>
      </w:pPr>
    </w:p>
    <w:p w14:paraId="774CA77C" w14:textId="77777777" w:rsidR="00092709" w:rsidRPr="00092709" w:rsidRDefault="00092709" w:rsidP="00092709">
      <w:pPr>
        <w:rPr>
          <w:rFonts w:cstheme="minorHAnsi"/>
        </w:rPr>
      </w:pPr>
    </w:p>
    <w:p w14:paraId="52C2438C" w14:textId="77777777" w:rsidR="00092709" w:rsidRPr="00092709" w:rsidRDefault="00092709" w:rsidP="00092709">
      <w:pPr>
        <w:rPr>
          <w:rFonts w:cstheme="minorHAnsi"/>
        </w:rPr>
      </w:pPr>
      <w:r w:rsidRPr="00092709">
        <w:rPr>
          <w:rFonts w:cstheme="minorHAnsi"/>
        </w:rPr>
        <w:t>2.</w:t>
      </w:r>
      <w:r w:rsidRPr="00092709">
        <w:rPr>
          <w:rFonts w:cstheme="minorHAnsi"/>
        </w:rPr>
        <w:tab/>
        <w:t>Justify the title by defining austerity via archaeological evidence (</w:t>
      </w:r>
      <w:proofErr w:type="spellStart"/>
      <w:r w:rsidRPr="00092709">
        <w:rPr>
          <w:rFonts w:cstheme="minorHAnsi"/>
        </w:rPr>
        <w:t>Dunbabin</w:t>
      </w:r>
      <w:proofErr w:type="spellEnd"/>
      <w:r w:rsidRPr="00092709">
        <w:rPr>
          <w:rFonts w:cstheme="minorHAnsi"/>
        </w:rPr>
        <w:t>, 2003), and defining extravagance via feast in the early / mid imperial period (</w:t>
      </w:r>
      <w:proofErr w:type="spellStart"/>
      <w:r w:rsidRPr="00092709">
        <w:rPr>
          <w:rFonts w:cstheme="minorHAnsi"/>
        </w:rPr>
        <w:t>Trimalchio</w:t>
      </w:r>
      <w:proofErr w:type="spellEnd"/>
      <w:r w:rsidRPr="00092709">
        <w:rPr>
          <w:rFonts w:cstheme="minorHAnsi"/>
        </w:rPr>
        <w:t xml:space="preserve"> or Elagabalus as possible examples).</w:t>
      </w:r>
    </w:p>
    <w:p w14:paraId="01A62350" w14:textId="77777777" w:rsidR="00092709" w:rsidRPr="00092709" w:rsidRDefault="00092709" w:rsidP="00092709">
      <w:pPr>
        <w:rPr>
          <w:rFonts w:cstheme="minorHAnsi"/>
        </w:rPr>
      </w:pPr>
      <w:r w:rsidRPr="00092709">
        <w:rPr>
          <w:rFonts w:cstheme="minorHAnsi"/>
        </w:rPr>
        <w:t>Perhaps address quickly the modern popular idea of luxurious banqueting first and working backwards?</w:t>
      </w:r>
    </w:p>
    <w:p w14:paraId="5DA5522F" w14:textId="77777777" w:rsidR="00092709" w:rsidRPr="00092709" w:rsidRDefault="00092709" w:rsidP="00092709">
      <w:pPr>
        <w:rPr>
          <w:rFonts w:cstheme="minorHAnsi"/>
        </w:rPr>
      </w:pPr>
    </w:p>
    <w:p w14:paraId="2A4EAFAA" w14:textId="77777777" w:rsidR="00092709" w:rsidRPr="00092709" w:rsidRDefault="00092709" w:rsidP="00092709">
      <w:pPr>
        <w:rPr>
          <w:rFonts w:cstheme="minorHAnsi"/>
        </w:rPr>
      </w:pPr>
      <w:r w:rsidRPr="00092709">
        <w:rPr>
          <w:rFonts w:cstheme="minorHAnsi"/>
        </w:rPr>
        <w:t>3.</w:t>
      </w:r>
      <w:r w:rsidRPr="00092709">
        <w:rPr>
          <w:rFonts w:cstheme="minorHAnsi"/>
        </w:rPr>
        <w:tab/>
        <w:t xml:space="preserve">Look at specific changes and try to pinpoint a time that they happen and provide an explanation –e.g. changes in food (spices could be a focus point) or changes in scale both need justifications in time and space specific to individual instances, which can hopefully be extrapolated to the wider society. The understanding hopefully will point towards trends of increasing extravagance. </w:t>
      </w:r>
    </w:p>
    <w:p w14:paraId="27B5E2DA" w14:textId="77777777" w:rsidR="00092709" w:rsidRPr="00092709" w:rsidRDefault="00092709" w:rsidP="00092709">
      <w:pPr>
        <w:rPr>
          <w:rFonts w:cstheme="minorHAnsi"/>
        </w:rPr>
      </w:pPr>
    </w:p>
    <w:p w14:paraId="07CC93B9" w14:textId="77777777" w:rsidR="00092709" w:rsidRPr="00092709" w:rsidRDefault="00092709" w:rsidP="00092709">
      <w:pPr>
        <w:rPr>
          <w:rFonts w:cstheme="minorHAnsi"/>
        </w:rPr>
      </w:pPr>
      <w:r w:rsidRPr="00092709">
        <w:rPr>
          <w:rFonts w:cstheme="minorHAnsi"/>
        </w:rPr>
        <w:t>4.</w:t>
      </w:r>
      <w:r w:rsidRPr="00092709">
        <w:rPr>
          <w:rFonts w:cstheme="minorHAnsi"/>
        </w:rPr>
        <w:tab/>
        <w:t>Discuss sumptuary laws and Roman moralism – the trends previously mentioned were observed by contemporary society and attempts were made (at least nominally) to curtail overindulgence. Discuss the low effectiveness.</w:t>
      </w:r>
    </w:p>
    <w:p w14:paraId="4E4BE178" w14:textId="77777777" w:rsidR="00092709" w:rsidRPr="00092709" w:rsidRDefault="00092709" w:rsidP="00092709">
      <w:pPr>
        <w:rPr>
          <w:rFonts w:cstheme="minorHAnsi"/>
        </w:rPr>
      </w:pPr>
    </w:p>
    <w:p w14:paraId="6006EB0C" w14:textId="5AAEEEA6" w:rsidR="00092709" w:rsidRDefault="00092709" w:rsidP="00092709">
      <w:pPr>
        <w:rPr>
          <w:rFonts w:cstheme="minorHAnsi"/>
        </w:rPr>
      </w:pPr>
      <w:r w:rsidRPr="00092709">
        <w:rPr>
          <w:rFonts w:cstheme="minorHAnsi"/>
        </w:rPr>
        <w:t>5.</w:t>
      </w:r>
      <w:r w:rsidRPr="00092709">
        <w:rPr>
          <w:rFonts w:cstheme="minorHAnsi"/>
        </w:rPr>
        <w:tab/>
        <w:t>Conclusion!</w:t>
      </w:r>
      <w:r w:rsidR="001F1BCD">
        <w:rPr>
          <w:rFonts w:cstheme="minorHAnsi"/>
        </w:rPr>
        <w:t xml:space="preserve"> </w:t>
      </w:r>
      <w:r w:rsidR="00163B81">
        <w:rPr>
          <w:rFonts w:cstheme="minorHAnsi"/>
        </w:rPr>
        <w:t xml:space="preserve"> </w:t>
      </w:r>
      <w:bookmarkStart w:id="0" w:name="_GoBack"/>
      <w:bookmarkEnd w:id="0"/>
    </w:p>
    <w:p w14:paraId="74AA2828" w14:textId="3ED38EAD" w:rsidR="00092709" w:rsidRDefault="00092709" w:rsidP="00092709">
      <w:pPr>
        <w:rPr>
          <w:rFonts w:cstheme="minorHAnsi"/>
        </w:rPr>
      </w:pPr>
    </w:p>
    <w:p w14:paraId="55155E56" w14:textId="2FD0DAC4" w:rsidR="00092709" w:rsidRDefault="00092709" w:rsidP="00092709">
      <w:pPr>
        <w:rPr>
          <w:rFonts w:cstheme="minorHAnsi"/>
        </w:rPr>
      </w:pPr>
    </w:p>
    <w:p w14:paraId="7A655CA7" w14:textId="1DA06F80" w:rsidR="00092709" w:rsidRDefault="00092709" w:rsidP="00092709">
      <w:pPr>
        <w:rPr>
          <w:rFonts w:cstheme="minorHAnsi"/>
        </w:rPr>
      </w:pPr>
    </w:p>
    <w:p w14:paraId="2EE24CA8" w14:textId="3AA383A0" w:rsidR="00092709" w:rsidRDefault="00092709" w:rsidP="00092709">
      <w:pPr>
        <w:rPr>
          <w:rFonts w:cstheme="minorHAnsi"/>
        </w:rPr>
      </w:pPr>
    </w:p>
    <w:p w14:paraId="4D16A1F1" w14:textId="20A08756" w:rsidR="00092709" w:rsidRPr="00092709" w:rsidRDefault="00092709" w:rsidP="00092709">
      <w:pPr>
        <w:jc w:val="center"/>
        <w:rPr>
          <w:sz w:val="36"/>
          <w:szCs w:val="36"/>
          <w:u w:val="single"/>
        </w:rPr>
      </w:pPr>
      <w:r>
        <w:rPr>
          <w:sz w:val="36"/>
          <w:szCs w:val="36"/>
          <w:u w:val="single"/>
        </w:rPr>
        <w:lastRenderedPageBreak/>
        <w:t>Working Bibliography</w:t>
      </w:r>
    </w:p>
    <w:p w14:paraId="6E3C948E" w14:textId="02DC00C8" w:rsidR="00092709" w:rsidRPr="009618F5" w:rsidRDefault="00092709" w:rsidP="00092709">
      <w:pPr>
        <w:jc w:val="center"/>
        <w:rPr>
          <w:sz w:val="28"/>
          <w:szCs w:val="28"/>
          <w:u w:val="single"/>
        </w:rPr>
      </w:pPr>
      <w:r w:rsidRPr="009618F5">
        <w:rPr>
          <w:sz w:val="28"/>
          <w:szCs w:val="28"/>
          <w:u w:val="single"/>
        </w:rPr>
        <w:t>Modern</w:t>
      </w:r>
    </w:p>
    <w:p w14:paraId="251BFD67" w14:textId="77777777" w:rsidR="00092709" w:rsidRDefault="00092709" w:rsidP="00092709">
      <w:r>
        <w:t xml:space="preserve">Dalby, A. (2000) </w:t>
      </w:r>
      <w:r>
        <w:rPr>
          <w:i/>
          <w:iCs/>
        </w:rPr>
        <w:t>Dangerous Tastes: The Story of Spices</w:t>
      </w:r>
      <w:r>
        <w:t>. The British Museum Press: London.</w:t>
      </w:r>
    </w:p>
    <w:p w14:paraId="3DD52EF6" w14:textId="77777777" w:rsidR="00092709" w:rsidRDefault="00092709" w:rsidP="00092709">
      <w:r>
        <w:t xml:space="preserve">Dalby, A. (2000) </w:t>
      </w:r>
      <w:r>
        <w:rPr>
          <w:i/>
          <w:iCs/>
        </w:rPr>
        <w:t>Empire of Pleasure Luxury and Indulgence in the Roman World</w:t>
      </w:r>
      <w:r>
        <w:t>. Routledge: Oxon.</w:t>
      </w:r>
    </w:p>
    <w:p w14:paraId="36776557" w14:textId="77777777" w:rsidR="00092709" w:rsidRPr="007B0BD1" w:rsidRDefault="00092709" w:rsidP="00092709">
      <w:r>
        <w:t xml:space="preserve">Dalby, A. (2013) </w:t>
      </w:r>
      <w:r>
        <w:rPr>
          <w:i/>
          <w:iCs/>
        </w:rPr>
        <w:t xml:space="preserve">Food in the Ancient World from A to Z. </w:t>
      </w:r>
      <w:r>
        <w:t>Routledge: Great Britain.</w:t>
      </w:r>
    </w:p>
    <w:p w14:paraId="1D778982" w14:textId="77777777" w:rsidR="00092709" w:rsidRDefault="00092709" w:rsidP="00092709">
      <w:proofErr w:type="spellStart"/>
      <w:r>
        <w:t>Dunbabin</w:t>
      </w:r>
      <w:proofErr w:type="spellEnd"/>
      <w:r>
        <w:t xml:space="preserve">, K. (2003) </w:t>
      </w:r>
      <w:r>
        <w:rPr>
          <w:i/>
          <w:iCs/>
        </w:rPr>
        <w:t>The Roman Banquet: Images of Conviviality.</w:t>
      </w:r>
      <w:r>
        <w:t xml:space="preserve"> Cambridge University Press: Cambridge.</w:t>
      </w:r>
    </w:p>
    <w:p w14:paraId="0DE2FDF9" w14:textId="77777777" w:rsidR="00092709" w:rsidRDefault="00092709" w:rsidP="00092709">
      <w:r>
        <w:t xml:space="preserve">Garnsey, P. (1999) </w:t>
      </w:r>
      <w:r>
        <w:rPr>
          <w:i/>
          <w:iCs/>
        </w:rPr>
        <w:t xml:space="preserve">Food and Society in Classical Antiquity. </w:t>
      </w:r>
      <w:r>
        <w:t>Cambridge University Press: Cambridge.</w:t>
      </w:r>
    </w:p>
    <w:p w14:paraId="5835E058" w14:textId="77777777" w:rsidR="00092709" w:rsidRDefault="00092709" w:rsidP="00092709">
      <w:r>
        <w:t xml:space="preserve">Roller, M.B. (2006) </w:t>
      </w:r>
      <w:r>
        <w:rPr>
          <w:i/>
          <w:iCs/>
        </w:rPr>
        <w:t>Dining Posture in Ancient Rome: Bodies, Values and Status.</w:t>
      </w:r>
      <w:r>
        <w:t xml:space="preserve"> Princeton University Press: Woodstock.</w:t>
      </w:r>
    </w:p>
    <w:p w14:paraId="25EC743A" w14:textId="77777777" w:rsidR="00092709" w:rsidRDefault="00092709" w:rsidP="00092709">
      <w:proofErr w:type="spellStart"/>
      <w:r>
        <w:t>Rusciollo</w:t>
      </w:r>
      <w:proofErr w:type="spellEnd"/>
      <w:r>
        <w:t>, D. (2001) ‘</w:t>
      </w:r>
      <w:r w:rsidRPr="007B0BD1">
        <w:t>When gluttony ruled! Bones recovered from a Roman villa attest an age of culinary hedonism.</w:t>
      </w:r>
      <w:r>
        <w:t xml:space="preserve">’, </w:t>
      </w:r>
      <w:r>
        <w:rPr>
          <w:i/>
          <w:iCs/>
        </w:rPr>
        <w:t xml:space="preserve">Archaeology. </w:t>
      </w:r>
      <w:r>
        <w:t>54(6), pp.20-25</w:t>
      </w:r>
    </w:p>
    <w:p w14:paraId="7B3389E4" w14:textId="77777777" w:rsidR="00092709" w:rsidRDefault="00092709" w:rsidP="00092709">
      <w:proofErr w:type="spellStart"/>
      <w:r>
        <w:t>Seltman</w:t>
      </w:r>
      <w:proofErr w:type="spellEnd"/>
      <w:r>
        <w:t xml:space="preserve">, C. (1957) </w:t>
      </w:r>
      <w:r>
        <w:rPr>
          <w:i/>
          <w:iCs/>
        </w:rPr>
        <w:t>Wine in the Ancient World</w:t>
      </w:r>
      <w:r>
        <w:t>. Routledge: London</w:t>
      </w:r>
    </w:p>
    <w:p w14:paraId="033DF235" w14:textId="77777777" w:rsidR="00092709" w:rsidRDefault="00092709" w:rsidP="00092709">
      <w:r>
        <w:t xml:space="preserve">Slater, W.J. (1998) </w:t>
      </w:r>
      <w:r>
        <w:rPr>
          <w:i/>
          <w:iCs/>
        </w:rPr>
        <w:t>Dining in a Classical Context</w:t>
      </w:r>
      <w:r>
        <w:t>. 5</w:t>
      </w:r>
      <w:r w:rsidRPr="007B0BD1">
        <w:rPr>
          <w:vertAlign w:val="superscript"/>
        </w:rPr>
        <w:t>th</w:t>
      </w:r>
      <w:r>
        <w:t xml:space="preserve"> Ed. University of Michigan Press: Michigan.</w:t>
      </w:r>
    </w:p>
    <w:p w14:paraId="7A8190D3" w14:textId="77777777" w:rsidR="00092709" w:rsidRPr="00670234" w:rsidRDefault="00092709" w:rsidP="00092709">
      <w:r>
        <w:t>Wallace-</w:t>
      </w:r>
      <w:proofErr w:type="spellStart"/>
      <w:r>
        <w:t>Hadrill</w:t>
      </w:r>
      <w:proofErr w:type="spellEnd"/>
      <w:r>
        <w:t xml:space="preserve">, A. (2008) </w:t>
      </w:r>
      <w:r>
        <w:rPr>
          <w:i/>
          <w:iCs/>
        </w:rPr>
        <w:t>Rome’s Cultural Revolution</w:t>
      </w:r>
      <w:r>
        <w:t>. Cambridge University Press: Cambridge.</w:t>
      </w:r>
    </w:p>
    <w:p w14:paraId="579DE9FC" w14:textId="77777777" w:rsidR="00092709" w:rsidRDefault="00092709" w:rsidP="00092709"/>
    <w:p w14:paraId="602658B6" w14:textId="77777777" w:rsidR="00092709" w:rsidRDefault="00092709" w:rsidP="00092709"/>
    <w:p w14:paraId="3A263B19" w14:textId="77777777" w:rsidR="00092709" w:rsidRDefault="00092709" w:rsidP="00092709">
      <w:pPr>
        <w:jc w:val="center"/>
        <w:rPr>
          <w:sz w:val="28"/>
          <w:szCs w:val="28"/>
          <w:u w:val="single"/>
        </w:rPr>
      </w:pPr>
      <w:r>
        <w:rPr>
          <w:sz w:val="28"/>
          <w:szCs w:val="28"/>
          <w:u w:val="single"/>
        </w:rPr>
        <w:t>Ancient</w:t>
      </w:r>
    </w:p>
    <w:p w14:paraId="67B60705" w14:textId="77777777" w:rsidR="00092709" w:rsidRDefault="00092709" w:rsidP="00092709">
      <w:r w:rsidRPr="0042596A">
        <w:t>Petronius, Seneca.</w:t>
      </w:r>
      <w:r w:rsidRPr="0042596A">
        <w:rPr>
          <w:i/>
          <w:iCs/>
        </w:rPr>
        <w:t xml:space="preserve"> </w:t>
      </w:r>
      <w:proofErr w:type="spellStart"/>
      <w:r w:rsidRPr="0042596A">
        <w:rPr>
          <w:i/>
          <w:iCs/>
        </w:rPr>
        <w:t>Satyricon</w:t>
      </w:r>
      <w:proofErr w:type="spellEnd"/>
      <w:r w:rsidRPr="0042596A">
        <w:rPr>
          <w:i/>
          <w:iCs/>
        </w:rPr>
        <w:t xml:space="preserve">. </w:t>
      </w:r>
      <w:proofErr w:type="spellStart"/>
      <w:r w:rsidRPr="0042596A">
        <w:rPr>
          <w:i/>
          <w:iCs/>
        </w:rPr>
        <w:t>Apocolocyntosis</w:t>
      </w:r>
      <w:proofErr w:type="spellEnd"/>
      <w:r w:rsidRPr="0042596A">
        <w:t xml:space="preserve">. Translated by Michael Heseltine, W. H. D. Rouse. Revised by E. H. </w:t>
      </w:r>
      <w:proofErr w:type="spellStart"/>
      <w:r w:rsidRPr="0042596A">
        <w:t>Warmington</w:t>
      </w:r>
      <w:proofErr w:type="spellEnd"/>
      <w:r w:rsidRPr="0042596A">
        <w:t>. Loeb Classical Library 15. Cambridge, MA: Harvard University Press, 1913.</w:t>
      </w:r>
    </w:p>
    <w:p w14:paraId="4D383BF5" w14:textId="77777777" w:rsidR="00092709" w:rsidRPr="009618F5" w:rsidRDefault="00092709" w:rsidP="00092709">
      <w:r w:rsidRPr="00D50F17">
        <w:t xml:space="preserve">Pliny. </w:t>
      </w:r>
      <w:r w:rsidRPr="00D50F17">
        <w:rPr>
          <w:i/>
          <w:iCs/>
        </w:rPr>
        <w:t>Natural History, Volume III: Books 8-11</w:t>
      </w:r>
      <w:r w:rsidRPr="00D50F17">
        <w:t>. Translated by H. Rackham. Loeb Classical Library 353. Cambridge, MA: Harvard University Press, 1940.</w:t>
      </w:r>
    </w:p>
    <w:p w14:paraId="01610A7D" w14:textId="77777777" w:rsidR="00092709" w:rsidRDefault="00092709" w:rsidP="00092709">
      <w:r w:rsidRPr="0042596A">
        <w:t xml:space="preserve">Tacitus. </w:t>
      </w:r>
      <w:r w:rsidRPr="0042596A">
        <w:rPr>
          <w:i/>
          <w:iCs/>
        </w:rPr>
        <w:t>Histories: Books 4-5. Annals: Books 1-3.</w:t>
      </w:r>
      <w:r w:rsidRPr="0042596A">
        <w:t xml:space="preserve"> Translated by Clifford H. Moore, John Jackson. Loeb Classical Library 249. Cambridge, MA: Harvard University Press, 1931.</w:t>
      </w:r>
    </w:p>
    <w:p w14:paraId="2DFD6C9D" w14:textId="77777777" w:rsidR="00092709" w:rsidRPr="0069081D" w:rsidRDefault="00092709" w:rsidP="00092709">
      <w:pPr>
        <w:rPr>
          <w:rFonts w:cstheme="minorHAnsi"/>
        </w:rPr>
      </w:pPr>
    </w:p>
    <w:sectPr w:rsidR="00092709" w:rsidRPr="0069081D" w:rsidSect="0069081D">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81D"/>
    <w:rsid w:val="00092709"/>
    <w:rsid w:val="00163B81"/>
    <w:rsid w:val="001778FE"/>
    <w:rsid w:val="001F1BCD"/>
    <w:rsid w:val="00273116"/>
    <w:rsid w:val="0067029D"/>
    <w:rsid w:val="0069081D"/>
    <w:rsid w:val="00A55C12"/>
    <w:rsid w:val="00DE2B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EEF3E"/>
  <w15:chartTrackingRefBased/>
  <w15:docId w15:val="{265D2145-32BE-4E4A-8188-3291FC769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6770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625</Words>
  <Characters>3569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Manton (1801747)</dc:creator>
  <cp:keywords/>
  <dc:description/>
  <cp:lastModifiedBy>Paul Manton (1801747)</cp:lastModifiedBy>
  <cp:revision>2</cp:revision>
  <dcterms:created xsi:type="dcterms:W3CDTF">2019-10-11T16:30:00Z</dcterms:created>
  <dcterms:modified xsi:type="dcterms:W3CDTF">2019-10-11T16:30:00Z</dcterms:modified>
</cp:coreProperties>
</file>