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2F750" w14:textId="41293E18" w:rsidR="007368A6" w:rsidRPr="007368A6" w:rsidRDefault="007368A6" w:rsidP="004827EC">
      <w:pPr>
        <w:rPr>
          <w:b/>
          <w:bCs/>
          <w:sz w:val="24"/>
          <w:szCs w:val="24"/>
        </w:rPr>
      </w:pPr>
      <w:r w:rsidRPr="007368A6">
        <w:rPr>
          <w:b/>
          <w:bCs/>
          <w:sz w:val="24"/>
          <w:szCs w:val="24"/>
        </w:rPr>
        <w:t xml:space="preserve">Katie Burdett Homework </w:t>
      </w:r>
      <w:r w:rsidR="00D33A1E">
        <w:rPr>
          <w:b/>
          <w:bCs/>
          <w:sz w:val="24"/>
          <w:szCs w:val="24"/>
        </w:rPr>
        <w:t>06</w:t>
      </w:r>
      <w:r w:rsidRPr="007368A6">
        <w:rPr>
          <w:b/>
          <w:bCs/>
          <w:sz w:val="24"/>
          <w:szCs w:val="24"/>
        </w:rPr>
        <w:t>/0</w:t>
      </w:r>
      <w:r w:rsidR="00D33A1E">
        <w:rPr>
          <w:b/>
          <w:bCs/>
          <w:sz w:val="24"/>
          <w:szCs w:val="24"/>
        </w:rPr>
        <w:t>3</w:t>
      </w:r>
      <w:r w:rsidRPr="007368A6">
        <w:rPr>
          <w:b/>
          <w:bCs/>
          <w:sz w:val="24"/>
          <w:szCs w:val="24"/>
        </w:rPr>
        <w:t>/2024</w:t>
      </w:r>
    </w:p>
    <w:p w14:paraId="46142BFF" w14:textId="3EB0DD50" w:rsidR="0012137C" w:rsidRDefault="00086430" w:rsidP="004827EC">
      <w:pPr>
        <w:rPr>
          <w:b/>
          <w:bCs/>
          <w:sz w:val="24"/>
          <w:szCs w:val="24"/>
        </w:rPr>
      </w:pPr>
      <w:r w:rsidRPr="007368A6">
        <w:rPr>
          <w:b/>
          <w:bCs/>
          <w:sz w:val="24"/>
          <w:szCs w:val="24"/>
        </w:rPr>
        <w:t>Translation. Sat.</w:t>
      </w:r>
      <w:r w:rsidR="0012137C">
        <w:rPr>
          <w:b/>
          <w:bCs/>
          <w:sz w:val="24"/>
          <w:szCs w:val="24"/>
        </w:rPr>
        <w:t xml:space="preserve"> 3</w:t>
      </w:r>
      <w:r w:rsidR="00D33A1E">
        <w:rPr>
          <w:b/>
          <w:bCs/>
          <w:sz w:val="24"/>
          <w:szCs w:val="24"/>
        </w:rPr>
        <w:t>9</w:t>
      </w:r>
    </w:p>
    <w:p w14:paraId="450E3C3B" w14:textId="77777777" w:rsidR="00916FDA" w:rsidRDefault="00D33A1E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So </w:t>
      </w:r>
      <w:proofErr w:type="spellStart"/>
      <w:r>
        <w:rPr>
          <w:sz w:val="24"/>
          <w:szCs w:val="24"/>
        </w:rPr>
        <w:t>Trimalchio</w:t>
      </w:r>
      <w:proofErr w:type="spellEnd"/>
      <w:r>
        <w:rPr>
          <w:sz w:val="24"/>
          <w:szCs w:val="24"/>
        </w:rPr>
        <w:t xml:space="preserve"> interrupted the sweet stories; for by now the course was gone and the joyful </w:t>
      </w:r>
    </w:p>
    <w:p w14:paraId="2A8C4306" w14:textId="77777777" w:rsidR="00916FDA" w:rsidRDefault="00D33A1E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guests had begun to give their attention to the wine and public conversation. Then, reclining </w:t>
      </w:r>
    </w:p>
    <w:p w14:paraId="69246F04" w14:textId="77777777" w:rsidR="00916FDA" w:rsidRDefault="00D33A1E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on his elbow he said, “It is proper that you show gratitude for this wine. It is necessary </w:t>
      </w:r>
      <w:proofErr w:type="gramStart"/>
      <w:r>
        <w:rPr>
          <w:sz w:val="24"/>
          <w:szCs w:val="24"/>
        </w:rPr>
        <w:t>that</w:t>
      </w:r>
      <w:proofErr w:type="gramEnd"/>
      <w:r>
        <w:rPr>
          <w:sz w:val="24"/>
          <w:szCs w:val="24"/>
        </w:rPr>
        <w:t xml:space="preserve"> </w:t>
      </w:r>
    </w:p>
    <w:p w14:paraId="3674F08F" w14:textId="77777777" w:rsidR="00916FDA" w:rsidRDefault="00D33A1E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fish swim. I ask you, ‘Did you think that I would be satisfied with that dinner which you </w:t>
      </w:r>
      <w:proofErr w:type="gramStart"/>
      <w:r>
        <w:rPr>
          <w:sz w:val="24"/>
          <w:szCs w:val="24"/>
        </w:rPr>
        <w:t>had</w:t>
      </w:r>
      <w:proofErr w:type="gramEnd"/>
      <w:r>
        <w:rPr>
          <w:sz w:val="24"/>
          <w:szCs w:val="24"/>
        </w:rPr>
        <w:t xml:space="preserve"> </w:t>
      </w:r>
    </w:p>
    <w:p w14:paraId="34FB289D" w14:textId="77777777" w:rsidR="00916FDA" w:rsidRDefault="00D33A1E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seen on the cover of the repository? Is this thus known by Ulysses? Then what is it?’ For it is </w:t>
      </w:r>
    </w:p>
    <w:p w14:paraId="3C374159" w14:textId="77777777" w:rsidR="00916FDA" w:rsidRDefault="00D33A1E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necessary amongst dinner to learn knowledge. May the bones of my patron be at peace, </w:t>
      </w:r>
    </w:p>
    <w:p w14:paraId="67B1472E" w14:textId="77777777" w:rsidR="00916FDA" w:rsidRDefault="00D33A1E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who wanted me to be a man amongst men. For nothing new can be brought to me, just as </w:t>
      </w:r>
    </w:p>
    <w:p w14:paraId="286AA65D" w14:textId="77777777" w:rsidR="00916FDA" w:rsidRDefault="00D33A1E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this dish has proven. This is the sky in which the twelve gods live, and it changes itself into </w:t>
      </w:r>
    </w:p>
    <w:p w14:paraId="3F1D1104" w14:textId="77777777" w:rsidR="00916FDA" w:rsidRDefault="00D33A1E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the same number of figures, and hence becomes Aries. Therefore, whoever is born </w:t>
      </w:r>
      <w:proofErr w:type="gramStart"/>
      <w:r>
        <w:rPr>
          <w:sz w:val="24"/>
          <w:szCs w:val="24"/>
        </w:rPr>
        <w:t>under</w:t>
      </w:r>
      <w:proofErr w:type="gramEnd"/>
      <w:r>
        <w:rPr>
          <w:sz w:val="24"/>
          <w:szCs w:val="24"/>
        </w:rPr>
        <w:t xml:space="preserve"> </w:t>
      </w:r>
    </w:p>
    <w:p w14:paraId="1D66F1B6" w14:textId="77777777" w:rsidR="00916FDA" w:rsidRDefault="00D33A1E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this sign has many sheep, much wool and moreover, a hard head, a shameful forehead, and </w:t>
      </w:r>
    </w:p>
    <w:p w14:paraId="4BB5AE85" w14:textId="77777777" w:rsidR="00916FDA" w:rsidRDefault="00D33A1E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a pointed horn. Very many teachers of rhetoric and rams are born under this sign.” We </w:t>
      </w:r>
    </w:p>
    <w:p w14:paraId="3AA7209B" w14:textId="77777777" w:rsidR="00916FDA" w:rsidRDefault="00D33A1E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praised the erudite astrologer and he added, “Then </w:t>
      </w:r>
      <w:proofErr w:type="gramStart"/>
      <w:r>
        <w:rPr>
          <w:sz w:val="24"/>
          <w:szCs w:val="24"/>
        </w:rPr>
        <w:t>all of</w:t>
      </w:r>
      <w:proofErr w:type="gramEnd"/>
      <w:r>
        <w:rPr>
          <w:sz w:val="24"/>
          <w:szCs w:val="24"/>
        </w:rPr>
        <w:t xml:space="preserve"> the sky changes into a little bull, </w:t>
      </w:r>
    </w:p>
    <w:p w14:paraId="2245C43F" w14:textId="77777777" w:rsidR="00916FDA" w:rsidRDefault="00D33A1E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Taurus, and at that time those who resist and ploughmen are born and those who </w:t>
      </w:r>
      <w:proofErr w:type="gramStart"/>
      <w:r>
        <w:rPr>
          <w:sz w:val="24"/>
          <w:szCs w:val="24"/>
        </w:rPr>
        <w:t>feed</w:t>
      </w:r>
      <w:proofErr w:type="gramEnd"/>
      <w:r>
        <w:rPr>
          <w:sz w:val="24"/>
          <w:szCs w:val="24"/>
        </w:rPr>
        <w:t xml:space="preserve"> </w:t>
      </w:r>
    </w:p>
    <w:p w14:paraId="63B64569" w14:textId="77777777" w:rsidR="00916FDA" w:rsidRDefault="00D33A1E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themselves. Under the twins, Gemini, however, are born pairs of horses and bulls and </w:t>
      </w:r>
    </w:p>
    <w:p w14:paraId="27DA7CC1" w14:textId="698663F9" w:rsidR="00086430" w:rsidRPr="007368A6" w:rsidRDefault="00D33A1E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religious men and those </w:t>
      </w:r>
      <w:r w:rsidR="00447A4C">
        <w:rPr>
          <w:sz w:val="24"/>
          <w:szCs w:val="24"/>
        </w:rPr>
        <w:t>who lick(?) both sides of the wall. I was born under Cancer.”</w:t>
      </w:r>
      <w:r>
        <w:rPr>
          <w:sz w:val="24"/>
          <w:szCs w:val="24"/>
        </w:rPr>
        <w:t xml:space="preserve">    </w:t>
      </w:r>
    </w:p>
    <w:p w14:paraId="0AB12CD9" w14:textId="77777777" w:rsidR="00916FDA" w:rsidRDefault="00916FDA" w:rsidP="00916FDA">
      <w:pPr>
        <w:spacing w:after="240"/>
        <w:rPr>
          <w:b/>
          <w:bCs/>
          <w:sz w:val="24"/>
          <w:szCs w:val="24"/>
        </w:rPr>
      </w:pPr>
    </w:p>
    <w:p w14:paraId="72106043" w14:textId="6291B3F2" w:rsidR="00086430" w:rsidRPr="007368A6" w:rsidRDefault="00086430" w:rsidP="00916FDA">
      <w:pPr>
        <w:spacing w:after="240"/>
        <w:rPr>
          <w:b/>
          <w:bCs/>
          <w:sz w:val="24"/>
          <w:szCs w:val="24"/>
        </w:rPr>
      </w:pPr>
      <w:r w:rsidRPr="007368A6">
        <w:rPr>
          <w:b/>
          <w:bCs/>
          <w:sz w:val="24"/>
          <w:szCs w:val="24"/>
        </w:rPr>
        <w:t>Commentary Sat.</w:t>
      </w:r>
      <w:r w:rsidR="00447A4C">
        <w:rPr>
          <w:b/>
          <w:bCs/>
          <w:sz w:val="24"/>
          <w:szCs w:val="24"/>
        </w:rPr>
        <w:t>4</w:t>
      </w:r>
      <w:r w:rsidR="0012137C">
        <w:rPr>
          <w:b/>
          <w:bCs/>
          <w:sz w:val="24"/>
          <w:szCs w:val="24"/>
        </w:rPr>
        <w:t>2</w:t>
      </w:r>
    </w:p>
    <w:p w14:paraId="23091775" w14:textId="77777777" w:rsidR="00916FDA" w:rsidRDefault="00447A4C" w:rsidP="00916FDA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>
        <w:rPr>
          <w:rFonts w:cstheme="minorHAnsi"/>
          <w:color w:val="0D0D0D"/>
          <w:sz w:val="24"/>
          <w:szCs w:val="24"/>
          <w:shd w:val="clear" w:color="auto" w:fill="FFFFFF"/>
        </w:rPr>
        <w:t xml:space="preserve">One of the dominant themes through Petronius’ Satyricon is ‘Death’. </w:t>
      </w:r>
      <w:proofErr w:type="spellStart"/>
      <w:r>
        <w:rPr>
          <w:rFonts w:cstheme="minorHAnsi"/>
          <w:color w:val="0D0D0D"/>
          <w:sz w:val="24"/>
          <w:szCs w:val="24"/>
          <w:shd w:val="clear" w:color="auto" w:fill="FFFFFF"/>
        </w:rPr>
        <w:t>Trimalchio</w:t>
      </w:r>
      <w:proofErr w:type="spellEnd"/>
      <w:r>
        <w:rPr>
          <w:rFonts w:cstheme="minorHAnsi"/>
          <w:color w:val="0D0D0D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cstheme="minorHAnsi"/>
          <w:color w:val="0D0D0D"/>
          <w:sz w:val="24"/>
          <w:szCs w:val="24"/>
          <w:shd w:val="clear" w:color="auto" w:fill="FFFFFF"/>
        </w:rPr>
        <w:t>shows</w:t>
      </w:r>
      <w:proofErr w:type="gramEnd"/>
      <w:r>
        <w:rPr>
          <w:rFonts w:cstheme="minorHAnsi"/>
          <w:color w:val="0D0D0D"/>
          <w:sz w:val="24"/>
          <w:szCs w:val="24"/>
          <w:shd w:val="clear" w:color="auto" w:fill="FFFFFF"/>
        </w:rPr>
        <w:t xml:space="preserve"> </w:t>
      </w:r>
    </w:p>
    <w:p w14:paraId="56806527" w14:textId="77777777" w:rsidR="00916FDA" w:rsidRDefault="00447A4C" w:rsidP="00916FDA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>
        <w:rPr>
          <w:rFonts w:cstheme="minorHAnsi"/>
          <w:color w:val="0D0D0D"/>
          <w:sz w:val="24"/>
          <w:szCs w:val="24"/>
          <w:shd w:val="clear" w:color="auto" w:fill="FFFFFF"/>
        </w:rPr>
        <w:t xml:space="preserve">himself </w:t>
      </w:r>
      <w:proofErr w:type="spellStart"/>
      <w:r>
        <w:rPr>
          <w:rFonts w:cstheme="minorHAnsi"/>
          <w:color w:val="0D0D0D"/>
          <w:sz w:val="24"/>
          <w:szCs w:val="24"/>
          <w:shd w:val="clear" w:color="auto" w:fill="FFFFFF"/>
        </w:rPr>
        <w:t>thoughout</w:t>
      </w:r>
      <w:proofErr w:type="spellEnd"/>
      <w:r>
        <w:rPr>
          <w:rFonts w:cstheme="minorHAnsi"/>
          <w:color w:val="0D0D0D"/>
          <w:sz w:val="24"/>
          <w:szCs w:val="24"/>
          <w:shd w:val="clear" w:color="auto" w:fill="FFFFFF"/>
        </w:rPr>
        <w:t xml:space="preserve"> the text to be obsessed with the fragility of life from the water clock</w:t>
      </w: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 in his </w:t>
      </w:r>
    </w:p>
    <w:p w14:paraId="47B274C0" w14:textId="77777777" w:rsidR="00916FDA" w:rsidRDefault="00447A4C" w:rsidP="00916FDA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dining room, ‘horologium in </w:t>
      </w:r>
      <w:proofErr w:type="spellStart"/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>triclinio</w:t>
      </w:r>
      <w:proofErr w:type="spellEnd"/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’, (Petr. Sat. 26) a clear reference to the passing of </w:t>
      </w:r>
      <w:proofErr w:type="gramStart"/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>time;</w:t>
      </w:r>
      <w:proofErr w:type="gramEnd"/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 </w:t>
      </w:r>
    </w:p>
    <w:p w14:paraId="40354BA7" w14:textId="77777777" w:rsidR="00916FDA" w:rsidRDefault="00447A4C" w:rsidP="00916FDA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>
        <w:rPr>
          <w:rFonts w:cstheme="minorHAnsi"/>
          <w:color w:val="0D0D0D"/>
          <w:sz w:val="24"/>
          <w:szCs w:val="24"/>
          <w:shd w:val="clear" w:color="auto" w:fill="FFFFFF"/>
        </w:rPr>
        <w:t xml:space="preserve">to </w:t>
      </w: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>the wall painting of the large dog, ‘</w:t>
      </w:r>
      <w:proofErr w:type="spellStart"/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>canis</w:t>
      </w:r>
      <w:proofErr w:type="spellEnd"/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 </w:t>
      </w:r>
      <w:proofErr w:type="spellStart"/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>ingens</w:t>
      </w:r>
      <w:proofErr w:type="spellEnd"/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’ (Petr. Sat. 29) reminiscent of the dog </w:t>
      </w:r>
    </w:p>
    <w:p w14:paraId="4F596463" w14:textId="77777777" w:rsidR="00916FDA" w:rsidRDefault="00447A4C" w:rsidP="00916FDA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mosaics found on the floors of Pompeian houses that could be linked to Cerberus </w:t>
      </w:r>
      <w:proofErr w:type="gramStart"/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>guarding</w:t>
      </w:r>
      <w:proofErr w:type="gramEnd"/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 </w:t>
      </w:r>
    </w:p>
    <w:p w14:paraId="7AAD4B2F" w14:textId="77777777" w:rsidR="00916FDA" w:rsidRDefault="00447A4C" w:rsidP="00916FDA">
      <w:pPr>
        <w:spacing w:after="120"/>
        <w:rPr>
          <w:sz w:val="24"/>
          <w:szCs w:val="24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the entrance to Hades. </w:t>
      </w:r>
      <w:r w:rsidRPr="002E0377">
        <w:rPr>
          <w:sz w:val="24"/>
          <w:szCs w:val="24"/>
        </w:rPr>
        <w:t xml:space="preserve">The mural scene also invites comparison with funerary </w:t>
      </w:r>
      <w:proofErr w:type="gramStart"/>
      <w:r w:rsidRPr="002E0377">
        <w:rPr>
          <w:sz w:val="24"/>
          <w:szCs w:val="24"/>
        </w:rPr>
        <w:t>monuments</w:t>
      </w:r>
      <w:proofErr w:type="gramEnd"/>
      <w:r w:rsidRPr="002E0377">
        <w:rPr>
          <w:sz w:val="24"/>
          <w:szCs w:val="24"/>
        </w:rPr>
        <w:t xml:space="preserve"> </w:t>
      </w:r>
    </w:p>
    <w:p w14:paraId="1F59DB08" w14:textId="77777777" w:rsidR="00916FDA" w:rsidRDefault="00447A4C" w:rsidP="00916FDA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 xml:space="preserve">and practices. The whole could be seen as a tomb with the life of </w:t>
      </w:r>
      <w:proofErr w:type="spellStart"/>
      <w:r w:rsidRPr="002E0377">
        <w:rPr>
          <w:sz w:val="24"/>
          <w:szCs w:val="24"/>
        </w:rPr>
        <w:t>Trimalchio</w:t>
      </w:r>
      <w:proofErr w:type="spellEnd"/>
      <w:r w:rsidRPr="002E0377">
        <w:rPr>
          <w:sz w:val="24"/>
          <w:szCs w:val="24"/>
        </w:rPr>
        <w:t xml:space="preserve"> being </w:t>
      </w:r>
      <w:proofErr w:type="gramStart"/>
      <w:r w:rsidRPr="002E0377">
        <w:rPr>
          <w:sz w:val="24"/>
          <w:szCs w:val="24"/>
        </w:rPr>
        <w:t>clearly</w:t>
      </w:r>
      <w:proofErr w:type="gramEnd"/>
      <w:r w:rsidRPr="002E0377">
        <w:rPr>
          <w:sz w:val="24"/>
          <w:szCs w:val="24"/>
        </w:rPr>
        <w:t xml:space="preserve"> </w:t>
      </w:r>
    </w:p>
    <w:p w14:paraId="5B92FF3A" w14:textId="77777777" w:rsidR="00916FDA" w:rsidRDefault="00447A4C" w:rsidP="00916FDA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>depicted from being bought as a slave ‘</w:t>
      </w:r>
      <w:proofErr w:type="spellStart"/>
      <w:r w:rsidRPr="002E0377">
        <w:rPr>
          <w:sz w:val="24"/>
          <w:szCs w:val="24"/>
        </w:rPr>
        <w:t>venalicium</w:t>
      </w:r>
      <w:proofErr w:type="spellEnd"/>
      <w:r w:rsidRPr="002E0377">
        <w:rPr>
          <w:sz w:val="24"/>
          <w:szCs w:val="24"/>
        </w:rPr>
        <w:t xml:space="preserve">’, entering Rome with Minerva. </w:t>
      </w:r>
      <w:proofErr w:type="spellStart"/>
      <w:r w:rsidRPr="002E0377">
        <w:rPr>
          <w:sz w:val="24"/>
          <w:szCs w:val="24"/>
        </w:rPr>
        <w:t>Dunbabin's</w:t>
      </w:r>
      <w:proofErr w:type="spellEnd"/>
      <w:r w:rsidRPr="002E0377">
        <w:rPr>
          <w:sz w:val="24"/>
          <w:szCs w:val="24"/>
        </w:rPr>
        <w:t xml:space="preserve"> </w:t>
      </w:r>
    </w:p>
    <w:p w14:paraId="5176FD77" w14:textId="77777777" w:rsidR="00916FDA" w:rsidRDefault="00447A4C" w:rsidP="00916FDA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 xml:space="preserve">analysis underscores the meticulous </w:t>
      </w:r>
      <w:r>
        <w:rPr>
          <w:sz w:val="24"/>
          <w:szCs w:val="24"/>
        </w:rPr>
        <w:t>a</w:t>
      </w:r>
      <w:r w:rsidRPr="002E0377">
        <w:rPr>
          <w:sz w:val="24"/>
          <w:szCs w:val="24"/>
        </w:rPr>
        <w:t xml:space="preserve">ttention to detail in Petronius' description of </w:t>
      </w:r>
    </w:p>
    <w:p w14:paraId="13FD6C61" w14:textId="77777777" w:rsidR="00916FDA" w:rsidRDefault="00447A4C" w:rsidP="00916FDA">
      <w:pPr>
        <w:spacing w:after="120"/>
        <w:rPr>
          <w:sz w:val="24"/>
          <w:szCs w:val="24"/>
        </w:rPr>
      </w:pPr>
      <w:proofErr w:type="spellStart"/>
      <w:r w:rsidRPr="002E0377">
        <w:rPr>
          <w:sz w:val="24"/>
          <w:szCs w:val="24"/>
        </w:rPr>
        <w:t>Trimalchio's</w:t>
      </w:r>
      <w:proofErr w:type="spellEnd"/>
      <w:r w:rsidRPr="002E0377">
        <w:rPr>
          <w:sz w:val="24"/>
          <w:szCs w:val="24"/>
        </w:rPr>
        <w:t xml:space="preserve"> banquet, revealing the author's keen awareness of contemporary </w:t>
      </w:r>
      <w:proofErr w:type="gramStart"/>
      <w:r w:rsidRPr="002E0377">
        <w:rPr>
          <w:sz w:val="24"/>
          <w:szCs w:val="24"/>
        </w:rPr>
        <w:t>artistic</w:t>
      </w:r>
      <w:proofErr w:type="gramEnd"/>
      <w:r w:rsidRPr="002E0377">
        <w:rPr>
          <w:sz w:val="24"/>
          <w:szCs w:val="24"/>
        </w:rPr>
        <w:t xml:space="preserve"> </w:t>
      </w:r>
    </w:p>
    <w:p w14:paraId="600F1A9B" w14:textId="77777777" w:rsidR="00916FDA" w:rsidRDefault="00447A4C" w:rsidP="00916FDA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>practices.</w:t>
      </w:r>
      <w:r>
        <w:rPr>
          <w:sz w:val="24"/>
          <w:szCs w:val="24"/>
        </w:rPr>
        <w:t xml:space="preserve"> </w:t>
      </w:r>
      <w:r w:rsidRPr="002E0377">
        <w:rPr>
          <w:sz w:val="24"/>
          <w:szCs w:val="24"/>
        </w:rPr>
        <w:t>The Cena itself is interpreted by Bodel in his work ‘</w:t>
      </w:r>
      <w:proofErr w:type="spellStart"/>
      <w:r w:rsidRPr="002E0377">
        <w:rPr>
          <w:sz w:val="24"/>
          <w:szCs w:val="24"/>
        </w:rPr>
        <w:t>Trimalchio’s</w:t>
      </w:r>
      <w:proofErr w:type="spellEnd"/>
      <w:r w:rsidRPr="002E0377">
        <w:rPr>
          <w:sz w:val="24"/>
          <w:szCs w:val="24"/>
        </w:rPr>
        <w:t xml:space="preserve"> Underworld’ as a </w:t>
      </w:r>
    </w:p>
    <w:p w14:paraId="4AD42A3C" w14:textId="77777777" w:rsidR="00916FDA" w:rsidRDefault="00447A4C" w:rsidP="00916FDA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 xml:space="preserve">funeral feast with </w:t>
      </w:r>
      <w:proofErr w:type="spellStart"/>
      <w:r w:rsidRPr="002E0377">
        <w:rPr>
          <w:sz w:val="24"/>
          <w:szCs w:val="24"/>
        </w:rPr>
        <w:t>Trimalchio’s</w:t>
      </w:r>
      <w:proofErr w:type="spellEnd"/>
      <w:r w:rsidRPr="002E0377">
        <w:rPr>
          <w:sz w:val="24"/>
          <w:szCs w:val="24"/>
        </w:rPr>
        <w:t xml:space="preserve"> house as the underworld.</w:t>
      </w:r>
      <w:r>
        <w:rPr>
          <w:sz w:val="24"/>
          <w:szCs w:val="24"/>
        </w:rPr>
        <w:t xml:space="preserve"> This idea of a funeral feast </w:t>
      </w:r>
      <w:proofErr w:type="gramStart"/>
      <w:r>
        <w:rPr>
          <w:sz w:val="24"/>
          <w:szCs w:val="24"/>
        </w:rPr>
        <w:t>is</w:t>
      </w:r>
      <w:proofErr w:type="gramEnd"/>
      <w:r>
        <w:rPr>
          <w:sz w:val="24"/>
          <w:szCs w:val="24"/>
        </w:rPr>
        <w:t xml:space="preserve"> </w:t>
      </w:r>
    </w:p>
    <w:p w14:paraId="696D15B2" w14:textId="77777777" w:rsidR="00916FDA" w:rsidRDefault="00447A4C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expanded with the freedmen guests also showing particular interest in death through </w:t>
      </w:r>
      <w:proofErr w:type="gramStart"/>
      <w:r>
        <w:rPr>
          <w:sz w:val="24"/>
          <w:szCs w:val="24"/>
        </w:rPr>
        <w:t>their</w:t>
      </w:r>
      <w:proofErr w:type="gramEnd"/>
      <w:r>
        <w:rPr>
          <w:sz w:val="24"/>
          <w:szCs w:val="24"/>
        </w:rPr>
        <w:t xml:space="preserve"> </w:t>
      </w:r>
    </w:p>
    <w:p w14:paraId="535AB0F2" w14:textId="77777777" w:rsidR="00916FDA" w:rsidRDefault="00447A4C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>speeches and conversation: ‘</w:t>
      </w:r>
      <w:proofErr w:type="spellStart"/>
      <w:r>
        <w:rPr>
          <w:sz w:val="24"/>
          <w:szCs w:val="24"/>
        </w:rPr>
        <w:t>fui</w:t>
      </w:r>
      <w:proofErr w:type="spellEnd"/>
      <w:r>
        <w:rPr>
          <w:sz w:val="24"/>
          <w:szCs w:val="24"/>
        </w:rPr>
        <w:t xml:space="preserve">…in </w:t>
      </w:r>
      <w:proofErr w:type="spellStart"/>
      <w:r>
        <w:rPr>
          <w:sz w:val="24"/>
          <w:szCs w:val="24"/>
        </w:rPr>
        <w:t>funus</w:t>
      </w:r>
      <w:proofErr w:type="spellEnd"/>
      <w:r>
        <w:rPr>
          <w:sz w:val="24"/>
          <w:szCs w:val="24"/>
        </w:rPr>
        <w:t>’, I went to a funeral, ‘</w:t>
      </w:r>
      <w:proofErr w:type="spellStart"/>
      <w:r>
        <w:rPr>
          <w:sz w:val="24"/>
          <w:szCs w:val="24"/>
        </w:rPr>
        <w:t>animam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ebullit</w:t>
      </w:r>
      <w:proofErr w:type="spellEnd"/>
      <w:r>
        <w:rPr>
          <w:sz w:val="24"/>
          <w:szCs w:val="24"/>
        </w:rPr>
        <w:t xml:space="preserve">’, he </w:t>
      </w:r>
      <w:proofErr w:type="gramStart"/>
      <w:r>
        <w:rPr>
          <w:sz w:val="24"/>
          <w:szCs w:val="24"/>
        </w:rPr>
        <w:t>has</w:t>
      </w:r>
      <w:proofErr w:type="gramEnd"/>
      <w:r>
        <w:rPr>
          <w:sz w:val="24"/>
          <w:szCs w:val="24"/>
        </w:rPr>
        <w:t xml:space="preserve"> </w:t>
      </w:r>
    </w:p>
    <w:p w14:paraId="7BFABC37" w14:textId="77777777" w:rsidR="00916FDA" w:rsidRDefault="00447A4C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breathed his last, and </w:t>
      </w:r>
      <w:proofErr w:type="gramStart"/>
      <w:r>
        <w:rPr>
          <w:sz w:val="24"/>
          <w:szCs w:val="24"/>
        </w:rPr>
        <w:t xml:space="preserve">‘ </w:t>
      </w:r>
      <w:proofErr w:type="spellStart"/>
      <w:r>
        <w:rPr>
          <w:sz w:val="24"/>
          <w:szCs w:val="24"/>
        </w:rPr>
        <w:t>abiit</w:t>
      </w:r>
      <w:proofErr w:type="spellEnd"/>
      <w:proofErr w:type="gramEnd"/>
      <w:r w:rsidR="00AC498B">
        <w:rPr>
          <w:sz w:val="24"/>
          <w:szCs w:val="24"/>
        </w:rPr>
        <w:t xml:space="preserve"> ad </w:t>
      </w:r>
      <w:proofErr w:type="spellStart"/>
      <w:r w:rsidR="00AC498B">
        <w:rPr>
          <w:sz w:val="24"/>
          <w:szCs w:val="24"/>
        </w:rPr>
        <w:t>plures</w:t>
      </w:r>
      <w:proofErr w:type="spellEnd"/>
      <w:r w:rsidR="00AC498B">
        <w:rPr>
          <w:sz w:val="24"/>
          <w:szCs w:val="24"/>
        </w:rPr>
        <w:t xml:space="preserve">’, he has gone to join the great majority. These last two </w:t>
      </w:r>
    </w:p>
    <w:p w14:paraId="392FD3D3" w14:textId="59430A9B" w:rsidR="00AC498B" w:rsidRDefault="00AC498B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being examples of colloquial euphemisms for death and all found in Petronius Satyricon 42. </w:t>
      </w:r>
    </w:p>
    <w:p w14:paraId="00DDFEB0" w14:textId="77777777" w:rsidR="00916FDA" w:rsidRDefault="00916FDA" w:rsidP="00916FDA">
      <w:pPr>
        <w:spacing w:after="120"/>
        <w:rPr>
          <w:sz w:val="24"/>
          <w:szCs w:val="24"/>
        </w:rPr>
      </w:pPr>
    </w:p>
    <w:p w14:paraId="597D2E7B" w14:textId="77777777" w:rsidR="00916FDA" w:rsidRDefault="007122AD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There is also a focus on medicine </w:t>
      </w:r>
      <w:r w:rsidR="000E2ACD">
        <w:rPr>
          <w:sz w:val="24"/>
          <w:szCs w:val="24"/>
        </w:rPr>
        <w:t xml:space="preserve">and doctors in Petronius Satyricon 42, shown through the </w:t>
      </w:r>
    </w:p>
    <w:p w14:paraId="1E66BE93" w14:textId="77777777" w:rsidR="00916FDA" w:rsidRDefault="000E2ACD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reference to ‘muscae’, flies in medicinal remedies. Pliny researched in </w:t>
      </w:r>
      <w:proofErr w:type="gramStart"/>
      <w:r>
        <w:rPr>
          <w:sz w:val="24"/>
          <w:szCs w:val="24"/>
        </w:rPr>
        <w:t>great detail</w:t>
      </w:r>
      <w:proofErr w:type="gramEnd"/>
      <w:r>
        <w:rPr>
          <w:sz w:val="24"/>
          <w:szCs w:val="24"/>
        </w:rPr>
        <w:t xml:space="preserve"> the use of </w:t>
      </w:r>
    </w:p>
    <w:p w14:paraId="191FCC00" w14:textId="77777777" w:rsidR="00916FDA" w:rsidRDefault="000E2ACD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flies in medicinal cures including evidence from Varro’s writings on the use of flies to </w:t>
      </w:r>
      <w:proofErr w:type="gramStart"/>
      <w:r>
        <w:rPr>
          <w:sz w:val="24"/>
          <w:szCs w:val="24"/>
        </w:rPr>
        <w:t>cure</w:t>
      </w:r>
      <w:proofErr w:type="gramEnd"/>
      <w:r>
        <w:rPr>
          <w:sz w:val="24"/>
          <w:szCs w:val="24"/>
        </w:rPr>
        <w:t xml:space="preserve"> </w:t>
      </w:r>
    </w:p>
    <w:p w14:paraId="39AA83F1" w14:textId="77777777" w:rsidR="00916FDA" w:rsidRDefault="000E2ACD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baldness to Diodorus’ remedy for jaundice being to eat four flies with rosin and honey. </w:t>
      </w:r>
    </w:p>
    <w:p w14:paraId="2419872E" w14:textId="77777777" w:rsidR="00916FDA" w:rsidRDefault="001A7397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(Weiss. H. ‘Entomological Medicaments of the Past.) </w:t>
      </w:r>
      <w:r w:rsidR="000E2ACD">
        <w:rPr>
          <w:sz w:val="24"/>
          <w:szCs w:val="24"/>
        </w:rPr>
        <w:t xml:space="preserve">During this time there was no </w:t>
      </w:r>
    </w:p>
    <w:p w14:paraId="44A8EC67" w14:textId="77777777" w:rsidR="00916FDA" w:rsidRDefault="000E2ACD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professional class of physicians and many relied on primitive remedies, superstitious </w:t>
      </w:r>
      <w:proofErr w:type="gramStart"/>
      <w:r>
        <w:rPr>
          <w:sz w:val="24"/>
          <w:szCs w:val="24"/>
        </w:rPr>
        <w:t>beliefs</w:t>
      </w:r>
      <w:proofErr w:type="gramEnd"/>
      <w:r>
        <w:rPr>
          <w:sz w:val="24"/>
          <w:szCs w:val="24"/>
        </w:rPr>
        <w:t xml:space="preserve"> </w:t>
      </w:r>
    </w:p>
    <w:p w14:paraId="57C63808" w14:textId="77777777" w:rsidR="00916FDA" w:rsidRDefault="000E2ACD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and offerings to the gods. The growth of formal medicine began with the arrival of </w:t>
      </w:r>
      <w:proofErr w:type="gramStart"/>
      <w:r>
        <w:rPr>
          <w:sz w:val="24"/>
          <w:szCs w:val="24"/>
        </w:rPr>
        <w:t>Greek</w:t>
      </w:r>
      <w:proofErr w:type="gramEnd"/>
      <w:r>
        <w:rPr>
          <w:sz w:val="24"/>
          <w:szCs w:val="24"/>
        </w:rPr>
        <w:t xml:space="preserve"> </w:t>
      </w:r>
    </w:p>
    <w:p w14:paraId="12D9F8F6" w14:textId="77777777" w:rsidR="00916FDA" w:rsidRDefault="000E2ACD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physicians, who were initially derided by the Romans. (Potter, D. ‘A Companion </w:t>
      </w:r>
      <w:proofErr w:type="gramStart"/>
      <w:r>
        <w:rPr>
          <w:sz w:val="24"/>
          <w:szCs w:val="24"/>
        </w:rPr>
        <w:t>To</w:t>
      </w:r>
      <w:proofErr w:type="gramEnd"/>
      <w:r>
        <w:rPr>
          <w:sz w:val="24"/>
          <w:szCs w:val="24"/>
        </w:rPr>
        <w:t xml:space="preserve"> The </w:t>
      </w:r>
    </w:p>
    <w:p w14:paraId="1AD8407A" w14:textId="77777777" w:rsidR="00916FDA" w:rsidRDefault="000E2ACD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Roman Empire.) Pliny the Elder describes approximately one thousand plants with </w:t>
      </w:r>
      <w:proofErr w:type="gramStart"/>
      <w:r>
        <w:rPr>
          <w:sz w:val="24"/>
          <w:szCs w:val="24"/>
        </w:rPr>
        <w:t>medicinal</w:t>
      </w:r>
      <w:proofErr w:type="gramEnd"/>
      <w:r>
        <w:rPr>
          <w:sz w:val="24"/>
          <w:szCs w:val="24"/>
        </w:rPr>
        <w:t xml:space="preserve"> </w:t>
      </w:r>
    </w:p>
    <w:p w14:paraId="0B9E9CEE" w14:textId="77777777" w:rsidR="00916FDA" w:rsidRDefault="000E2ACD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properties, such as ‘avens’ advised by herbalists as an astringent for digestive troubles (Pliny </w:t>
      </w:r>
    </w:p>
    <w:p w14:paraId="455398B9" w14:textId="77777777" w:rsidR="00916FDA" w:rsidRDefault="000E2ACD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Naturae </w:t>
      </w:r>
      <w:proofErr w:type="spellStart"/>
      <w:r>
        <w:rPr>
          <w:sz w:val="24"/>
          <w:szCs w:val="24"/>
        </w:rPr>
        <w:t>Historicae</w:t>
      </w:r>
      <w:proofErr w:type="spellEnd"/>
      <w:r>
        <w:rPr>
          <w:sz w:val="24"/>
          <w:szCs w:val="24"/>
        </w:rPr>
        <w:t xml:space="preserve"> XXIV. 37.)  Section 42 also contains reference to fasting, </w:t>
      </w:r>
    </w:p>
    <w:p w14:paraId="0C899C42" w14:textId="77777777" w:rsidR="00916FDA" w:rsidRDefault="000E2ACD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>‘</w:t>
      </w:r>
      <w:proofErr w:type="spellStart"/>
      <w:proofErr w:type="gramStart"/>
      <w:r>
        <w:rPr>
          <w:sz w:val="24"/>
          <w:szCs w:val="24"/>
        </w:rPr>
        <w:t>abstinax</w:t>
      </w:r>
      <w:proofErr w:type="spellEnd"/>
      <w:proofErr w:type="gramEnd"/>
      <w:r>
        <w:rPr>
          <w:sz w:val="24"/>
          <w:szCs w:val="24"/>
        </w:rPr>
        <w:t>…</w:t>
      </w:r>
      <w:proofErr w:type="spellStart"/>
      <w:r>
        <w:rPr>
          <w:sz w:val="24"/>
          <w:szCs w:val="24"/>
        </w:rPr>
        <w:t>quinque</w:t>
      </w:r>
      <w:proofErr w:type="spellEnd"/>
      <w:r>
        <w:rPr>
          <w:sz w:val="24"/>
          <w:szCs w:val="24"/>
        </w:rPr>
        <w:t xml:space="preserve"> dies’</w:t>
      </w:r>
      <w:r w:rsidR="001A7397">
        <w:rPr>
          <w:sz w:val="24"/>
          <w:szCs w:val="24"/>
        </w:rPr>
        <w:t xml:space="preserve">. Celsus in his third book of ‘On Medicine’ stated that when </w:t>
      </w:r>
      <w:proofErr w:type="gramStart"/>
      <w:r w:rsidR="001A7397">
        <w:rPr>
          <w:sz w:val="24"/>
          <w:szCs w:val="24"/>
        </w:rPr>
        <w:t>feverish</w:t>
      </w:r>
      <w:proofErr w:type="gramEnd"/>
      <w:r w:rsidR="001A7397">
        <w:rPr>
          <w:sz w:val="24"/>
          <w:szCs w:val="24"/>
        </w:rPr>
        <w:t xml:space="preserve"> </w:t>
      </w:r>
    </w:p>
    <w:p w14:paraId="22EE740E" w14:textId="77777777" w:rsidR="00916FDA" w:rsidRDefault="001A7397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one should fast in the hope of cleansing body and mind. (Potter, D. A Companion </w:t>
      </w:r>
      <w:proofErr w:type="gramStart"/>
      <w:r>
        <w:rPr>
          <w:sz w:val="24"/>
          <w:szCs w:val="24"/>
        </w:rPr>
        <w:t>To</w:t>
      </w:r>
      <w:proofErr w:type="gramEnd"/>
      <w:r>
        <w:rPr>
          <w:sz w:val="24"/>
          <w:szCs w:val="24"/>
        </w:rPr>
        <w:t xml:space="preserve"> The </w:t>
      </w:r>
    </w:p>
    <w:p w14:paraId="61D5189C" w14:textId="163C50A4" w:rsidR="001A7397" w:rsidRDefault="001A7397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>Roman Empire).</w:t>
      </w:r>
    </w:p>
    <w:p w14:paraId="61F6EDF5" w14:textId="77777777" w:rsidR="00916FDA" w:rsidRDefault="00916FDA" w:rsidP="00916FDA">
      <w:pPr>
        <w:spacing w:after="120"/>
        <w:rPr>
          <w:sz w:val="24"/>
          <w:szCs w:val="24"/>
        </w:rPr>
      </w:pPr>
    </w:p>
    <w:p w14:paraId="64981BEC" w14:textId="77777777" w:rsidR="00916FDA" w:rsidRDefault="001A7397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>Section 42 begins with Seleucus deriding bathing</w:t>
      </w:r>
      <w:r w:rsidR="007A581E">
        <w:rPr>
          <w:sz w:val="24"/>
          <w:szCs w:val="24"/>
        </w:rPr>
        <w:t xml:space="preserve">, ‘non </w:t>
      </w:r>
      <w:proofErr w:type="spellStart"/>
      <w:r w:rsidR="007A581E">
        <w:rPr>
          <w:sz w:val="24"/>
          <w:szCs w:val="24"/>
        </w:rPr>
        <w:t>cotidie</w:t>
      </w:r>
      <w:proofErr w:type="spellEnd"/>
      <w:r w:rsidR="007A581E">
        <w:rPr>
          <w:sz w:val="24"/>
          <w:szCs w:val="24"/>
        </w:rPr>
        <w:t xml:space="preserve"> </w:t>
      </w:r>
      <w:proofErr w:type="spellStart"/>
      <w:r w:rsidR="007A581E">
        <w:rPr>
          <w:sz w:val="24"/>
          <w:szCs w:val="24"/>
        </w:rPr>
        <w:t>lavor</w:t>
      </w:r>
      <w:proofErr w:type="spellEnd"/>
      <w:r w:rsidR="007A581E">
        <w:rPr>
          <w:sz w:val="24"/>
          <w:szCs w:val="24"/>
        </w:rPr>
        <w:t>…</w:t>
      </w:r>
      <w:proofErr w:type="spellStart"/>
      <w:r w:rsidR="007A581E">
        <w:rPr>
          <w:sz w:val="24"/>
          <w:szCs w:val="24"/>
        </w:rPr>
        <w:t>liquescit</w:t>
      </w:r>
      <w:proofErr w:type="spellEnd"/>
      <w:r w:rsidR="007A581E">
        <w:rPr>
          <w:sz w:val="24"/>
          <w:szCs w:val="24"/>
        </w:rPr>
        <w:t xml:space="preserve">’, I do </w:t>
      </w:r>
      <w:proofErr w:type="gramStart"/>
      <w:r w:rsidR="007A581E">
        <w:rPr>
          <w:sz w:val="24"/>
          <w:szCs w:val="24"/>
        </w:rPr>
        <w:t>not</w:t>
      </w:r>
      <w:proofErr w:type="gramEnd"/>
      <w:r w:rsidR="007A581E">
        <w:rPr>
          <w:sz w:val="24"/>
          <w:szCs w:val="24"/>
        </w:rPr>
        <w:t xml:space="preserve"> </w:t>
      </w:r>
    </w:p>
    <w:p w14:paraId="1069645D" w14:textId="77777777" w:rsidR="00916FDA" w:rsidRDefault="007A581E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bathe daily, a bath is like getting dry-cleaned, the water has </w:t>
      </w:r>
      <w:proofErr w:type="gramStart"/>
      <w:r>
        <w:rPr>
          <w:sz w:val="24"/>
          <w:szCs w:val="24"/>
        </w:rPr>
        <w:t>teeth</w:t>
      </w:r>
      <w:proofErr w:type="gramEnd"/>
      <w:r>
        <w:rPr>
          <w:sz w:val="24"/>
          <w:szCs w:val="24"/>
        </w:rPr>
        <w:t xml:space="preserve"> and my insides melt away’. </w:t>
      </w:r>
    </w:p>
    <w:p w14:paraId="33FFC8BB" w14:textId="77777777" w:rsidR="00916FDA" w:rsidRDefault="007A581E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The use of public bathes was integral to Roman society, having an important social function. </w:t>
      </w:r>
    </w:p>
    <w:p w14:paraId="6AE77C21" w14:textId="77777777" w:rsidR="00916FDA" w:rsidRDefault="007A581E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It was common practice for Romans to bathe in the afternoon, as we saw in </w:t>
      </w:r>
      <w:proofErr w:type="gramStart"/>
      <w:r>
        <w:rPr>
          <w:sz w:val="24"/>
          <w:szCs w:val="24"/>
        </w:rPr>
        <w:t>Petronius</w:t>
      </w:r>
      <w:proofErr w:type="gramEnd"/>
      <w:r>
        <w:rPr>
          <w:sz w:val="24"/>
          <w:szCs w:val="24"/>
        </w:rPr>
        <w:t xml:space="preserve"> </w:t>
      </w:r>
    </w:p>
    <w:p w14:paraId="704823CB" w14:textId="77777777" w:rsidR="00916FDA" w:rsidRDefault="007A581E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Satyricon 28. (Berry, J. ‘The Complete Pompeii) However Seleucus may not have </w:t>
      </w:r>
      <w:proofErr w:type="gramStart"/>
      <w:r>
        <w:rPr>
          <w:sz w:val="24"/>
          <w:szCs w:val="24"/>
        </w:rPr>
        <w:t>been</w:t>
      </w:r>
      <w:proofErr w:type="gramEnd"/>
      <w:r>
        <w:rPr>
          <w:sz w:val="24"/>
          <w:szCs w:val="24"/>
        </w:rPr>
        <w:t xml:space="preserve"> </w:t>
      </w:r>
    </w:p>
    <w:p w14:paraId="70D852AD" w14:textId="77777777" w:rsidR="00916FDA" w:rsidRDefault="007A581E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wrong. According to Mary Beard’s writing in ‘SPQR A History of Ancient Rome’, ‘Anyone who </w:t>
      </w:r>
    </w:p>
    <w:p w14:paraId="3C4A5977" w14:textId="77777777" w:rsidR="00916FDA" w:rsidRDefault="007A581E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>went to the public baths…</w:t>
      </w:r>
      <w:r w:rsidR="009850E4">
        <w:rPr>
          <w:sz w:val="24"/>
          <w:szCs w:val="24"/>
        </w:rPr>
        <w:t xml:space="preserve">risked becoming a victim of those breeding grounds of infection.’ </w:t>
      </w:r>
    </w:p>
    <w:p w14:paraId="2601842B" w14:textId="77777777" w:rsidR="00916FDA" w:rsidRDefault="009850E4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This, </w:t>
      </w:r>
      <w:proofErr w:type="gramStart"/>
      <w:r>
        <w:rPr>
          <w:sz w:val="24"/>
          <w:szCs w:val="24"/>
        </w:rPr>
        <w:t>therefore</w:t>
      </w:r>
      <w:proofErr w:type="gramEnd"/>
      <w:r>
        <w:rPr>
          <w:sz w:val="24"/>
          <w:szCs w:val="24"/>
        </w:rPr>
        <w:t xml:space="preserve"> goes some way to legitimising Seleucus’ attitude towards bathing. The </w:t>
      </w:r>
    </w:p>
    <w:p w14:paraId="3C18EF62" w14:textId="77777777" w:rsidR="00916FDA" w:rsidRDefault="009850E4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reference to dry-cleaning, implies an unpleasant experience which due to the use of </w:t>
      </w:r>
    </w:p>
    <w:p w14:paraId="5A0C1504" w14:textId="23382610" w:rsidR="009850E4" w:rsidRDefault="009850E4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>ammonia in the process, it would have been.</w:t>
      </w:r>
    </w:p>
    <w:p w14:paraId="700E742A" w14:textId="77777777" w:rsidR="00916FDA" w:rsidRDefault="00916FDA" w:rsidP="00916FDA">
      <w:pPr>
        <w:spacing w:after="240"/>
        <w:rPr>
          <w:sz w:val="24"/>
          <w:szCs w:val="24"/>
        </w:rPr>
      </w:pPr>
    </w:p>
    <w:p w14:paraId="6829BC1B" w14:textId="77777777" w:rsidR="00916FDA" w:rsidRDefault="009850E4" w:rsidP="00916FDA">
      <w:pPr>
        <w:spacing w:after="120"/>
        <w:rPr>
          <w:sz w:val="24"/>
          <w:szCs w:val="24"/>
        </w:rPr>
      </w:pPr>
      <w:proofErr w:type="gramStart"/>
      <w:r>
        <w:rPr>
          <w:sz w:val="24"/>
          <w:szCs w:val="24"/>
        </w:rPr>
        <w:t>Therefore</w:t>
      </w:r>
      <w:proofErr w:type="gramEnd"/>
      <w:r>
        <w:rPr>
          <w:sz w:val="24"/>
          <w:szCs w:val="24"/>
        </w:rPr>
        <w:t xml:space="preserve"> this section continues with the theme of death and introduces ideas about </w:t>
      </w:r>
    </w:p>
    <w:p w14:paraId="53DF450A" w14:textId="77777777" w:rsidR="00916FDA" w:rsidRDefault="009850E4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medicine and the practice of bathing. It also allows us as readers, to hear the opinions of the </w:t>
      </w:r>
    </w:p>
    <w:p w14:paraId="3B003EAF" w14:textId="77777777" w:rsidR="00916FDA" w:rsidRDefault="009850E4" w:rsidP="00916FDA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guests, rather than the soliloquys delivered by </w:t>
      </w:r>
      <w:proofErr w:type="spellStart"/>
      <w:r>
        <w:rPr>
          <w:sz w:val="24"/>
          <w:szCs w:val="24"/>
        </w:rPr>
        <w:t>Trimalchio</w:t>
      </w:r>
      <w:proofErr w:type="spellEnd"/>
      <w:r>
        <w:rPr>
          <w:sz w:val="24"/>
          <w:szCs w:val="24"/>
        </w:rPr>
        <w:t xml:space="preserve">, as was seen in the previous </w:t>
      </w:r>
    </w:p>
    <w:p w14:paraId="38BE2428" w14:textId="3768653A" w:rsidR="004A012D" w:rsidRDefault="009850E4" w:rsidP="00916FDA">
      <w:pPr>
        <w:spacing w:after="12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sections.  </w:t>
      </w:r>
      <w:r w:rsidR="007A581E">
        <w:rPr>
          <w:sz w:val="24"/>
          <w:szCs w:val="24"/>
        </w:rPr>
        <w:t xml:space="preserve">  </w:t>
      </w:r>
      <w:r w:rsidR="001A7397">
        <w:rPr>
          <w:sz w:val="24"/>
          <w:szCs w:val="24"/>
        </w:rPr>
        <w:t xml:space="preserve">   </w:t>
      </w:r>
    </w:p>
    <w:p w14:paraId="15B82416" w14:textId="4C7828B2" w:rsidR="004827EC" w:rsidRPr="007368A6" w:rsidRDefault="004827EC" w:rsidP="004827EC">
      <w:pPr>
        <w:rPr>
          <w:b/>
          <w:bCs/>
          <w:sz w:val="24"/>
          <w:szCs w:val="24"/>
        </w:rPr>
      </w:pPr>
      <w:r w:rsidRPr="007368A6">
        <w:rPr>
          <w:b/>
          <w:bCs/>
          <w:sz w:val="24"/>
          <w:szCs w:val="24"/>
        </w:rPr>
        <w:t>Bibliography:</w:t>
      </w:r>
    </w:p>
    <w:p w14:paraId="2FA82976" w14:textId="597C911C" w:rsidR="004827EC" w:rsidRPr="007368A6" w:rsidRDefault="004827EC" w:rsidP="004827EC">
      <w:pPr>
        <w:rPr>
          <w:sz w:val="24"/>
          <w:szCs w:val="24"/>
        </w:rPr>
      </w:pPr>
      <w:r w:rsidRPr="007368A6">
        <w:rPr>
          <w:sz w:val="24"/>
          <w:szCs w:val="24"/>
        </w:rPr>
        <w:t xml:space="preserve">Petronius. </w:t>
      </w:r>
      <w:r w:rsidR="00F61F7B">
        <w:rPr>
          <w:sz w:val="24"/>
          <w:szCs w:val="24"/>
        </w:rPr>
        <w:t>‘</w:t>
      </w:r>
      <w:r w:rsidRPr="007368A6">
        <w:rPr>
          <w:sz w:val="24"/>
          <w:szCs w:val="24"/>
        </w:rPr>
        <w:t>Satyricon.</w:t>
      </w:r>
      <w:r w:rsidR="00F61F7B">
        <w:rPr>
          <w:sz w:val="24"/>
          <w:szCs w:val="24"/>
        </w:rPr>
        <w:t>’</w:t>
      </w:r>
    </w:p>
    <w:p w14:paraId="614B57E6" w14:textId="76596F1B" w:rsidR="004827EC" w:rsidRPr="007368A6" w:rsidRDefault="004827EC" w:rsidP="004827EC">
      <w:pPr>
        <w:rPr>
          <w:sz w:val="24"/>
          <w:szCs w:val="24"/>
        </w:rPr>
      </w:pPr>
      <w:r w:rsidRPr="007368A6">
        <w:rPr>
          <w:sz w:val="24"/>
          <w:szCs w:val="24"/>
        </w:rPr>
        <w:t xml:space="preserve">Schmeling, Gareth. </w:t>
      </w:r>
      <w:r w:rsidR="00F61F7B">
        <w:rPr>
          <w:sz w:val="24"/>
          <w:szCs w:val="24"/>
        </w:rPr>
        <w:t>‘</w:t>
      </w:r>
      <w:r w:rsidRPr="007368A6">
        <w:rPr>
          <w:sz w:val="24"/>
          <w:szCs w:val="24"/>
        </w:rPr>
        <w:t xml:space="preserve">A Commentary on the </w:t>
      </w:r>
      <w:proofErr w:type="spellStart"/>
      <w:r w:rsidRPr="007368A6">
        <w:rPr>
          <w:sz w:val="24"/>
          <w:szCs w:val="24"/>
        </w:rPr>
        <w:t>Satyrica</w:t>
      </w:r>
      <w:proofErr w:type="spellEnd"/>
      <w:r w:rsidRPr="007368A6">
        <w:rPr>
          <w:sz w:val="24"/>
          <w:szCs w:val="24"/>
        </w:rPr>
        <w:t xml:space="preserve"> of Petronius.</w:t>
      </w:r>
      <w:r w:rsidR="00F61F7B">
        <w:rPr>
          <w:sz w:val="24"/>
          <w:szCs w:val="24"/>
        </w:rPr>
        <w:t>’</w:t>
      </w:r>
      <w:r w:rsidRPr="007368A6">
        <w:rPr>
          <w:sz w:val="24"/>
          <w:szCs w:val="24"/>
        </w:rPr>
        <w:t xml:space="preserve"> University of North Carolina Press, 2011.</w:t>
      </w:r>
    </w:p>
    <w:p w14:paraId="26B32980" w14:textId="45F97844" w:rsidR="00F61F7B" w:rsidRDefault="00F61F7B" w:rsidP="004827EC">
      <w:pPr>
        <w:rPr>
          <w:sz w:val="24"/>
          <w:szCs w:val="24"/>
        </w:rPr>
      </w:pPr>
      <w:r>
        <w:rPr>
          <w:sz w:val="24"/>
          <w:szCs w:val="24"/>
        </w:rPr>
        <w:t>Rackham, H. Translation ‘Natural History’ by Pliny. Harvard University Press, 1961.</w:t>
      </w:r>
    </w:p>
    <w:p w14:paraId="561FACD1" w14:textId="711C205E" w:rsidR="00F61F7B" w:rsidRDefault="00F61F7B" w:rsidP="004827EC">
      <w:pPr>
        <w:rPr>
          <w:sz w:val="24"/>
          <w:szCs w:val="24"/>
        </w:rPr>
      </w:pPr>
      <w:r>
        <w:rPr>
          <w:sz w:val="24"/>
          <w:szCs w:val="24"/>
        </w:rPr>
        <w:t>Pray Bober, P. ‘Art, culture and cuisine: Ancient and medieval gastronomy.’ Chicago Press, 1999.</w:t>
      </w:r>
    </w:p>
    <w:p w14:paraId="6CD341E4" w14:textId="5D336E0D" w:rsidR="00F61F7B" w:rsidRDefault="00F61F7B" w:rsidP="004827EC">
      <w:pPr>
        <w:rPr>
          <w:sz w:val="24"/>
          <w:szCs w:val="24"/>
        </w:rPr>
      </w:pPr>
      <w:r>
        <w:rPr>
          <w:sz w:val="24"/>
          <w:szCs w:val="24"/>
        </w:rPr>
        <w:t>Beard, M. ‘SPQR A History of Ancient Rome.’ Profile Books Ltd., 2016.</w:t>
      </w:r>
    </w:p>
    <w:p w14:paraId="52CB9D21" w14:textId="1835B0FC" w:rsidR="004827EC" w:rsidRDefault="004827EC" w:rsidP="004827EC">
      <w:pPr>
        <w:rPr>
          <w:sz w:val="24"/>
          <w:szCs w:val="24"/>
        </w:rPr>
      </w:pPr>
      <w:r w:rsidRPr="007368A6">
        <w:rPr>
          <w:sz w:val="24"/>
          <w:szCs w:val="24"/>
        </w:rPr>
        <w:t xml:space="preserve">Greene, Ellen (ed.). </w:t>
      </w:r>
      <w:r w:rsidR="00F61F7B">
        <w:rPr>
          <w:sz w:val="24"/>
          <w:szCs w:val="24"/>
        </w:rPr>
        <w:t>‘</w:t>
      </w:r>
      <w:r w:rsidRPr="007368A6">
        <w:rPr>
          <w:sz w:val="24"/>
          <w:szCs w:val="24"/>
        </w:rPr>
        <w:t>Reading Petronius.</w:t>
      </w:r>
      <w:r w:rsidR="00F61F7B">
        <w:rPr>
          <w:sz w:val="24"/>
          <w:szCs w:val="24"/>
        </w:rPr>
        <w:t>’</w:t>
      </w:r>
      <w:r w:rsidRPr="007368A6">
        <w:rPr>
          <w:sz w:val="24"/>
          <w:szCs w:val="24"/>
        </w:rPr>
        <w:t xml:space="preserve"> Johns Hopkins University Press, 2000.</w:t>
      </w:r>
    </w:p>
    <w:p w14:paraId="7742302E" w14:textId="2D4A4E65" w:rsidR="007368A6" w:rsidRDefault="00232523" w:rsidP="004827EC">
      <w:pPr>
        <w:rPr>
          <w:sz w:val="24"/>
          <w:szCs w:val="24"/>
        </w:rPr>
      </w:pPr>
      <w:r w:rsidRPr="00232523">
        <w:rPr>
          <w:sz w:val="24"/>
          <w:szCs w:val="24"/>
        </w:rPr>
        <w:t>Bodel, John</w:t>
      </w:r>
      <w:r>
        <w:rPr>
          <w:sz w:val="24"/>
          <w:szCs w:val="24"/>
        </w:rPr>
        <w:t>.</w:t>
      </w:r>
      <w:r w:rsidRPr="00232523">
        <w:rPr>
          <w:sz w:val="24"/>
          <w:szCs w:val="24"/>
        </w:rPr>
        <w:t xml:space="preserve"> ‘</w:t>
      </w:r>
      <w:proofErr w:type="spellStart"/>
      <w:r w:rsidRPr="00232523">
        <w:rPr>
          <w:sz w:val="24"/>
          <w:szCs w:val="24"/>
        </w:rPr>
        <w:t>Trimalchio’s</w:t>
      </w:r>
      <w:proofErr w:type="spellEnd"/>
      <w:r w:rsidRPr="00232523">
        <w:rPr>
          <w:sz w:val="24"/>
          <w:szCs w:val="24"/>
        </w:rPr>
        <w:t xml:space="preserve"> Underworld’, in James Tatum (ed.), The Search for the Ancient Novel (Baltimore and London: The John Hopkins University Press)</w:t>
      </w:r>
      <w:r>
        <w:rPr>
          <w:sz w:val="24"/>
          <w:szCs w:val="24"/>
        </w:rPr>
        <w:t>,</w:t>
      </w:r>
      <w:r w:rsidRPr="00232523">
        <w:rPr>
          <w:sz w:val="24"/>
          <w:szCs w:val="24"/>
        </w:rPr>
        <w:t xml:space="preserve"> </w:t>
      </w:r>
      <w:r>
        <w:rPr>
          <w:sz w:val="24"/>
          <w:szCs w:val="24"/>
        </w:rPr>
        <w:t>1994.</w:t>
      </w:r>
    </w:p>
    <w:p w14:paraId="4EAD6BB1" w14:textId="77777777" w:rsidR="009850E4" w:rsidRDefault="009850E4" w:rsidP="009850E4">
      <w:pPr>
        <w:spacing w:after="120"/>
        <w:rPr>
          <w:sz w:val="24"/>
          <w:szCs w:val="24"/>
        </w:rPr>
      </w:pPr>
      <w:proofErr w:type="spellStart"/>
      <w:r w:rsidRPr="002E0377">
        <w:rPr>
          <w:sz w:val="24"/>
          <w:szCs w:val="24"/>
        </w:rPr>
        <w:t>Dunbabin</w:t>
      </w:r>
      <w:proofErr w:type="spellEnd"/>
      <w:r w:rsidRPr="002E0377">
        <w:rPr>
          <w:sz w:val="24"/>
          <w:szCs w:val="24"/>
        </w:rPr>
        <w:t>, Katherine "The Roman Banquet: Images of Conviviality.’ Cambridge University Press, 2003.</w:t>
      </w:r>
    </w:p>
    <w:p w14:paraId="3E2EDAEB" w14:textId="77777777" w:rsidR="009850E4" w:rsidRDefault="009850E4" w:rsidP="009850E4">
      <w:pPr>
        <w:rPr>
          <w:sz w:val="24"/>
          <w:szCs w:val="24"/>
        </w:rPr>
      </w:pPr>
      <w:r>
        <w:rPr>
          <w:sz w:val="24"/>
          <w:szCs w:val="24"/>
        </w:rPr>
        <w:t>Rackham, H. Translation ‘Natural History’ by Pliny. Harvard University Press, 1961.</w:t>
      </w:r>
    </w:p>
    <w:p w14:paraId="2D0E88D3" w14:textId="0E7C5DB6" w:rsidR="009850E4" w:rsidRDefault="009850E4" w:rsidP="009850E4">
      <w:pPr>
        <w:rPr>
          <w:sz w:val="24"/>
          <w:szCs w:val="24"/>
        </w:rPr>
      </w:pPr>
      <w:r>
        <w:rPr>
          <w:sz w:val="24"/>
          <w:szCs w:val="24"/>
        </w:rPr>
        <w:t>Jones, W. ‘Ancient Roman Folk Medicine’ The Journal of the History of Medicine and Allied Sciences, Vol.12, No. 4. Oxford University Press, pp 459-472, 1957.</w:t>
      </w:r>
    </w:p>
    <w:p w14:paraId="2D8F9224" w14:textId="58848E02" w:rsidR="009850E4" w:rsidRDefault="009850E4" w:rsidP="009850E4">
      <w:pPr>
        <w:rPr>
          <w:sz w:val="24"/>
          <w:szCs w:val="24"/>
        </w:rPr>
      </w:pPr>
      <w:r>
        <w:rPr>
          <w:sz w:val="24"/>
          <w:szCs w:val="24"/>
        </w:rPr>
        <w:t xml:space="preserve">Weiss, H. ‘Entomological Medicaments of the Past.’ Journal of the New York Entomological Society, </w:t>
      </w:r>
      <w:r w:rsidR="00916FDA">
        <w:rPr>
          <w:sz w:val="24"/>
          <w:szCs w:val="24"/>
        </w:rPr>
        <w:t>Vol 55, No. 2, New York Entomological Society, pp 155-168, 1947.</w:t>
      </w:r>
    </w:p>
    <w:p w14:paraId="349E9402" w14:textId="3A131720" w:rsidR="00916FDA" w:rsidRDefault="00916FDA" w:rsidP="009850E4">
      <w:pPr>
        <w:rPr>
          <w:sz w:val="24"/>
          <w:szCs w:val="24"/>
        </w:rPr>
      </w:pPr>
      <w:r>
        <w:rPr>
          <w:sz w:val="24"/>
          <w:szCs w:val="24"/>
        </w:rPr>
        <w:t>Ed. Potter, D. ‘A Companion to the Roman Empire’, Wiley-Blackwell, 2006.</w:t>
      </w:r>
    </w:p>
    <w:p w14:paraId="6731BB98" w14:textId="682F4A57" w:rsidR="00916FDA" w:rsidRDefault="00916FDA" w:rsidP="009850E4">
      <w:pPr>
        <w:rPr>
          <w:sz w:val="24"/>
          <w:szCs w:val="24"/>
        </w:rPr>
      </w:pPr>
      <w:r>
        <w:rPr>
          <w:sz w:val="24"/>
          <w:szCs w:val="24"/>
        </w:rPr>
        <w:t>Berry, J. ‘The Complete Pompeii’, Thames and Hudson Ltd., pp 150-153, 2007.</w:t>
      </w:r>
    </w:p>
    <w:p w14:paraId="5118C448" w14:textId="77777777" w:rsidR="009850E4" w:rsidRPr="002E0377" w:rsidRDefault="009850E4" w:rsidP="009850E4">
      <w:pPr>
        <w:spacing w:after="120"/>
        <w:rPr>
          <w:rFonts w:cstheme="minorHAnsi"/>
          <w:sz w:val="24"/>
          <w:szCs w:val="24"/>
        </w:rPr>
      </w:pPr>
    </w:p>
    <w:p w14:paraId="365AA65F" w14:textId="77777777" w:rsidR="009850E4" w:rsidRPr="00232523" w:rsidRDefault="009850E4" w:rsidP="004827EC">
      <w:pPr>
        <w:rPr>
          <w:sz w:val="24"/>
          <w:szCs w:val="24"/>
        </w:rPr>
      </w:pPr>
    </w:p>
    <w:p w14:paraId="0E8C43AC" w14:textId="77777777" w:rsidR="004827EC" w:rsidRPr="007368A6" w:rsidRDefault="004827EC" w:rsidP="004827EC">
      <w:pPr>
        <w:rPr>
          <w:sz w:val="24"/>
          <w:szCs w:val="24"/>
        </w:rPr>
      </w:pPr>
    </w:p>
    <w:p w14:paraId="3A21EFB8" w14:textId="77777777" w:rsidR="00F31D4C" w:rsidRDefault="00F31D4C"/>
    <w:sectPr w:rsidR="00F31D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7EC"/>
    <w:rsid w:val="00062C56"/>
    <w:rsid w:val="00086430"/>
    <w:rsid w:val="000A03BD"/>
    <w:rsid w:val="000E2ACD"/>
    <w:rsid w:val="0011528B"/>
    <w:rsid w:val="0012137C"/>
    <w:rsid w:val="001A7397"/>
    <w:rsid w:val="00232523"/>
    <w:rsid w:val="00247443"/>
    <w:rsid w:val="00447A4C"/>
    <w:rsid w:val="004827EC"/>
    <w:rsid w:val="004A012D"/>
    <w:rsid w:val="006208A5"/>
    <w:rsid w:val="007122AD"/>
    <w:rsid w:val="007368A6"/>
    <w:rsid w:val="007A581E"/>
    <w:rsid w:val="0081192E"/>
    <w:rsid w:val="00916FDA"/>
    <w:rsid w:val="009850E4"/>
    <w:rsid w:val="00AB7022"/>
    <w:rsid w:val="00AC498B"/>
    <w:rsid w:val="00C74747"/>
    <w:rsid w:val="00C8731F"/>
    <w:rsid w:val="00C97AF1"/>
    <w:rsid w:val="00D33925"/>
    <w:rsid w:val="00D33A1E"/>
    <w:rsid w:val="00F31D4C"/>
    <w:rsid w:val="00F61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FFA7E"/>
  <w15:chartTrackingRefBased/>
  <w15:docId w15:val="{C68C6C31-0AAC-4E2D-BB38-10C5BD921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590568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904611217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610446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2619162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276639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7694922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455879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901794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016157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423963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938712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844129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73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974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Burdett</dc:creator>
  <cp:keywords/>
  <dc:description/>
  <cp:lastModifiedBy>Katie Burdett</cp:lastModifiedBy>
  <cp:revision>4</cp:revision>
  <dcterms:created xsi:type="dcterms:W3CDTF">2024-02-25T08:51:00Z</dcterms:created>
  <dcterms:modified xsi:type="dcterms:W3CDTF">2024-02-25T10:23:00Z</dcterms:modified>
</cp:coreProperties>
</file>