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Student name: </w:t>
      </w:r>
      <w:r w:rsidDel="00000000" w:rsidR="00000000" w:rsidRPr="00000000">
        <w:rPr>
          <w:rFonts w:ascii="Times New Roman" w:cs="Times New Roman" w:eastAsia="Times New Roman" w:hAnsi="Times New Roman"/>
          <w:sz w:val="28"/>
          <w:szCs w:val="28"/>
          <w:rtl w:val="0"/>
        </w:rPr>
        <w:t xml:space="preserve">Momodou Lamin Demba</w:t>
      </w:r>
    </w:p>
    <w:p w:rsidR="00000000" w:rsidDel="00000000" w:rsidP="00000000" w:rsidRDefault="00000000" w:rsidRPr="00000000" w14:paraId="00000002">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Student ID: </w:t>
      </w:r>
      <w:r w:rsidDel="00000000" w:rsidR="00000000" w:rsidRPr="00000000">
        <w:rPr>
          <w:rFonts w:ascii="Times New Roman" w:cs="Times New Roman" w:eastAsia="Times New Roman" w:hAnsi="Times New Roman"/>
          <w:sz w:val="28"/>
          <w:szCs w:val="28"/>
          <w:rtl w:val="0"/>
        </w:rPr>
        <w:t xml:space="preserve">2415947</w:t>
      </w:r>
    </w:p>
    <w:p w:rsidR="00000000" w:rsidDel="00000000" w:rsidP="00000000" w:rsidRDefault="00000000" w:rsidRPr="00000000" w14:paraId="00000003">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Module Name: </w:t>
      </w:r>
      <w:r w:rsidDel="00000000" w:rsidR="00000000" w:rsidRPr="00000000">
        <w:rPr>
          <w:rFonts w:ascii="Times New Roman" w:cs="Times New Roman" w:eastAsia="Times New Roman" w:hAnsi="Times New Roman"/>
          <w:sz w:val="28"/>
          <w:szCs w:val="28"/>
          <w:rtl w:val="0"/>
        </w:rPr>
        <w:t xml:space="preserve">Principles of Health and Social Care</w:t>
      </w:r>
    </w:p>
    <w:p w:rsidR="00000000" w:rsidDel="00000000" w:rsidP="00000000" w:rsidRDefault="00000000" w:rsidRPr="00000000" w14:paraId="00000004">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Module:</w:t>
      </w:r>
      <w:r w:rsidDel="00000000" w:rsidR="00000000" w:rsidRPr="00000000">
        <w:rPr>
          <w:rFonts w:ascii="Times New Roman" w:cs="Times New Roman" w:eastAsia="Times New Roman" w:hAnsi="Times New Roman"/>
          <w:sz w:val="28"/>
          <w:szCs w:val="28"/>
          <w:rtl w:val="0"/>
        </w:rPr>
        <w:t xml:space="preserve"> BMPH 5016</w:t>
      </w:r>
    </w:p>
    <w:p w:rsidR="00000000" w:rsidDel="00000000" w:rsidP="00000000" w:rsidRDefault="00000000" w:rsidRPr="00000000" w14:paraId="00000005">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Lecturer: </w:t>
      </w:r>
      <w:r w:rsidDel="00000000" w:rsidR="00000000" w:rsidRPr="00000000">
        <w:rPr>
          <w:rFonts w:ascii="Times New Roman" w:cs="Times New Roman" w:eastAsia="Times New Roman" w:hAnsi="Times New Roman"/>
          <w:sz w:val="28"/>
          <w:szCs w:val="28"/>
          <w:rtl w:val="0"/>
        </w:rPr>
        <w:t xml:space="preserve">Farah Wiita</w:t>
      </w:r>
    </w:p>
    <w:p w:rsidR="00000000" w:rsidDel="00000000" w:rsidP="00000000" w:rsidRDefault="00000000" w:rsidRPr="00000000" w14:paraId="00000006">
      <w:pPr>
        <w:spacing w:line="36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C">
      <w:pPr>
        <w:spacing w:line="36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Reflective Report</w:t>
      </w:r>
    </w:p>
    <w:p w:rsidR="00000000" w:rsidDel="00000000" w:rsidP="00000000" w:rsidRDefault="00000000" w:rsidRPr="00000000" w14:paraId="0000000D">
      <w:pPr>
        <w:spacing w:line="360" w:lineRule="auto"/>
        <w:rPr>
          <w:rFonts w:ascii="Times New Roman" w:cs="Times New Roman" w:eastAsia="Times New Roman" w:hAnsi="Times New Roman"/>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0"/>
          <w:bCs w:val="0"/>
          <w:i w:val="0"/>
          <w:iCs w:val="0"/>
          <w:smallCaps w:val="0"/>
          <w:strike w:val="0"/>
          <w:color w:val="2f5496"/>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2f5496"/>
          <w:sz w:val="24"/>
          <w:szCs w:val="24"/>
          <w:u w:val="none"/>
          <w:shd w:fill="auto" w:val="clear"/>
          <w:vertAlign w:val="baseline"/>
          <w:rtl w:val="0"/>
        </w:rPr>
        <w:t xml:space="preserve">Contents</w:t>
      </w:r>
    </w:p>
    <w:sdt>
      <w:sdtPr>
        <w:id w:val="1826933942"/>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3krzlbaszq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1 — Reflection on the importance of principles of health and social care</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fxjzkxlcepb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2 — Practical example and how to improve practice</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fakcgbaotx8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3: Self-Reflection as a Health and Social Care Professional</w:t>
              <w:tab/>
              <w:t xml:space="preserve">7</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uezx35eqzp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13">
          <w:pPr>
            <w:spacing w:line="360" w:lineRule="auto"/>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spacing w:line="360" w:lineRule="auto"/>
        <w:rPr>
          <w:rFonts w:ascii="Times New Roman" w:cs="Times New Roman" w:eastAsia="Times New Roman" w:hAnsi="Times New Roman"/>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spacing w:line="360" w:lineRule="auto"/>
        <w:rPr/>
      </w:pPr>
      <w:bookmarkStart w:colFirst="0" w:colLast="0" w:name="_g3krzlbaszqh" w:id="0"/>
      <w:bookmarkEnd w:id="0"/>
      <w:r w:rsidDel="00000000" w:rsidR="00000000" w:rsidRPr="00000000">
        <w:rPr>
          <w:rtl w:val="0"/>
        </w:rPr>
        <w:t xml:space="preserve">Task 1 — Reflection on the importance of principles of health and social care </w:t>
      </w:r>
    </w:p>
    <w:p w:rsidR="00000000" w:rsidDel="00000000" w:rsidP="00000000" w:rsidRDefault="00000000" w:rsidRPr="00000000" w14:paraId="00000016">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tripartite basis of safe, effective and equitable health and social care in the UK includes person-centred care, collaboration with partners, and a high-quality, ethical framework (Miller, 2021). Person-centred care the locus of control is changed to the person, by acknowledging patients as unique individuals with their own values, preferences and social surroundings; the Person-centred Nursing Framework (McCormack and McCance, 2006) conceptualises that as a series of prerequisites (staff attributes), conditions of care, processes that involve the person and their anticipated results - the relationship between individual relationships and measurable outcomes (e.g., satisfaction, adherence, quality of life).</w:t>
      </w:r>
    </w:p>
    <w:p w:rsidR="00000000" w:rsidDel="00000000" w:rsidP="00000000" w:rsidRDefault="00000000" w:rsidRPr="00000000" w14:paraId="00000017">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Care Act 2014 obliges local authorities to be focused on wellbeing and to make assessment and support planning personalised, introducing the concept of person-centredness into the statutory obligations (Symonds et al., 2020). On the same note, the NHS Constitution requires that patients' rights are included in the decision-making process regarding their care. That person-centredness is described as an ethical requirement and a statutory expectation of services (Phelan and Rickard-Clarke, 2020). These legal frameworks do not allow person-centred practice to be optional; rather, they set the standards against which services are evaluated. </w:t>
      </w:r>
    </w:p>
    <w:p w:rsidR="00000000" w:rsidDel="00000000" w:rsidP="00000000" w:rsidRDefault="00000000" w:rsidRPr="00000000" w14:paraId="00000018">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Along the lines of the above, Barr et al. (2024) have defined the working partnership as interprofessional collaboration with NHS providers, local authorities, the voluntary sector and communities. It forms the core of providing joined-up care and curtailing fragmentation. Integrated Care Systems (ICSs) institutionalise place-based planning (and pooled accountability) working (to improve population health and inequalities) by encouraging partnership working in England, with the models of partnership supporting collective decision-making, resource alignment and information-sharing needed to facilitate seamless pathways (person-centred) (NHS England, 2025). Buckingham et al. (2023) affirmed that ICSs support joint planning, while emphasising governance, shared metrics, and community engagement as requirements. </w:t>
      </w:r>
    </w:p>
    <w:p w:rsidR="00000000" w:rsidDel="00000000" w:rsidP="00000000" w:rsidRDefault="00000000" w:rsidRPr="00000000" w14:paraId="00000019">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Person-centredness and partnership working are both based on ethics. A four-principles approach (autonomy, beneficence, non-maleficence, justice) by Beauchamp and Childress (2009) is a useful way of making daily clinical decisions (Gallagher et al., 2023). In contrast, autonomy and best-interests decisions are operationalised by UK legislation, such as the Mental Capacity Act 2005 (autonomy) and the NHS Equality Act 2010 (justice), respectively. The statutory Code of Practice of the MCA assists practitioners in facilitating decision-making, in undertaking proportionate actions to aid individuals in their decision-making, and in documenting the determinations of best interests; thereby, transforming abstract ethical principles into procedural protections. These principles can enhance the quality of care in three ways: (1) Person-centred practice will enhance therapeutic relationships and compliance; (2) Partnership working will decrease the service gaps and enhance transitions; (3) Ethics and legal responsibilities will safeguard the rights and offer clear decision-making routes. Person-centred care is directly quantified [Regulation 9] by regulators (CQC) and evaluated on whether services use personalised assessments and care plans, thereby making the principles auditable and actionable (CQC, 2025).</w:t>
      </w:r>
    </w:p>
    <w:p w:rsidR="00000000" w:rsidDel="00000000" w:rsidP="00000000" w:rsidRDefault="00000000" w:rsidRPr="00000000" w14:paraId="0000001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spacing w:line="360" w:lineRule="auto"/>
        <w:rPr>
          <w:rFonts w:ascii="Times New Roman" w:cs="Times New Roman" w:eastAsia="Times New Roman" w:hAnsi="Times New Roman"/>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spacing w:line="360" w:lineRule="auto"/>
        <w:rPr/>
      </w:pPr>
      <w:bookmarkStart w:colFirst="0" w:colLast="0" w:name="_fxjzkxlcepbu" w:id="1"/>
      <w:bookmarkEnd w:id="1"/>
      <w:r w:rsidDel="00000000" w:rsidR="00000000" w:rsidRPr="00000000">
        <w:rPr>
          <w:rtl w:val="0"/>
        </w:rPr>
        <w:t xml:space="preserve">Task 2 — Practical example and how to improve practice </w:t>
      </w:r>
    </w:p>
    <w:p w:rsidR="00000000" w:rsidDel="00000000" w:rsidP="00000000" w:rsidRDefault="00000000" w:rsidRPr="00000000" w14:paraId="0000001D">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good UK example of how person-centred care, partnership working, and ethical practice were used to enhance the outcomes of frail older adults is seen in the long-term integration programme at Torbay, which established coordinated place-based teams and single-point coordination for older people (Smith, 2011). Multidisciplinary teams (MDTs) administering Comprehensive Geriatric Assessment (CGA) have been demonstrated in a Cochrane synthesis to enhance the probability that older patients surviving hospital admission will live and remain at home (Tsiachristas et al., 2017). These two strands (place-based integration and CGA) are examples of how theory, policy and practice could come together: person-centred assessment and goal-setting at the patient level; formal partnership structures at the system level; and legal/ethical protection of capacity and risk (Care Act 2014; Mental Capacity Act 2005). (Smith, 2011; HM Government, 2014; Ministry of Justice, 2013).</w:t>
      </w:r>
    </w:p>
    <w:p w:rsidR="00000000" w:rsidDel="00000000" w:rsidP="00000000" w:rsidRDefault="00000000" w:rsidRPr="00000000" w14:paraId="0000001E">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model of Torbay shows that person-centred plans can only be viable when there is coordination, rather than goodwill: coordinators, pooled decision forums, and shared records all helped reduce fragmentation and customise services to meet the needs of individual goals (Smith, 2011). Brent et al. (2023) validate the clinical importance of multidisciplinary, person-centred assessment and note differences in effectiveness across implementation exercises. That disjuncture — good evidence but no consistent real-world effect — is an indication of implementation failure rather than theoretical weakness.</w:t>
      </w:r>
    </w:p>
    <w:p w:rsidR="00000000" w:rsidDel="00000000" w:rsidP="00000000" w:rsidRDefault="00000000" w:rsidRPr="00000000" w14:paraId="0000001F">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Person-centred care, partnership working, and ethical protection were integrated and consistently measured in the Torbay integrated care model. By applying the Comprehensive Geriatric Assessment (CGA), practitioners elucidated each patient's personal goals, preferences, and social context. They constructed individualised care plans based on what mattered to the person, rather than on clinical indicators (Tsiachristas et al., 2017). The concept of partnership working was illustrated by the multi-agency teams and single-point coordination system in Torbay, which successfully aligned NHS providers, local authority adult-care services, and voluntary sector organisations around a single care plan and shared responsibility for achieving the outcomes (Smith, 2011). The Mental Capacity Act of 2005 was regularly used to incorporate ethical and legal principles into daily practice to avoid violating the statutory protections and duties of best-interest decisions made by individuals considered vulnerable or incapable of making decisions (Ministry of Justice, 2005; HM Government, 2013).</w:t>
      </w:r>
    </w:p>
    <w:p w:rsidR="00000000" w:rsidDel="00000000" w:rsidP="00000000" w:rsidRDefault="00000000" w:rsidRPr="00000000" w14:paraId="00000020">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First, practice could be enhanced by standardising shared decision-making (SDM) in the discharge planning process using structured tools and decision aids, which ensure that patient preferences drive discharge decisions (e.g., reablement or residential care) and can mitigate controversies and enhance satisfaction (NICE, 2021). Second, interoperable electronic records and integrated data-sharing systems should be implemented across hospitals, primary care, and local authorities to improve the continuity and coordination of care (Goodwin et al., 2014). Third, cross-agency cooperation and the reduction of reablement delays and equitable, timely service delivery should be achieved by strengthening governance structures and combining short-term budgets (Goodwin et al., 2014; Ministry of Justice, 2005).</w:t>
      </w:r>
    </w:p>
    <w:p w:rsidR="00000000" w:rsidDel="00000000" w:rsidP="00000000" w:rsidRDefault="00000000" w:rsidRPr="00000000" w14:paraId="00000021">
      <w:pPr>
        <w:spacing w:line="36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spacing w:line="360" w:lineRule="auto"/>
        <w:rPr/>
      </w:pPr>
      <w:bookmarkStart w:colFirst="0" w:colLast="0" w:name="_fakcgbaotx8i" w:id="2"/>
      <w:bookmarkEnd w:id="2"/>
      <w:r w:rsidDel="00000000" w:rsidR="00000000" w:rsidRPr="00000000">
        <w:rPr>
          <w:rtl w:val="0"/>
        </w:rPr>
        <w:t xml:space="preserve">Task 3: Self-Reflection as a Health and Social Care Professional</w:t>
      </w:r>
    </w:p>
    <w:p w:rsidR="00000000" w:rsidDel="00000000" w:rsidP="00000000" w:rsidRDefault="00000000" w:rsidRPr="00000000" w14:paraId="00000023">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concepts of person-centred care, collaborative working and health-care ethics are not abstract ideals to me as a working health and social care professional in the UK; they are practical tools that structure all my interactions with service users, colleagues and partner organisations. In this, I wish to demonstrate how I apply these principles on a day-to-day basis, what I perform effectively, what I need to enhance, and a specific plan to make my practice more effective, relying on UK law and guidelines.</w:t>
      </w:r>
    </w:p>
    <w:p w:rsidR="00000000" w:rsidDel="00000000" w:rsidP="00000000" w:rsidRDefault="00000000" w:rsidRPr="00000000" w14:paraId="00000024">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Person-centred care has been the core of my practice since it re-focuses clinical decisions on what matters to the person rather than what is the matter. My personal framework is the Person-centred Nursing Framework (McCormack and McCance); I can check my own requirements (empathy, time to talk), I take into account the care environment (privacy, time to talk), I pursue the person-centred processes (shared decision making, goal setting), and I also measure the outcomes that are important to the person (function, wellbeing). In practice, this would resemble systematic initial examinations, which summarise a person's values and social background, and employ brief goal-setting sessions and written care plans that the individual and their family help define. This method aligns with the statutory responsibilities to personalise care under the Care Act 2014 and the rights expressed in the NHS Constitution to participate in decisions regarding health and care (Spalding, 2019). </w:t>
      </w:r>
    </w:p>
    <w:p w:rsidR="00000000" w:rsidDel="00000000" w:rsidP="00000000" w:rsidRDefault="00000000" w:rsidRPr="00000000" w14:paraId="00000025">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reality of the daily practice of providing complex care is partnership working. I maintain regular collaboration with other workers in primary care, community social work, the reablement team, voluntary organisations, and specialist nurses. Based on the views of Buckingham et al. (2023), the ICS model has institutionalised this collaborative approach to work, which assists me in escalating issues, obtaining quick service, and coordinating discharge and additional post-discharge support with the community. In one day, I might be involved in a multidisciplinary team (MDT) huddle to discuss common objectives, write a one-page electronic discharge summary for primary care, and phone a local voluntary sector coordinator to organise temporary home care. These are practical measures that align with ICS guidelines and evidence that well-managed partnerships diminish disintegration and enhance care transfer. </w:t>
      </w:r>
    </w:p>
    <w:p w:rsidR="00000000" w:rsidDel="00000000" w:rsidP="00000000" w:rsidRDefault="00000000" w:rsidRPr="00000000" w14:paraId="00000026">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Ethics teaches me how to strike a balance between autonomy, safety, and fairness. I clearly apply the four-principles approach (autonomy, beneficence, non-maleficence, justice) to dilemmas and use the Mental Capacity Act (MCA) 2005 Code of Practice in case of uncertainty about the capacity. As an example, I use a two-step MCA assessment when working with a weak, older patient with variable cognition who declines a suggested intervention, and engage family and advocates where justified, document the discussion, and may use a best-interests meeting where required. With the MCA, the Care Act, and the CQC's person-centred regulation as the legal resources, I will be able to make defensible, well-documented ethical decisions (McHale and Noszlopy, 2025).</w:t>
      </w:r>
    </w:p>
    <w:p w:rsidR="00000000" w:rsidDel="00000000" w:rsidP="00000000" w:rsidRDefault="00000000" w:rsidRPr="00000000" w14:paraId="00000027">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practice experience and the literature. I developed a decision aid and a short shared-decision checklist for my ward regarding reablement or residential placement decisions. This minor alteration led to more recorded SDM discussions and fewer disputed discharges. This is similar to NICE (2021), which indicates that decision aids and training enhance decision involvement and patient satisfaction. On the same note, regular MDT discharge huddles and one electronic discharge list lowered readmissions in our service (Rowan et al., 2022) - in line with published CGA and integrated discharge pathways assessments of frail elderly.</w:t>
      </w:r>
    </w:p>
    <w:p w:rsidR="00000000" w:rsidDel="00000000" w:rsidP="00000000" w:rsidRDefault="00000000" w:rsidRPr="00000000" w14:paraId="00000028">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strengths include strong communication (not only listening and plain-language explanations) and the ability to coordinate multi-agency input, as well as a strong legal/ethical background, especially knowledge of MCA assessments and Care Act responsibilities (Gov.uk, 2025). I believe that I can lead MDT meetings, draft manageable care plans, and share information with partners via digital records (Khumalo and Kane, 2022). These competencies would enable me to implement person-centred strategies promptly and to escalate safeguarding issues appropriately. </w:t>
      </w:r>
    </w:p>
    <w:p w:rsidR="00000000" w:rsidDel="00000000" w:rsidP="00000000" w:rsidRDefault="00000000" w:rsidRPr="00000000" w14:paraId="00000029">
      <w:pPr>
        <w:spacing w:line="360" w:lineRule="auto"/>
        <w:ind w:firstLine="720"/>
        <w:rPr>
          <w:rFonts w:ascii="Times New Roman" w:cs="Times New Roman" w:eastAsia="Times New Roman" w:hAnsi="Times New Roman"/>
        </w:rPr>
      </w:pPr>
      <w:bookmarkStart w:colFirst="0" w:colLast="0" w:name="_8n06ee53fge" w:id="3"/>
      <w:bookmarkEnd w:id="3"/>
      <w:r w:rsidDel="00000000" w:rsidR="00000000" w:rsidRPr="00000000">
        <w:rPr>
          <w:rFonts w:ascii="Times New Roman" w:cs="Times New Roman" w:eastAsia="Times New Roman" w:hAnsi="Times New Roman"/>
          <w:rtl w:val="0"/>
        </w:rPr>
        <w:t xml:space="preserve">I identify three priority gaps. To begin with, I should be organising training on advanced methods of shared decision-making (risk communication, use of visual decision aids) to make complicated conversations more effective regularly (Noordman et al., 2024). Second, I have limited knowledge of ICS governance and funding levers (e.g., pooled budgets, data-sharing agreements), which limits my capacity to modify the pathway redesign. Third, I should institutionalise my reflective practice and audit action in a way that enables me to produce quantifiable results of improvement (e.g., SDM conversation rates, reablement outcomes) (see Table 1).</w:t>
      </w:r>
    </w:p>
    <w:p w:rsidR="00000000" w:rsidDel="00000000" w:rsidP="00000000" w:rsidRDefault="00000000" w:rsidRPr="00000000" w14:paraId="0000002A">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Table 1: Action plan to enhance knowledge and practice</w:t>
      </w:r>
    </w:p>
    <w:tbl>
      <w:tblPr>
        <w:tblStyle w:val="Table1"/>
        <w:tblW w:w="934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11"/>
        <w:gridCol w:w="1403"/>
        <w:gridCol w:w="3802"/>
        <w:gridCol w:w="2434"/>
        <w:tblGridChange w:id="0">
          <w:tblGrid>
            <w:gridCol w:w="1711"/>
            <w:gridCol w:w="1403"/>
            <w:gridCol w:w="3802"/>
            <w:gridCol w:w="2434"/>
          </w:tblGrid>
        </w:tblGridChange>
      </w:tblGrid>
      <w:tr>
        <w:trPr>
          <w:cantSplit w:val="0"/>
          <w:tblHeader w:val="0"/>
        </w:trPr>
        <w:tc>
          <w:tcPr/>
          <w:p w:rsidR="00000000" w:rsidDel="00000000" w:rsidP="00000000" w:rsidRDefault="00000000" w:rsidRPr="00000000" w14:paraId="0000002B">
            <w:pPr>
              <w:spacing w:after="160" w:line="36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Focus Area</w:t>
            </w:r>
          </w:p>
        </w:tc>
        <w:tc>
          <w:tcPr/>
          <w:p w:rsidR="00000000" w:rsidDel="00000000" w:rsidP="00000000" w:rsidRDefault="00000000" w:rsidRPr="00000000" w14:paraId="0000002C">
            <w:pPr>
              <w:spacing w:after="160" w:line="36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Timeframe</w:t>
            </w:r>
          </w:p>
        </w:tc>
        <w:tc>
          <w:tcPr/>
          <w:p w:rsidR="00000000" w:rsidDel="00000000" w:rsidP="00000000" w:rsidRDefault="00000000" w:rsidRPr="00000000" w14:paraId="0000002D">
            <w:pPr>
              <w:spacing w:after="160" w:line="36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Planned Actions and References</w:t>
            </w:r>
          </w:p>
        </w:tc>
        <w:tc>
          <w:tcPr/>
          <w:p w:rsidR="00000000" w:rsidDel="00000000" w:rsidP="00000000" w:rsidRDefault="00000000" w:rsidRPr="00000000" w14:paraId="0000002E">
            <w:pPr>
              <w:spacing w:after="160" w:line="36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Intended Outcomes / Rationale</w:t>
            </w:r>
          </w:p>
        </w:tc>
      </w:tr>
      <w:tr>
        <w:trPr>
          <w:cantSplit w:val="0"/>
          <w:tblHeader w:val="0"/>
        </w:trPr>
        <w:tc>
          <w:tcPr/>
          <w:p w:rsidR="00000000" w:rsidDel="00000000" w:rsidP="00000000" w:rsidRDefault="00000000" w:rsidRPr="00000000" w14:paraId="0000002F">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Targeted CPD</w:t>
            </w:r>
            <w:r w:rsidDel="00000000" w:rsidR="00000000" w:rsidRPr="00000000">
              <w:rPr>
                <w:rtl w:val="0"/>
              </w:rPr>
            </w:r>
          </w:p>
        </w:tc>
        <w:tc>
          <w:tcPr/>
          <w:p w:rsidR="00000000" w:rsidDel="00000000" w:rsidP="00000000" w:rsidRDefault="00000000" w:rsidRPr="00000000" w14:paraId="00000030">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3–6 months</w:t>
            </w:r>
          </w:p>
        </w:tc>
        <w:tc>
          <w:tcPr/>
          <w:p w:rsidR="00000000" w:rsidDel="00000000" w:rsidP="00000000" w:rsidRDefault="00000000" w:rsidRPr="00000000" w14:paraId="00000031">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will complete accredited training in </w:t>
            </w:r>
            <w:r w:rsidDel="00000000" w:rsidR="00000000" w:rsidRPr="00000000">
              <w:rPr>
                <w:rFonts w:ascii="Times New Roman" w:cs="Times New Roman" w:eastAsia="Times New Roman" w:hAnsi="Times New Roman"/>
                <w:i w:val="1"/>
                <w:iCs w:val="1"/>
                <w:rtl w:val="0"/>
              </w:rPr>
              <w:t xml:space="preserve">Shared Decision Making</w:t>
            </w:r>
            <w:r w:rsidDel="00000000" w:rsidR="00000000" w:rsidRPr="00000000">
              <w:rPr>
                <w:rFonts w:ascii="Times New Roman" w:cs="Times New Roman" w:eastAsia="Times New Roman" w:hAnsi="Times New Roman"/>
                <w:rtl w:val="0"/>
              </w:rPr>
              <w:t xml:space="preserve"> (including decision aid design) and undertake an </w:t>
            </w:r>
            <w:r w:rsidDel="00000000" w:rsidR="00000000" w:rsidRPr="00000000">
              <w:rPr>
                <w:rFonts w:ascii="Times New Roman" w:cs="Times New Roman" w:eastAsia="Times New Roman" w:hAnsi="Times New Roman"/>
                <w:i w:val="1"/>
                <w:iCs w:val="1"/>
                <w:rtl w:val="0"/>
              </w:rPr>
              <w:t xml:space="preserve">MCA refresher course</w:t>
            </w:r>
            <w:r w:rsidDel="00000000" w:rsidR="00000000" w:rsidRPr="00000000">
              <w:rPr>
                <w:rFonts w:ascii="Times New Roman" w:cs="Times New Roman" w:eastAsia="Times New Roman" w:hAnsi="Times New Roman"/>
                <w:rtl w:val="0"/>
              </w:rPr>
              <w:t xml:space="preserve"> using case-based scenarios to strengthen both skills and legal robustness (NICE, 2021).</w:t>
            </w:r>
          </w:p>
        </w:tc>
        <w:tc>
          <w:tcPr/>
          <w:p w:rsidR="00000000" w:rsidDel="00000000" w:rsidP="00000000" w:rsidRDefault="00000000" w:rsidRPr="00000000" w14:paraId="00000032">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Enhances my ability to apply evidence-based decision-making approaches while ensuring compliance with the Mental Capacity Act (MCA) and improving patient-centred care.</w:t>
            </w:r>
          </w:p>
        </w:tc>
      </w:tr>
      <w:tr>
        <w:trPr>
          <w:cantSplit w:val="0"/>
          <w:tblHeader w:val="0"/>
        </w:trPr>
        <w:tc>
          <w:tcPr/>
          <w:p w:rsidR="00000000" w:rsidDel="00000000" w:rsidP="00000000" w:rsidRDefault="00000000" w:rsidRPr="00000000" w14:paraId="00000033">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Systems Learning</w:t>
            </w:r>
            <w:r w:rsidDel="00000000" w:rsidR="00000000" w:rsidRPr="00000000">
              <w:rPr>
                <w:rtl w:val="0"/>
              </w:rPr>
            </w:r>
          </w:p>
        </w:tc>
        <w:tc>
          <w:tcPr/>
          <w:p w:rsidR="00000000" w:rsidDel="00000000" w:rsidP="00000000" w:rsidRDefault="00000000" w:rsidRPr="00000000" w14:paraId="00000034">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6–12 months</w:t>
            </w:r>
          </w:p>
        </w:tc>
        <w:tc>
          <w:tcPr/>
          <w:p w:rsidR="00000000" w:rsidDel="00000000" w:rsidP="00000000" w:rsidRDefault="00000000" w:rsidRPr="00000000" w14:paraId="00000035">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will join our locality’s </w:t>
            </w:r>
            <w:r w:rsidDel="00000000" w:rsidR="00000000" w:rsidRPr="00000000">
              <w:rPr>
                <w:rFonts w:ascii="Times New Roman" w:cs="Times New Roman" w:eastAsia="Times New Roman" w:hAnsi="Times New Roman"/>
                <w:i w:val="1"/>
                <w:iCs w:val="1"/>
                <w:rtl w:val="0"/>
              </w:rPr>
              <w:t xml:space="preserve">Integrated Care System (ICS) practitioner forum</w:t>
            </w:r>
            <w:r w:rsidDel="00000000" w:rsidR="00000000" w:rsidRPr="00000000">
              <w:rPr>
                <w:rFonts w:ascii="Times New Roman" w:cs="Times New Roman" w:eastAsia="Times New Roman" w:hAnsi="Times New Roman"/>
                <w:rtl w:val="0"/>
              </w:rPr>
              <w:t xml:space="preserve"> and request a short secondment or shadowing placement with the </w:t>
            </w:r>
            <w:r w:rsidDel="00000000" w:rsidR="00000000" w:rsidRPr="00000000">
              <w:rPr>
                <w:rFonts w:ascii="Times New Roman" w:cs="Times New Roman" w:eastAsia="Times New Roman" w:hAnsi="Times New Roman"/>
                <w:i w:val="1"/>
                <w:iCs w:val="1"/>
                <w:rtl w:val="0"/>
              </w:rPr>
              <w:t xml:space="preserve">ICS transformation team</w:t>
            </w:r>
            <w:r w:rsidDel="00000000" w:rsidR="00000000" w:rsidRPr="00000000">
              <w:rPr>
                <w:rFonts w:ascii="Times New Roman" w:cs="Times New Roman" w:eastAsia="Times New Roman" w:hAnsi="Times New Roman"/>
                <w:rtl w:val="0"/>
              </w:rPr>
              <w:t xml:space="preserve"> to gain insight into commissioning, pooled budgets, and data-sharing agreements (NHS England, 2024).</w:t>
            </w:r>
          </w:p>
        </w:tc>
        <w:tc>
          <w:tcPr/>
          <w:p w:rsidR="00000000" w:rsidDel="00000000" w:rsidP="00000000" w:rsidRDefault="00000000" w:rsidRPr="00000000" w14:paraId="00000036">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Builds system-level understanding and interprofessional collaboration, supporting my ability to propose and implement viable pathway improvements.</w:t>
            </w:r>
          </w:p>
        </w:tc>
      </w:tr>
      <w:tr>
        <w:trPr>
          <w:cantSplit w:val="0"/>
          <w:tblHeader w:val="0"/>
        </w:trPr>
        <w:tc>
          <w:tcPr/>
          <w:p w:rsidR="00000000" w:rsidDel="00000000" w:rsidP="00000000" w:rsidRDefault="00000000" w:rsidRPr="00000000" w14:paraId="00000037">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Quality Improvement (QI)</w:t>
            </w:r>
            <w:r w:rsidDel="00000000" w:rsidR="00000000" w:rsidRPr="00000000">
              <w:rPr>
                <w:rtl w:val="0"/>
              </w:rPr>
            </w:r>
          </w:p>
        </w:tc>
        <w:tc>
          <w:tcPr/>
          <w:p w:rsidR="00000000" w:rsidDel="00000000" w:rsidP="00000000" w:rsidRDefault="00000000" w:rsidRPr="00000000" w14:paraId="00000038">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Immediate and ongoing</w:t>
            </w:r>
          </w:p>
        </w:tc>
        <w:tc>
          <w:tcPr/>
          <w:p w:rsidR="00000000" w:rsidDel="00000000" w:rsidP="00000000" w:rsidRDefault="00000000" w:rsidRPr="00000000" w14:paraId="00000039">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will lead a small QI project that embeds a one-page Shared Decision Making (SDM) checklist in electronic records, measures baseline and post-intervention SDM documentation rates, 30-day reattendance/readmission rates, and patient-reported experience. Findings will be presented at the Trust’s Safety Forum using </w:t>
            </w:r>
            <w:r w:rsidDel="00000000" w:rsidR="00000000" w:rsidRPr="00000000">
              <w:rPr>
                <w:rFonts w:ascii="Times New Roman" w:cs="Times New Roman" w:eastAsia="Times New Roman" w:hAnsi="Times New Roman"/>
                <w:i w:val="1"/>
                <w:iCs w:val="1"/>
                <w:rtl w:val="0"/>
              </w:rPr>
              <w:t xml:space="preserve">CQC-aligned metrics</w:t>
            </w:r>
            <w:r w:rsidDel="00000000" w:rsidR="00000000" w:rsidRPr="00000000">
              <w:rPr>
                <w:rFonts w:ascii="Times New Roman" w:cs="Times New Roman" w:eastAsia="Times New Roman" w:hAnsi="Times New Roman"/>
                <w:rtl w:val="0"/>
              </w:rPr>
              <w:t xml:space="preserve"> (CQC, 2025).</w:t>
            </w:r>
          </w:p>
        </w:tc>
        <w:tc>
          <w:tcPr/>
          <w:p w:rsidR="00000000" w:rsidDel="00000000" w:rsidP="00000000" w:rsidRDefault="00000000" w:rsidRPr="00000000" w14:paraId="0000003A">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Demonstrates measurable improvement in patient engagement, shared accountability, and regulatory alignment through data-driven practice.</w:t>
            </w:r>
          </w:p>
        </w:tc>
      </w:tr>
      <w:tr>
        <w:trPr>
          <w:cantSplit w:val="0"/>
          <w:tblHeader w:val="0"/>
        </w:trPr>
        <w:tc>
          <w:tcPr/>
          <w:p w:rsidR="00000000" w:rsidDel="00000000" w:rsidP="00000000" w:rsidRDefault="00000000" w:rsidRPr="00000000" w14:paraId="0000003B">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Reflective Supervision and Mentoring</w:t>
            </w:r>
            <w:r w:rsidDel="00000000" w:rsidR="00000000" w:rsidRPr="00000000">
              <w:rPr>
                <w:rtl w:val="0"/>
              </w:rPr>
            </w:r>
          </w:p>
        </w:tc>
        <w:tc>
          <w:tcPr/>
          <w:p w:rsidR="00000000" w:rsidDel="00000000" w:rsidP="00000000" w:rsidRDefault="00000000" w:rsidRPr="00000000" w14:paraId="0000003C">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Ongoing (monthly)</w:t>
            </w:r>
          </w:p>
        </w:tc>
        <w:tc>
          <w:tcPr/>
          <w:p w:rsidR="00000000" w:rsidDel="00000000" w:rsidP="00000000" w:rsidRDefault="00000000" w:rsidRPr="00000000" w14:paraId="0000003D">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will schedule monthly reflective supervision sessions with a senior clinician to review challenging ethical and legal cases, documenting insights in my CPD portfolio using the </w:t>
            </w:r>
            <w:r w:rsidDel="00000000" w:rsidR="00000000" w:rsidRPr="00000000">
              <w:rPr>
                <w:rFonts w:ascii="Times New Roman" w:cs="Times New Roman" w:eastAsia="Times New Roman" w:hAnsi="Times New Roman"/>
                <w:i w:val="1"/>
                <w:iCs w:val="1"/>
                <w:rtl w:val="0"/>
              </w:rPr>
              <w:t xml:space="preserve">IR(ME)</w:t>
            </w:r>
            <w:r w:rsidDel="00000000" w:rsidR="00000000" w:rsidRPr="00000000">
              <w:rPr>
                <w:rFonts w:ascii="Times New Roman" w:cs="Times New Roman" w:eastAsia="Times New Roman" w:hAnsi="Times New Roman"/>
                <w:rtl w:val="0"/>
              </w:rPr>
              <w:t xml:space="preserve"> structure (Identify, Reflect, Make Explicit). This structured reflection will contribute to appraisal and revalidation.</w:t>
            </w:r>
          </w:p>
        </w:tc>
        <w:tc>
          <w:tcPr/>
          <w:p w:rsidR="00000000" w:rsidDel="00000000" w:rsidP="00000000" w:rsidRDefault="00000000" w:rsidRPr="00000000" w14:paraId="0000003E">
            <w:pPr>
              <w:spacing w:after="16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Fosters continuous ethical learning, critical self-awareness, and accountability, supporting professional resilience and evidence of reflective practice.</w:t>
            </w:r>
          </w:p>
        </w:tc>
      </w:tr>
    </w:tbl>
    <w:p w:rsidR="00000000" w:rsidDel="00000000" w:rsidP="00000000" w:rsidRDefault="00000000" w:rsidRPr="00000000" w14:paraId="0000003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spacing w:line="36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1"/>
        <w:spacing w:line="360" w:lineRule="auto"/>
        <w:jc w:val="center"/>
        <w:rPr/>
      </w:pPr>
      <w:bookmarkStart w:colFirst="0" w:colLast="0" w:name="_uezx35eqzpk" w:id="4"/>
      <w:bookmarkEnd w:id="4"/>
      <w:r w:rsidDel="00000000" w:rsidR="00000000" w:rsidRPr="00000000">
        <w:rPr>
          <w:rtl w:val="0"/>
        </w:rPr>
        <w:t xml:space="preserve">References</w:t>
      </w:r>
    </w:p>
    <w:p w:rsidR="00000000" w:rsidDel="00000000" w:rsidP="00000000" w:rsidRDefault="00000000" w:rsidRPr="00000000" w14:paraId="00000042">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Barr, H., Anderson, E.S. and Hutchings, M., 2024. Understanding integrated care. </w:t>
      </w:r>
      <w:r w:rsidDel="00000000" w:rsidR="00000000" w:rsidRPr="00000000">
        <w:rPr>
          <w:rFonts w:ascii="Times New Roman" w:cs="Times New Roman" w:eastAsia="Times New Roman" w:hAnsi="Times New Roman"/>
          <w:i w:val="1"/>
          <w:iCs w:val="1"/>
          <w:rtl w:val="0"/>
        </w:rPr>
        <w:t xml:space="preserve">Journal of interprofessional care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38</w:t>
      </w:r>
      <w:r w:rsidDel="00000000" w:rsidR="00000000" w:rsidRPr="00000000">
        <w:rPr>
          <w:rFonts w:ascii="Times New Roman" w:cs="Times New Roman" w:eastAsia="Times New Roman" w:hAnsi="Times New Roman"/>
          <w:rtl w:val="0"/>
        </w:rPr>
        <w:t xml:space="preserve">(6), pp.974-984.</w:t>
      </w:r>
    </w:p>
    <w:p w:rsidR="00000000" w:rsidDel="00000000" w:rsidP="00000000" w:rsidRDefault="00000000" w:rsidRPr="00000000" w14:paraId="00000043">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Brent, L., Spirgienė, L., O’Regan, N. and Diggin, B., 2023. The Nursing Role in Orthogeriatric Comprehensive Geriatric Assessment (CGA). In </w:t>
      </w:r>
      <w:r w:rsidDel="00000000" w:rsidR="00000000" w:rsidRPr="00000000">
        <w:rPr>
          <w:rFonts w:ascii="Times New Roman" w:cs="Times New Roman" w:eastAsia="Times New Roman" w:hAnsi="Times New Roman"/>
          <w:i w:val="1"/>
          <w:iCs w:val="1"/>
          <w:rtl w:val="0"/>
        </w:rPr>
        <w:t xml:space="preserve">Fragility Fracture and Orthogeriatric Nursing: Holistic Care and Management of the Fragility Fracture and Orthogeriatric Patient</w:t>
      </w:r>
      <w:r w:rsidDel="00000000" w:rsidR="00000000" w:rsidRPr="00000000">
        <w:rPr>
          <w:rFonts w:ascii="Times New Roman" w:cs="Times New Roman" w:eastAsia="Times New Roman" w:hAnsi="Times New Roman"/>
          <w:rtl w:val="0"/>
        </w:rPr>
        <w:t xml:space="preserve"> (pp. 95-110). Cham: Springer International Publishing.</w:t>
      </w:r>
    </w:p>
    <w:p w:rsidR="00000000" w:rsidDel="00000000" w:rsidP="00000000" w:rsidRDefault="00000000" w:rsidRPr="00000000" w14:paraId="00000044">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Buckingham, H., Reed, S., Kumpunen, S. and Lewis, R., 2023. People, partnerships and place: How can ICSs turn the rhetoric into reality? </w:t>
      </w:r>
      <w:r w:rsidDel="00000000" w:rsidR="00000000" w:rsidRPr="00000000">
        <w:rPr>
          <w:rFonts w:ascii="Times New Roman" w:cs="Times New Roman" w:eastAsia="Times New Roman" w:hAnsi="Times New Roman"/>
          <w:i w:val="1"/>
          <w:iCs w:val="1"/>
          <w:rtl w:val="0"/>
        </w:rPr>
        <w:t xml:space="preserve">Nuffield Trust</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5">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Care Act 2014. (2014) </w:t>
      </w:r>
      <w:r w:rsidDel="00000000" w:rsidR="00000000" w:rsidRPr="00000000">
        <w:rPr>
          <w:rFonts w:ascii="Times New Roman" w:cs="Times New Roman" w:eastAsia="Times New Roman" w:hAnsi="Times New Roman"/>
          <w:i w:val="1"/>
          <w:iCs w:val="1"/>
          <w:rtl w:val="0"/>
        </w:rPr>
        <w:t xml:space="preserve">legislation.gov.uk</w:t>
      </w:r>
      <w:r w:rsidDel="00000000" w:rsidR="00000000" w:rsidRPr="00000000">
        <w:rPr>
          <w:rFonts w:ascii="Times New Roman" w:cs="Times New Roman" w:eastAsia="Times New Roman" w:hAnsi="Times New Roman"/>
          <w:rtl w:val="0"/>
        </w:rPr>
        <w:t xml:space="preserve">. London: The Stationery Office.</w:t>
      </w:r>
    </w:p>
    <w:p w:rsidR="00000000" w:rsidDel="00000000" w:rsidP="00000000" w:rsidRDefault="00000000" w:rsidRPr="00000000" w14:paraId="00000046">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CQC, 2025. Regulations for service providers and managers. </w:t>
      </w:r>
      <w:hyperlink r:id="rId6">
        <w:r w:rsidDel="00000000" w:rsidR="00000000" w:rsidRPr="00000000">
          <w:rPr>
            <w:rFonts w:ascii="Times New Roman" w:cs="Times New Roman" w:eastAsia="Times New Roman" w:hAnsi="Times New Roman"/>
            <w:color w:val="0563c1"/>
            <w:u w:val="single"/>
            <w:rtl w:val="0"/>
          </w:rPr>
          <w:t xml:space="preserve">https://www.cqc.org.uk/guidance-regulation/providers/regulations-service-providers-and-managers/health-social-care-act/regulation-9</w:t>
        </w:r>
      </w:hyperlink>
      <w:r w:rsidDel="00000000" w:rsidR="00000000" w:rsidRPr="00000000">
        <w:rPr>
          <w:rtl w:val="0"/>
        </w:rPr>
      </w:r>
    </w:p>
    <w:p w:rsidR="00000000" w:rsidDel="00000000" w:rsidP="00000000" w:rsidRDefault="00000000" w:rsidRPr="00000000" w14:paraId="00000047">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CQC, 2025. Regulations for service providers and managers. </w:t>
      </w:r>
      <w:hyperlink r:id="rId7">
        <w:r w:rsidDel="00000000" w:rsidR="00000000" w:rsidRPr="00000000">
          <w:rPr>
            <w:rFonts w:ascii="Times New Roman" w:cs="Times New Roman" w:eastAsia="Times New Roman" w:hAnsi="Times New Roman"/>
            <w:color w:val="0563c1"/>
            <w:u w:val="single"/>
            <w:rtl w:val="0"/>
          </w:rPr>
          <w:t xml:space="preserve">https://www.cqc.org.uk/guidance-regulation/providers/regulations-service-providers-and-managers/health-social-care-act/regulation-9</w:t>
        </w:r>
      </w:hyperlink>
      <w:r w:rsidDel="00000000" w:rsidR="00000000" w:rsidRPr="00000000">
        <w:rPr>
          <w:rtl w:val="0"/>
        </w:rPr>
      </w:r>
    </w:p>
    <w:p w:rsidR="00000000" w:rsidDel="00000000" w:rsidP="00000000" w:rsidRDefault="00000000" w:rsidRPr="00000000" w14:paraId="00000048">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Gallagher, A., Kennedy, R., Jones, M., Smith, H., Reynolds, L. and Coniam, P., 2023. Ethics and Professionalism Pillar. In </w:t>
      </w:r>
      <w:r w:rsidDel="00000000" w:rsidR="00000000" w:rsidRPr="00000000">
        <w:rPr>
          <w:rFonts w:ascii="Times New Roman" w:cs="Times New Roman" w:eastAsia="Times New Roman" w:hAnsi="Times New Roman"/>
          <w:i w:val="1"/>
          <w:iCs w:val="1"/>
          <w:rtl w:val="0"/>
        </w:rPr>
        <w:t xml:space="preserve">Nursing Practice and Education</w:t>
      </w:r>
      <w:r w:rsidDel="00000000" w:rsidR="00000000" w:rsidRPr="00000000">
        <w:rPr>
          <w:rFonts w:ascii="Times New Roman" w:cs="Times New Roman" w:eastAsia="Times New Roman" w:hAnsi="Times New Roman"/>
          <w:rtl w:val="0"/>
        </w:rPr>
        <w:t xml:space="preserve"> (pp. 30-48). Routledge.</w:t>
      </w:r>
    </w:p>
    <w:p w:rsidR="00000000" w:rsidDel="00000000" w:rsidP="00000000" w:rsidRDefault="00000000" w:rsidRPr="00000000" w14:paraId="00000049">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Goodwin, N., Dixon, A., Anderson, G. and Wodchis, W., 2014. Providing integrated care for older people with complex needs: lessons from seven international case studies HM Government (2014) </w:t>
      </w:r>
      <w:r w:rsidDel="00000000" w:rsidR="00000000" w:rsidRPr="00000000">
        <w:rPr>
          <w:rFonts w:ascii="Times New Roman" w:cs="Times New Roman" w:eastAsia="Times New Roman" w:hAnsi="Times New Roman"/>
          <w:i w:val="1"/>
          <w:iCs w:val="1"/>
          <w:rtl w:val="0"/>
        </w:rPr>
        <w:t xml:space="preserve">Care and Support Statutory Guidance: Issued under the Care Act 2014</w:t>
      </w:r>
      <w:r w:rsidDel="00000000" w:rsidR="00000000" w:rsidRPr="00000000">
        <w:rPr>
          <w:rFonts w:ascii="Times New Roman" w:cs="Times New Roman" w:eastAsia="Times New Roman" w:hAnsi="Times New Roman"/>
          <w:rtl w:val="0"/>
        </w:rPr>
        <w:t xml:space="preserve">. London: Department of Health and Social Care.</w:t>
      </w:r>
    </w:p>
    <w:p w:rsidR="00000000" w:rsidDel="00000000" w:rsidP="00000000" w:rsidRDefault="00000000" w:rsidRPr="00000000" w14:paraId="0000004A">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Gov.uk, 2025. Care and support statutory guidance. </w:t>
      </w:r>
      <w:hyperlink r:id="rId8">
        <w:r w:rsidDel="00000000" w:rsidR="00000000" w:rsidRPr="00000000">
          <w:rPr>
            <w:rFonts w:ascii="Times New Roman" w:cs="Times New Roman" w:eastAsia="Times New Roman" w:hAnsi="Times New Roman"/>
            <w:color w:val="0563c1"/>
            <w:u w:val="single"/>
            <w:rtl w:val="0"/>
          </w:rPr>
          <w:t xml:space="preserve">https://www.gov.uk/government/publications/care-act-statutory-guidance/care-and-support-statutory-guidance</w:t>
        </w:r>
      </w:hyperlink>
      <w:r w:rsidDel="00000000" w:rsidR="00000000" w:rsidRPr="00000000">
        <w:rPr>
          <w:rtl w:val="0"/>
        </w:rPr>
      </w:r>
    </w:p>
    <w:p w:rsidR="00000000" w:rsidDel="00000000" w:rsidP="00000000" w:rsidRDefault="00000000" w:rsidRPr="00000000" w14:paraId="0000004B">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Khumalo, A.C. and Kane, B.T., 2022. Perspectives on record-keeping practices in MDT meetings and meeting record utility. </w:t>
      </w:r>
      <w:r w:rsidDel="00000000" w:rsidR="00000000" w:rsidRPr="00000000">
        <w:rPr>
          <w:rFonts w:ascii="Times New Roman" w:cs="Times New Roman" w:eastAsia="Times New Roman" w:hAnsi="Times New Roman"/>
          <w:i w:val="1"/>
          <w:iCs w:val="1"/>
          <w:rtl w:val="0"/>
        </w:rPr>
        <w:t xml:space="preserve">International Journal of Medical Informatics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161</w:t>
      </w:r>
      <w:r w:rsidDel="00000000" w:rsidR="00000000" w:rsidRPr="00000000">
        <w:rPr>
          <w:rFonts w:ascii="Times New Roman" w:cs="Times New Roman" w:eastAsia="Times New Roman" w:hAnsi="Times New Roman"/>
          <w:rtl w:val="0"/>
        </w:rPr>
        <w:t xml:space="preserve">, p.104711.</w:t>
      </w:r>
    </w:p>
    <w:p w:rsidR="00000000" w:rsidDel="00000000" w:rsidP="00000000" w:rsidRDefault="00000000" w:rsidRPr="00000000" w14:paraId="0000004C">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McCormack, B. and McCance, T.V., 2006. Development of a framework for person‐centred nursing. </w:t>
      </w:r>
      <w:r w:rsidDel="00000000" w:rsidR="00000000" w:rsidRPr="00000000">
        <w:rPr>
          <w:rFonts w:ascii="Times New Roman" w:cs="Times New Roman" w:eastAsia="Times New Roman" w:hAnsi="Times New Roman"/>
          <w:i w:val="1"/>
          <w:iCs w:val="1"/>
          <w:rtl w:val="0"/>
        </w:rPr>
        <w:t xml:space="preserve">Journal of Advanced Nursing</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56</w:t>
      </w:r>
      <w:r w:rsidDel="00000000" w:rsidR="00000000" w:rsidRPr="00000000">
        <w:rPr>
          <w:rFonts w:ascii="Times New Roman" w:cs="Times New Roman" w:eastAsia="Times New Roman" w:hAnsi="Times New Roman"/>
          <w:rtl w:val="0"/>
        </w:rPr>
        <w:t xml:space="preserve">(5), pp.472-479.</w:t>
      </w:r>
    </w:p>
    <w:p w:rsidR="00000000" w:rsidDel="00000000" w:rsidP="00000000" w:rsidRDefault="00000000" w:rsidRPr="00000000" w14:paraId="0000004D">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McHale, J.V. and Noszlopy, L., 2025. Legal Regulation of Adult Social Care Provision in England. In </w:t>
      </w:r>
      <w:r w:rsidDel="00000000" w:rsidR="00000000" w:rsidRPr="00000000">
        <w:rPr>
          <w:rFonts w:ascii="Times New Roman" w:cs="Times New Roman" w:eastAsia="Times New Roman" w:hAnsi="Times New Roman"/>
          <w:i w:val="1"/>
          <w:iCs w:val="1"/>
          <w:rtl w:val="0"/>
        </w:rPr>
        <w:t xml:space="preserve">Adult Social Care Law and Policy</w:t>
      </w:r>
      <w:r w:rsidDel="00000000" w:rsidR="00000000" w:rsidRPr="00000000">
        <w:rPr>
          <w:rFonts w:ascii="Times New Roman" w:cs="Times New Roman" w:eastAsia="Times New Roman" w:hAnsi="Times New Roman"/>
          <w:rtl w:val="0"/>
        </w:rPr>
        <w:t xml:space="preserve"> (pp. 62-115). Bristol University Press.</w:t>
      </w:r>
    </w:p>
    <w:p w:rsidR="00000000" w:rsidDel="00000000" w:rsidP="00000000" w:rsidRDefault="00000000" w:rsidRPr="00000000" w14:paraId="0000004E">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Miller, E., 2021. Person-centred care literature review.</w:t>
      </w:r>
    </w:p>
    <w:p w:rsidR="00000000" w:rsidDel="00000000" w:rsidP="00000000" w:rsidRDefault="00000000" w:rsidRPr="00000000" w14:paraId="0000004F">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Ministry of Justice, 2013. </w:t>
      </w:r>
      <w:r w:rsidDel="00000000" w:rsidR="00000000" w:rsidRPr="00000000">
        <w:rPr>
          <w:rFonts w:ascii="Times New Roman" w:cs="Times New Roman" w:eastAsia="Times New Roman" w:hAnsi="Times New Roman"/>
          <w:i w:val="1"/>
          <w:iCs w:val="1"/>
          <w:rtl w:val="0"/>
        </w:rPr>
        <w:t xml:space="preserve">Mental Capacity Act 2005: Code of Practice</w:t>
      </w:r>
      <w:r w:rsidDel="00000000" w:rsidR="00000000" w:rsidRPr="00000000">
        <w:rPr>
          <w:rFonts w:ascii="Times New Roman" w:cs="Times New Roman" w:eastAsia="Times New Roman" w:hAnsi="Times New Roman"/>
          <w:rtl w:val="0"/>
        </w:rPr>
        <w:t xml:space="preserve">. London: The Stationery Office. </w:t>
      </w:r>
      <w:hyperlink r:id="rId9">
        <w:r w:rsidDel="00000000" w:rsidR="00000000" w:rsidRPr="00000000">
          <w:rPr>
            <w:rFonts w:ascii="Times New Roman" w:cs="Times New Roman" w:eastAsia="Times New Roman" w:hAnsi="Times New Roman"/>
            <w:color w:val="0563c1"/>
            <w:u w:val="single"/>
            <w:rtl w:val="0"/>
          </w:rPr>
          <w:t xml:space="preserve">https://www.gov.uk/government/publications/mental-capacity-act-code-of-practice</w:t>
        </w:r>
      </w:hyperlink>
      <w:r w:rsidDel="00000000" w:rsidR="00000000" w:rsidRPr="00000000">
        <w:rPr>
          <w:rtl w:val="0"/>
        </w:rPr>
      </w:r>
    </w:p>
    <w:p w:rsidR="00000000" w:rsidDel="00000000" w:rsidP="00000000" w:rsidRDefault="00000000" w:rsidRPr="00000000" w14:paraId="00000050">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National Institute for Health and Care Excellence (NICE) (2021) </w:t>
      </w:r>
      <w:r w:rsidDel="00000000" w:rsidR="00000000" w:rsidRPr="00000000">
        <w:rPr>
          <w:rFonts w:ascii="Times New Roman" w:cs="Times New Roman" w:eastAsia="Times New Roman" w:hAnsi="Times New Roman"/>
          <w:i w:val="1"/>
          <w:iCs w:val="1"/>
          <w:rtl w:val="0"/>
        </w:rPr>
        <w:t xml:space="preserve">Shared decision making (NG197)</w:t>
      </w:r>
      <w:r w:rsidDel="00000000" w:rsidR="00000000" w:rsidRPr="00000000">
        <w:rPr>
          <w:rFonts w:ascii="Times New Roman" w:cs="Times New Roman" w:eastAsia="Times New Roman" w:hAnsi="Times New Roman"/>
          <w:rtl w:val="0"/>
        </w:rPr>
        <w:t xml:space="preserve">. London: NICE. https://www.nice.org.uk/what-nice-does/our-guidance/about-nice-guidelines/about-shared-decision-making</w:t>
      </w:r>
    </w:p>
    <w:p w:rsidR="00000000" w:rsidDel="00000000" w:rsidP="00000000" w:rsidRDefault="00000000" w:rsidRPr="00000000" w14:paraId="00000051">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NHS England, 2024. Integrated care systems: guidance. </w:t>
      </w:r>
      <w:hyperlink r:id="rId10">
        <w:r w:rsidDel="00000000" w:rsidR="00000000" w:rsidRPr="00000000">
          <w:rPr>
            <w:rFonts w:ascii="Times New Roman" w:cs="Times New Roman" w:eastAsia="Times New Roman" w:hAnsi="Times New Roman"/>
            <w:color w:val="0563c1"/>
            <w:u w:val="single"/>
            <w:rtl w:val="0"/>
          </w:rPr>
          <w:t xml:space="preserve">https://www.england.nhs.uk/publication/integrated-care-systems-guidance</w:t>
        </w:r>
      </w:hyperlink>
      <w:r w:rsidDel="00000000" w:rsidR="00000000" w:rsidRPr="00000000">
        <w:rPr>
          <w:rtl w:val="0"/>
        </w:rPr>
      </w:r>
    </w:p>
    <w:p w:rsidR="00000000" w:rsidDel="00000000" w:rsidP="00000000" w:rsidRDefault="00000000" w:rsidRPr="00000000" w14:paraId="00000052">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NICE (2021). Shared decision making. </w:t>
      </w:r>
      <w:hyperlink r:id="rId11">
        <w:r w:rsidDel="00000000" w:rsidR="00000000" w:rsidRPr="00000000">
          <w:rPr>
            <w:rFonts w:ascii="Times New Roman" w:cs="Times New Roman" w:eastAsia="Times New Roman" w:hAnsi="Times New Roman"/>
            <w:color w:val="0563c1"/>
            <w:u w:val="single"/>
            <w:rtl w:val="0"/>
          </w:rPr>
          <w:t xml:space="preserve">https://www.nice.org.uk/guidance/ng197</w:t>
        </w:r>
      </w:hyperlink>
      <w:r w:rsidDel="00000000" w:rsidR="00000000" w:rsidRPr="00000000">
        <w:rPr>
          <w:rtl w:val="0"/>
        </w:rPr>
      </w:r>
    </w:p>
    <w:p w:rsidR="00000000" w:rsidDel="00000000" w:rsidP="00000000" w:rsidRDefault="00000000" w:rsidRPr="00000000" w14:paraId="00000053">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NICE, 2021. Shared decision making. </w:t>
      </w:r>
      <w:hyperlink r:id="rId12">
        <w:r w:rsidDel="00000000" w:rsidR="00000000" w:rsidRPr="00000000">
          <w:rPr>
            <w:rFonts w:ascii="Times New Roman" w:cs="Times New Roman" w:eastAsia="Times New Roman" w:hAnsi="Times New Roman"/>
            <w:color w:val="0563c1"/>
            <w:u w:val="single"/>
            <w:rtl w:val="0"/>
          </w:rPr>
          <w:t xml:space="preserve">https://www.nice.org.uk/guidance/ng197</w:t>
        </w:r>
      </w:hyperlink>
      <w:r w:rsidDel="00000000" w:rsidR="00000000" w:rsidRPr="00000000">
        <w:rPr>
          <w:rtl w:val="0"/>
        </w:rPr>
      </w:r>
    </w:p>
    <w:p w:rsidR="00000000" w:rsidDel="00000000" w:rsidP="00000000" w:rsidRDefault="00000000" w:rsidRPr="00000000" w14:paraId="00000054">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Noordman, J., Noordam, D., van Treeck, J., Prantl, K., Pennings, P., Borsje, P., Heinen, M., Emond, Y., Rake, E., Boland, G. and van Dulmen, S., 2024. Visual decision aids to support communication and shared decision-making: How are they valued and used in practice?. </w:t>
      </w:r>
      <w:r w:rsidDel="00000000" w:rsidR="00000000" w:rsidRPr="00000000">
        <w:rPr>
          <w:rFonts w:ascii="Times New Roman" w:cs="Times New Roman" w:eastAsia="Times New Roman" w:hAnsi="Times New Roman"/>
          <w:i w:val="1"/>
          <w:iCs w:val="1"/>
          <w:rtl w:val="0"/>
        </w:rPr>
        <w:t xml:space="preserve">PLoS One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19</w:t>
      </w:r>
      <w:r w:rsidDel="00000000" w:rsidR="00000000" w:rsidRPr="00000000">
        <w:rPr>
          <w:rFonts w:ascii="Times New Roman" w:cs="Times New Roman" w:eastAsia="Times New Roman" w:hAnsi="Times New Roman"/>
          <w:rtl w:val="0"/>
        </w:rPr>
        <w:t xml:space="preserve">(12), p.e0314732.</w:t>
      </w:r>
    </w:p>
    <w:p w:rsidR="00000000" w:rsidDel="00000000" w:rsidP="00000000" w:rsidRDefault="00000000" w:rsidRPr="00000000" w14:paraId="00000055">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Phelan, A. and Rickard-Clarke, P., 2020. Person-centred approaches in capacity legislation. In </w:t>
      </w:r>
      <w:r w:rsidDel="00000000" w:rsidR="00000000" w:rsidRPr="00000000">
        <w:rPr>
          <w:rFonts w:ascii="Times New Roman" w:cs="Times New Roman" w:eastAsia="Times New Roman" w:hAnsi="Times New Roman"/>
          <w:i w:val="1"/>
          <w:iCs w:val="1"/>
          <w:rtl w:val="0"/>
        </w:rPr>
        <w:t xml:space="preserve">Advances in Elder Abuse Research: Practice, Legislation and Policy</w:t>
      </w:r>
      <w:r w:rsidDel="00000000" w:rsidR="00000000" w:rsidRPr="00000000">
        <w:rPr>
          <w:rFonts w:ascii="Times New Roman" w:cs="Times New Roman" w:eastAsia="Times New Roman" w:hAnsi="Times New Roman"/>
          <w:rtl w:val="0"/>
        </w:rPr>
        <w:t xml:space="preserve"> (pp. 23-37). Cham: Springer International Publishing.</w:t>
      </w:r>
    </w:p>
    <w:p w:rsidR="00000000" w:rsidDel="00000000" w:rsidP="00000000" w:rsidRDefault="00000000" w:rsidRPr="00000000" w14:paraId="00000056">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Rowan, B.L., Anjara, S., De Brún, A., MacDonald, S., Kearns, E.C., Marnane, M. and McAuliffe, E., 2022. The impact of huddles on a multidisciplinary healthcare team's work engagement, teamwork and job satisfaction: a systematic review. </w:t>
      </w:r>
      <w:r w:rsidDel="00000000" w:rsidR="00000000" w:rsidRPr="00000000">
        <w:rPr>
          <w:rFonts w:ascii="Times New Roman" w:cs="Times New Roman" w:eastAsia="Times New Roman" w:hAnsi="Times New Roman"/>
          <w:i w:val="1"/>
          <w:iCs w:val="1"/>
          <w:rtl w:val="0"/>
        </w:rPr>
        <w:t xml:space="preserve">Journal of Evaluation in Clinical Practice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28</w:t>
      </w:r>
      <w:r w:rsidDel="00000000" w:rsidR="00000000" w:rsidRPr="00000000">
        <w:rPr>
          <w:rFonts w:ascii="Times New Roman" w:cs="Times New Roman" w:eastAsia="Times New Roman" w:hAnsi="Times New Roman"/>
          <w:rtl w:val="0"/>
        </w:rPr>
        <w:t xml:space="preserve">(3), pp.382-393.</w:t>
      </w:r>
    </w:p>
    <w:p w:rsidR="00000000" w:rsidDel="00000000" w:rsidP="00000000" w:rsidRDefault="00000000" w:rsidRPr="00000000" w14:paraId="00000057">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Smith, M., 2011. Integrating health and social care in Torbay.</w:t>
      </w:r>
    </w:p>
    <w:p w:rsidR="00000000" w:rsidDel="00000000" w:rsidP="00000000" w:rsidRDefault="00000000" w:rsidRPr="00000000" w14:paraId="00000058">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Spalding, L.J., 2019. </w:t>
      </w:r>
      <w:r w:rsidDel="00000000" w:rsidR="00000000" w:rsidRPr="00000000">
        <w:rPr>
          <w:rFonts w:ascii="Times New Roman" w:cs="Times New Roman" w:eastAsia="Times New Roman" w:hAnsi="Times New Roman"/>
          <w:i w:val="1"/>
          <w:iCs w:val="1"/>
          <w:rtl w:val="0"/>
        </w:rPr>
        <w:t xml:space="preserve">Perspectives on practice and the interpretation of personalisation by healthcare professionals working within the NHS in England</w:t>
      </w:r>
      <w:r w:rsidDel="00000000" w:rsidR="00000000" w:rsidRPr="00000000">
        <w:rPr>
          <w:rFonts w:ascii="Times New Roman" w:cs="Times New Roman" w:eastAsia="Times New Roman" w:hAnsi="Times New Roman"/>
          <w:rtl w:val="0"/>
        </w:rPr>
        <w:t xml:space="preserve"> (Doctoral dissertation, University of Birmingham).</w:t>
      </w:r>
    </w:p>
    <w:p w:rsidR="00000000" w:rsidDel="00000000" w:rsidP="00000000" w:rsidRDefault="00000000" w:rsidRPr="00000000" w14:paraId="00000059">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Symonds, J., Miles, C., Steel, M., Porter, S. and Williams, V., 2020. Making person-centred assessments. </w:t>
      </w:r>
      <w:r w:rsidDel="00000000" w:rsidR="00000000" w:rsidRPr="00000000">
        <w:rPr>
          <w:rFonts w:ascii="Times New Roman" w:cs="Times New Roman" w:eastAsia="Times New Roman" w:hAnsi="Times New Roman"/>
          <w:i w:val="1"/>
          <w:iCs w:val="1"/>
          <w:rtl w:val="0"/>
        </w:rPr>
        <w:t xml:space="preserve">Journal of Social Work</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20</w:t>
      </w:r>
      <w:r w:rsidDel="00000000" w:rsidR="00000000" w:rsidRPr="00000000">
        <w:rPr>
          <w:rFonts w:ascii="Times New Roman" w:cs="Times New Roman" w:eastAsia="Times New Roman" w:hAnsi="Times New Roman"/>
          <w:rtl w:val="0"/>
        </w:rPr>
        <w:t xml:space="preserve">(4), pp.431-447.</w:t>
      </w:r>
    </w:p>
    <w:p w:rsidR="00000000" w:rsidDel="00000000" w:rsidP="00000000" w:rsidRDefault="00000000" w:rsidRPr="00000000" w14:paraId="0000005A">
      <w:pPr>
        <w:spacing w:line="36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Tsiachristas, A., Langhorne, P., Burke, O., Harwood, R.H., Conroy, S.P., Kircher, T., Somme, D., Saltvedt, I., Wald, H., O'Neill, D. and Robinson, D., 2017. Comprehensive geriatric assessment for older adults admitted to the hospital. </w:t>
      </w:r>
      <w:r w:rsidDel="00000000" w:rsidR="00000000" w:rsidRPr="00000000">
        <w:rPr>
          <w:rFonts w:ascii="Times New Roman" w:cs="Times New Roman" w:eastAsia="Times New Roman" w:hAnsi="Times New Roman"/>
          <w:i w:val="1"/>
          <w:iCs w:val="1"/>
          <w:rtl w:val="0"/>
        </w:rPr>
        <w:t xml:space="preserve">Cochrane Database of Systematic Reviews</w:t>
      </w:r>
      <w:r w:rsidDel="00000000" w:rsidR="00000000" w:rsidRPr="00000000">
        <w:rPr>
          <w:rFonts w:ascii="Times New Roman" w:cs="Times New Roman" w:eastAsia="Times New Roman" w:hAnsi="Times New Roman"/>
          <w:rtl w:val="0"/>
        </w:rPr>
        <w:t xml:space="preserve"> (9).</w:t>
      </w:r>
    </w:p>
    <w:p w:rsidR="00000000" w:rsidDel="00000000" w:rsidP="00000000" w:rsidRDefault="00000000" w:rsidRPr="00000000" w14:paraId="0000005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spacing w:line="360" w:lineRule="auto"/>
        <w:rPr>
          <w:rFonts w:ascii="Times New Roman" w:cs="Times New Roman" w:eastAsia="Times New Roman" w:hAnsi="Times New Roman"/>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Times New Roman" w:cs="Times New Roman" w:eastAsia="Times New Roman" w:hAnsi="Times New Roman"/>
      <w:b w:val="1"/>
      <w:bCs w:val="1"/>
      <w:color w:val="000000"/>
    </w:rPr>
  </w:style>
  <w:style w:type="paragraph" w:styleId="Heading2">
    <w:name w:val="heading 2"/>
    <w:basedOn w:val="Normal"/>
    <w:next w:val="Normal"/>
    <w:pPr>
      <w:keepNext w:val="1"/>
      <w:keepLines w:val="1"/>
      <w:spacing w:after="80" w:before="160" w:lineRule="auto"/>
    </w:pPr>
    <w:rPr>
      <w:rFonts w:ascii="Times New Roman" w:cs="Times New Roman" w:eastAsia="Times New Roman" w:hAnsi="Times New Roman"/>
      <w:b w:val="1"/>
      <w:bCs w:val="1"/>
      <w:i w:val="1"/>
      <w:iCs w:val="1"/>
      <w:color w:val="000000"/>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nice.org.uk/guidance/ng197" TargetMode="External"/><Relationship Id="rId10" Type="http://schemas.openxmlformats.org/officeDocument/2006/relationships/hyperlink" Target="https://www.england.nhs.uk/publication/integrated-care-systems-guidance" TargetMode="External"/><Relationship Id="rId12" Type="http://schemas.openxmlformats.org/officeDocument/2006/relationships/hyperlink" Target="https://www.nice.org.uk/guidance/ng197" TargetMode="External"/><Relationship Id="rId9" Type="http://schemas.openxmlformats.org/officeDocument/2006/relationships/hyperlink" Target="https://www.gov.uk/government/publications/mental-capacity-act-code-of-practice" TargetMode="External"/><Relationship Id="rId5" Type="http://schemas.openxmlformats.org/officeDocument/2006/relationships/styles" Target="styles.xml"/><Relationship Id="rId6" Type="http://schemas.openxmlformats.org/officeDocument/2006/relationships/hyperlink" Target="https://www.cqc.org.uk/guidance-regulation/providers/regulations-service-providers-and-managers/health-social-care-act/regulation-9" TargetMode="External"/><Relationship Id="rId7" Type="http://schemas.openxmlformats.org/officeDocument/2006/relationships/hyperlink" Target="https://www.cqc.org.uk/guidance-regulation/providers/regulations-service-providers-and-managers/health-social-care-act/regulation-9" TargetMode="External"/><Relationship Id="rId8" Type="http://schemas.openxmlformats.org/officeDocument/2006/relationships/hyperlink" Target="https://www.gov.uk/government/publications/care-act-statutory-guidance/care-and-support-statutory-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4b91d79d-7b98-42e1-80c1-184c6bebf52f</vt:lpwstr>
  </property>
</Properties>
</file>