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word/_rels/header2.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180" w:after="280"/>
        <w:rPr>
          <w:b/>
          <w:bCs/>
          <w:sz w:val="24"/>
          <w:szCs w:val="24"/>
        </w:rPr>
      </w:pPr>
      <w:r>
        <w:rPr>
          <w:b/>
          <w:bCs/>
          <w:sz w:val="24"/>
          <w:szCs w:val="24"/>
        </w:rPr>
        <w:t>Article</w:t>
      </w:r>
    </w:p>
    <w:p>
      <w:pPr>
        <w:pStyle w:val="Normal"/>
        <w:spacing w:before="180" w:after="280"/>
        <w:rPr>
          <w:b/>
          <w:bCs/>
          <w:sz w:val="32"/>
          <w:szCs w:val="32"/>
        </w:rPr>
      </w:pPr>
      <w:r>
        <w:rPr>
          <w:b/>
          <w:bCs/>
          <w:sz w:val="32"/>
          <w:szCs w:val="32"/>
        </w:rPr>
        <w:t>Weather induced food scarcity in Africa</w:t>
      </w:r>
    </w:p>
    <w:p>
      <w:pPr>
        <w:pStyle w:val="Normal"/>
        <w:spacing w:before="180" w:after="280"/>
        <w:rPr>
          <w:sz w:val="32"/>
          <w:szCs w:val="32"/>
        </w:rPr>
      </w:pPr>
      <w:r>
        <w:rPr>
          <w:b/>
          <w:bCs/>
          <w:i/>
          <w:iCs/>
          <w:sz w:val="32"/>
          <w:szCs w:val="32"/>
          <w:vertAlign w:val="superscript"/>
        </w:rPr>
        <w:t>Sam Godden</w:t>
      </w:r>
    </w:p>
    <w:p>
      <w:pPr>
        <w:pStyle w:val="Normal"/>
        <w:rPr>
          <w:i/>
          <w:i/>
          <w:iCs/>
          <w:sz w:val="18"/>
          <w:szCs w:val="18"/>
        </w:rPr>
      </w:pPr>
      <w:r>
        <w:rPr>
          <w:i/>
          <w:iCs/>
          <w:sz w:val="18"/>
          <w:szCs w:val="18"/>
          <w:vertAlign w:val="superscript"/>
        </w:rPr>
        <w:t>a</w:t>
      </w:r>
      <w:r>
        <w:rPr>
          <w:i/>
          <w:iCs/>
          <w:sz w:val="18"/>
          <w:szCs w:val="18"/>
        </w:rPr>
        <w:t>University of Wales Trinity St David, Waterfront Campus, Swansea</w:t>
      </w:r>
    </w:p>
    <w:tbl>
      <w:tblPr>
        <w:tblStyle w:val="TableGrid"/>
        <w:tblW w:w="9242"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2802"/>
        <w:gridCol w:w="989"/>
        <w:gridCol w:w="5451"/>
      </w:tblGrid>
      <w:tr>
        <w:trPr/>
        <w:tc>
          <w:tcPr>
            <w:tcW w:w="2802" w:type="dxa"/>
            <w:tcBorders>
              <w:left w:val="single" w:sz="18" w:space="0" w:color="FFFFFF"/>
              <w:right w:val="single" w:sz="18" w:space="0" w:color="FFFFFF"/>
            </w:tcBorders>
          </w:tcPr>
          <w:p>
            <w:pPr>
              <w:pStyle w:val="Normal"/>
              <w:widowControl/>
              <w:suppressAutoHyphens w:val="true"/>
              <w:spacing w:lineRule="auto" w:line="240" w:before="220" w:after="200"/>
              <w:jc w:val="left"/>
              <w:rPr>
                <w:sz w:val="18"/>
                <w:szCs w:val="18"/>
              </w:rPr>
            </w:pPr>
            <w:r>
              <w:rPr>
                <w:sz w:val="18"/>
                <w:szCs w:val="18"/>
              </w:rPr>
            </w:r>
          </w:p>
          <w:p>
            <w:pPr>
              <w:pStyle w:val="Normal"/>
              <w:widowControl/>
              <w:suppressAutoHyphens w:val="true"/>
              <w:spacing w:lineRule="auto" w:line="240" w:before="220" w:after="200"/>
              <w:jc w:val="left"/>
              <w:rPr>
                <w:sz w:val="18"/>
                <w:szCs w:val="18"/>
              </w:rPr>
            </w:pPr>
            <w:r>
              <w:rPr>
                <w:rFonts w:eastAsia="DengXian" w:cs="Arial"/>
                <w:kern w:val="2"/>
                <w:sz w:val="20"/>
                <w:szCs w:val="20"/>
                <w:lang w:val="en-GB" w:eastAsia="zh-CN" w:bidi="ar-SA"/>
              </w:rPr>
              <w:t>A R T I C L E  I N F O</w:t>
            </w:r>
          </w:p>
        </w:tc>
        <w:tc>
          <w:tcPr>
            <w:tcW w:w="989" w:type="dxa"/>
            <w:vMerge w:val="restart"/>
            <w:tcBorders>
              <w:left w:val="single" w:sz="18" w:space="0" w:color="FFFFFF"/>
              <w:bottom w:val="single" w:sz="18" w:space="0" w:color="FFFFFF"/>
              <w:right w:val="single" w:sz="18" w:space="0" w:color="FFFFFF"/>
            </w:tcBorders>
          </w:tcPr>
          <w:p>
            <w:pPr>
              <w:pStyle w:val="Normal"/>
              <w:widowControl/>
              <w:suppressAutoHyphens w:val="true"/>
              <w:spacing w:lineRule="auto" w:line="240" w:before="0" w:after="0"/>
              <w:jc w:val="left"/>
              <w:rPr>
                <w:rFonts w:eastAsia="DengXian" w:cs="Arial"/>
              </w:rPr>
            </w:pPr>
            <w:r>
              <w:rPr>
                <w:rFonts w:eastAsia="DengXian" w:cs="Arial"/>
                <w:sz w:val="22"/>
              </w:rPr>
            </w:r>
          </w:p>
        </w:tc>
        <w:tc>
          <w:tcPr>
            <w:tcW w:w="5451" w:type="dxa"/>
            <w:tcBorders>
              <w:left w:val="single" w:sz="18" w:space="0" w:color="FFFFFF"/>
              <w:right w:val="single" w:sz="18" w:space="0" w:color="FFFFFF"/>
            </w:tcBorders>
          </w:tcPr>
          <w:p>
            <w:pPr>
              <w:pStyle w:val="Normal"/>
              <w:widowControl/>
              <w:suppressAutoHyphens w:val="true"/>
              <w:spacing w:lineRule="auto" w:line="240" w:before="220" w:after="200"/>
              <w:jc w:val="left"/>
              <w:rPr>
                <w:sz w:val="18"/>
                <w:szCs w:val="18"/>
              </w:rPr>
            </w:pPr>
            <w:r>
              <w:rPr>
                <w:sz w:val="18"/>
                <w:szCs w:val="18"/>
              </w:rPr>
            </w:r>
          </w:p>
          <w:p>
            <w:pPr>
              <w:pStyle w:val="Normal"/>
              <w:widowControl/>
              <w:suppressAutoHyphens w:val="true"/>
              <w:spacing w:lineRule="auto" w:line="240" w:before="220" w:after="200"/>
              <w:jc w:val="left"/>
              <w:rPr>
                <w:sz w:val="18"/>
                <w:szCs w:val="18"/>
              </w:rPr>
            </w:pPr>
            <w:r>
              <w:rPr>
                <w:rFonts w:eastAsia="DengXian" w:cs="Arial"/>
                <w:kern w:val="2"/>
                <w:sz w:val="20"/>
                <w:szCs w:val="20"/>
                <w:lang w:val="en-GB" w:eastAsia="zh-CN" w:bidi="ar-SA"/>
              </w:rPr>
              <w:t>A B S T R A C T</w:t>
            </w:r>
          </w:p>
        </w:tc>
      </w:tr>
      <w:tr>
        <w:trPr/>
        <w:tc>
          <w:tcPr>
            <w:tcW w:w="2802" w:type="dxa"/>
            <w:tcBorders>
              <w:left w:val="single" w:sz="18" w:space="0" w:color="FFFFFF"/>
              <w:right w:val="single" w:sz="18" w:space="0" w:color="FFFFFF"/>
            </w:tcBorders>
          </w:tcPr>
          <w:p>
            <w:pPr>
              <w:pStyle w:val="Normal"/>
              <w:widowControl/>
              <w:suppressAutoHyphens w:val="true"/>
              <w:spacing w:lineRule="auto" w:line="240" w:before="0" w:after="0"/>
              <w:jc w:val="left"/>
              <w:rPr>
                <w:i/>
                <w:i/>
                <w:iCs/>
                <w:sz w:val="18"/>
                <w:szCs w:val="18"/>
              </w:rPr>
            </w:pPr>
            <w:r>
              <w:rPr>
                <w:rFonts w:eastAsia="DengXian" w:cs="Arial"/>
                <w:i/>
                <w:iCs/>
                <w:kern w:val="2"/>
                <w:sz w:val="18"/>
                <w:szCs w:val="18"/>
                <w:lang w:val="en-GB" w:eastAsia="zh-CN" w:bidi="ar-SA"/>
              </w:rPr>
              <w:t>Article History:</w:t>
            </w:r>
          </w:p>
          <w:p>
            <w:pPr>
              <w:pStyle w:val="Normal"/>
              <w:widowControl/>
              <w:suppressAutoHyphens w:val="true"/>
              <w:spacing w:lineRule="auto" w:line="240" w:before="0" w:after="0"/>
              <w:jc w:val="left"/>
              <w:rPr>
                <w:sz w:val="18"/>
                <w:szCs w:val="18"/>
              </w:rPr>
            </w:pPr>
            <w:r>
              <w:rPr>
                <w:rFonts w:eastAsia="DengXian" w:cs="Arial"/>
                <w:kern w:val="2"/>
                <w:sz w:val="18"/>
                <w:szCs w:val="18"/>
                <w:lang w:val="en-GB" w:eastAsia="zh-CN" w:bidi="ar-SA"/>
              </w:rPr>
              <w:t>Submitted 14 Month 01</w:t>
            </w:r>
          </w:p>
          <w:p>
            <w:pPr>
              <w:pStyle w:val="Normal"/>
              <w:widowControl/>
              <w:suppressAutoHyphens w:val="true"/>
              <w:spacing w:lineRule="auto" w:line="240" w:before="0" w:after="0"/>
              <w:jc w:val="left"/>
              <w:rPr>
                <w:sz w:val="18"/>
                <w:szCs w:val="18"/>
              </w:rPr>
            </w:pPr>
            <w:r>
              <w:rPr>
                <w:sz w:val="18"/>
                <w:szCs w:val="18"/>
              </w:rPr>
            </w:r>
          </w:p>
        </w:tc>
        <w:tc>
          <w:tcPr>
            <w:tcW w:w="989" w:type="dxa"/>
            <w:vMerge w:val="continue"/>
            <w:tcBorders>
              <w:left w:val="single" w:sz="18" w:space="0" w:color="FFFFFF"/>
              <w:right w:val="single" w:sz="18" w:space="0" w:color="FFFFFF"/>
            </w:tcBorders>
          </w:tcPr>
          <w:p>
            <w:pPr>
              <w:pStyle w:val="Normal"/>
              <w:widowControl/>
              <w:suppressAutoHyphens w:val="true"/>
              <w:spacing w:lineRule="auto" w:line="240" w:before="0" w:after="0"/>
              <w:jc w:val="left"/>
              <w:rPr>
                <w:rFonts w:eastAsia="DengXian" w:cs="Arial"/>
              </w:rPr>
            </w:pPr>
            <w:r>
              <w:rPr>
                <w:rFonts w:eastAsia="DengXian" w:cs="Arial"/>
                <w:sz w:val="22"/>
              </w:rPr>
            </w:r>
          </w:p>
        </w:tc>
        <w:tc>
          <w:tcPr>
            <w:tcW w:w="5451" w:type="dxa"/>
            <w:vMerge w:val="restart"/>
            <w:tcBorders>
              <w:left w:val="single" w:sz="18" w:space="0" w:color="FFFFFF"/>
              <w:right w:val="single" w:sz="18" w:space="0" w:color="FFFFFF"/>
            </w:tcBorders>
          </w:tcPr>
          <w:p>
            <w:pPr>
              <w:pStyle w:val="Normal"/>
              <w:widowControl/>
              <w:suppressAutoHyphens w:val="true"/>
              <w:spacing w:lineRule="auto" w:line="240" w:before="0" w:after="0"/>
              <w:jc w:val="both"/>
              <w:rPr>
                <w:rFonts w:eastAsia="" w:cs=""/>
                <w:kern w:val="2"/>
                <w:sz w:val="22"/>
                <w:szCs w:val="22"/>
                <w:lang w:val="en-GB" w:eastAsia="zh-CN" w:bidi="ar-SA"/>
              </w:rPr>
            </w:pPr>
            <w:r>
              <w:rPr>
                <w:rFonts w:eastAsia="" w:cs=""/>
                <w:kern w:val="2"/>
                <w:sz w:val="22"/>
                <w:szCs w:val="18"/>
                <w:lang w:val="en-GB" w:eastAsia="zh-CN" w:bidi="ar-SA"/>
              </w:rPr>
              <w:t>Climate change plays a key role in a wide variety of socio-economic issues, but it directly impacts agriculture in every part of the globe. One of its most striking features is its disproportionate effect on ethnic minorities and different income brackets. According to the World Health Organisation (2022), food scarcity affected 29% of the global population in 2021</w:t>
            </w:r>
            <w:r>
              <w:rPr>
                <w:rFonts w:eastAsia="" w:cs=""/>
                <w:kern w:val="2"/>
                <w:sz w:val="22"/>
                <w:szCs w:val="22"/>
                <w:lang w:val="en-GB" w:eastAsia="zh-CN" w:bidi="ar-SA"/>
              </w:rPr>
              <w:t xml:space="preserve">, meanwhile across Africa, </w:t>
            </w:r>
            <w:r>
              <w:rPr>
                <w:rFonts w:eastAsia="" w:cs=""/>
                <w:kern w:val="2"/>
                <w:sz w:val="22"/>
                <w:szCs w:val="18"/>
                <w:lang w:val="en-GB" w:eastAsia="zh-CN" w:bidi="ar-SA"/>
              </w:rPr>
              <w:t xml:space="preserve">it was estimated that around 21% of people were suffering from malnutrition, and </w:t>
            </w:r>
            <w:r>
              <w:rPr>
                <w:rFonts w:eastAsia="" w:cs=""/>
                <w:kern w:val="2"/>
                <w:sz w:val="22"/>
                <w:szCs w:val="22"/>
                <w:lang w:val="en-GB" w:eastAsia="zh-CN" w:bidi="ar-SA"/>
              </w:rPr>
              <w:t>78% of the population was unable to afford a healthy diet (figure 3) (Owolade et al, 2022), (Relief Web, 2023).</w:t>
            </w:r>
          </w:p>
          <w:p>
            <w:pPr>
              <w:pStyle w:val="Normal"/>
              <w:widowControl/>
              <w:suppressAutoHyphens w:val="true"/>
              <w:spacing w:before="0" w:after="160"/>
              <w:jc w:val="left"/>
              <w:rPr>
                <w:rFonts w:eastAsia="" w:cs=""/>
                <w:kern w:val="2"/>
                <w:sz w:val="22"/>
                <w:szCs w:val="22"/>
                <w:lang w:val="en-GB" w:eastAsia="zh-CN" w:bidi="ar-SA"/>
              </w:rPr>
            </w:pPr>
            <w:r>
              <w:rPr>
                <w:rFonts w:eastAsia="" w:cs=""/>
                <w:kern w:val="2"/>
                <w:sz w:val="22"/>
                <w:szCs w:val="22"/>
                <w:lang w:val="en-GB" w:eastAsia="zh-CN" w:bidi="ar-SA"/>
              </w:rPr>
              <w:t xml:space="preserve">Extreme weather resulting from climate change, typically exacerbates poverty and hunger in communities which already lack the resources to adapt. This results in a downward spiral that becomes increasingly difficult to resolve, particularly when lacking basic access to services and education. (Met Office, 2022). </w:t>
            </w:r>
            <w:r>
              <w:rPr>
                <w:rFonts w:eastAsia="" w:cs=""/>
                <w:kern w:val="2"/>
                <w:sz w:val="22"/>
                <w:szCs w:val="22"/>
                <w:shd w:fill="auto" w:val="clear"/>
                <w:lang w:val="en-GB" w:eastAsia="zh-CN" w:bidi="ar-SA"/>
              </w:rPr>
              <w:t>Malnourished children in particular, are at a disadvantage from the beginning, often experiencing stunted development in a situation over which they have no control. This highlights the unfairness inherent in the current system and creates incentive for society to address the imbalance.</w:t>
            </w:r>
          </w:p>
          <w:p>
            <w:pPr>
              <w:pStyle w:val="Normal"/>
              <w:widowControl/>
              <w:suppressAutoHyphens w:val="true"/>
              <w:spacing w:before="0" w:after="160"/>
              <w:jc w:val="left"/>
              <w:rPr>
                <w:rFonts w:eastAsia="" w:cs=""/>
                <w:kern w:val="2"/>
                <w:sz w:val="22"/>
                <w:szCs w:val="22"/>
                <w:lang w:val="en-GB" w:eastAsia="zh-CN" w:bidi="ar-SA"/>
              </w:rPr>
            </w:pPr>
            <w:r>
              <w:rPr>
                <w:rFonts w:eastAsia="" w:cs=""/>
                <w:kern w:val="2"/>
                <w:sz w:val="22"/>
                <w:szCs w:val="22"/>
                <w:lang w:val="en-GB" w:eastAsia="zh-CN" w:bidi="ar-SA"/>
              </w:rPr>
              <w:t>Specific causes of food scarcity in Africa vary from region to region. One of the most significant in terms of scale is crop failure due to drought, which is most prevalent in the arid regions of East Africa such as Somalia, Ethiopia and Kenya. (Council on Foreign Relations, 2022). In sub-Saharan regions where there is a tropical climate, threats from flooding and pests disease / pests are also common (Reed et al, 2022), (Alliance for Science, 2021).</w:t>
            </w:r>
          </w:p>
          <w:p>
            <w:pPr>
              <w:pStyle w:val="Normal"/>
              <w:widowControl/>
              <w:suppressAutoHyphens w:val="true"/>
              <w:spacing w:lineRule="auto" w:line="240" w:before="0" w:after="0"/>
              <w:jc w:val="right"/>
              <w:rPr>
                <w:sz w:val="18"/>
                <w:szCs w:val="18"/>
              </w:rPr>
            </w:pPr>
            <w:r>
              <w:rPr>
                <w:rFonts w:eastAsia="DengXian" w:cs="Arial"/>
                <w:kern w:val="2"/>
                <w:sz w:val="18"/>
                <w:szCs w:val="18"/>
                <w:lang w:val="en-GB" w:eastAsia="zh-CN" w:bidi="ar-SA"/>
              </w:rPr>
              <w:t>© 2023. Hosting by UWTSD. All rights reserved.</w:t>
            </w:r>
          </w:p>
        </w:tc>
      </w:tr>
      <w:tr>
        <w:trPr>
          <w:trHeight w:val="7312" w:hRule="atLeast"/>
        </w:trPr>
        <w:tc>
          <w:tcPr>
            <w:tcW w:w="2802" w:type="dxa"/>
            <w:tcBorders>
              <w:left w:val="single" w:sz="18" w:space="0" w:color="FFFFFF"/>
              <w:right w:val="single" w:sz="18" w:space="0" w:color="FFFFFF"/>
            </w:tcBorders>
          </w:tcPr>
          <w:p>
            <w:pPr>
              <w:pStyle w:val="Normal"/>
              <w:widowControl/>
              <w:suppressAutoHyphens w:val="true"/>
              <w:spacing w:lineRule="auto" w:line="240" w:before="0" w:after="0"/>
              <w:jc w:val="left"/>
              <w:rPr>
                <w:sz w:val="18"/>
                <w:szCs w:val="18"/>
              </w:rPr>
            </w:pPr>
            <w:r>
              <w:rPr>
                <w:rFonts w:eastAsia="DengXian" w:cs="Arial"/>
                <w:kern w:val="2"/>
                <w:sz w:val="18"/>
                <w:szCs w:val="18"/>
                <w:lang w:val="en-GB" w:eastAsia="zh-CN" w:bidi="ar-SA"/>
              </w:rPr>
              <w:t>Keywords:</w:t>
            </w:r>
          </w:p>
          <w:p>
            <w:pPr>
              <w:pStyle w:val="Normal"/>
              <w:widowControl/>
              <w:suppressAutoHyphens w:val="true"/>
              <w:spacing w:lineRule="auto" w:line="240" w:before="0" w:after="0"/>
              <w:jc w:val="left"/>
              <w:rPr>
                <w:shd w:fill="FFFF00" w:val="clear"/>
              </w:rPr>
            </w:pPr>
            <w:r>
              <w:rPr>
                <w:sz w:val="22"/>
                <w:shd w:fill="FFFF00" w:val="clear"/>
              </w:rPr>
            </w:r>
          </w:p>
          <w:p>
            <w:pPr>
              <w:pStyle w:val="Normal"/>
              <w:widowControl/>
              <w:numPr>
                <w:ilvl w:val="0"/>
                <w:numId w:val="2"/>
              </w:numPr>
              <w:suppressAutoHyphens w:val="true"/>
              <w:spacing w:lineRule="auto" w:line="240" w:before="0" w:after="0"/>
              <w:jc w:val="left"/>
              <w:rPr>
                <w:rFonts w:eastAsia="" w:cs=""/>
                <w:kern w:val="2"/>
                <w:sz w:val="22"/>
                <w:szCs w:val="22"/>
                <w:lang w:val="en-GB" w:eastAsia="zh-CN" w:bidi="ar-SA"/>
              </w:rPr>
            </w:pPr>
            <w:r>
              <w:rPr>
                <w:rFonts w:eastAsia="" w:cs=""/>
                <w:kern w:val="2"/>
                <w:sz w:val="22"/>
                <w:szCs w:val="18"/>
                <w:lang w:val="en-GB" w:eastAsia="zh-CN" w:bidi="ar-SA"/>
              </w:rPr>
              <w:t>Climate Change</w:t>
            </w:r>
          </w:p>
          <w:p>
            <w:pPr>
              <w:pStyle w:val="Normal"/>
              <w:widowControl/>
              <w:numPr>
                <w:ilvl w:val="0"/>
                <w:numId w:val="2"/>
              </w:numPr>
              <w:suppressAutoHyphens w:val="true"/>
              <w:spacing w:lineRule="auto" w:line="240" w:before="0" w:after="0"/>
              <w:jc w:val="left"/>
              <w:rPr>
                <w:rFonts w:eastAsia="" w:cs=""/>
                <w:kern w:val="2"/>
                <w:sz w:val="22"/>
                <w:szCs w:val="22"/>
                <w:lang w:val="en-GB" w:eastAsia="zh-CN" w:bidi="ar-SA"/>
              </w:rPr>
            </w:pPr>
            <w:r>
              <w:rPr>
                <w:rFonts w:eastAsia="" w:cs=""/>
                <w:kern w:val="2"/>
                <w:sz w:val="22"/>
                <w:szCs w:val="18"/>
                <w:lang w:val="en-GB" w:eastAsia="zh-CN" w:bidi="ar-SA"/>
              </w:rPr>
              <w:t>Food Scarcity</w:t>
            </w:r>
          </w:p>
          <w:p>
            <w:pPr>
              <w:pStyle w:val="Normal"/>
              <w:widowControl/>
              <w:numPr>
                <w:ilvl w:val="0"/>
                <w:numId w:val="2"/>
              </w:numPr>
              <w:suppressAutoHyphens w:val="true"/>
              <w:spacing w:lineRule="auto" w:line="240" w:before="0" w:after="0"/>
              <w:jc w:val="left"/>
              <w:rPr>
                <w:rFonts w:eastAsia="" w:cs=""/>
                <w:kern w:val="2"/>
                <w:sz w:val="22"/>
                <w:szCs w:val="22"/>
                <w:lang w:val="en-GB" w:eastAsia="zh-CN" w:bidi="ar-SA"/>
              </w:rPr>
            </w:pPr>
            <w:r>
              <w:rPr>
                <w:rFonts w:eastAsia="" w:cs=""/>
                <w:kern w:val="2"/>
                <w:sz w:val="22"/>
                <w:szCs w:val="18"/>
                <w:lang w:val="en-GB" w:eastAsia="zh-CN" w:bidi="ar-SA"/>
              </w:rPr>
              <w:t>Ethnic Minorities</w:t>
            </w:r>
          </w:p>
          <w:p>
            <w:pPr>
              <w:pStyle w:val="Normal"/>
              <w:widowControl/>
              <w:numPr>
                <w:ilvl w:val="0"/>
                <w:numId w:val="2"/>
              </w:numPr>
              <w:suppressAutoHyphens w:val="true"/>
              <w:spacing w:lineRule="auto" w:line="240" w:before="0" w:after="0"/>
              <w:jc w:val="left"/>
              <w:rPr>
                <w:rFonts w:eastAsia="" w:cs=""/>
                <w:kern w:val="2"/>
                <w:sz w:val="22"/>
                <w:szCs w:val="22"/>
                <w:lang w:val="en-GB" w:eastAsia="zh-CN" w:bidi="ar-SA"/>
              </w:rPr>
            </w:pPr>
            <w:r>
              <w:rPr>
                <w:rFonts w:eastAsia="" w:cs=""/>
                <w:kern w:val="2"/>
                <w:sz w:val="22"/>
                <w:szCs w:val="18"/>
                <w:lang w:val="en-GB" w:eastAsia="zh-CN" w:bidi="ar-SA"/>
              </w:rPr>
              <w:t>LICs</w:t>
            </w:r>
          </w:p>
          <w:p>
            <w:pPr>
              <w:pStyle w:val="Normal"/>
              <w:widowControl/>
              <w:numPr>
                <w:ilvl w:val="0"/>
                <w:numId w:val="2"/>
              </w:numPr>
              <w:suppressAutoHyphens w:val="true"/>
              <w:spacing w:lineRule="auto" w:line="240" w:before="0" w:after="0"/>
              <w:jc w:val="left"/>
              <w:rPr>
                <w:rFonts w:eastAsia="" w:cs=""/>
                <w:kern w:val="2"/>
                <w:sz w:val="22"/>
                <w:szCs w:val="22"/>
                <w:lang w:val="en-GB" w:eastAsia="zh-CN" w:bidi="ar-SA"/>
              </w:rPr>
            </w:pPr>
            <w:r>
              <w:rPr>
                <w:rFonts w:eastAsia="" w:cs=""/>
                <w:kern w:val="2"/>
                <w:sz w:val="22"/>
                <w:szCs w:val="18"/>
                <w:lang w:val="en-GB" w:eastAsia="zh-CN" w:bidi="ar-SA"/>
              </w:rPr>
              <w:t>Subsistence Farming</w:t>
            </w:r>
          </w:p>
          <w:p>
            <w:pPr>
              <w:pStyle w:val="Normal"/>
              <w:widowControl/>
              <w:numPr>
                <w:ilvl w:val="0"/>
                <w:numId w:val="2"/>
              </w:numPr>
              <w:suppressAutoHyphens w:val="true"/>
              <w:spacing w:lineRule="auto" w:line="240" w:before="0" w:after="0"/>
              <w:jc w:val="left"/>
              <w:rPr>
                <w:rFonts w:eastAsia="" w:cs=""/>
                <w:kern w:val="2"/>
                <w:sz w:val="22"/>
                <w:szCs w:val="22"/>
                <w:lang w:val="en-GB" w:eastAsia="zh-CN" w:bidi="ar-SA"/>
              </w:rPr>
            </w:pPr>
            <w:r>
              <w:rPr>
                <w:rFonts w:eastAsia="" w:cs=""/>
                <w:kern w:val="2"/>
                <w:sz w:val="22"/>
                <w:szCs w:val="18"/>
                <w:lang w:val="en-GB" w:eastAsia="zh-CN" w:bidi="ar-SA"/>
              </w:rPr>
              <w:t>Agriculture</w:t>
            </w:r>
          </w:p>
          <w:p>
            <w:pPr>
              <w:pStyle w:val="Normal"/>
              <w:widowControl/>
              <w:numPr>
                <w:ilvl w:val="0"/>
                <w:numId w:val="2"/>
              </w:numPr>
              <w:suppressAutoHyphens w:val="true"/>
              <w:spacing w:lineRule="auto" w:line="240" w:before="0" w:after="0"/>
              <w:jc w:val="left"/>
              <w:rPr>
                <w:rFonts w:eastAsia="" w:cs=""/>
                <w:kern w:val="2"/>
                <w:sz w:val="22"/>
                <w:szCs w:val="22"/>
                <w:lang w:val="en-GB" w:eastAsia="zh-CN" w:bidi="ar-SA"/>
              </w:rPr>
            </w:pPr>
            <w:r>
              <w:rPr>
                <w:rFonts w:eastAsia="" w:cs=""/>
                <w:kern w:val="2"/>
                <w:sz w:val="22"/>
                <w:szCs w:val="18"/>
                <w:lang w:val="en-GB" w:eastAsia="zh-CN" w:bidi="ar-SA"/>
              </w:rPr>
              <w:t>Africa</w:t>
            </w:r>
          </w:p>
          <w:p>
            <w:pPr>
              <w:pStyle w:val="Normal"/>
              <w:widowControl/>
              <w:numPr>
                <w:ilvl w:val="0"/>
                <w:numId w:val="2"/>
              </w:numPr>
              <w:suppressAutoHyphens w:val="true"/>
              <w:spacing w:lineRule="auto" w:line="240" w:before="0" w:after="0"/>
              <w:jc w:val="left"/>
              <w:rPr>
                <w:rFonts w:eastAsia="" w:cs=""/>
                <w:kern w:val="2"/>
                <w:sz w:val="22"/>
                <w:szCs w:val="22"/>
                <w:lang w:val="en-GB" w:eastAsia="zh-CN" w:bidi="ar-SA"/>
              </w:rPr>
            </w:pPr>
            <w:r>
              <w:rPr>
                <w:rFonts w:eastAsia="" w:cs=""/>
                <w:kern w:val="2"/>
                <w:sz w:val="22"/>
                <w:szCs w:val="18"/>
                <w:lang w:val="en-GB" w:eastAsia="zh-CN" w:bidi="ar-SA"/>
              </w:rPr>
              <w:t>Heat Stress</w:t>
            </w:r>
          </w:p>
          <w:p>
            <w:pPr>
              <w:pStyle w:val="Normal"/>
              <w:widowControl/>
              <w:numPr>
                <w:ilvl w:val="0"/>
                <w:numId w:val="2"/>
              </w:numPr>
              <w:suppressAutoHyphens w:val="true"/>
              <w:spacing w:lineRule="auto" w:line="240" w:before="0" w:after="0"/>
              <w:jc w:val="left"/>
              <w:rPr>
                <w:rFonts w:eastAsia="" w:cs=""/>
                <w:kern w:val="2"/>
                <w:sz w:val="22"/>
                <w:szCs w:val="22"/>
                <w:lang w:val="en-GB" w:eastAsia="zh-CN" w:bidi="ar-SA"/>
              </w:rPr>
            </w:pPr>
            <w:r>
              <w:rPr>
                <w:rFonts w:eastAsia="" w:cs=""/>
                <w:kern w:val="2"/>
                <w:sz w:val="22"/>
                <w:szCs w:val="18"/>
                <w:lang w:val="en-GB" w:eastAsia="zh-CN" w:bidi="ar-SA"/>
              </w:rPr>
              <w:t>Crop Failure</w:t>
            </w:r>
          </w:p>
          <w:p>
            <w:pPr>
              <w:pStyle w:val="Normal"/>
              <w:widowControl/>
              <w:numPr>
                <w:ilvl w:val="0"/>
                <w:numId w:val="2"/>
              </w:numPr>
              <w:suppressAutoHyphens w:val="true"/>
              <w:spacing w:lineRule="auto" w:line="240" w:before="0" w:after="0"/>
              <w:jc w:val="left"/>
              <w:rPr>
                <w:rFonts w:eastAsia="" w:cs=""/>
                <w:kern w:val="2"/>
                <w:sz w:val="22"/>
                <w:szCs w:val="22"/>
                <w:lang w:val="en-GB" w:eastAsia="zh-CN" w:bidi="ar-SA"/>
              </w:rPr>
            </w:pPr>
            <w:r>
              <w:rPr>
                <w:rFonts w:eastAsia="" w:cs=""/>
                <w:kern w:val="2"/>
                <w:sz w:val="22"/>
                <w:szCs w:val="22"/>
                <w:lang w:val="en-GB" w:eastAsia="zh-CN" w:bidi="ar-SA"/>
              </w:rPr>
              <w:t>Flooding</w:t>
            </w:r>
          </w:p>
          <w:p>
            <w:pPr>
              <w:pStyle w:val="Normal"/>
              <w:widowControl/>
              <w:numPr>
                <w:ilvl w:val="0"/>
                <w:numId w:val="2"/>
              </w:numPr>
              <w:suppressAutoHyphens w:val="true"/>
              <w:spacing w:lineRule="auto" w:line="240" w:before="0" w:after="0"/>
              <w:jc w:val="left"/>
              <w:rPr>
                <w:rFonts w:eastAsia="" w:cs=""/>
                <w:kern w:val="2"/>
                <w:sz w:val="22"/>
                <w:szCs w:val="22"/>
                <w:lang w:val="en-GB" w:eastAsia="zh-CN" w:bidi="ar-SA"/>
              </w:rPr>
            </w:pPr>
            <w:r>
              <w:rPr>
                <w:rFonts w:eastAsia="" w:cs=""/>
                <w:kern w:val="2"/>
                <w:sz w:val="22"/>
                <w:szCs w:val="18"/>
                <w:lang w:val="en-GB" w:eastAsia="zh-CN" w:bidi="ar-SA"/>
              </w:rPr>
              <w:t>Inequality</w:t>
            </w:r>
          </w:p>
          <w:p>
            <w:pPr>
              <w:pStyle w:val="Normal"/>
              <w:widowControl/>
              <w:numPr>
                <w:ilvl w:val="0"/>
                <w:numId w:val="2"/>
              </w:numPr>
              <w:suppressAutoHyphens w:val="true"/>
              <w:spacing w:lineRule="auto" w:line="240" w:before="0" w:after="0"/>
              <w:jc w:val="left"/>
              <w:rPr>
                <w:rFonts w:eastAsia="" w:cs=""/>
                <w:kern w:val="2"/>
                <w:sz w:val="22"/>
                <w:szCs w:val="22"/>
                <w:lang w:val="en-GB" w:eastAsia="zh-CN" w:bidi="ar-SA"/>
              </w:rPr>
            </w:pPr>
            <w:r>
              <w:rPr>
                <w:rFonts w:eastAsia="" w:cs=""/>
                <w:kern w:val="2"/>
                <w:sz w:val="22"/>
                <w:szCs w:val="18"/>
                <w:lang w:val="en-GB" w:eastAsia="zh-CN" w:bidi="ar-SA"/>
              </w:rPr>
              <w:t>Inequity</w:t>
            </w:r>
          </w:p>
          <w:p>
            <w:pPr>
              <w:pStyle w:val="Normal"/>
              <w:widowControl/>
              <w:numPr>
                <w:ilvl w:val="0"/>
                <w:numId w:val="2"/>
              </w:numPr>
              <w:suppressAutoHyphens w:val="true"/>
              <w:spacing w:lineRule="auto" w:line="240" w:before="0" w:after="0"/>
              <w:jc w:val="left"/>
              <w:rPr>
                <w:rFonts w:eastAsia="" w:cs=""/>
                <w:kern w:val="2"/>
                <w:sz w:val="22"/>
                <w:szCs w:val="22"/>
                <w:lang w:val="en-GB" w:eastAsia="zh-CN" w:bidi="ar-SA"/>
              </w:rPr>
            </w:pPr>
            <w:r>
              <w:rPr>
                <w:rFonts w:eastAsia="" w:cs=""/>
                <w:kern w:val="2"/>
                <w:sz w:val="22"/>
                <w:szCs w:val="18"/>
                <w:lang w:val="en-GB" w:eastAsia="zh-CN" w:bidi="ar-SA"/>
              </w:rPr>
              <w:t>Malnutrition</w:t>
            </w:r>
            <w:r>
              <w:rPr>
                <w:rFonts w:eastAsia="" w:cs=""/>
                <w:kern w:val="2"/>
                <w:sz w:val="22"/>
                <w:szCs w:val="22"/>
                <w:lang w:val="en-GB" w:eastAsia="zh-CN" w:bidi="ar-SA"/>
              </w:rPr>
              <w:t xml:space="preserve"> / Under Nutrition</w:t>
            </w:r>
          </w:p>
          <w:p>
            <w:pPr>
              <w:pStyle w:val="Normal"/>
              <w:widowControl/>
              <w:suppressAutoHyphens w:val="true"/>
              <w:spacing w:lineRule="auto" w:line="240" w:before="0" w:after="0"/>
              <w:jc w:val="left"/>
              <w:rPr>
                <w:szCs w:val="18"/>
              </w:rPr>
            </w:pPr>
            <w:r>
              <w:rPr>
                <w:sz w:val="22"/>
                <w:szCs w:val="18"/>
              </w:rPr>
            </w:r>
          </w:p>
        </w:tc>
        <w:tc>
          <w:tcPr>
            <w:tcW w:w="989" w:type="dxa"/>
            <w:vMerge w:val="continue"/>
            <w:tcBorders>
              <w:left w:val="single" w:sz="18" w:space="0" w:color="FFFFFF"/>
              <w:bottom w:val="single" w:sz="18" w:space="0" w:color="FFFFFF"/>
              <w:right w:val="single" w:sz="18" w:space="0" w:color="FFFFFF"/>
            </w:tcBorders>
          </w:tcPr>
          <w:p>
            <w:pPr>
              <w:pStyle w:val="Normal"/>
              <w:widowControl/>
              <w:suppressAutoHyphens w:val="true"/>
              <w:spacing w:lineRule="auto" w:line="240" w:before="0" w:after="0"/>
              <w:jc w:val="left"/>
              <w:rPr>
                <w:rFonts w:eastAsia="DengXian" w:cs="Arial"/>
              </w:rPr>
            </w:pPr>
            <w:r>
              <w:rPr>
                <w:rFonts w:eastAsia="DengXian" w:cs="Arial"/>
                <w:sz w:val="22"/>
              </w:rPr>
            </w:r>
          </w:p>
        </w:tc>
        <w:tc>
          <w:tcPr>
            <w:tcW w:w="5451" w:type="dxa"/>
            <w:vMerge w:val="continue"/>
            <w:tcBorders>
              <w:left w:val="single" w:sz="18" w:space="0" w:color="FFFFFF"/>
              <w:right w:val="single" w:sz="18" w:space="0" w:color="FFFFFF"/>
            </w:tcBorders>
          </w:tcPr>
          <w:p>
            <w:pPr>
              <w:pStyle w:val="Normal"/>
              <w:widowControl/>
              <w:suppressAutoHyphens w:val="true"/>
              <w:spacing w:lineRule="auto" w:line="240" w:before="0" w:after="0"/>
              <w:jc w:val="left"/>
              <w:rPr>
                <w:sz w:val="18"/>
                <w:szCs w:val="18"/>
              </w:rPr>
            </w:pPr>
            <w:r>
              <w:rPr>
                <w:sz w:val="18"/>
                <w:szCs w:val="18"/>
              </w:rPr>
            </w:r>
          </w:p>
        </w:tc>
      </w:tr>
    </w:tbl>
    <w:p>
      <w:pPr>
        <w:pStyle w:val="Normal"/>
        <w:rPr/>
      </w:pPr>
      <w:r>
        <w:rPr/>
      </w:r>
    </w:p>
    <w:p>
      <w:pPr>
        <w:pStyle w:val="Heading1"/>
        <w:rPr/>
      </w:pPr>
      <w:r>
        <w:rPr/>
        <w:t>Main text</w:t>
      </w:r>
    </w:p>
    <w:p>
      <w:pPr>
        <w:pStyle w:val="Normal"/>
        <w:rPr>
          <w:shd w:fill="FFFF00" w:val="clear"/>
        </w:rPr>
      </w:pPr>
      <w:r>
        <w:rPr>
          <w:shd w:fill="FFFF00" w:val="clear"/>
        </w:rPr>
      </w:r>
    </w:p>
    <w:p>
      <w:pPr>
        <w:pStyle w:val="Normal"/>
        <w:rPr>
          <w:shd w:fill="FFFF00" w:val="clear"/>
        </w:rPr>
      </w:pPr>
      <w:r>
        <w:rPr>
          <w:shd w:fill="FFFF00" w:val="clear"/>
        </w:rPr>
      </w:r>
    </w:p>
    <w:p>
      <w:pPr>
        <w:pStyle w:val="Heading2"/>
        <w:rPr/>
      </w:pPr>
      <w:r>
        <w:rPr/>
        <w:t>Introduction</w:t>
      </w:r>
    </w:p>
    <w:p>
      <w:pPr>
        <w:pStyle w:val="Normal"/>
        <w:spacing w:lineRule="auto" w:line="240" w:before="0" w:after="0"/>
        <w:jc w:val="both"/>
        <w:rPr/>
      </w:pPr>
      <w:r>
        <w:rPr/>
        <w:t xml:space="preserve">Whilst climate change affects the entire world, it hits small communities the hardest, particularly in the tropical and arid regions of Africa, Southeast Asia and South America, </w:t>
      </w:r>
      <w:r>
        <w:rPr>
          <w:shd w:fill="auto" w:val="clear"/>
        </w:rPr>
        <w:t xml:space="preserve">food status affected by flooding. In addition to this, flooding across Africa is becoming increasingly prevalent, with 2020 being a year of record breaking events (figure 4). </w:t>
      </w:r>
    </w:p>
    <w:p>
      <w:pPr>
        <w:pStyle w:val="Normal"/>
        <w:rPr>
          <w:highlight w:val="none"/>
          <w:shd w:fill="auto" w:val="clear"/>
        </w:rPr>
      </w:pPr>
      <w:r>
        <w:rPr>
          <w:shd w:fill="auto" w:val="clear"/>
        </w:rPr>
        <w:t xml:space="preserve">Heat Stress is another major issue in the agriculture sector. Some studies suggest that each degree rise in temperature equates to roughly 6% yield reduction in wheat crops, an economically central crop for the globe (accounting for 17% of global crop acreage). Heat stress can be successfully managed in wheat crops through selective breeding, genetic modification and number of farming strategies such as conservation tillage, soil amendments (using compost / biochar) and crop rotation. Many of these methods requires specialist technology and brings additional costs (reducing overall profit / efficiency). </w:t>
      </w:r>
      <w:r>
        <w:rPr>
          <w:sz w:val="22"/>
          <w:szCs w:val="22"/>
          <w:shd w:fill="auto" w:val="clear"/>
        </w:rPr>
        <w:t>(Mohan et al, 2023).</w:t>
      </w:r>
    </w:p>
    <w:p>
      <w:pPr>
        <w:pStyle w:val="Normal"/>
        <w:rPr/>
      </w:pPr>
      <w:r>
        <w:rPr/>
        <w:t xml:space="preserve">Food security is defined as: </w:t>
      </w:r>
    </w:p>
    <w:p>
      <w:pPr>
        <w:pStyle w:val="Normal"/>
        <w:rPr>
          <w:i/>
          <w:i/>
          <w:iCs/>
        </w:rPr>
      </w:pPr>
      <w:r>
        <w:rPr>
          <w:i/>
          <w:iCs/>
        </w:rPr>
        <w:t>“</w:t>
      </w:r>
      <w:r>
        <w:rPr>
          <w:i/>
          <w:iCs/>
        </w:rPr>
        <w:t xml:space="preserve">A situation that exists when all people, at all times, have physical, social and economic access to sufficient, safe and nutritious food that meets their dietary needs and food preferences for an active and healthy life” </w:t>
      </w:r>
    </w:p>
    <w:p>
      <w:pPr>
        <w:pStyle w:val="Normal"/>
        <w:rPr/>
      </w:pPr>
      <w:r>
        <w:rPr/>
        <w:t xml:space="preserve">(FAO et al, 2018). </w:t>
      </w:r>
    </w:p>
    <w:p>
      <w:pPr>
        <w:pStyle w:val="Normal"/>
        <w:rPr/>
      </w:pPr>
      <w:r>
        <w:rPr/>
        <w:t xml:space="preserve">Isolating food security as a singular issue can be misleading, as it is determined by an array of different factors which are interlinked. In many cases, seemingly unrelated process can affect stable food supplies whilst having detrimental effects in and of themselves. For example, risks to ecosystem services can affect food scarcity by proxy. </w:t>
      </w:r>
      <w:r>
        <w:rPr>
          <w:sz w:val="22"/>
          <w:szCs w:val="22"/>
          <w:shd w:fill="auto" w:val="clear"/>
        </w:rPr>
        <w:t xml:space="preserve">This is illustrated in figure 1, where various different impact pathways can lead to food insecurity / malnutrition. (Mirzabaev et al, 2023). </w:t>
      </w:r>
    </w:p>
    <w:p>
      <w:pPr>
        <w:pStyle w:val="Normal"/>
        <w:rPr>
          <w:highlight w:val="none"/>
          <w:shd w:fill="auto" w:val="clear"/>
        </w:rPr>
      </w:pPr>
      <w:r>
        <w:rPr>
          <w:sz w:val="22"/>
          <w:szCs w:val="22"/>
          <w:shd w:fill="auto" w:val="clear"/>
        </w:rPr>
        <w:t>There are four main factors which determine food security: availability, access, utilisation and stability. Whilst most real world cases involve a mixture of these factors, the one most commonly affected by extreme weather is stability. Unpredictable weather patterns mean farmers are unable to forecast and subsequently plan future harvests and yields for example. In East Africa, drought has been a growing issue, resulting in multiple failed crop harvests and loss of pastureland. In 2022, this three-year continuous drought resulted in an estimate of thirteen million Africans facing severe hunger across Somalia, Ethiopia and Kenya (Council on Foreign Relations, 2022).</w:t>
      </w:r>
    </w:p>
    <w:p>
      <w:pPr>
        <w:pStyle w:val="Heading2"/>
        <w:rPr/>
      </w:pPr>
      <w:r>
        <w:rPr/>
        <w:t>Literature Review</w:t>
      </w:r>
    </w:p>
    <w:p>
      <w:pPr>
        <w:pStyle w:val="Normal"/>
        <w:rPr/>
      </w:pPr>
      <w:r>
        <w:rPr/>
      </w:r>
    </w:p>
    <w:p>
      <w:pPr>
        <w:pStyle w:val="Normal"/>
        <w:numPr>
          <w:ilvl w:val="0"/>
          <w:numId w:val="4"/>
        </w:numPr>
        <w:rPr/>
      </w:pPr>
      <w:r>
        <w:rPr>
          <w:shd w:fill="auto" w:val="clear"/>
        </w:rPr>
        <w:t>Loss of Pastureland</w:t>
      </w:r>
    </w:p>
    <w:p>
      <w:pPr>
        <w:pStyle w:val="Normal"/>
        <w:rPr>
          <w:highlight w:val="none"/>
          <w:shd w:fill="auto" w:val="clear"/>
        </w:rPr>
      </w:pPr>
      <w:r>
        <w:rPr>
          <w:rFonts w:eastAsia="" w:cs=""/>
          <w:kern w:val="2"/>
          <w:sz w:val="22"/>
          <w:szCs w:val="22"/>
          <w:shd w:fill="auto" w:val="clear"/>
          <w:lang w:val="en-GB" w:eastAsia="zh-CN" w:bidi="ar-SA"/>
        </w:rPr>
        <w:t>Loss of pastureland is typically the result of inappropriate land management and overpopulation. The issue is exacerbated by climate change, which is a persistent threat to ranging lands. (Alliance Biodiversity International – CIAT., 2023).</w:t>
      </w:r>
    </w:p>
    <w:p>
      <w:pPr>
        <w:pStyle w:val="Normal"/>
        <w:rPr>
          <w:highlight w:val="none"/>
          <w:shd w:fill="auto" w:val="clear"/>
        </w:rPr>
      </w:pPr>
      <w:r>
        <w:rPr>
          <w:shd w:fill="auto" w:val="clear"/>
        </w:rPr>
        <w:t xml:space="preserve">Pastoralism and nomadic farming are historic and widespread practises in West Africa (shown in figure 2). Today, if faces multiple contemporary challenges, many of which relate primarily to the loss of pastureland. With limited access to grazing land, many conflicts have occurred over the natural resource access between communities. Pressures over limited access to freshwater, particularly in the dry season, reinforce these disputes and mean there are constant tensions between locals. </w:t>
      </w:r>
      <w:r>
        <w:rPr>
          <w:rFonts w:eastAsia="" w:cs=""/>
          <w:kern w:val="2"/>
          <w:sz w:val="22"/>
          <w:szCs w:val="22"/>
          <w:shd w:fill="auto" w:val="clear"/>
          <w:lang w:val="en-GB" w:eastAsia="zh-CN" w:bidi="ar-SA"/>
        </w:rPr>
        <w:t xml:space="preserve">(United Nations, 2018). </w:t>
      </w:r>
    </w:p>
    <w:p>
      <w:pPr>
        <w:pStyle w:val="Normal"/>
        <w:rPr>
          <w:highlight w:val="none"/>
          <w:shd w:fill="auto" w:val="clear"/>
        </w:rPr>
      </w:pPr>
      <w:r>
        <w:rPr>
          <w:shd w:fill="auto" w:val="clear"/>
        </w:rPr>
      </w:r>
    </w:p>
    <w:p>
      <w:pPr>
        <w:pStyle w:val="Normal"/>
        <w:numPr>
          <w:ilvl w:val="0"/>
          <w:numId w:val="5"/>
        </w:numPr>
        <w:rPr/>
      </w:pPr>
      <w:r>
        <w:rPr>
          <w:shd w:fill="auto" w:val="clear"/>
        </w:rPr>
        <w:t>Climate Influence on Disease and Pests (and associated effects on agriculture)</w:t>
      </w:r>
    </w:p>
    <w:p>
      <w:pPr>
        <w:pStyle w:val="Normal"/>
        <w:rPr>
          <w:highlight w:val="none"/>
          <w:shd w:fill="auto" w:val="clear"/>
        </w:rPr>
      </w:pPr>
      <w:r>
        <w:rPr>
          <w:shd w:fill="auto" w:val="clear"/>
        </w:rPr>
        <w:t>Crop disease is another issue heavily associated with climate change. According to Abraham (2024), the most effective way to mitigate plant virus diseases is to prevent spread through various agricultural practices (since, once infected, plants cannot be cured). Some of the food crops currently at most risk include cassava (Robson, Hird and Boa, 2023), maize, wheat and sweet potatoes.</w:t>
      </w:r>
    </w:p>
    <w:p>
      <w:pPr>
        <w:pStyle w:val="Normal"/>
        <w:rPr>
          <w:highlight w:val="none"/>
          <w:shd w:fill="auto" w:val="clear"/>
        </w:rPr>
      </w:pPr>
      <w:r>
        <w:rPr>
          <w:shd w:fill="auto" w:val="clear"/>
        </w:rPr>
        <w:t xml:space="preserve">Livestock diseases provide an additional challenge in modern pastoral agriculture. IPM (Integrated Pest Management) is an up-and-coming, environmentally sensitive method of mitigating disease in both arable and pastoral farming through use of multiple chemical and non-chemical biological control methods. (African Contemporary Farming, 2024). </w:t>
      </w:r>
    </w:p>
    <w:p>
      <w:pPr>
        <w:pStyle w:val="Normal"/>
        <w:rPr>
          <w:highlight w:val="none"/>
          <w:shd w:fill="auto" w:val="clear"/>
        </w:rPr>
      </w:pPr>
      <w:r>
        <w:rPr>
          <w:shd w:fill="auto" w:val="clear"/>
        </w:rPr>
      </w:r>
    </w:p>
    <w:p>
      <w:pPr>
        <w:pStyle w:val="Normal"/>
        <w:numPr>
          <w:ilvl w:val="0"/>
          <w:numId w:val="6"/>
        </w:numPr>
        <w:rPr/>
      </w:pPr>
      <w:r>
        <w:rPr>
          <w:shd w:fill="auto" w:val="clear"/>
        </w:rPr>
        <w:t>Effects of Malnutrition</w:t>
      </w:r>
    </w:p>
    <w:p>
      <w:pPr>
        <w:pStyle w:val="Normal"/>
        <w:spacing w:lineRule="auto" w:line="240" w:before="0" w:after="0"/>
        <w:jc w:val="both"/>
        <w:rPr/>
      </w:pPr>
      <w:r>
        <w:rPr>
          <w:rFonts w:eastAsia="" w:cs=""/>
          <w:kern w:val="2"/>
          <w:sz w:val="22"/>
          <w:szCs w:val="22"/>
          <w:shd w:fill="auto" w:val="clear"/>
          <w:lang w:val="en-GB" w:eastAsia="zh-CN" w:bidi="ar-SA"/>
        </w:rPr>
        <w:t xml:space="preserve">Malnutrition has no universally accepted definition. In this context if refers to a deficiency of nutrients resulting in measurable adverse effects (Saunders and Smith, 2010). Owolade et al (2022), explains that malnutrition affects the function of every organ system in the body. This results in a weakened immune system, impaired cognitive function and impaired development in children. As an additional consequence, combating illness becomes more difficult. </w:t>
      </w:r>
      <w:r>
        <w:rPr/>
        <w:t>where subsistence farming is most practised, and the majority of extreme weather events occur (Times Agriculture, 2023).</w:t>
      </w:r>
    </w:p>
    <w:p>
      <w:pPr>
        <w:pStyle w:val="Normal"/>
        <w:rPr/>
      </w:pPr>
      <w:r>
        <w:rPr/>
      </w:r>
    </w:p>
    <w:p>
      <w:pPr>
        <w:pStyle w:val="Normal"/>
        <w:numPr>
          <w:ilvl w:val="0"/>
          <w:numId w:val="3"/>
        </w:numPr>
        <w:rPr/>
      </w:pPr>
      <w:r>
        <w:rPr/>
        <w:t>Causes of Crop Failure</w:t>
      </w:r>
    </w:p>
    <w:p>
      <w:pPr>
        <w:pStyle w:val="Normal"/>
        <w:rPr>
          <w:highlight w:val="none"/>
          <w:shd w:fill="auto" w:val="clear"/>
        </w:rPr>
      </w:pPr>
      <w:r>
        <w:rPr>
          <w:shd w:fill="auto" w:val="clear"/>
        </w:rPr>
        <w:t xml:space="preserve">Flooding is one of the major contributors to food scarcity in Africa. According to Reed et al (2022), roughly 12% of people that experienced food insecurity from 2009 to 2020 had their </w:t>
      </w:r>
    </w:p>
    <w:p>
      <w:pPr>
        <w:pStyle w:val="Normal"/>
        <w:rPr>
          <w:highlight w:val="none"/>
          <w:shd w:fill="auto" w:val="clear"/>
        </w:rPr>
      </w:pPr>
      <w:r>
        <w:rPr>
          <w:shd w:fill="auto" w:val="clear"/>
        </w:rPr>
      </w:r>
    </w:p>
    <w:p>
      <w:pPr>
        <w:pStyle w:val="Normal"/>
        <w:numPr>
          <w:ilvl w:val="0"/>
          <w:numId w:val="7"/>
        </w:numPr>
        <w:rPr/>
      </w:pPr>
      <w:r>
        <w:rPr>
          <w:shd w:fill="auto" w:val="clear"/>
        </w:rPr>
        <w:t>Social Injustice in Agriculture in Africa</w:t>
      </w:r>
    </w:p>
    <w:p>
      <w:pPr>
        <w:pStyle w:val="Normal"/>
        <w:rPr/>
      </w:pPr>
      <w:r>
        <w:rPr>
          <w:rFonts w:eastAsia="" w:cs=""/>
          <w:kern w:val="2"/>
          <w:sz w:val="22"/>
          <w:szCs w:val="22"/>
          <w:shd w:fill="auto" w:val="clear"/>
          <w:lang w:val="en-GB" w:eastAsia="zh-CN" w:bidi="ar-SA"/>
        </w:rPr>
        <w:t xml:space="preserve">Agriculture in rural settings continues to suffer from a variety of contemporary socio-economic issues. In Sub-Saharan Africa, the mortality rate as a result of malnutrition is increasing more than anywhere else in the world. Factors which maintain this trend, such as low educational status, are a direct result of an unbalance in the distribution of wealth both on a global and individual level (OECD, 2024). </w:t>
      </w:r>
    </w:p>
    <w:p>
      <w:pPr>
        <w:pStyle w:val="Normal"/>
        <w:rPr/>
      </w:pPr>
      <w:r>
        <w:rPr>
          <w:rFonts w:eastAsia="" w:cs=""/>
          <w:kern w:val="2"/>
          <w:sz w:val="22"/>
          <w:szCs w:val="22"/>
          <w:shd w:fill="auto" w:val="clear"/>
          <w:lang w:val="en-GB" w:eastAsia="zh-CN" w:bidi="ar-SA"/>
        </w:rPr>
        <w:t>In Africa, prevalence of malnutrition is higher than anywhere else in the world, with climate change playing a major role. Meanwhile, it has some of the lowest emissions across the continent. Between individual countries, the issue is further highlighted. A positive correlation can be observed between the places with low emissions and high rates of under nutrition (figures and 5) (Statista, 2022), (World Economic Forum, 2019).</w:t>
      </w:r>
    </w:p>
    <w:p>
      <w:pPr>
        <w:pStyle w:val="Normal"/>
        <w:rPr>
          <w:rFonts w:eastAsia="" w:cs=""/>
          <w:kern w:val="2"/>
          <w:sz w:val="22"/>
          <w:szCs w:val="22"/>
          <w:highlight w:val="none"/>
          <w:shd w:fill="FFFF00" w:val="clear"/>
          <w:lang w:val="en-GB" w:eastAsia="zh-CN" w:bidi="ar-SA"/>
        </w:rPr>
      </w:pPr>
      <w:r>
        <w:rPr>
          <w:rFonts w:eastAsia="" w:cs=""/>
          <w:kern w:val="2"/>
          <w:sz w:val="22"/>
          <w:szCs w:val="22"/>
          <w:shd w:fill="FFFF00" w:val="clear"/>
          <w:lang w:val="en-GB" w:eastAsia="zh-CN" w:bidi="ar-SA"/>
        </w:rPr>
      </w:r>
    </w:p>
    <w:p>
      <w:pPr>
        <w:pStyle w:val="Heading3"/>
        <w:ind w:hanging="0" w:left="0"/>
        <w:rPr/>
      </w:pPr>
      <w:r>
        <w:rPr/>
        <w:t>Images and Tables</w:t>
      </w:r>
    </w:p>
    <w:p>
      <w:pPr>
        <w:pStyle w:val="Normal"/>
        <w:rPr>
          <w:shd w:fill="FFFF00" w:val="clear"/>
        </w:rPr>
      </w:pPr>
      <w:r>
        <w:rPr>
          <w:shd w:fill="FFFF00" w:val="clear"/>
        </w:rPr>
      </w:r>
    </w:p>
    <w:p>
      <w:pPr>
        <w:pStyle w:val="Normal"/>
        <w:jc w:val="left"/>
        <w:rPr>
          <w:shd w:fill="FFFF00" w:val="clear"/>
        </w:rPr>
      </w:pPr>
      <w:r>
        <w:rPr>
          <w:shd w:fill="FFFF00" w:val="clear"/>
        </w:rPr>
        <mc:AlternateContent>
          <mc:Choice Requires="wps">
            <w:drawing>
              <wp:anchor behindDoc="0" distT="0" distB="0" distL="0" distR="0" simplePos="0" locked="0" layoutInCell="0" allowOverlap="1" relativeHeight="4">
                <wp:simplePos x="0" y="0"/>
                <wp:positionH relativeFrom="column">
                  <wp:posOffset>266065</wp:posOffset>
                </wp:positionH>
                <wp:positionV relativeFrom="paragraph">
                  <wp:posOffset>-19050</wp:posOffset>
                </wp:positionV>
                <wp:extent cx="4303395" cy="3470275"/>
                <wp:effectExtent l="0" t="0" r="0" b="0"/>
                <wp:wrapSquare wrapText="largest"/>
                <wp:docPr id="1" name="Frame1"/>
                <a:graphic xmlns:a="http://schemas.openxmlformats.org/drawingml/2006/main">
                  <a:graphicData uri="http://schemas.microsoft.com/office/word/2010/wordprocessingShape">
                    <wps:wsp>
                      <wps:cNvSpPr/>
                      <wps:spPr>
                        <a:xfrm>
                          <a:off x="0" y="0"/>
                          <a:ext cx="4303440" cy="3470400"/>
                        </a:xfrm>
                        <a:prstGeom prst="rect">
                          <a:avLst/>
                        </a:prstGeom>
                        <a:solidFill>
                          <a:srgbClr val="ffffff"/>
                        </a:solidFill>
                        <a:ln w="0">
                          <a:noFill/>
                        </a:ln>
                      </wps:spPr>
                      <wps:style>
                        <a:lnRef idx="0"/>
                        <a:fillRef idx="0"/>
                        <a:effectRef idx="0"/>
                        <a:fontRef idx="minor"/>
                      </wps:style>
                      <wps:txbx>
                        <w:txbxContent>
                          <w:p>
                            <w:pPr>
                              <w:pStyle w:val="Figure"/>
                              <w:spacing w:before="120" w:after="120"/>
                              <w:rPr/>
                            </w:pPr>
                            <w:r>
                              <w:rPr>
                                <w:color w:val="000000"/>
                              </w:rPr>
                              <w:drawing>
                                <wp:inline distT="0" distB="0" distL="0" distR="0">
                                  <wp:extent cx="4254500" cy="2918460"/>
                                  <wp:effectExtent l="0" t="0" r="0" b="0"/>
                                  <wp:docPr id="3"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descr=""/>
                                          <pic:cNvPicPr>
                                            <a:picLocks noChangeAspect="1" noChangeArrowheads="1"/>
                                          </pic:cNvPicPr>
                                        </pic:nvPicPr>
                                        <pic:blipFill>
                                          <a:blip r:embed="rId2"/>
                                          <a:srcRect l="0" t="0" r="0" b="1129"/>
                                          <a:stretch>
                                            <a:fillRect/>
                                          </a:stretch>
                                        </pic:blipFill>
                                        <pic:spPr bwMode="auto">
                                          <a:xfrm>
                                            <a:off x="0" y="0"/>
                                            <a:ext cx="4254500" cy="2918460"/>
                                          </a:xfrm>
                                          <a:prstGeom prst="rect">
                                            <a:avLst/>
                                          </a:prstGeom>
                                        </pic:spPr>
                                      </pic:pic>
                                    </a:graphicData>
                                  </a:graphic>
                                </wp:inline>
                              </w:drawing>
                            </w:r>
                            <w:r>
                              <w:rPr>
                                <w:color w:val="000000"/>
                              </w:rPr>
                              <w:t xml:space="preserve">Figure </w:t>
                            </w:r>
                            <w:r>
                              <w:rPr>
                                <w:color w:val="000000"/>
                              </w:rPr>
                              <w:fldChar w:fldCharType="begin"/>
                            </w:r>
                            <w:r>
                              <w:rPr>
                                <w:color w:val="000000"/>
                              </w:rPr>
                              <w:instrText xml:space="preserve"> SEQ Figure \* ARABIC </w:instrText>
                            </w:r>
                            <w:r>
                              <w:rPr>
                                <w:color w:val="000000"/>
                              </w:rPr>
                              <w:fldChar w:fldCharType="separate"/>
                            </w:r>
                            <w:r>
                              <w:rPr>
                                <w:color w:val="000000"/>
                              </w:rPr>
                              <w:t>1</w:t>
                            </w:r>
                            <w:r>
                              <w:rPr>
                                <w:color w:val="000000"/>
                              </w:rPr>
                              <w:fldChar w:fldCharType="end"/>
                            </w:r>
                            <w:r>
                              <w:rPr>
                                <w:color w:val="000000"/>
                              </w:rPr>
                              <w:t xml:space="preserve">: Impact Pathways from Climate Change to Hunger and Malnutrition (Mirzabaev et al, 2023). </w:t>
                            </w:r>
                          </w:p>
                        </w:txbxContent>
                      </wps:txbx>
                      <wps:bodyPr lIns="0" rIns="0" tIns="0" bIns="0" anchor="t">
                        <a:noAutofit/>
                      </wps:bodyPr>
                    </wps:wsp>
                  </a:graphicData>
                </a:graphic>
              </wp:anchor>
            </w:drawing>
          </mc:Choice>
          <mc:Fallback>
            <w:pict>
              <v:rect id="shape_0" ID="Frame1" path="m0,0l-2147483645,0l-2147483645,-2147483646l0,-2147483646xe" fillcolor="white" stroked="f" o:allowincell="f" style="position:absolute;margin-left:20.95pt;margin-top:-1.5pt;width:338.8pt;height:273.2pt;mso-wrap-style:square;v-text-anchor:top">
                <v:fill o:detectmouseclick="t" type="solid" color2="black"/>
                <v:stroke color="#3465a4" joinstyle="round" endcap="flat"/>
                <v:textbox>
                  <w:txbxContent>
                    <w:p>
                      <w:pPr>
                        <w:pStyle w:val="Figure"/>
                        <w:spacing w:before="120" w:after="120"/>
                        <w:rPr/>
                      </w:pPr>
                      <w:r>
                        <w:rPr>
                          <w:color w:val="000000"/>
                        </w:rPr>
                        <w:drawing>
                          <wp:inline distT="0" distB="0" distL="0" distR="0">
                            <wp:extent cx="4254500" cy="2918460"/>
                            <wp:effectExtent l="0" t="0" r="0" b="0"/>
                            <wp:docPr id="4"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 descr=""/>
                                    <pic:cNvPicPr>
                                      <a:picLocks noChangeAspect="1" noChangeArrowheads="1"/>
                                    </pic:cNvPicPr>
                                  </pic:nvPicPr>
                                  <pic:blipFill>
                                    <a:blip r:embed="rId3"/>
                                    <a:srcRect l="0" t="0" r="0" b="1129"/>
                                    <a:stretch>
                                      <a:fillRect/>
                                    </a:stretch>
                                  </pic:blipFill>
                                  <pic:spPr bwMode="auto">
                                    <a:xfrm>
                                      <a:off x="0" y="0"/>
                                      <a:ext cx="4254500" cy="2918460"/>
                                    </a:xfrm>
                                    <a:prstGeom prst="rect">
                                      <a:avLst/>
                                    </a:prstGeom>
                                  </pic:spPr>
                                </pic:pic>
                              </a:graphicData>
                            </a:graphic>
                          </wp:inline>
                        </w:drawing>
                      </w:r>
                      <w:r>
                        <w:rPr>
                          <w:color w:val="000000"/>
                        </w:rPr>
                        <w:t xml:space="preserve">Figure </w:t>
                      </w:r>
                      <w:r>
                        <w:rPr>
                          <w:color w:val="000000"/>
                        </w:rPr>
                        <w:fldChar w:fldCharType="begin"/>
                      </w:r>
                      <w:r>
                        <w:rPr>
                          <w:color w:val="000000"/>
                        </w:rPr>
                        <w:instrText xml:space="preserve"> SEQ Figure \* ARABIC </w:instrText>
                      </w:r>
                      <w:r>
                        <w:rPr>
                          <w:color w:val="000000"/>
                        </w:rPr>
                        <w:fldChar w:fldCharType="separate"/>
                      </w:r>
                      <w:r>
                        <w:rPr>
                          <w:color w:val="000000"/>
                        </w:rPr>
                        <w:t>1</w:t>
                      </w:r>
                      <w:r>
                        <w:rPr>
                          <w:color w:val="000000"/>
                        </w:rPr>
                        <w:fldChar w:fldCharType="end"/>
                      </w:r>
                      <w:r>
                        <w:rPr>
                          <w:color w:val="000000"/>
                        </w:rPr>
                        <w:t xml:space="preserve">: Impact Pathways from Climate Change to Hunger and Malnutrition (Mirzabaev et al, 2023). </w:t>
                      </w:r>
                    </w:p>
                  </w:txbxContent>
                </v:textbox>
                <w10:wrap type="square" side="largest"/>
              </v:rect>
            </w:pict>
          </mc:Fallback>
        </mc:AlternateContent>
      </w:r>
    </w:p>
    <w:p>
      <w:pPr>
        <w:pStyle w:val="Normal"/>
        <w:keepNext w:val="true"/>
        <w:jc w:val="center"/>
        <w:rPr>
          <w:shd w:fill="FFFF00" w:val="clear"/>
        </w:rPr>
      </w:pPr>
      <w:r>
        <w:rPr>
          <w:shd w:fill="FFFF00" w:val="clear"/>
        </w:rPr>
      </w:r>
    </w:p>
    <w:p>
      <w:pPr>
        <w:pStyle w:val="Normal"/>
        <w:rPr>
          <w:shd w:fill="FFFF00" w:val="clear"/>
        </w:rPr>
      </w:pPr>
      <w:r>
        <w:rPr>
          <w:shd w:fill="FFFF00" w:val="clear"/>
        </w:rPr>
        <w:t xml:space="preserve"> </w:t>
      </w:r>
    </w:p>
    <w:p>
      <w:pPr>
        <w:pStyle w:val="Normal"/>
        <w:rPr>
          <w:shd w:fill="FFFF00" w:val="clear"/>
        </w:rPr>
      </w:pPr>
      <w:r>
        <w:rPr>
          <w:shd w:fill="FFFF00" w:val="clear"/>
        </w:rPr>
      </w:r>
    </w:p>
    <w:p>
      <w:pPr>
        <w:pStyle w:val="Normal"/>
        <w:rPr>
          <w:shd w:fill="FFFF00" w:val="clear"/>
        </w:rPr>
      </w:pPr>
      <w:r>
        <w:rPr>
          <w:shd w:fill="FFFF00" w:val="clear"/>
        </w:rPr>
      </w:r>
    </w:p>
    <w:p>
      <w:pPr>
        <w:pStyle w:val="Normal"/>
        <w:rPr>
          <w:shd w:fill="FFFF00" w:val="clear"/>
        </w:rPr>
      </w:pPr>
      <w:r>
        <w:rPr>
          <w:shd w:fill="FFFF00" w:val="clear"/>
        </w:rPr>
      </w:r>
    </w:p>
    <w:p>
      <w:pPr>
        <w:pStyle w:val="Normal"/>
        <w:rPr>
          <w:shd w:fill="FFFF00" w:val="clear"/>
        </w:rPr>
      </w:pPr>
      <w:r>
        <w:rPr>
          <w:shd w:fill="FFFF00" w:val="clear"/>
        </w:rPr>
      </w:r>
    </w:p>
    <w:p>
      <w:pPr>
        <w:pStyle w:val="Normal"/>
        <w:rPr>
          <w:shd w:fill="FFFF00" w:val="clear"/>
        </w:rPr>
      </w:pPr>
      <w:r>
        <w:rPr>
          <w:shd w:fill="FFFF00" w:val="clear"/>
        </w:rPr>
      </w:r>
    </w:p>
    <w:p>
      <w:pPr>
        <w:pStyle w:val="Normal"/>
        <w:rPr>
          <w:shd w:fill="FFFF00" w:val="clear"/>
        </w:rPr>
      </w:pPr>
      <w:r>
        <w:rPr>
          <w:shd w:fill="FFFF00" w:val="clear"/>
        </w:rPr>
      </w:r>
    </w:p>
    <w:p>
      <w:pPr>
        <w:pStyle w:val="Normal"/>
        <w:rPr>
          <w:shd w:fill="FFFF00" w:val="clear"/>
        </w:rPr>
      </w:pPr>
      <w:r>
        <w:rPr>
          <w:shd w:fill="FFFF00" w:val="clear"/>
        </w:rPr>
      </w:r>
    </w:p>
    <w:p>
      <w:pPr>
        <w:pStyle w:val="Normal"/>
        <w:rPr>
          <w:shd w:fill="FFFF00" w:val="clear"/>
        </w:rPr>
      </w:pPr>
      <w:r>
        <w:rPr>
          <w:shd w:fill="FFFF00" w:val="clear"/>
        </w:rPr>
      </w:r>
    </w:p>
    <w:p>
      <w:pPr>
        <w:pStyle w:val="Normal"/>
        <w:rPr>
          <w:shd w:fill="FFFF00" w:val="clear"/>
        </w:rPr>
      </w:pPr>
      <w:r>
        <w:rPr>
          <w:shd w:fill="FFFF00" w:val="clear"/>
        </w:rPr>
      </w:r>
    </w:p>
    <w:p>
      <w:pPr>
        <w:pStyle w:val="Normal"/>
        <w:rPr>
          <w:shd w:fill="FFFF00" w:val="clear"/>
        </w:rPr>
      </w:pPr>
      <w:r>
        <w:rPr>
          <w:shd w:fill="FFFF00" w:val="clear"/>
        </w:rPr>
      </w:r>
    </w:p>
    <w:p>
      <w:pPr>
        <w:pStyle w:val="Normal"/>
        <w:rPr>
          <w:shd w:fill="FFFF00" w:val="clear"/>
        </w:rPr>
      </w:pPr>
      <w:r>
        <w:rPr>
          <w:shd w:fill="FFFF00" w:val="clear"/>
        </w:rPr>
      </w:r>
    </w:p>
    <w:p>
      <w:pPr>
        <w:pStyle w:val="Normal"/>
        <w:rPr>
          <w:shd w:fill="FFFF00" w:val="clear"/>
        </w:rPr>
      </w:pPr>
      <w:r>
        <w:rPr>
          <w:shd w:fill="FFFF00" w:val="clear"/>
        </w:rPr>
      </w:r>
    </w:p>
    <w:p>
      <w:pPr>
        <w:pStyle w:val="Normal"/>
        <w:rPr>
          <w:shd w:fill="FFFF00" w:val="clear"/>
        </w:rPr>
      </w:pPr>
      <w:r>
        <w:rPr>
          <w:shd w:fill="FFFF00" w:val="clear"/>
        </w:rPr>
        <mc:AlternateContent>
          <mc:Choice Requires="wps">
            <w:drawing>
              <wp:anchor behindDoc="0" distT="0" distB="0" distL="0" distR="0" simplePos="0" locked="0" layoutInCell="0" allowOverlap="1" relativeHeight="6">
                <wp:simplePos x="0" y="0"/>
                <wp:positionH relativeFrom="column">
                  <wp:align>center</wp:align>
                </wp:positionH>
                <wp:positionV relativeFrom="paragraph">
                  <wp:posOffset>635</wp:posOffset>
                </wp:positionV>
                <wp:extent cx="5731510" cy="3901440"/>
                <wp:effectExtent l="0" t="0" r="0" b="0"/>
                <wp:wrapSquare wrapText="largest"/>
                <wp:docPr id="2" name="Frame2"/>
                <a:graphic xmlns:a="http://schemas.openxmlformats.org/drawingml/2006/main">
                  <a:graphicData uri="http://schemas.microsoft.com/office/word/2010/wordprocessingShape">
                    <wps:wsp>
                      <wps:cNvSpPr/>
                      <wps:spPr>
                        <a:xfrm>
                          <a:off x="0" y="0"/>
                          <a:ext cx="5731560" cy="3901320"/>
                        </a:xfrm>
                        <a:prstGeom prst="rect">
                          <a:avLst/>
                        </a:prstGeom>
                        <a:solidFill>
                          <a:srgbClr val="ffffff"/>
                        </a:solidFill>
                        <a:ln w="0">
                          <a:noFill/>
                        </a:ln>
                      </wps:spPr>
                      <wps:style>
                        <a:lnRef idx="0"/>
                        <a:fillRef idx="0"/>
                        <a:effectRef idx="0"/>
                        <a:fontRef idx="minor"/>
                      </wps:style>
                      <wps:txbx>
                        <w:txbxContent>
                          <w:p>
                            <w:pPr>
                              <w:pStyle w:val="Figure"/>
                              <w:spacing w:before="120" w:after="120"/>
                              <w:rPr/>
                            </w:pPr>
                            <w:r>
                              <w:rPr>
                                <w:color w:val="000000"/>
                              </w:rPr>
                              <w:drawing>
                                <wp:inline distT="0" distB="0" distL="0" distR="0">
                                  <wp:extent cx="5731510" cy="3400425"/>
                                  <wp:effectExtent l="0" t="0" r="0" b="0"/>
                                  <wp:docPr id="4"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 descr=""/>
                                          <pic:cNvPicPr>
                                            <a:picLocks noChangeAspect="1" noChangeArrowheads="1"/>
                                          </pic:cNvPicPr>
                                        </pic:nvPicPr>
                                        <pic:blipFill>
                                          <a:blip r:embed="rId4"/>
                                          <a:stretch>
                                            <a:fillRect/>
                                          </a:stretch>
                                        </pic:blipFill>
                                        <pic:spPr bwMode="auto">
                                          <a:xfrm>
                                            <a:off x="0" y="0"/>
                                            <a:ext cx="5731510" cy="3400425"/>
                                          </a:xfrm>
                                          <a:prstGeom prst="rect">
                                            <a:avLst/>
                                          </a:prstGeom>
                                        </pic:spPr>
                                      </pic:pic>
                                    </a:graphicData>
                                  </a:graphic>
                                </wp:inline>
                              </w:drawing>
                            </w:r>
                            <w:r>
                              <w:rPr>
                                <w:color w:val="000000"/>
                              </w:rPr>
                              <w:t xml:space="preserve">Figure </w:t>
                            </w:r>
                            <w:r>
                              <w:rPr>
                                <w:color w:val="000000"/>
                              </w:rPr>
                              <w:fldChar w:fldCharType="begin"/>
                            </w:r>
                            <w:r>
                              <w:rPr>
                                <w:color w:val="000000"/>
                              </w:rPr>
                              <w:instrText xml:space="preserve"> SEQ Figure \* ARABIC </w:instrText>
                            </w:r>
                            <w:r>
                              <w:rPr>
                                <w:color w:val="000000"/>
                              </w:rPr>
                              <w:fldChar w:fldCharType="separate"/>
                            </w:r>
                            <w:r>
                              <w:rPr>
                                <w:color w:val="000000"/>
                              </w:rPr>
                              <w:t>2</w:t>
                            </w:r>
                            <w:r>
                              <w:rPr>
                                <w:color w:val="000000"/>
                              </w:rPr>
                              <w:fldChar w:fldCharType="end"/>
                            </w:r>
                            <w:r>
                              <w:rPr>
                                <w:color w:val="000000"/>
                              </w:rPr>
                              <w:t>: GIS Mapping of Transhumance Patterns in West Africa (United Nations, 2018).</w:t>
                            </w:r>
                          </w:p>
                        </w:txbxContent>
                      </wps:txbx>
                      <wps:bodyPr lIns="0" rIns="0" tIns="0" bIns="0" anchor="t">
                        <a:noAutofit/>
                      </wps:bodyPr>
                    </wps:wsp>
                  </a:graphicData>
                </a:graphic>
              </wp:anchor>
            </w:drawing>
          </mc:Choice>
          <mc:Fallback>
            <w:pict>
              <v:rect id="shape_0" ID="Frame2" path="m0,0l-2147483645,0l-2147483645,-2147483646l0,-2147483646xe" fillcolor="white" stroked="f" o:allowincell="f" style="position:absolute;margin-left:0pt;margin-top:0.05pt;width:451.25pt;height:307.15pt;mso-wrap-style:square;v-text-anchor:top;mso-position-horizontal:center">
                <v:fill o:detectmouseclick="t" type="solid" color2="black"/>
                <v:stroke color="#3465a4" joinstyle="round" endcap="flat"/>
                <v:textbox>
                  <w:txbxContent>
                    <w:p>
                      <w:pPr>
                        <w:pStyle w:val="Figure"/>
                        <w:spacing w:before="120" w:after="120"/>
                        <w:rPr/>
                      </w:pPr>
                      <w:r>
                        <w:rPr>
                          <w:color w:val="000000"/>
                        </w:rPr>
                        <w:drawing>
                          <wp:inline distT="0" distB="0" distL="0" distR="0">
                            <wp:extent cx="5731510" cy="3400425"/>
                            <wp:effectExtent l="0" t="0" r="0" b="0"/>
                            <wp:docPr id="5"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2" descr=""/>
                                    <pic:cNvPicPr>
                                      <a:picLocks noChangeAspect="1" noChangeArrowheads="1"/>
                                    </pic:cNvPicPr>
                                  </pic:nvPicPr>
                                  <pic:blipFill>
                                    <a:blip r:embed="rId5"/>
                                    <a:stretch>
                                      <a:fillRect/>
                                    </a:stretch>
                                  </pic:blipFill>
                                  <pic:spPr bwMode="auto">
                                    <a:xfrm>
                                      <a:off x="0" y="0"/>
                                      <a:ext cx="5731510" cy="3400425"/>
                                    </a:xfrm>
                                    <a:prstGeom prst="rect">
                                      <a:avLst/>
                                    </a:prstGeom>
                                  </pic:spPr>
                                </pic:pic>
                              </a:graphicData>
                            </a:graphic>
                          </wp:inline>
                        </w:drawing>
                      </w:r>
                      <w:r>
                        <w:rPr>
                          <w:color w:val="000000"/>
                        </w:rPr>
                        <w:t xml:space="preserve">Figure </w:t>
                      </w:r>
                      <w:r>
                        <w:rPr>
                          <w:color w:val="000000"/>
                        </w:rPr>
                        <w:fldChar w:fldCharType="begin"/>
                      </w:r>
                      <w:r>
                        <w:rPr>
                          <w:color w:val="000000"/>
                        </w:rPr>
                        <w:instrText xml:space="preserve"> SEQ Figure \* ARABIC </w:instrText>
                      </w:r>
                      <w:r>
                        <w:rPr>
                          <w:color w:val="000000"/>
                        </w:rPr>
                        <w:fldChar w:fldCharType="separate"/>
                      </w:r>
                      <w:r>
                        <w:rPr>
                          <w:color w:val="000000"/>
                        </w:rPr>
                        <w:t>2</w:t>
                      </w:r>
                      <w:r>
                        <w:rPr>
                          <w:color w:val="000000"/>
                        </w:rPr>
                        <w:fldChar w:fldCharType="end"/>
                      </w:r>
                      <w:r>
                        <w:rPr>
                          <w:color w:val="000000"/>
                        </w:rPr>
                        <w:t>: GIS Mapping of Transhumance Patterns in West Africa (United Nations, 2018).</w:t>
                      </w:r>
                    </w:p>
                  </w:txbxContent>
                </v:textbox>
                <w10:wrap type="square" side="largest"/>
              </v:rect>
            </w:pict>
          </mc:Fallback>
        </mc:AlternateContent>
      </w:r>
    </w:p>
    <w:p>
      <w:pPr>
        <w:pStyle w:val="Normal"/>
        <w:rPr>
          <w:shd w:fill="FFFF00" w:val="clear"/>
        </w:rPr>
      </w:pPr>
      <w:r>
        <w:rPr>
          <w:shd w:fill="FFFF00" w:val="clear"/>
        </w:rPr>
      </w:r>
    </w:p>
    <w:p>
      <w:pPr>
        <w:pStyle w:val="Normal"/>
        <w:rPr>
          <w:shd w:fill="FFFF00" w:val="clear"/>
        </w:rPr>
      </w:pPr>
      <w:r>
        <w:rPr>
          <w:shd w:fill="FFFF00" w:val="clea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mc:AlternateContent>
          <mc:Choice Requires="wps">
            <w:drawing>
              <wp:anchor behindDoc="0" distT="0" distB="0" distL="0" distR="0" simplePos="0" locked="0" layoutInCell="0" allowOverlap="1" relativeHeight="9">
                <wp:simplePos x="0" y="0"/>
                <wp:positionH relativeFrom="column">
                  <wp:posOffset>-55245</wp:posOffset>
                </wp:positionH>
                <wp:positionV relativeFrom="paragraph">
                  <wp:posOffset>-108585</wp:posOffset>
                </wp:positionV>
                <wp:extent cx="4338955" cy="4170680"/>
                <wp:effectExtent l="0" t="0" r="0" b="0"/>
                <wp:wrapSquare wrapText="largest"/>
                <wp:docPr id="3" name="Frame3"/>
                <a:graphic xmlns:a="http://schemas.openxmlformats.org/drawingml/2006/main">
                  <a:graphicData uri="http://schemas.microsoft.com/office/word/2010/wordprocessingShape">
                    <wps:wsp>
                      <wps:cNvSpPr/>
                      <wps:spPr>
                        <a:xfrm>
                          <a:off x="0" y="0"/>
                          <a:ext cx="4339080" cy="4170600"/>
                        </a:xfrm>
                        <a:prstGeom prst="rect">
                          <a:avLst/>
                        </a:prstGeom>
                        <a:solidFill>
                          <a:srgbClr val="ffffff"/>
                        </a:solidFill>
                        <a:ln w="0">
                          <a:noFill/>
                        </a:ln>
                      </wps:spPr>
                      <wps:style>
                        <a:lnRef idx="0"/>
                        <a:fillRef idx="0"/>
                        <a:effectRef idx="0"/>
                        <a:fontRef idx="minor"/>
                      </wps:style>
                      <wps:txbx>
                        <w:txbxContent>
                          <w:p>
                            <w:pPr>
                              <w:pStyle w:val="Figure"/>
                              <w:spacing w:before="120" w:after="120"/>
                              <w:rPr/>
                            </w:pPr>
                            <w:r>
                              <w:rPr>
                                <w:color w:val="000000"/>
                              </w:rPr>
                              <w:drawing>
                                <wp:inline distT="0" distB="0" distL="0" distR="0">
                                  <wp:extent cx="4338955" cy="3754120"/>
                                  <wp:effectExtent l="0" t="0" r="0" b="0"/>
                                  <wp:docPr id="5"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descr=""/>
                                          <pic:cNvPicPr>
                                            <a:picLocks noChangeAspect="1" noChangeArrowheads="1"/>
                                          </pic:cNvPicPr>
                                        </pic:nvPicPr>
                                        <pic:blipFill>
                                          <a:blip r:embed="rId6"/>
                                          <a:stretch>
                                            <a:fillRect/>
                                          </a:stretch>
                                        </pic:blipFill>
                                        <pic:spPr bwMode="auto">
                                          <a:xfrm>
                                            <a:off x="0" y="0"/>
                                            <a:ext cx="4338955" cy="3754120"/>
                                          </a:xfrm>
                                          <a:prstGeom prst="rect">
                                            <a:avLst/>
                                          </a:prstGeom>
                                        </pic:spPr>
                                      </pic:pic>
                                    </a:graphicData>
                                  </a:graphic>
                                </wp:inline>
                              </w:drawing>
                            </w:r>
                            <w:r>
                              <w:rPr>
                                <w:color w:val="000000"/>
                              </w:rPr>
                              <w:t xml:space="preserve">Figure </w:t>
                            </w:r>
                            <w:r>
                              <w:rPr>
                                <w:color w:val="000000"/>
                              </w:rPr>
                              <w:fldChar w:fldCharType="begin"/>
                            </w:r>
                            <w:r>
                              <w:rPr>
                                <w:color w:val="000000"/>
                              </w:rPr>
                              <w:instrText xml:space="preserve"> SEQ Figure \* ARABIC </w:instrText>
                            </w:r>
                            <w:r>
                              <w:rPr>
                                <w:color w:val="000000"/>
                              </w:rPr>
                              <w:fldChar w:fldCharType="separate"/>
                            </w:r>
                            <w:r>
                              <w:rPr>
                                <w:color w:val="000000"/>
                              </w:rPr>
                              <w:t>3</w:t>
                            </w:r>
                            <w:r>
                              <w:rPr>
                                <w:color w:val="000000"/>
                              </w:rPr>
                              <w:fldChar w:fldCharType="end"/>
                            </w:r>
                            <w:r>
                              <w:rPr>
                                <w:color w:val="000000"/>
                              </w:rPr>
                              <w:t xml:space="preserve">: Global Prevalence of Undernourishment (%) (FAO et al, 2018). </w:t>
                            </w:r>
                          </w:p>
                        </w:txbxContent>
                      </wps:txbx>
                      <wps:bodyPr lIns="0" rIns="0" tIns="0" bIns="0" anchor="t">
                        <a:noAutofit/>
                      </wps:bodyPr>
                    </wps:wsp>
                  </a:graphicData>
                </a:graphic>
              </wp:anchor>
            </w:drawing>
          </mc:Choice>
          <mc:Fallback>
            <w:pict>
              <v:rect id="shape_0" ID="Frame3" path="m0,0l-2147483645,0l-2147483645,-2147483646l0,-2147483646xe" fillcolor="white" stroked="f" o:allowincell="f" style="position:absolute;margin-left:-4.35pt;margin-top:-8.55pt;width:341.6pt;height:328.35pt;mso-wrap-style:square;v-text-anchor:top">
                <v:fill o:detectmouseclick="t" type="solid" color2="black"/>
                <v:stroke color="#3465a4" joinstyle="round" endcap="flat"/>
                <v:textbox>
                  <w:txbxContent>
                    <w:p>
                      <w:pPr>
                        <w:pStyle w:val="Figure"/>
                        <w:spacing w:before="120" w:after="120"/>
                        <w:rPr/>
                      </w:pPr>
                      <w:r>
                        <w:rPr>
                          <w:color w:val="000000"/>
                        </w:rPr>
                        <w:drawing>
                          <wp:inline distT="0" distB="0" distL="0" distR="0">
                            <wp:extent cx="4338955" cy="3754120"/>
                            <wp:effectExtent l="0" t="0" r="0" b="0"/>
                            <wp:docPr id="6"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 descr=""/>
                                    <pic:cNvPicPr>
                                      <a:picLocks noChangeAspect="1" noChangeArrowheads="1"/>
                                    </pic:cNvPicPr>
                                  </pic:nvPicPr>
                                  <pic:blipFill>
                                    <a:blip r:embed="rId7"/>
                                    <a:stretch>
                                      <a:fillRect/>
                                    </a:stretch>
                                  </pic:blipFill>
                                  <pic:spPr bwMode="auto">
                                    <a:xfrm>
                                      <a:off x="0" y="0"/>
                                      <a:ext cx="4338955" cy="3754120"/>
                                    </a:xfrm>
                                    <a:prstGeom prst="rect">
                                      <a:avLst/>
                                    </a:prstGeom>
                                  </pic:spPr>
                                </pic:pic>
                              </a:graphicData>
                            </a:graphic>
                          </wp:inline>
                        </w:drawing>
                      </w:r>
                      <w:r>
                        <w:rPr>
                          <w:color w:val="000000"/>
                        </w:rPr>
                        <w:t xml:space="preserve">Figure </w:t>
                      </w:r>
                      <w:r>
                        <w:rPr>
                          <w:color w:val="000000"/>
                        </w:rPr>
                        <w:fldChar w:fldCharType="begin"/>
                      </w:r>
                      <w:r>
                        <w:rPr>
                          <w:color w:val="000000"/>
                        </w:rPr>
                        <w:instrText xml:space="preserve"> SEQ Figure \* ARABIC </w:instrText>
                      </w:r>
                      <w:r>
                        <w:rPr>
                          <w:color w:val="000000"/>
                        </w:rPr>
                        <w:fldChar w:fldCharType="separate"/>
                      </w:r>
                      <w:r>
                        <w:rPr>
                          <w:color w:val="000000"/>
                        </w:rPr>
                        <w:t>3</w:t>
                      </w:r>
                      <w:r>
                        <w:rPr>
                          <w:color w:val="000000"/>
                        </w:rPr>
                        <w:fldChar w:fldCharType="end"/>
                      </w:r>
                      <w:r>
                        <w:rPr>
                          <w:color w:val="000000"/>
                        </w:rPr>
                        <w:t xml:space="preserve">: Global Prevalence of Undernourishment (%) (FAO et al, 2018). </w:t>
                      </w:r>
                    </w:p>
                  </w:txbxContent>
                </v:textbox>
                <w10:wrap type="square" side="largest"/>
              </v:rect>
            </w:pict>
          </mc:Fallback>
        </mc:AlternateConten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mc:AlternateContent>
          <mc:Choice Requires="wps">
            <w:drawing>
              <wp:anchor behindDoc="0" distT="0" distB="0" distL="0" distR="0" simplePos="0" locked="0" layoutInCell="0" allowOverlap="1" relativeHeight="11">
                <wp:simplePos x="0" y="0"/>
                <wp:positionH relativeFrom="column">
                  <wp:align>center</wp:align>
                </wp:positionH>
                <wp:positionV relativeFrom="paragraph">
                  <wp:posOffset>635</wp:posOffset>
                </wp:positionV>
                <wp:extent cx="5731510" cy="5828030"/>
                <wp:effectExtent l="0" t="0" r="0" b="0"/>
                <wp:wrapSquare wrapText="largest"/>
                <wp:docPr id="4" name="Frame4"/>
                <a:graphic xmlns:a="http://schemas.openxmlformats.org/drawingml/2006/main">
                  <a:graphicData uri="http://schemas.microsoft.com/office/word/2010/wordprocessingShape">
                    <wps:wsp>
                      <wps:cNvSpPr/>
                      <wps:spPr>
                        <a:xfrm>
                          <a:off x="0" y="0"/>
                          <a:ext cx="5731560" cy="5828040"/>
                        </a:xfrm>
                        <a:prstGeom prst="rect">
                          <a:avLst/>
                        </a:prstGeom>
                        <a:solidFill>
                          <a:srgbClr val="ffffff"/>
                        </a:solidFill>
                        <a:ln w="0">
                          <a:noFill/>
                        </a:ln>
                      </wps:spPr>
                      <wps:style>
                        <a:lnRef idx="0"/>
                        <a:fillRef idx="0"/>
                        <a:effectRef idx="0"/>
                        <a:fontRef idx="minor"/>
                      </wps:style>
                      <wps:txbx>
                        <w:txbxContent>
                          <w:p>
                            <w:pPr>
                              <w:pStyle w:val="Figure"/>
                              <w:spacing w:before="120" w:after="120"/>
                              <w:rPr/>
                            </w:pPr>
                            <w:r>
                              <w:rPr>
                                <w:color w:val="000000"/>
                              </w:rPr>
                              <w:drawing>
                                <wp:inline distT="0" distB="0" distL="0" distR="0">
                                  <wp:extent cx="5731510" cy="5278120"/>
                                  <wp:effectExtent l="0" t="0" r="0" b="0"/>
                                  <wp:docPr id="6"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 descr=""/>
                                          <pic:cNvPicPr>
                                            <a:picLocks noChangeAspect="1" noChangeArrowheads="1"/>
                                          </pic:cNvPicPr>
                                        </pic:nvPicPr>
                                        <pic:blipFill>
                                          <a:blip r:embed="rId8"/>
                                          <a:stretch>
                                            <a:fillRect/>
                                          </a:stretch>
                                        </pic:blipFill>
                                        <pic:spPr bwMode="auto">
                                          <a:xfrm>
                                            <a:off x="0" y="0"/>
                                            <a:ext cx="5731510" cy="5278120"/>
                                          </a:xfrm>
                                          <a:prstGeom prst="rect">
                                            <a:avLst/>
                                          </a:prstGeom>
                                        </pic:spPr>
                                      </pic:pic>
                                    </a:graphicData>
                                  </a:graphic>
                                </wp:inline>
                              </w:drawing>
                            </w:r>
                            <w:r>
                              <w:rPr>
                                <w:color w:val="000000"/>
                              </w:rPr>
                              <w:t xml:space="preserve">Figure </w:t>
                            </w:r>
                            <w:r>
                              <w:rPr>
                                <w:color w:val="000000"/>
                              </w:rPr>
                              <w:fldChar w:fldCharType="begin"/>
                            </w:r>
                            <w:r>
                              <w:rPr>
                                <w:color w:val="000000"/>
                              </w:rPr>
                              <w:instrText xml:space="preserve"> SEQ Figure \* ARABIC </w:instrText>
                            </w:r>
                            <w:r>
                              <w:rPr>
                                <w:color w:val="000000"/>
                              </w:rPr>
                              <w:fldChar w:fldCharType="separate"/>
                            </w:r>
                            <w:r>
                              <w:rPr>
                                <w:color w:val="000000"/>
                              </w:rPr>
                              <w:t>4</w:t>
                            </w:r>
                            <w:r>
                              <w:rPr>
                                <w:color w:val="000000"/>
                              </w:rPr>
                              <w:fldChar w:fldCharType="end"/>
                            </w:r>
                            <w:r>
                              <w:rPr>
                                <w:color w:val="000000"/>
                              </w:rPr>
                              <w:t>: Variance of Flood Variables (number, total area, duration) (Reed et al, 2022).</w:t>
                            </w:r>
                          </w:p>
                        </w:txbxContent>
                      </wps:txbx>
                      <wps:bodyPr lIns="0" rIns="0" tIns="0" bIns="0" anchor="t">
                        <a:noAutofit/>
                      </wps:bodyPr>
                    </wps:wsp>
                  </a:graphicData>
                </a:graphic>
              </wp:anchor>
            </w:drawing>
          </mc:Choice>
          <mc:Fallback>
            <w:pict>
              <v:rect id="shape_0" ID="Frame4" path="m0,0l-2147483645,0l-2147483645,-2147483646l0,-2147483646xe" fillcolor="white" stroked="f" o:allowincell="f" style="position:absolute;margin-left:0pt;margin-top:0.05pt;width:451.25pt;height:458.85pt;mso-wrap-style:square;v-text-anchor:top;mso-position-horizontal:center">
                <v:fill o:detectmouseclick="t" type="solid" color2="black"/>
                <v:stroke color="#3465a4" joinstyle="round" endcap="flat"/>
                <v:textbox>
                  <w:txbxContent>
                    <w:p>
                      <w:pPr>
                        <w:pStyle w:val="Figure"/>
                        <w:spacing w:before="120" w:after="120"/>
                        <w:rPr/>
                      </w:pPr>
                      <w:r>
                        <w:rPr>
                          <w:color w:val="000000"/>
                        </w:rPr>
                        <w:drawing>
                          <wp:inline distT="0" distB="0" distL="0" distR="0">
                            <wp:extent cx="5731510" cy="5278120"/>
                            <wp:effectExtent l="0" t="0" r="0" b="0"/>
                            <wp:docPr id="7"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4" descr=""/>
                                    <pic:cNvPicPr>
                                      <a:picLocks noChangeAspect="1" noChangeArrowheads="1"/>
                                    </pic:cNvPicPr>
                                  </pic:nvPicPr>
                                  <pic:blipFill>
                                    <a:blip r:embed="rId9"/>
                                    <a:stretch>
                                      <a:fillRect/>
                                    </a:stretch>
                                  </pic:blipFill>
                                  <pic:spPr bwMode="auto">
                                    <a:xfrm>
                                      <a:off x="0" y="0"/>
                                      <a:ext cx="5731510" cy="5278120"/>
                                    </a:xfrm>
                                    <a:prstGeom prst="rect">
                                      <a:avLst/>
                                    </a:prstGeom>
                                  </pic:spPr>
                                </pic:pic>
                              </a:graphicData>
                            </a:graphic>
                          </wp:inline>
                        </w:drawing>
                      </w:r>
                      <w:r>
                        <w:rPr>
                          <w:color w:val="000000"/>
                        </w:rPr>
                        <w:t xml:space="preserve">Figure </w:t>
                      </w:r>
                      <w:r>
                        <w:rPr>
                          <w:color w:val="000000"/>
                        </w:rPr>
                        <w:fldChar w:fldCharType="begin"/>
                      </w:r>
                      <w:r>
                        <w:rPr>
                          <w:color w:val="000000"/>
                        </w:rPr>
                        <w:instrText xml:space="preserve"> SEQ Figure \* ARABIC </w:instrText>
                      </w:r>
                      <w:r>
                        <w:rPr>
                          <w:color w:val="000000"/>
                        </w:rPr>
                        <w:fldChar w:fldCharType="separate"/>
                      </w:r>
                      <w:r>
                        <w:rPr>
                          <w:color w:val="000000"/>
                        </w:rPr>
                        <w:t>4</w:t>
                      </w:r>
                      <w:r>
                        <w:rPr>
                          <w:color w:val="000000"/>
                        </w:rPr>
                        <w:fldChar w:fldCharType="end"/>
                      </w:r>
                      <w:r>
                        <w:rPr>
                          <w:color w:val="000000"/>
                        </w:rPr>
                        <w:t>: Variance of Flood Variables (number, total area, duration) (Reed et al, 2022).</w:t>
                      </w:r>
                    </w:p>
                  </w:txbxContent>
                </v:textbox>
                <w10:wrap type="square" side="largest"/>
              </v:rect>
            </w:pict>
          </mc:Fallback>
        </mc:AlternateContent>
        <mc:AlternateContent>
          <mc:Choice Requires="wps">
            <w:drawing>
              <wp:anchor behindDoc="0" distT="0" distB="0" distL="0" distR="0" simplePos="0" locked="0" layoutInCell="0" allowOverlap="1" relativeHeight="14">
                <wp:simplePos x="0" y="0"/>
                <wp:positionH relativeFrom="column">
                  <wp:posOffset>-635</wp:posOffset>
                </wp:positionH>
                <wp:positionV relativeFrom="paragraph">
                  <wp:posOffset>5905500</wp:posOffset>
                </wp:positionV>
                <wp:extent cx="3966845" cy="3860165"/>
                <wp:effectExtent l="0" t="0" r="0" b="0"/>
                <wp:wrapSquare wrapText="largest"/>
                <wp:docPr id="5" name="Frame5"/>
                <a:graphic xmlns:a="http://schemas.openxmlformats.org/drawingml/2006/main">
                  <a:graphicData uri="http://schemas.microsoft.com/office/word/2010/wordprocessingShape">
                    <wps:wsp>
                      <wps:cNvSpPr/>
                      <wps:spPr>
                        <a:xfrm>
                          <a:off x="0" y="0"/>
                          <a:ext cx="3966840" cy="3860280"/>
                        </a:xfrm>
                        <a:prstGeom prst="rect">
                          <a:avLst/>
                        </a:prstGeom>
                        <a:solidFill>
                          <a:srgbClr val="ffffff"/>
                        </a:solidFill>
                        <a:ln w="0">
                          <a:noFill/>
                        </a:ln>
                      </wps:spPr>
                      <wps:style>
                        <a:lnRef idx="0"/>
                        <a:fillRef idx="0"/>
                        <a:effectRef idx="0"/>
                        <a:fontRef idx="minor"/>
                      </wps:style>
                      <wps:txbx>
                        <w:txbxContent>
                          <w:p>
                            <w:pPr>
                              <w:pStyle w:val="Figure"/>
                              <w:spacing w:before="120" w:after="120"/>
                              <w:rPr/>
                            </w:pPr>
                            <w:r>
                              <w:rPr>
                                <w:color w:val="000000"/>
                              </w:rPr>
                              <w:drawing>
                                <wp:inline distT="0" distB="0" distL="0" distR="0">
                                  <wp:extent cx="3901440" cy="3246120"/>
                                  <wp:effectExtent l="0" t="0" r="0" b="0"/>
                                  <wp:docPr id="7"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5" descr=""/>
                                          <pic:cNvPicPr>
                                            <a:picLocks noChangeAspect="1" noChangeArrowheads="1"/>
                                          </pic:cNvPicPr>
                                        </pic:nvPicPr>
                                        <pic:blipFill>
                                          <a:blip r:embed="rId10"/>
                                          <a:stretch>
                                            <a:fillRect/>
                                          </a:stretch>
                                        </pic:blipFill>
                                        <pic:spPr bwMode="auto">
                                          <a:xfrm>
                                            <a:off x="0" y="0"/>
                                            <a:ext cx="3901440" cy="3246120"/>
                                          </a:xfrm>
                                          <a:prstGeom prst="rect">
                                            <a:avLst/>
                                          </a:prstGeom>
                                        </pic:spPr>
                                      </pic:pic>
                                    </a:graphicData>
                                  </a:graphic>
                                </wp:inline>
                              </w:drawing>
                            </w:r>
                            <w:r>
                              <w:rPr>
                                <w:color w:val="000000"/>
                              </w:rPr>
                              <w:t xml:space="preserve">Figure </w:t>
                            </w:r>
                            <w:r>
                              <w:rPr>
                                <w:color w:val="000000"/>
                              </w:rPr>
                              <w:fldChar w:fldCharType="begin"/>
                            </w:r>
                            <w:r>
                              <w:rPr>
                                <w:color w:val="000000"/>
                              </w:rPr>
                              <w:instrText xml:space="preserve"> SEQ Figure \* ARABIC </w:instrText>
                            </w:r>
                            <w:r>
                              <w:rPr>
                                <w:color w:val="000000"/>
                              </w:rPr>
                              <w:fldChar w:fldCharType="separate"/>
                            </w:r>
                            <w:r>
                              <w:rPr>
                                <w:color w:val="000000"/>
                              </w:rPr>
                              <w:t>5</w:t>
                            </w:r>
                            <w:r>
                              <w:rPr>
                                <w:color w:val="000000"/>
                              </w:rPr>
                              <w:fldChar w:fldCharType="end"/>
                            </w:r>
                            <w:r>
                              <w:rPr>
                                <w:color w:val="000000"/>
                              </w:rPr>
                              <w:t>: Food Insecurity Score vs CO2 Emissions (World Economic Forum, 2019).</w:t>
                            </w:r>
                          </w:p>
                        </w:txbxContent>
                      </wps:txbx>
                      <wps:bodyPr lIns="0" rIns="0" tIns="0" bIns="0" anchor="t">
                        <a:noAutofit/>
                      </wps:bodyPr>
                    </wps:wsp>
                  </a:graphicData>
                </a:graphic>
              </wp:anchor>
            </w:drawing>
          </mc:Choice>
          <mc:Fallback>
            <w:pict>
              <v:rect id="shape_0" ID="Frame5" path="m0,0l-2147483645,0l-2147483645,-2147483646l0,-2147483646xe" fillcolor="white" stroked="f" o:allowincell="f" style="position:absolute;margin-left:-0.05pt;margin-top:465pt;width:312.3pt;height:303.9pt;mso-wrap-style:square;v-text-anchor:top">
                <v:fill o:detectmouseclick="t" type="solid" color2="black"/>
                <v:stroke color="#3465a4" joinstyle="round" endcap="flat"/>
                <v:textbox>
                  <w:txbxContent>
                    <w:p>
                      <w:pPr>
                        <w:pStyle w:val="Figure"/>
                        <w:spacing w:before="120" w:after="120"/>
                        <w:rPr/>
                      </w:pPr>
                      <w:r>
                        <w:rPr>
                          <w:color w:val="000000"/>
                        </w:rPr>
                        <w:drawing>
                          <wp:inline distT="0" distB="0" distL="0" distR="0">
                            <wp:extent cx="3901440" cy="3246120"/>
                            <wp:effectExtent l="0" t="0" r="0" b="0"/>
                            <wp:docPr id="8"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5" descr=""/>
                                    <pic:cNvPicPr>
                                      <a:picLocks noChangeAspect="1" noChangeArrowheads="1"/>
                                    </pic:cNvPicPr>
                                  </pic:nvPicPr>
                                  <pic:blipFill>
                                    <a:blip r:embed="rId11"/>
                                    <a:stretch>
                                      <a:fillRect/>
                                    </a:stretch>
                                  </pic:blipFill>
                                  <pic:spPr bwMode="auto">
                                    <a:xfrm>
                                      <a:off x="0" y="0"/>
                                      <a:ext cx="3901440" cy="3246120"/>
                                    </a:xfrm>
                                    <a:prstGeom prst="rect">
                                      <a:avLst/>
                                    </a:prstGeom>
                                  </pic:spPr>
                                </pic:pic>
                              </a:graphicData>
                            </a:graphic>
                          </wp:inline>
                        </w:drawing>
                      </w:r>
                      <w:r>
                        <w:rPr>
                          <w:color w:val="000000"/>
                        </w:rPr>
                        <w:t xml:space="preserve">Figure </w:t>
                      </w:r>
                      <w:r>
                        <w:rPr>
                          <w:color w:val="000000"/>
                        </w:rPr>
                        <w:fldChar w:fldCharType="begin"/>
                      </w:r>
                      <w:r>
                        <w:rPr>
                          <w:color w:val="000000"/>
                        </w:rPr>
                        <w:instrText xml:space="preserve"> SEQ Figure \* ARABIC </w:instrText>
                      </w:r>
                      <w:r>
                        <w:rPr>
                          <w:color w:val="000000"/>
                        </w:rPr>
                        <w:fldChar w:fldCharType="separate"/>
                      </w:r>
                      <w:r>
                        <w:rPr>
                          <w:color w:val="000000"/>
                        </w:rPr>
                        <w:t>5</w:t>
                      </w:r>
                      <w:r>
                        <w:rPr>
                          <w:color w:val="000000"/>
                        </w:rPr>
                        <w:fldChar w:fldCharType="end"/>
                      </w:r>
                      <w:r>
                        <w:rPr>
                          <w:color w:val="000000"/>
                        </w:rPr>
                        <w:t>: Food Insecurity Score vs CO2 Emissions (World Economic Forum, 2019).</w:t>
                      </w:r>
                    </w:p>
                  </w:txbxContent>
                </v:textbox>
                <w10:wrap type="square" side="largest"/>
              </v:rect>
            </w:pict>
          </mc:Fallback>
        </mc:AlternateConten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2"/>
        <w:rPr/>
      </w:pPr>
      <w:r>
        <w:rPr/>
        <w:t xml:space="preserve">Discussion </w:t>
      </w:r>
    </w:p>
    <w:p>
      <w:pPr>
        <w:pStyle w:val="Normal"/>
        <w:rPr/>
      </w:pPr>
      <w:r>
        <w:rPr/>
        <w:t>Disproportionate effects on ethnic groups are inherent in this issue, despite sometimes being subtle. Whilst many of these relate back to the historic exploitation of Africa as a continent, some are more niche, such as the case of the Tigrayans. This involved a conflict in Ethiopia which occurred between the government and TPLF (Tigray People’s Liberation Front) which resulted in the government placing restrictions on humanitarian access (BBC, 2020), (Council on Foreign Relations, 2022). This specific crisis highlights the connections between politics and climate and is a typical example where equity for parties involved has been disregarded.</w:t>
      </w:r>
    </w:p>
    <w:p>
      <w:pPr>
        <w:pStyle w:val="Normal"/>
        <w:rPr/>
      </w:pPr>
      <w:r>
        <w:rPr/>
        <w:t>Despite widespread efforts to alleviate food scarcity across Africa, most attempts cannot combat the root issue and instead provide some form of short-term relief aid (generally financial support). Whilst these projects provide much needed stability for communities, they don’t typically address the disproportionate effects on minority groups. Some plans stand out, such as the World Food Programme’s climate-adaptive food systems in Somalia, which aim to mitigate the shock of future climate events through anticipatory action and community assets creation (WFP, 2019).</w:t>
      </w:r>
    </w:p>
    <w:p>
      <w:pPr>
        <w:pStyle w:val="Normal"/>
        <w:rPr/>
      </w:pPr>
      <w:r>
        <w:rPr/>
        <w:t>On the global scale, inequalities in food security often deep set in historic imbalances between societies. In Bangladesh, agriculture is one of the leading sectors of the economy. Recent climatic pressures have resulted in a 2% loss of GDP per year, with a projected figure of 17% by 2050 (Islam et al, 2022). According to the US Department of Agriculture (2025), the average American household spent roughly 10% of their income on food, whilst Kenya spent upwards of 50%. These statistics not only indicate the economic divide between countries, but also the perceived value of food in different cultures (Gupta, 2023). This provides additional barriers to achieving equity.</w:t>
      </w:r>
    </w:p>
    <w:p>
      <w:pPr>
        <w:pStyle w:val="Normal"/>
        <w:rPr/>
      </w:pPr>
      <w:r>
        <w:rPr/>
        <w:t xml:space="preserve">Specific effects of climate change include altered water availability / quality, heat stress and shifting phenology. These factors, which ultimately all lead to decreased productivity, are intensifying in all agriculture sectors. </w:t>
      </w:r>
      <w:r>
        <w:rPr>
          <w:sz w:val="22"/>
          <w:szCs w:val="22"/>
          <w:shd w:fill="auto" w:val="clear"/>
        </w:rPr>
        <w:t>(Mirzabaev et al, 2023). Some strategies can help mitigate some of these effects such as RNA interference; a process by which gene silencing can be utilised to increase the threshold of heat tolerance within wheat crops. Other forms of genetic modification can also improve yield and provide resistance against certain diseases. Whilst these technologies are potentially key components in reducing food scarcity, the rapidly changing climatic conditions provide a constant stream of new challenges. In addition to this, many ethical concerns exist around the use of these technologies. (Mohan et al, 2023).</w:t>
      </w:r>
    </w:p>
    <w:p>
      <w:pPr>
        <w:pStyle w:val="Normal"/>
        <w:rPr>
          <w:highlight w:val="none"/>
          <w:shd w:fill="auto" w:val="clear"/>
        </w:rPr>
      </w:pPr>
      <w:r>
        <w:rPr>
          <w:sz w:val="22"/>
          <w:szCs w:val="22"/>
          <w:shd w:fill="auto" w:val="clear"/>
        </w:rPr>
        <w:t>Crop disease is one of the most pressing issues in agriculture, particularly as it hits tropical regions hardest. When considering economic cost alone, the annual global economic impact of crop virus diseases is estimated at over thirty billion US dollars (Abraham, 2024). This, coupled with the fact that mitigation techniques advancing with modern technology, may provide a case for disease mitigation as one of the most effective ways to reduce food scarcity.</w:t>
      </w:r>
    </w:p>
    <w:p>
      <w:pPr>
        <w:pStyle w:val="Normal"/>
        <w:rPr/>
      </w:pPr>
      <w:r>
        <w:rPr>
          <w:rFonts w:eastAsia="" w:cs=""/>
          <w:kern w:val="2"/>
          <w:sz w:val="22"/>
          <w:szCs w:val="22"/>
          <w:shd w:fill="auto" w:val="clear"/>
          <w:lang w:val="en-GB" w:eastAsia="zh-CN" w:bidi="ar-SA"/>
        </w:rPr>
        <w:t xml:space="preserve">Poor governance, </w:t>
      </w:r>
      <w:r>
        <w:rPr>
          <w:rFonts w:eastAsia="" w:cs=""/>
          <w:kern w:val="2"/>
          <w:sz w:val="22"/>
          <w:szCs w:val="22"/>
          <w:shd w:fill="auto" w:val="clear"/>
          <w:lang w:val="en-GB" w:eastAsia="zh-CN" w:bidi="ar-SA"/>
        </w:rPr>
        <w:t>often the result of some form of social inequality,</w:t>
      </w:r>
      <w:r>
        <w:rPr>
          <w:rFonts w:eastAsia="" w:cs=""/>
          <w:kern w:val="2"/>
          <w:sz w:val="22"/>
          <w:szCs w:val="22"/>
          <w:shd w:fill="auto" w:val="clear"/>
          <w:lang w:val="en-GB" w:eastAsia="zh-CN" w:bidi="ar-SA"/>
        </w:rPr>
        <w:t xml:space="preserve"> is another key element in the battle against malnutrition </w:t>
      </w:r>
      <w:r>
        <w:rPr>
          <w:rFonts w:eastAsia="" w:cs=""/>
          <w:kern w:val="2"/>
          <w:sz w:val="22"/>
          <w:szCs w:val="22"/>
          <w:shd w:fill="auto" w:val="clear"/>
          <w:lang w:val="en-GB" w:eastAsia="zh-CN" w:bidi="ar-SA"/>
        </w:rPr>
        <w:t>(</w:t>
      </w:r>
      <w:r>
        <w:rPr>
          <w:rFonts w:eastAsia="" w:cs=""/>
          <w:kern w:val="2"/>
          <w:sz w:val="22"/>
          <w:szCs w:val="22"/>
          <w:shd w:fill="auto" w:val="clear"/>
          <w:lang w:val="en-GB" w:eastAsia="zh-CN" w:bidi="ar-SA"/>
        </w:rPr>
        <w:t>and poverty in general</w:t>
      </w:r>
      <w:r>
        <w:rPr>
          <w:rFonts w:eastAsia="" w:cs=""/>
          <w:kern w:val="2"/>
          <w:sz w:val="22"/>
          <w:szCs w:val="22"/>
          <w:shd w:fill="auto" w:val="clear"/>
          <w:lang w:val="en-GB" w:eastAsia="zh-CN" w:bidi="ar-SA"/>
        </w:rPr>
        <w:t>)</w:t>
      </w:r>
      <w:r>
        <w:rPr>
          <w:rFonts w:eastAsia="" w:cs=""/>
          <w:kern w:val="2"/>
          <w:sz w:val="22"/>
          <w:szCs w:val="22"/>
          <w:shd w:fill="auto" w:val="clear"/>
          <w:lang w:val="en-GB" w:eastAsia="zh-CN" w:bidi="ar-SA"/>
        </w:rPr>
        <w:t>. The socio-economic issues which arise as a result, exacerbate financial constraints on the agriculture community and create unstable conditions.</w:t>
      </w:r>
    </w:p>
    <w:p>
      <w:pPr>
        <w:pStyle w:val="Normal"/>
        <w:rPr/>
      </w:pPr>
      <w:r>
        <w:rPr/>
      </w:r>
    </w:p>
    <w:p>
      <w:pPr>
        <w:pStyle w:val="Heading2"/>
        <w:rPr/>
      </w:pPr>
      <w:r>
        <w:rPr/>
        <w:t xml:space="preserve">Conclusion </w:t>
      </w:r>
    </w:p>
    <w:p>
      <w:pPr>
        <w:pStyle w:val="Normal"/>
        <w:rPr/>
      </w:pPr>
      <w:r>
        <w:rPr>
          <w:sz w:val="22"/>
          <w:szCs w:val="22"/>
          <w:shd w:fill="auto" w:val="clear"/>
        </w:rPr>
        <w:t xml:space="preserve">Whilst climate change presents a great threat, overpopulation is arguably the most important factor contributing to malnutrition both in Africa, and across the globe. Alternative arguments point out that the issue is not with the quantity of food in the world, but the distribution. Overall however, whilst there is no individual solution to the issue, it is undeniable that reducing the population through strategies such as family planning would have a positive effect long-term. </w:t>
      </w:r>
    </w:p>
    <w:p>
      <w:pPr>
        <w:pStyle w:val="Normal"/>
        <w:rPr/>
      </w:pPr>
      <w:r>
        <w:rPr>
          <w:rFonts w:eastAsia="" w:cs=""/>
          <w:sz w:val="22"/>
          <w:szCs w:val="22"/>
          <w:shd w:fill="auto" w:val="clear"/>
        </w:rPr>
        <w:t xml:space="preserve">One of the most challenging hurdles to overcome in this issue (by its nature) are the financial constraints which are common amongst small-scale farming operations. One of the key considerations in this is cost benefit analysis, bearing in mind upfront costs aren’t always feasible </w:t>
      </w:r>
      <w:r>
        <w:rPr>
          <w:rFonts w:eastAsia="" w:cs=""/>
          <w:kern w:val="2"/>
          <w:sz w:val="22"/>
          <w:szCs w:val="22"/>
          <w:shd w:fill="auto" w:val="clear"/>
          <w:lang w:val="en-GB" w:eastAsia="zh-CN" w:bidi="ar-SA"/>
        </w:rPr>
        <w:t xml:space="preserve">(Alliance Biodiversity International – CIAT., 2023). </w:t>
      </w:r>
    </w:p>
    <w:p>
      <w:pPr>
        <w:pStyle w:val="Normal"/>
        <w:rPr/>
      </w:pPr>
      <w:r>
        <w:rPr>
          <w:rFonts w:eastAsia="" w:cs=""/>
          <w:kern w:val="2"/>
          <w:sz w:val="22"/>
          <w:szCs w:val="22"/>
          <w:shd w:fill="auto" w:val="clear"/>
          <w:lang w:val="en-GB" w:eastAsia="zh-CN" w:bidi="ar-SA"/>
        </w:rPr>
        <w:t xml:space="preserve">Which issues / areas receive priority is another key consideration in this matter, particularly given aid capacity and the variability between regions. Contemporary solutions (generally resulting from advancements in technology), such as genetic crop modification, often cast a broad net which makes equity easier to attain. </w:t>
      </w:r>
    </w:p>
    <w:p>
      <w:pPr>
        <w:pStyle w:val="Normal"/>
        <w:rPr/>
      </w:pPr>
      <w:r>
        <w:rPr>
          <w:rFonts w:eastAsia="" w:cs=""/>
          <w:kern w:val="2"/>
          <w:sz w:val="22"/>
          <w:szCs w:val="22"/>
          <w:shd w:fill="auto" w:val="clear"/>
          <w:lang w:val="en-GB" w:eastAsia="zh-CN" w:bidi="ar-SA"/>
        </w:rPr>
        <w:t xml:space="preserve">Given the critical status of malnutrition in Africa, the outcome is heavily dependent on speed. Quick, effective action, as shown in cases such as the Great Green Wall, will break the cycle of poverty and mitigate potential further generations experiencing malnutrition (UN, 2023). </w:t>
      </w:r>
    </w:p>
    <w:p>
      <w:pPr>
        <w:pStyle w:val="Normal"/>
        <w:rPr/>
      </w:pPr>
      <w:r>
        <w:rPr/>
      </w:r>
    </w:p>
    <w:p>
      <w:pPr>
        <w:pStyle w:val="Normal"/>
        <w:rPr/>
      </w:pPr>
      <w:r>
        <w:rPr/>
      </w:r>
    </w:p>
    <w:p>
      <w:pPr>
        <w:pStyle w:val="Heading1"/>
        <w:rPr/>
      </w:pPr>
      <w:r>
        <w:rPr/>
        <w:t>Section Headings</w:t>
      </w:r>
    </w:p>
    <w:p>
      <w:pPr>
        <w:pStyle w:val="Normal"/>
        <w:rPr>
          <w:shd w:fill="FFFF00" w:val="clear"/>
        </w:rPr>
      </w:pPr>
      <w:r>
        <w:rPr>
          <w:shd w:fill="FFFF00" w:val="clear"/>
        </w:rPr>
      </w:r>
    </w:p>
    <w:p>
      <w:pPr>
        <w:pStyle w:val="Normal"/>
        <w:rPr>
          <w:shd w:fill="FFFF00" w:val="clear"/>
        </w:rPr>
      </w:pPr>
      <w:r>
        <w:rPr>
          <w:shd w:fill="FFFF00" w:val="clear"/>
        </w:rPr>
      </w:r>
    </w:p>
    <w:p>
      <w:pPr>
        <w:pStyle w:val="Heading2"/>
        <w:rPr/>
      </w:pPr>
      <w:r>
        <w:rPr/>
        <w:t>References</w:t>
      </w:r>
    </w:p>
    <w:p>
      <w:pPr>
        <w:pStyle w:val="Normal"/>
        <w:rPr>
          <w:sz w:val="18"/>
          <w:szCs w:val="18"/>
        </w:rPr>
      </w:pPr>
      <w:r>
        <w:rPr>
          <w:sz w:val="18"/>
          <w:szCs w:val="18"/>
        </w:rPr>
      </w:r>
    </w:p>
    <w:p>
      <w:pPr>
        <w:pStyle w:val="Normal"/>
        <w:rPr>
          <w:rFonts w:eastAsia="" w:cs="" w:cstheme="minorBidi" w:eastAsiaTheme="minorEastAsia"/>
          <w:highlight w:val="none"/>
          <w:shd w:fill="auto" w:val="clear"/>
          <w14:ligatures w14:val="standardContextual"/>
        </w:rPr>
      </w:pPr>
      <w:r>
        <w:rPr>
          <w:rFonts w:eastAsia="" w:cs="" w:cstheme="minorBidi" w:eastAsiaTheme="minorEastAsia"/>
          <w:sz w:val="18"/>
          <w:szCs w:val="18"/>
          <w:shd w:fill="auto" w:val="clear"/>
          <w14:ligatures w14:val="standardContextual"/>
        </w:rPr>
        <w:t xml:space="preserve">Abraham, A. (2024). </w:t>
      </w:r>
      <w:r>
        <w:rPr>
          <w:rFonts w:eastAsia="" w:cs="" w:cstheme="minorBidi" w:eastAsiaTheme="minorEastAsia"/>
          <w:i/>
          <w:iCs/>
          <w:sz w:val="18"/>
          <w:szCs w:val="18"/>
          <w:shd w:fill="auto" w:val="clear"/>
          <w14:ligatures w14:val="standardContextual"/>
        </w:rPr>
        <w:t>Synergistic crop virus disease complexes in Sub-saharan Africa: causes, consequences and control</w:t>
      </w:r>
      <w:r>
        <w:rPr>
          <w:rFonts w:eastAsia="" w:cs="" w:cstheme="minorBidi" w:eastAsiaTheme="minorEastAsia"/>
          <w:sz w:val="18"/>
          <w:szCs w:val="18"/>
          <w:shd w:fill="auto" w:val="clear"/>
          <w14:ligatures w14:val="standardContextual"/>
        </w:rPr>
        <w:t xml:space="preserve">. Phytoparasitica, 52(1). Doi: https://doi.org/10.1007/s12600-024-01143-9. </w:t>
      </w:r>
    </w:p>
    <w:p>
      <w:pPr>
        <w:pStyle w:val="Normal"/>
        <w:rPr>
          <w:rFonts w:eastAsia="" w:cs="" w:cstheme="minorBidi" w:eastAsiaTheme="minorEastAsia"/>
          <w:sz w:val="18"/>
          <w:szCs w:val="18"/>
          <w:highlight w:val="none"/>
          <w:shd w:fill="FFFF00" w:val="clear"/>
          <w14:ligatures w14:val="standardContextual"/>
        </w:rPr>
      </w:pPr>
      <w:r>
        <w:rPr>
          <w:rFonts w:eastAsia="" w:cs="" w:cstheme="minorBidi" w:eastAsiaTheme="minorEastAsia"/>
          <w:sz w:val="18"/>
          <w:szCs w:val="18"/>
          <w:shd w:fill="FFFF00" w:val="clear"/>
          <w14:ligatures w14:val="standardContextual"/>
        </w:rPr>
      </w:r>
    </w:p>
    <w:p>
      <w:pPr>
        <w:pStyle w:val="Normal"/>
        <w:rPr>
          <w:rFonts w:eastAsia="" w:cs="" w:cstheme="minorBidi" w:eastAsiaTheme="minorEastAsia"/>
          <w:highlight w:val="none"/>
          <w:shd w:fill="auto" w:val="clear"/>
          <w14:ligatures w14:val="standardContextual"/>
        </w:rPr>
      </w:pPr>
      <w:r>
        <w:rPr>
          <w:rFonts w:eastAsia="" w:cs="" w:cstheme="minorBidi" w:eastAsiaTheme="minorEastAsia"/>
          <w:sz w:val="18"/>
          <w:szCs w:val="18"/>
          <w:shd w:fill="auto" w:val="clear"/>
          <w14:ligatures w14:val="standardContextual"/>
        </w:rPr>
        <w:t xml:space="preserve">African Contemporary Farming (2024). </w:t>
      </w:r>
      <w:r>
        <w:rPr>
          <w:rFonts w:eastAsia="" w:cs="" w:cstheme="minorBidi" w:eastAsiaTheme="minorEastAsia"/>
          <w:i/>
          <w:iCs/>
          <w:sz w:val="18"/>
          <w:szCs w:val="18"/>
          <w:shd w:fill="auto" w:val="clear"/>
          <w14:ligatures w14:val="standardContextual"/>
        </w:rPr>
        <w:t>Pests and Disease Management in African Agriculture: A Path to Enhanced Productivity</w:t>
      </w:r>
      <w:r>
        <w:rPr>
          <w:rFonts w:eastAsia="" w:cs="" w:cstheme="minorBidi" w:eastAsiaTheme="minorEastAsia"/>
          <w:sz w:val="18"/>
          <w:szCs w:val="18"/>
          <w:shd w:fill="auto" w:val="clear"/>
          <w14:ligatures w14:val="standardContextual"/>
        </w:rPr>
        <w:t xml:space="preserve">. [Online]. Available at: https://africacontemporaryfarming.com/pests-and-disease-management-in-african-agriculture-a-path-to-enhanced-productivity/. [Accessed 29.01.25]. </w:t>
      </w:r>
    </w:p>
    <w:p>
      <w:pPr>
        <w:pStyle w:val="Normal"/>
        <w:rPr>
          <w:rFonts w:eastAsia="" w:cs="" w:cstheme="minorBidi" w:eastAsiaTheme="minorEastAsia"/>
          <w:sz w:val="18"/>
          <w:szCs w:val="18"/>
          <w:highlight w:val="none"/>
          <w:shd w:fill="FFFF00" w:val="clear"/>
          <w14:ligatures w14:val="standardContextual"/>
        </w:rPr>
      </w:pPr>
      <w:r>
        <w:rPr>
          <w:rFonts w:eastAsia="" w:cs="" w:cstheme="minorBidi" w:eastAsiaTheme="minorEastAsia"/>
          <w:sz w:val="18"/>
          <w:szCs w:val="18"/>
          <w:shd w:fill="FFFF00" w:val="clear"/>
          <w14:ligatures w14:val="standardContextual"/>
        </w:rPr>
      </w:r>
    </w:p>
    <w:p>
      <w:pPr>
        <w:pStyle w:val="Normal"/>
        <w:rPr>
          <w:rFonts w:eastAsia="" w:cs="" w:cstheme="minorBidi" w:eastAsiaTheme="minorEastAsia"/>
          <w:highlight w:val="none"/>
          <w:shd w:fill="auto" w:val="clear"/>
          <w14:ligatures w14:val="standardContextual"/>
        </w:rPr>
      </w:pPr>
      <w:r>
        <w:rPr>
          <w:rFonts w:eastAsia="" w:cs="" w:cstheme="minorBidi" w:eastAsiaTheme="minorEastAsia"/>
          <w:sz w:val="18"/>
          <w:szCs w:val="18"/>
          <w:shd w:fill="auto" w:val="clear"/>
          <w14:ligatures w14:val="standardContextual"/>
        </w:rPr>
        <w:t xml:space="preserve">Alliance Biodiversity International – CIAT. (2023). </w:t>
      </w:r>
      <w:r>
        <w:rPr>
          <w:rFonts w:eastAsia="" w:cs="" w:cstheme="minorBidi" w:eastAsiaTheme="minorEastAsia"/>
          <w:i/>
          <w:iCs/>
          <w:sz w:val="18"/>
          <w:szCs w:val="18"/>
          <w:shd w:fill="auto" w:val="clear"/>
          <w14:ligatures w14:val="standardContextual"/>
        </w:rPr>
        <w:t>Livestock and pasture management practices in East Africa</w:t>
      </w:r>
      <w:r>
        <w:rPr>
          <w:rFonts w:eastAsia="" w:cs="" w:cstheme="minorBidi" w:eastAsiaTheme="minorEastAsia"/>
          <w:sz w:val="18"/>
          <w:szCs w:val="18"/>
          <w:shd w:fill="auto" w:val="clear"/>
          <w14:ligatures w14:val="standardContextual"/>
        </w:rPr>
        <w:t xml:space="preserve">. [Online]. Available at: https://alliancebioversityciat.org/stories/how-improved-livestock-and-pasture-management-practices-are-impacting-agro-pastoralists. [Accessed 29.01.25]. </w:t>
      </w:r>
    </w:p>
    <w:p>
      <w:pPr>
        <w:pStyle w:val="Normal"/>
        <w:rPr>
          <w:sz w:val="18"/>
          <w:szCs w:val="18"/>
        </w:rPr>
      </w:pPr>
      <w:r>
        <w:rPr>
          <w:sz w:val="18"/>
          <w:szCs w:val="18"/>
        </w:rPr>
      </w:r>
    </w:p>
    <w:p>
      <w:pPr>
        <w:pStyle w:val="Normal"/>
        <w:rPr/>
      </w:pPr>
      <w:r>
        <w:rPr>
          <w:rFonts w:eastAsia="" w:cs="" w:cstheme="minorBidi" w:eastAsiaTheme="minorEastAsia"/>
          <w:sz w:val="18"/>
          <w:szCs w:val="18"/>
          <w:shd w:fill="auto" w:val="clear"/>
          <w14:ligatures w14:val="standardContextual"/>
        </w:rPr>
        <w:t xml:space="preserve">Alliance for Science. (2021). </w:t>
      </w:r>
      <w:r>
        <w:rPr>
          <w:rFonts w:eastAsia="" w:cs="" w:cstheme="minorBidi" w:eastAsiaTheme="minorEastAsia"/>
          <w:i/>
          <w:iCs/>
          <w:sz w:val="18"/>
          <w:szCs w:val="18"/>
          <w:shd w:fill="auto" w:val="clear"/>
          <w14:ligatures w14:val="standardContextual"/>
        </w:rPr>
        <w:t>African farmers face new threats as invasive pests proliferate on a warming planet – Alliance for Science</w:t>
      </w:r>
      <w:r>
        <w:rPr>
          <w:rFonts w:eastAsia="" w:cs="" w:cstheme="minorBidi" w:eastAsiaTheme="minorEastAsia"/>
          <w:sz w:val="18"/>
          <w:szCs w:val="18"/>
          <w:shd w:fill="auto" w:val="clear"/>
          <w14:ligatures w14:val="standardContextual"/>
        </w:rPr>
        <w:t xml:space="preserve">. [Online]. Available at: </w:t>
      </w:r>
      <w:hyperlink r:id="rId12">
        <w:r>
          <w:rPr>
            <w:rStyle w:val="Hyperlink"/>
            <w:rFonts w:eastAsia="" w:cs="" w:cstheme="minorBidi" w:eastAsiaTheme="minorEastAsia"/>
            <w:sz w:val="18"/>
            <w:szCs w:val="18"/>
            <w:shd w:fill="auto" w:val="clear"/>
            <w14:ligatures w14:val="standardContextual"/>
          </w:rPr>
          <w:t>https://allianceforscience.org/blog/2021/05/african-farmers-face-new-threats-as-invasive-pests-proliferate-on-a-warming-planet/</w:t>
        </w:r>
      </w:hyperlink>
      <w:r>
        <w:rPr>
          <w:rFonts w:eastAsia="" w:cs="" w:cstheme="minorBidi" w:eastAsiaTheme="minorEastAsia"/>
          <w:sz w:val="18"/>
          <w:szCs w:val="18"/>
          <w:shd w:fill="auto" w:val="clear"/>
          <w14:ligatures w14:val="standardContextual"/>
        </w:rPr>
        <w:t>. [Accessed 27.01.25].</w:t>
      </w:r>
    </w:p>
    <w:p>
      <w:pPr>
        <w:pStyle w:val="Normal"/>
        <w:rPr>
          <w:sz w:val="18"/>
          <w:szCs w:val="18"/>
        </w:rPr>
      </w:pPr>
      <w:r>
        <w:rPr>
          <w:sz w:val="18"/>
          <w:szCs w:val="18"/>
        </w:rPr>
      </w:r>
    </w:p>
    <w:p>
      <w:pPr>
        <w:pStyle w:val="Normal"/>
        <w:rPr/>
      </w:pPr>
      <w:r>
        <w:rPr>
          <w:sz w:val="18"/>
          <w:szCs w:val="18"/>
        </w:rPr>
        <w:t>BBC (2020).</w:t>
      </w:r>
      <w:r>
        <w:rPr>
          <w:i/>
          <w:iCs/>
          <w:sz w:val="18"/>
          <w:szCs w:val="18"/>
        </w:rPr>
        <w:t xml:space="preserve"> Ethiopia’s Tigray crisis: The long, medium, and short story</w:t>
      </w:r>
      <w:r>
        <w:rPr>
          <w:sz w:val="18"/>
          <w:szCs w:val="18"/>
        </w:rPr>
        <w:t>. BBC News. [Online]. Available at: https://www.bbc.co.uk/news/world-africa-54964378. [Accessed 25.01.25].</w:t>
      </w:r>
    </w:p>
    <w:p>
      <w:pPr>
        <w:pStyle w:val="Normal"/>
        <w:rPr>
          <w:sz w:val="18"/>
          <w:szCs w:val="18"/>
        </w:rPr>
      </w:pPr>
      <w:r>
        <w:rPr>
          <w:sz w:val="18"/>
          <w:szCs w:val="18"/>
        </w:rPr>
      </w:r>
    </w:p>
    <w:p>
      <w:pPr>
        <w:pStyle w:val="Normal"/>
        <w:rPr>
          <w:sz w:val="18"/>
          <w:szCs w:val="18"/>
        </w:rPr>
      </w:pPr>
      <w:r>
        <w:rPr>
          <w:sz w:val="18"/>
          <w:szCs w:val="18"/>
        </w:rPr>
        <w:t xml:space="preserve">Council on Foreign Relations. (2022). </w:t>
      </w:r>
      <w:r>
        <w:rPr>
          <w:i/>
          <w:iCs/>
          <w:sz w:val="18"/>
          <w:szCs w:val="18"/>
        </w:rPr>
        <w:t>East Africa’s Growing Food Crisis: What to Know</w:t>
      </w:r>
      <w:r>
        <w:rPr>
          <w:sz w:val="18"/>
          <w:szCs w:val="18"/>
        </w:rPr>
        <w:t>. [Online]. Available at: https://www.cfr.org/in-brief/east-africas-growing-food-crisis-what-know. [Accessed 25.01.25].</w:t>
      </w:r>
    </w:p>
    <w:p>
      <w:pPr>
        <w:pStyle w:val="Normal"/>
        <w:rPr>
          <w:sz w:val="18"/>
          <w:szCs w:val="18"/>
          <w:shd w:fill="FFFF00" w:val="clear"/>
        </w:rPr>
      </w:pPr>
      <w:r>
        <w:rPr>
          <w:sz w:val="18"/>
          <w:szCs w:val="18"/>
          <w:shd w:fill="FFFF00" w:val="clear"/>
        </w:rPr>
      </w:r>
    </w:p>
    <w:p>
      <w:pPr>
        <w:pStyle w:val="Normal"/>
        <w:rPr>
          <w:sz w:val="18"/>
          <w:szCs w:val="18"/>
        </w:rPr>
      </w:pPr>
      <w:r>
        <w:rPr>
          <w:sz w:val="18"/>
          <w:szCs w:val="18"/>
        </w:rPr>
        <w:t xml:space="preserve">FAO et al (2018). </w:t>
      </w:r>
      <w:r>
        <w:rPr>
          <w:i/>
          <w:iCs/>
          <w:sz w:val="18"/>
          <w:szCs w:val="18"/>
        </w:rPr>
        <w:t>The State of Food Security and Nutrition in the World: Building climate resilience for food security and nutrition</w:t>
      </w:r>
      <w:r>
        <w:rPr>
          <w:sz w:val="18"/>
          <w:szCs w:val="18"/>
        </w:rPr>
        <w:t>. Food &amp; Agriculture Org. [Accessed 25.01.25].</w:t>
      </w:r>
    </w:p>
    <w:p>
      <w:pPr>
        <w:pStyle w:val="Normal"/>
        <w:rPr>
          <w:sz w:val="18"/>
          <w:szCs w:val="18"/>
          <w:shd w:fill="FFFF00" w:val="clear"/>
        </w:rPr>
      </w:pPr>
      <w:r>
        <w:rPr>
          <w:sz w:val="18"/>
          <w:szCs w:val="18"/>
          <w:shd w:fill="FFFF00" w:val="clear"/>
        </w:rPr>
      </w:r>
    </w:p>
    <w:p>
      <w:pPr>
        <w:pStyle w:val="Normal"/>
        <w:rPr/>
      </w:pPr>
      <w:r>
        <w:rPr>
          <w:sz w:val="18"/>
          <w:szCs w:val="18"/>
        </w:rPr>
        <w:t xml:space="preserve">Gupta, H. (2023). </w:t>
      </w:r>
      <w:r>
        <w:rPr>
          <w:i/>
          <w:iCs/>
          <w:sz w:val="18"/>
          <w:szCs w:val="18"/>
        </w:rPr>
        <w:t>How climate change is accelerating the global food crisis</w:t>
      </w:r>
      <w:r>
        <w:rPr>
          <w:sz w:val="18"/>
          <w:szCs w:val="18"/>
        </w:rPr>
        <w:t xml:space="preserve">. [Online] World Economic Forum. Available at: </w:t>
      </w:r>
      <w:hyperlink r:id="rId13">
        <w:r>
          <w:rPr>
            <w:rStyle w:val="Hyperlink"/>
            <w:sz w:val="18"/>
            <w:szCs w:val="18"/>
          </w:rPr>
          <w:t>https://www.weforum.org/stories/2023/07/climate-change-is-accelerating-the-global-food-crisis-we-must-act-now-to-protect-the-most-vulnerable/</w:t>
        </w:r>
      </w:hyperlink>
      <w:r>
        <w:rPr>
          <w:sz w:val="18"/>
          <w:szCs w:val="18"/>
        </w:rPr>
        <w:t>. [Accessed 25.01.25].</w:t>
      </w:r>
    </w:p>
    <w:p>
      <w:pPr>
        <w:pStyle w:val="Normal"/>
        <w:rPr>
          <w:sz w:val="18"/>
          <w:szCs w:val="18"/>
          <w:shd w:fill="FFFF00" w:val="clear"/>
        </w:rPr>
      </w:pPr>
      <w:r>
        <w:rPr>
          <w:sz w:val="18"/>
          <w:szCs w:val="18"/>
          <w:shd w:fill="FFFF00" w:val="clear"/>
        </w:rPr>
      </w:r>
    </w:p>
    <w:p>
      <w:pPr>
        <w:pStyle w:val="Normal"/>
        <w:rPr>
          <w:sz w:val="18"/>
          <w:szCs w:val="18"/>
        </w:rPr>
      </w:pPr>
      <w:r>
        <w:rPr>
          <w:sz w:val="18"/>
          <w:szCs w:val="18"/>
        </w:rPr>
        <w:t xml:space="preserve">Islam, M.S., Samreth, S., Islam, A.H.Md.S. and Sato, M. (2022). </w:t>
      </w:r>
      <w:r>
        <w:rPr>
          <w:i/>
          <w:iCs/>
          <w:sz w:val="18"/>
          <w:szCs w:val="18"/>
        </w:rPr>
        <w:t>Climate change, climatic extremes, and households’ food consumption in Bangladesh: A longitudinal data analysis</w:t>
      </w:r>
      <w:r>
        <w:rPr>
          <w:sz w:val="18"/>
          <w:szCs w:val="18"/>
        </w:rPr>
        <w:t xml:space="preserve">. Environmental Challenges, 7, p.100495. Doi: https://doi.org/10.1016/j.envc.2022.100495. </w:t>
      </w:r>
    </w:p>
    <w:p>
      <w:pPr>
        <w:pStyle w:val="Normal"/>
        <w:rPr>
          <w:sz w:val="18"/>
          <w:szCs w:val="18"/>
        </w:rPr>
      </w:pPr>
      <w:r>
        <w:rPr>
          <w:sz w:val="18"/>
          <w:szCs w:val="18"/>
        </w:rPr>
      </w:r>
    </w:p>
    <w:p>
      <w:pPr>
        <w:pStyle w:val="Normal"/>
        <w:rPr>
          <w:sz w:val="18"/>
          <w:szCs w:val="18"/>
        </w:rPr>
      </w:pPr>
      <w:r>
        <w:rPr>
          <w:sz w:val="18"/>
          <w:szCs w:val="18"/>
        </w:rPr>
        <w:t xml:space="preserve">Met Office (2022). </w:t>
      </w:r>
      <w:r>
        <w:rPr>
          <w:i/>
          <w:iCs/>
          <w:sz w:val="18"/>
          <w:szCs w:val="18"/>
        </w:rPr>
        <w:t>Impacts on food security</w:t>
      </w:r>
      <w:r>
        <w:rPr>
          <w:sz w:val="18"/>
          <w:szCs w:val="18"/>
        </w:rPr>
        <w:t>. [Online]. Met Office. Available at: https://www.metoffice.gov.uk/research/climate/climate-impacts/food-security/impacts-on-food-security. [Accessed 18.01.25].</w:t>
      </w:r>
    </w:p>
    <w:p>
      <w:pPr>
        <w:pStyle w:val="Normal"/>
        <w:rPr>
          <w:sz w:val="18"/>
          <w:szCs w:val="18"/>
        </w:rPr>
      </w:pPr>
      <w:r>
        <w:rPr>
          <w:sz w:val="18"/>
          <w:szCs w:val="18"/>
        </w:rPr>
      </w:r>
    </w:p>
    <w:p>
      <w:pPr>
        <w:pStyle w:val="Normal"/>
        <w:rPr>
          <w:sz w:val="18"/>
          <w:szCs w:val="18"/>
        </w:rPr>
      </w:pPr>
      <w:r>
        <w:rPr>
          <w:sz w:val="18"/>
          <w:szCs w:val="18"/>
        </w:rPr>
        <w:t xml:space="preserve">Mirzabaev, A., Bezner Kerr, R., Hasegawa, T., Pradhan, P., Wreford, A., Cristina Tirado von der Pahlen, M. and Gurney-Smith, H. (2023). </w:t>
      </w:r>
      <w:r>
        <w:rPr>
          <w:i/>
          <w:iCs/>
          <w:sz w:val="18"/>
          <w:szCs w:val="18"/>
        </w:rPr>
        <w:t>Severe climate change risks to food security and nutrition</w:t>
      </w:r>
      <w:r>
        <w:rPr>
          <w:sz w:val="18"/>
          <w:szCs w:val="18"/>
        </w:rPr>
        <w:t xml:space="preserve">. Climate Risk Management. [Online]. 39(100473), p.100473. Doi: https://doi.org/10.1016/j.crm.2022.100473. </w:t>
      </w:r>
    </w:p>
    <w:p>
      <w:pPr>
        <w:pStyle w:val="Normal"/>
        <w:rPr>
          <w:sz w:val="18"/>
          <w:szCs w:val="18"/>
        </w:rPr>
      </w:pPr>
      <w:r>
        <w:rPr>
          <w:sz w:val="18"/>
          <w:szCs w:val="18"/>
        </w:rPr>
      </w:r>
    </w:p>
    <w:p>
      <w:pPr>
        <w:pStyle w:val="Normal"/>
        <w:rPr>
          <w:rFonts w:eastAsia="" w:cs="" w:cstheme="minorBidi" w:eastAsiaTheme="minorEastAsia"/>
          <w:highlight w:val="none"/>
          <w:shd w:fill="auto" w:val="clear"/>
          <w14:ligatures w14:val="standardContextual"/>
        </w:rPr>
      </w:pPr>
      <w:r>
        <w:rPr>
          <w:rFonts w:eastAsia="" w:cs="" w:cstheme="minorBidi" w:eastAsiaTheme="minorEastAsia"/>
          <w:sz w:val="18"/>
          <w:szCs w:val="18"/>
          <w:shd w:fill="auto" w:val="clear"/>
          <w14:ligatures w14:val="standardContextual"/>
        </w:rPr>
        <w:t xml:space="preserve">Mohan, N., Jhandai, S., Bhadu, S., Sharma, L., Kaur, T., Saharan, V. and Pal, A. (2023). </w:t>
      </w:r>
      <w:r>
        <w:rPr>
          <w:rFonts w:eastAsia="" w:cs="" w:cstheme="minorBidi" w:eastAsiaTheme="minorEastAsia"/>
          <w:i/>
          <w:iCs/>
          <w:sz w:val="18"/>
          <w:szCs w:val="18"/>
          <w:shd w:fill="auto" w:val="clear"/>
          <w14:ligatures w14:val="standardContextual"/>
        </w:rPr>
        <w:t>Acclimation response and management strategies to combat heat stress in wheat for sustainable agriculture: A state-of-the-art review</w:t>
      </w:r>
      <w:r>
        <w:rPr>
          <w:rFonts w:eastAsia="" w:cs="" w:cstheme="minorBidi" w:eastAsiaTheme="minorEastAsia"/>
          <w:sz w:val="18"/>
          <w:szCs w:val="18"/>
          <w:shd w:fill="auto" w:val="clear"/>
          <w14:ligatures w14:val="standardContextual"/>
        </w:rPr>
        <w:t xml:space="preserve">. Plant Science: An International Journal of Experimental Plant Biology. [Online]. 336, p.111834. Doi: https://doi.org/10.1016/j.plantsci.2023.111834. </w:t>
      </w:r>
    </w:p>
    <w:p>
      <w:pPr>
        <w:pStyle w:val="Normal"/>
        <w:rPr>
          <w:sz w:val="18"/>
          <w:szCs w:val="18"/>
        </w:rPr>
      </w:pPr>
      <w:r>
        <w:rPr>
          <w:sz w:val="18"/>
          <w:szCs w:val="18"/>
        </w:rPr>
      </w:r>
    </w:p>
    <w:p>
      <w:pPr>
        <w:pStyle w:val="Normal"/>
        <w:rPr/>
      </w:pPr>
      <w:r>
        <w:rPr>
          <w:rFonts w:eastAsia="" w:cs="" w:cstheme="minorBidi" w:eastAsiaTheme="minorEastAsia"/>
          <w:sz w:val="18"/>
          <w:szCs w:val="18"/>
          <w:shd w:fill="auto" w:val="clear"/>
          <w14:ligatures w14:val="standardContextual"/>
        </w:rPr>
        <w:t xml:space="preserve">OECD (2024). </w:t>
      </w:r>
      <w:r>
        <w:rPr>
          <w:rFonts w:eastAsia="" w:cs="" w:cstheme="minorBidi" w:eastAsiaTheme="minorEastAsia"/>
          <w:i/>
          <w:iCs/>
          <w:sz w:val="18"/>
          <w:szCs w:val="18"/>
          <w:shd w:fill="auto" w:val="clear"/>
          <w14:ligatures w14:val="standardContextual"/>
        </w:rPr>
        <w:t>Social issues in agriculture in rural areas</w:t>
      </w:r>
      <w:r>
        <w:rPr>
          <w:rFonts w:eastAsia="" w:cs="" w:cstheme="minorBidi" w:eastAsiaTheme="minorEastAsia"/>
          <w:sz w:val="18"/>
          <w:szCs w:val="18"/>
          <w:shd w:fill="auto" w:val="clear"/>
          <w14:ligatures w14:val="standardContextual"/>
        </w:rPr>
        <w:t xml:space="preserve">. [Online]. Available at: </w:t>
      </w:r>
      <w:hyperlink r:id="rId14">
        <w:r>
          <w:rPr>
            <w:rStyle w:val="Hyperlink"/>
            <w:rFonts w:eastAsia="" w:cs="" w:cstheme="minorBidi" w:eastAsiaTheme="minorEastAsia"/>
            <w:sz w:val="18"/>
            <w:szCs w:val="18"/>
            <w:shd w:fill="auto" w:val="clear"/>
            <w14:ligatures w14:val="standardContextual"/>
          </w:rPr>
          <w:t>https://www.oecd.org/en/publications/social-issues-in-agriculture-in-rural-areas_fec15b38-en.html</w:t>
        </w:r>
      </w:hyperlink>
      <w:r>
        <w:rPr>
          <w:rFonts w:eastAsia="" w:cs="" w:cstheme="minorBidi" w:eastAsiaTheme="minorEastAsia"/>
          <w:sz w:val="18"/>
          <w:szCs w:val="18"/>
          <w:shd w:fill="auto" w:val="clear"/>
          <w14:ligatures w14:val="standardContextual"/>
        </w:rPr>
        <w:t>. [Accessed 29.01.25].</w:t>
      </w:r>
    </w:p>
    <w:p>
      <w:pPr>
        <w:pStyle w:val="Normal"/>
        <w:rPr>
          <w:sz w:val="18"/>
          <w:szCs w:val="18"/>
        </w:rPr>
      </w:pPr>
      <w:r>
        <w:rPr>
          <w:sz w:val="18"/>
          <w:szCs w:val="18"/>
        </w:rPr>
      </w:r>
    </w:p>
    <w:p>
      <w:pPr>
        <w:pStyle w:val="Normal"/>
        <w:rPr>
          <w:rFonts w:eastAsia="" w:cs="" w:cstheme="minorBidi" w:eastAsiaTheme="minorEastAsia"/>
          <w:highlight w:val="none"/>
          <w:shd w:fill="auto" w:val="clear"/>
          <w14:ligatures w14:val="standardContextual"/>
        </w:rPr>
      </w:pPr>
      <w:r>
        <w:rPr>
          <w:rFonts w:eastAsia="" w:cs="" w:cstheme="minorBidi" w:eastAsiaTheme="minorEastAsia"/>
          <w:sz w:val="18"/>
          <w:szCs w:val="18"/>
          <w:shd w:fill="auto" w:val="clear"/>
          <w14:ligatures w14:val="standardContextual"/>
        </w:rPr>
        <w:t xml:space="preserve">Owolade, A., Abdullateef, R.O., Adesola, R.O. and Olaloye, E.D. (2022). </w:t>
      </w:r>
      <w:r>
        <w:rPr>
          <w:rFonts w:eastAsia="" w:cs="" w:cstheme="minorBidi" w:eastAsiaTheme="minorEastAsia"/>
          <w:i/>
          <w:iCs/>
          <w:sz w:val="18"/>
          <w:szCs w:val="18"/>
          <w:shd w:fill="auto" w:val="clear"/>
          <w14:ligatures w14:val="standardContextual"/>
        </w:rPr>
        <w:t>Malnutrition: An underlying health condition faced in sub Saharan Africa: Challenges and recommendations</w:t>
      </w:r>
      <w:r>
        <w:rPr>
          <w:rFonts w:eastAsia="" w:cs="" w:cstheme="minorBidi" w:eastAsiaTheme="minorEastAsia"/>
          <w:sz w:val="18"/>
          <w:szCs w:val="18"/>
          <w:shd w:fill="auto" w:val="clear"/>
          <w14:ligatures w14:val="standardContextual"/>
        </w:rPr>
        <w:t xml:space="preserve">. Annals of Medicine and Surgery, 82, p.104769. Doi: https://doi.org/10.1016/j.amsu.2022.104769. </w:t>
      </w:r>
    </w:p>
    <w:p>
      <w:pPr>
        <w:pStyle w:val="Normal"/>
        <w:rPr>
          <w:sz w:val="18"/>
          <w:szCs w:val="18"/>
        </w:rPr>
      </w:pPr>
      <w:r>
        <w:rPr>
          <w:sz w:val="18"/>
          <w:szCs w:val="18"/>
        </w:rPr>
      </w:r>
    </w:p>
    <w:p>
      <w:pPr>
        <w:pStyle w:val="Normal"/>
        <w:rPr>
          <w:rFonts w:eastAsia="" w:cs="" w:cstheme="minorBidi" w:eastAsiaTheme="minorEastAsia"/>
          <w:highlight w:val="none"/>
          <w:shd w:fill="auto" w:val="clear"/>
          <w14:ligatures w14:val="standardContextual"/>
        </w:rPr>
      </w:pPr>
      <w:r>
        <w:rPr>
          <w:rFonts w:eastAsia="" w:cs="" w:cstheme="minorBidi" w:eastAsiaTheme="minorEastAsia"/>
          <w:sz w:val="18"/>
          <w:szCs w:val="18"/>
          <w:shd w:fill="auto" w:val="clear"/>
          <w14:ligatures w14:val="standardContextual"/>
        </w:rPr>
        <w:t xml:space="preserve">Reed, C., Anderson, W., Kruczkiewicz, A., Nakamura, J., Gallo, D., Seager, R. and McDermid, S.S. (2022). </w:t>
      </w:r>
      <w:r>
        <w:rPr>
          <w:rFonts w:eastAsia="" w:cs="" w:cstheme="minorBidi" w:eastAsiaTheme="minorEastAsia"/>
          <w:i/>
          <w:iCs/>
          <w:sz w:val="18"/>
          <w:szCs w:val="18"/>
          <w:shd w:fill="auto" w:val="clear"/>
          <w14:ligatures w14:val="standardContextual"/>
        </w:rPr>
        <w:t>The impact of flooding on food security across Africa</w:t>
      </w:r>
      <w:r>
        <w:rPr>
          <w:rFonts w:eastAsia="" w:cs="" w:cstheme="minorBidi" w:eastAsiaTheme="minorEastAsia"/>
          <w:sz w:val="18"/>
          <w:szCs w:val="18"/>
          <w:shd w:fill="auto" w:val="clear"/>
          <w14:ligatures w14:val="standardContextual"/>
        </w:rPr>
        <w:t>. Proceedings of the National Academy of Sciences, 119(43). Doi: https://doi.org/10.1073/pnas.2119399119.</w:t>
      </w:r>
    </w:p>
    <w:p>
      <w:pPr>
        <w:pStyle w:val="Normal"/>
        <w:rPr>
          <w:sz w:val="18"/>
          <w:szCs w:val="18"/>
          <w:shd w:fill="FFFF00" w:val="clear"/>
        </w:rPr>
      </w:pPr>
      <w:r>
        <w:rPr>
          <w:sz w:val="18"/>
          <w:szCs w:val="18"/>
          <w:shd w:fill="FFFF00" w:val="clear"/>
        </w:rPr>
      </w:r>
    </w:p>
    <w:p>
      <w:pPr>
        <w:pStyle w:val="Normal"/>
        <w:rPr>
          <w:sz w:val="18"/>
          <w:szCs w:val="18"/>
        </w:rPr>
      </w:pPr>
      <w:r>
        <w:rPr>
          <w:sz w:val="18"/>
          <w:szCs w:val="18"/>
        </w:rPr>
        <w:t xml:space="preserve">Relief Web (2023). </w:t>
      </w:r>
      <w:r>
        <w:rPr>
          <w:i/>
          <w:iCs/>
          <w:sz w:val="18"/>
          <w:szCs w:val="18"/>
        </w:rPr>
        <w:t xml:space="preserve">Africa – Regional Overview of Food Security and Nutrition 2023. </w:t>
      </w:r>
      <w:r>
        <w:rPr>
          <w:sz w:val="18"/>
          <w:szCs w:val="18"/>
        </w:rPr>
        <w:t>reliefweb.int. [Online]. Available at: https://reliefweb.int/report/world/africa-regional-overview-food-security-and-nutrition-2023. [Accessed 23.01.25].</w:t>
      </w:r>
    </w:p>
    <w:p>
      <w:pPr>
        <w:pStyle w:val="Normal"/>
        <w:rPr>
          <w:sz w:val="18"/>
          <w:szCs w:val="18"/>
        </w:rPr>
      </w:pPr>
      <w:r>
        <w:rPr>
          <w:sz w:val="18"/>
          <w:szCs w:val="18"/>
        </w:rPr>
      </w:r>
    </w:p>
    <w:p>
      <w:pPr>
        <w:pStyle w:val="Normal"/>
        <w:rPr>
          <w:rFonts w:eastAsia="" w:cs="" w:cstheme="minorBidi" w:eastAsiaTheme="minorEastAsia"/>
          <w:highlight w:val="none"/>
          <w:shd w:fill="auto" w:val="clear"/>
          <w14:ligatures w14:val="standardContextual"/>
        </w:rPr>
      </w:pPr>
      <w:r>
        <w:rPr>
          <w:rFonts w:eastAsia="" w:cs="" w:cstheme="minorBidi" w:eastAsiaTheme="minorEastAsia"/>
          <w:sz w:val="18"/>
          <w:szCs w:val="18"/>
          <w:shd w:fill="auto" w:val="clear"/>
          <w14:ligatures w14:val="standardContextual"/>
        </w:rPr>
        <w:t xml:space="preserve">Robson, F., Hird, D.L. and Boa, E. (2023). </w:t>
      </w:r>
      <w:r>
        <w:rPr>
          <w:rFonts w:eastAsia="" w:cs="" w:cstheme="minorBidi" w:eastAsiaTheme="minorEastAsia"/>
          <w:i/>
          <w:iCs/>
          <w:sz w:val="18"/>
          <w:szCs w:val="18"/>
          <w:shd w:fill="auto" w:val="clear"/>
          <w14:ligatures w14:val="standardContextual"/>
        </w:rPr>
        <w:t>Cassava brown streak: A deadly virus on the move</w:t>
      </w:r>
      <w:r>
        <w:rPr>
          <w:rFonts w:eastAsia="" w:cs="" w:cstheme="minorBidi" w:eastAsiaTheme="minorEastAsia"/>
          <w:sz w:val="18"/>
          <w:szCs w:val="18"/>
          <w:shd w:fill="auto" w:val="clear"/>
          <w14:ligatures w14:val="standardContextual"/>
        </w:rPr>
        <w:t xml:space="preserve">. Plant pathology. Doi: https://doi.org/10.1111/ppa.13807. </w:t>
      </w:r>
    </w:p>
    <w:p>
      <w:pPr>
        <w:pStyle w:val="Normal"/>
        <w:rPr>
          <w:sz w:val="18"/>
          <w:szCs w:val="18"/>
          <w:shd w:fill="FFFF00" w:val="clear"/>
        </w:rPr>
      </w:pPr>
      <w:r>
        <w:rPr>
          <w:sz w:val="18"/>
          <w:szCs w:val="18"/>
          <w:shd w:fill="FFFF00" w:val="clear"/>
        </w:rPr>
      </w:r>
    </w:p>
    <w:p>
      <w:pPr>
        <w:pStyle w:val="Normal"/>
        <w:rPr>
          <w:highlight w:val="none"/>
          <w:shd w:fill="auto" w:val="clear"/>
        </w:rPr>
      </w:pPr>
      <w:r>
        <w:rPr>
          <w:sz w:val="18"/>
          <w:szCs w:val="18"/>
          <w:shd w:fill="auto" w:val="clear"/>
        </w:rPr>
        <w:t xml:space="preserve">Saunders, J. and Smith, T. (2010). </w:t>
      </w:r>
      <w:r>
        <w:rPr>
          <w:i/>
          <w:iCs/>
          <w:sz w:val="18"/>
          <w:szCs w:val="18"/>
          <w:shd w:fill="auto" w:val="clear"/>
        </w:rPr>
        <w:t>Malnutrition: Causes and Consequences</w:t>
      </w:r>
      <w:r>
        <w:rPr>
          <w:sz w:val="18"/>
          <w:szCs w:val="18"/>
          <w:shd w:fill="auto" w:val="clear"/>
        </w:rPr>
        <w:t xml:space="preserve">. Clinical Medicine. [Online]. 10(6), pp.624–627. Doi: https://doi.org/10.7861/clinmedicine.10-6-624. </w:t>
      </w:r>
    </w:p>
    <w:p>
      <w:pPr>
        <w:pStyle w:val="Normal"/>
        <w:rPr>
          <w:sz w:val="18"/>
          <w:szCs w:val="18"/>
          <w:shd w:fill="FFFF00" w:val="clear"/>
        </w:rPr>
      </w:pPr>
      <w:r>
        <w:rPr>
          <w:sz w:val="18"/>
          <w:szCs w:val="18"/>
          <w:shd w:fill="FFFF00" w:val="clear"/>
        </w:rPr>
      </w:r>
    </w:p>
    <w:p>
      <w:pPr>
        <w:pStyle w:val="Normal"/>
        <w:rPr>
          <w:sz w:val="18"/>
          <w:szCs w:val="18"/>
          <w:highlight w:val="none"/>
          <w:shd w:fill="auto" w:val="clear"/>
        </w:rPr>
      </w:pPr>
      <w:r>
        <w:rPr>
          <w:sz w:val="18"/>
          <w:szCs w:val="18"/>
          <w:shd w:fill="auto" w:val="clear"/>
        </w:rPr>
        <w:t xml:space="preserve">Statista. (2022). </w:t>
      </w:r>
      <w:r>
        <w:rPr>
          <w:i/>
          <w:iCs/>
          <w:sz w:val="18"/>
          <w:szCs w:val="18"/>
          <w:shd w:fill="auto" w:val="clear"/>
        </w:rPr>
        <w:t>Africa: CO2 emissions by country</w:t>
      </w:r>
      <w:r>
        <w:rPr>
          <w:sz w:val="18"/>
          <w:szCs w:val="18"/>
          <w:shd w:fill="auto" w:val="clear"/>
        </w:rPr>
        <w:t>. [Online]. Available at: https://www.statista.com/statistics/1268395/production-based-co2-emissions-in-africa-by-country/. [Accessed 31.01.25].</w:t>
      </w:r>
    </w:p>
    <w:p>
      <w:pPr>
        <w:pStyle w:val="Normal"/>
        <w:rPr>
          <w:sz w:val="18"/>
          <w:szCs w:val="18"/>
          <w:shd w:fill="FFFF00" w:val="clear"/>
        </w:rPr>
      </w:pPr>
      <w:r>
        <w:rPr>
          <w:sz w:val="18"/>
          <w:szCs w:val="18"/>
          <w:shd w:fill="FFFF00" w:val="clear"/>
        </w:rPr>
      </w:r>
    </w:p>
    <w:p>
      <w:pPr>
        <w:pStyle w:val="Normal"/>
        <w:rPr>
          <w:sz w:val="18"/>
          <w:szCs w:val="18"/>
        </w:rPr>
      </w:pPr>
      <w:r>
        <w:rPr>
          <w:sz w:val="18"/>
          <w:szCs w:val="18"/>
        </w:rPr>
        <w:t xml:space="preserve">Times Agriculture (2023). </w:t>
      </w:r>
      <w:r>
        <w:rPr>
          <w:i/>
          <w:iCs/>
          <w:sz w:val="18"/>
          <w:szCs w:val="18"/>
        </w:rPr>
        <w:t>Subsistence Farming in a Modern World</w:t>
      </w:r>
      <w:r>
        <w:rPr>
          <w:sz w:val="18"/>
          <w:szCs w:val="18"/>
        </w:rPr>
        <w:t xml:space="preserve"> </w:t>
      </w:r>
      <w:r>
        <w:rPr>
          <w:i/>
          <w:iCs/>
          <w:sz w:val="18"/>
          <w:szCs w:val="18"/>
        </w:rPr>
        <w:t>| Complete Overview</w:t>
      </w:r>
      <w:r>
        <w:rPr>
          <w:sz w:val="18"/>
          <w:szCs w:val="18"/>
        </w:rPr>
        <w:t xml:space="preserve">. [Online]. Times Agriculture. Available at: https://timesagriculture.com/subsistence-farming-in-a-modern-world-complete-overview/. [Accessed 18.01.25]. </w:t>
      </w:r>
    </w:p>
    <w:p>
      <w:pPr>
        <w:pStyle w:val="Normal"/>
        <w:rPr>
          <w:sz w:val="18"/>
          <w:szCs w:val="18"/>
        </w:rPr>
      </w:pPr>
      <w:r>
        <w:rPr>
          <w:sz w:val="18"/>
          <w:szCs w:val="18"/>
        </w:rPr>
      </w:r>
    </w:p>
    <w:p>
      <w:pPr>
        <w:pStyle w:val="Normal"/>
        <w:rPr>
          <w:rFonts w:eastAsia="" w:cs="" w:cstheme="minorBidi" w:eastAsiaTheme="minorEastAsia"/>
          <w:highlight w:val="none"/>
          <w:shd w:fill="auto" w:val="clear"/>
          <w14:ligatures w14:val="standardContextual"/>
        </w:rPr>
      </w:pPr>
      <w:r>
        <w:rPr>
          <w:rFonts w:eastAsia="" w:cs="" w:cstheme="minorBidi" w:eastAsiaTheme="minorEastAsia"/>
          <w:sz w:val="18"/>
          <w:szCs w:val="18"/>
          <w:shd w:fill="auto" w:val="clear"/>
          <w14:ligatures w14:val="standardContextual"/>
        </w:rPr>
        <w:t xml:space="preserve">United Nations (2018). </w:t>
      </w:r>
      <w:r>
        <w:rPr>
          <w:rFonts w:eastAsia="" w:cs="" w:cstheme="minorBidi" w:eastAsiaTheme="minorEastAsia"/>
          <w:i/>
          <w:iCs/>
          <w:sz w:val="18"/>
          <w:szCs w:val="18"/>
          <w:shd w:fill="auto" w:val="clear"/>
          <w14:ligatures w14:val="standardContextual"/>
        </w:rPr>
        <w:t>Pastoralism and Security in West Africa and the Sahel Towards Peaceful Coexistence</w:t>
      </w:r>
      <w:r>
        <w:rPr>
          <w:rFonts w:eastAsia="" w:cs="" w:cstheme="minorBidi" w:eastAsiaTheme="minorEastAsia"/>
          <w:sz w:val="18"/>
          <w:szCs w:val="18"/>
          <w:shd w:fill="auto" w:val="clear"/>
          <w14:ligatures w14:val="standardContextual"/>
        </w:rPr>
        <w:t xml:space="preserve">. [Online]. Available at: https://unowas.unmissions.org/sites/default/files/rapport_pastoralisme_eng-april_2019_-_online.pdf. [Accessed 29.01.25]. </w:t>
      </w:r>
    </w:p>
    <w:p>
      <w:pPr>
        <w:pStyle w:val="Normal"/>
        <w:rPr>
          <w:rFonts w:eastAsia="" w:cs=""/>
          <w:sz w:val="18"/>
          <w:szCs w:val="18"/>
        </w:rPr>
      </w:pPr>
      <w:r>
        <w:rPr>
          <w:rFonts w:eastAsia="" w:cs=""/>
          <w:sz w:val="18"/>
          <w:szCs w:val="18"/>
        </w:rPr>
      </w:r>
    </w:p>
    <w:p>
      <w:pPr>
        <w:pStyle w:val="Normal"/>
        <w:rPr>
          <w:rFonts w:eastAsia="" w:cs="" w:cstheme="minorBidi" w:eastAsiaTheme="minorEastAsia"/>
          <w:highlight w:val="none"/>
          <w:shd w:fill="auto" w:val="clear"/>
          <w14:ligatures w14:val="standardContextual"/>
        </w:rPr>
      </w:pPr>
      <w:r>
        <w:rPr>
          <w:rFonts w:eastAsia="" w:cs="" w:cstheme="minorBidi" w:eastAsiaTheme="minorEastAsia"/>
          <w:sz w:val="18"/>
          <w:szCs w:val="18"/>
          <w:shd w:fill="auto" w:val="clear"/>
          <w14:ligatures w14:val="standardContextual"/>
        </w:rPr>
        <w:t xml:space="preserve">United Nations (2023). </w:t>
      </w:r>
      <w:r>
        <w:rPr>
          <w:rFonts w:eastAsia="" w:cs="" w:cstheme="minorBidi" w:eastAsiaTheme="minorEastAsia"/>
          <w:i/>
          <w:iCs/>
          <w:sz w:val="18"/>
          <w:szCs w:val="18"/>
          <w:shd w:fill="auto" w:val="clear"/>
          <w14:ligatures w14:val="standardContextual"/>
        </w:rPr>
        <w:t>Great Green Wall Initiative.</w:t>
      </w:r>
      <w:r>
        <w:rPr>
          <w:rFonts w:eastAsia="" w:cs="" w:cstheme="minorBidi" w:eastAsiaTheme="minorEastAsia"/>
          <w:sz w:val="18"/>
          <w:szCs w:val="18"/>
          <w:shd w:fill="auto" w:val="clear"/>
          <w14:ligatures w14:val="standardContextual"/>
        </w:rPr>
        <w:t xml:space="preserve"> UNCCD. [Online]. www.unccd.int. Available at: https://www.unccd.int/our-work/ggwi. [Accessed 31.01.25].</w:t>
      </w:r>
    </w:p>
    <w:p>
      <w:pPr>
        <w:pStyle w:val="Normal"/>
        <w:rPr>
          <w:sz w:val="18"/>
          <w:szCs w:val="18"/>
        </w:rPr>
      </w:pPr>
      <w:r>
        <w:rPr>
          <w:sz w:val="18"/>
          <w:szCs w:val="18"/>
        </w:rPr>
      </w:r>
    </w:p>
    <w:p>
      <w:pPr>
        <w:pStyle w:val="Normal"/>
        <w:rPr>
          <w:sz w:val="18"/>
          <w:szCs w:val="18"/>
        </w:rPr>
      </w:pPr>
      <w:r>
        <w:rPr>
          <w:sz w:val="18"/>
          <w:szCs w:val="18"/>
        </w:rPr>
        <w:t xml:space="preserve">US Department of Agriculture (2025). </w:t>
      </w:r>
      <w:r>
        <w:rPr>
          <w:i/>
          <w:iCs/>
          <w:sz w:val="18"/>
          <w:szCs w:val="18"/>
        </w:rPr>
        <w:t>Agriculture and Food Statistics: Charting the Essentials – Food Prices and Spending.</w:t>
      </w:r>
      <w:r>
        <w:rPr>
          <w:sz w:val="18"/>
          <w:szCs w:val="18"/>
        </w:rPr>
        <w:t xml:space="preserve"> Economic Research Service. [Online]. Available at: https://www.ers.usda.gov/data-products/ag-and-food-statistics-charting-the-essentials/food-prices-and-spending?topicId=3c3d8d77-83ee-40a7-8947-49ad885571fa. [Accessed 22.01.25]. </w:t>
      </w:r>
    </w:p>
    <w:p>
      <w:pPr>
        <w:pStyle w:val="Normal"/>
        <w:rPr>
          <w:sz w:val="18"/>
          <w:szCs w:val="18"/>
          <w:shd w:fill="FFFF00" w:val="clear"/>
        </w:rPr>
      </w:pPr>
      <w:r>
        <w:rPr>
          <w:sz w:val="18"/>
          <w:szCs w:val="18"/>
          <w:shd w:fill="FFFF00" w:val="clear"/>
        </w:rPr>
      </w:r>
    </w:p>
    <w:p>
      <w:pPr>
        <w:pStyle w:val="Normal"/>
        <w:rPr>
          <w:sz w:val="18"/>
          <w:szCs w:val="18"/>
        </w:rPr>
      </w:pPr>
      <w:r>
        <w:rPr>
          <w:sz w:val="18"/>
          <w:szCs w:val="18"/>
        </w:rPr>
        <w:t xml:space="preserve">World Food Programme (2019). </w:t>
      </w:r>
      <w:r>
        <w:rPr>
          <w:i/>
          <w:iCs/>
          <w:sz w:val="18"/>
          <w:szCs w:val="18"/>
        </w:rPr>
        <w:t>Somalia\ World Food Programme</w:t>
      </w:r>
      <w:r>
        <w:rPr>
          <w:sz w:val="18"/>
          <w:szCs w:val="18"/>
        </w:rPr>
        <w:t>. [Online]. Wfp.org. Available at: https://www.wfp.org/countries/somalia. [Accessed 26.01.25].</w:t>
      </w:r>
    </w:p>
    <w:p>
      <w:pPr>
        <w:pStyle w:val="Normal"/>
        <w:rPr>
          <w:sz w:val="18"/>
          <w:szCs w:val="18"/>
          <w:shd w:fill="FFFF00" w:val="clear"/>
        </w:rPr>
      </w:pPr>
      <w:r>
        <w:rPr>
          <w:sz w:val="18"/>
          <w:szCs w:val="18"/>
          <w:shd w:fill="FFFF00" w:val="clear"/>
        </w:rPr>
      </w:r>
    </w:p>
    <w:p>
      <w:pPr>
        <w:pStyle w:val="Normal"/>
        <w:rPr>
          <w:rFonts w:eastAsia="" w:cs="" w:cstheme="minorBidi" w:eastAsiaTheme="minorEastAsia"/>
          <w:highlight w:val="none"/>
          <w:shd w:fill="FFFF00" w:val="clear"/>
          <w14:ligatures w14:val="standardContextual"/>
        </w:rPr>
      </w:pPr>
      <w:r>
        <w:rPr>
          <w:rFonts w:eastAsia="" w:cs="" w:cstheme="minorBidi" w:eastAsiaTheme="minorEastAsia"/>
          <w:sz w:val="18"/>
          <w:szCs w:val="18"/>
          <w:shd w:fill="auto" w:val="clear"/>
          <w14:ligatures w14:val="standardContextual"/>
        </w:rPr>
        <w:t xml:space="preserve">World Economic Forum (2019). </w:t>
      </w:r>
      <w:r>
        <w:rPr>
          <w:rFonts w:eastAsia="" w:cs="" w:cstheme="minorBidi" w:eastAsiaTheme="minorEastAsia"/>
          <w:i/>
          <w:iCs/>
          <w:sz w:val="18"/>
          <w:szCs w:val="18"/>
          <w:shd w:fill="auto" w:val="clear"/>
          <w14:ligatures w14:val="standardContextual"/>
        </w:rPr>
        <w:t>Climate change is exacerbating hunger in some of the world’s poorest countries and those most at risk are the least to blame</w:t>
      </w:r>
      <w:r>
        <w:rPr>
          <w:rFonts w:eastAsia="" w:cs="" w:cstheme="minorBidi" w:eastAsiaTheme="minorEastAsia"/>
          <w:sz w:val="18"/>
          <w:szCs w:val="18"/>
          <w:shd w:fill="auto" w:val="clear"/>
          <w14:ligatures w14:val="standardContextual"/>
        </w:rPr>
        <w:t>. [Online]. Available at: https://www.weforum.org/stories/2019/08/climate-change-food-insecurity-hunger-poorest-countries/. [Accessed 18.01.25].</w:t>
      </w:r>
      <w:r>
        <w:rPr>
          <w:rFonts w:eastAsia="" w:cs="" w:cstheme="minorBidi" w:eastAsiaTheme="minorEastAsia"/>
          <w:sz w:val="18"/>
          <w:szCs w:val="18"/>
          <w:shd w:fill="FFFF00" w:val="clear"/>
          <w14:ligatures w14:val="standardContextual"/>
        </w:rPr>
        <w:t xml:space="preserve"> </w:t>
      </w:r>
    </w:p>
    <w:p>
      <w:pPr>
        <w:pStyle w:val="Normal"/>
        <w:rPr>
          <w:sz w:val="18"/>
          <w:szCs w:val="18"/>
          <w:shd w:fill="FFFF00" w:val="clear"/>
        </w:rPr>
      </w:pPr>
      <w:r>
        <w:rPr>
          <w:sz w:val="18"/>
          <w:szCs w:val="18"/>
          <w:shd w:fill="FFFF00" w:val="clear"/>
        </w:rPr>
      </w:r>
    </w:p>
    <w:p>
      <w:pPr>
        <w:pStyle w:val="Normal"/>
        <w:spacing w:before="0" w:after="160"/>
        <w:rPr>
          <w:sz w:val="18"/>
          <w:szCs w:val="18"/>
        </w:rPr>
      </w:pPr>
      <w:r>
        <w:rPr>
          <w:sz w:val="18"/>
          <w:szCs w:val="18"/>
        </w:rPr>
        <w:t xml:space="preserve">World Health Organization (2022). UN Report: </w:t>
      </w:r>
      <w:r>
        <w:rPr>
          <w:i/>
          <w:iCs/>
          <w:sz w:val="18"/>
          <w:szCs w:val="18"/>
        </w:rPr>
        <w:t>Global hunger numbers rose to as many as 828 million in 2021</w:t>
      </w:r>
      <w:r>
        <w:rPr>
          <w:sz w:val="18"/>
          <w:szCs w:val="18"/>
        </w:rPr>
        <w:t>. [Online]. World Health Organization. Available at: https://www.who.int/news/item/06-07-2022-un-report--global-hunger-numbers-rose-to-as-many-as-828-million-in-2021. [Accessed 18.01.25].</w:t>
      </w:r>
    </w:p>
    <w:sectPr>
      <w:headerReference w:type="default" r:id="rId15"/>
      <w:headerReference w:type="first" r:id="rId16"/>
      <w:footerReference w:type="first" r:id="rId17"/>
      <w:type w:val="nextPage"/>
      <w:pgSz w:w="11906" w:h="16838"/>
      <w:pgMar w:left="1440" w:right="1440" w:gutter="0" w:header="708" w:top="1440" w:footer="708" w:bottom="1440"/>
      <w:pgNumType w:fmt="decimal"/>
      <w:formProt w:val="false"/>
      <w:titlePg/>
      <w:textDirection w:val="lrTb"/>
      <w:docGrid w:type="default" w:linePitch="360" w:charSpace="1228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Tahoma">
    <w:charset w:val="00"/>
    <w:family w:val="roman"/>
    <w:pitch w:val="variable"/>
  </w:font>
  <w:font w:name="Calibri Light">
    <w:charset w:val="00"/>
    <w:family w:val="roman"/>
    <w:pitch w:val="variable"/>
  </w:font>
  <w:font w:name="OpenSymbol">
    <w:altName w:val="Arial Unicode MS"/>
    <w:charset w:val="00"/>
    <w:family w:val="roman"/>
    <w:pitch w:val="variable"/>
  </w:font>
  <w:font w:name="Liberation Sans">
    <w:altName w:val="Arial"/>
    <w:charset w:val="00"/>
    <w:family w:val="roman"/>
    <w:pitch w:val="variable"/>
  </w:font>
  <w:font w:name="Arial">
    <w:charset w:val="00"/>
    <w:family w:val="roman"/>
    <w:pitch w:val="variable"/>
  </w:font>
  <w:font w:name="Bookman Old Style">
    <w:charset w:val="00"/>
    <w:family w:val="roman"/>
    <w:pitch w:val="variable"/>
  </w:font>
  <w:font w:name="OpenSymbol">
    <w:altName w:val="Arial Unicode M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i/>
        <w:i/>
        <w:iCs/>
        <w:sz w:val="16"/>
        <w:szCs w:val="16"/>
      </w:rPr>
    </w:pPr>
    <w:r>
      <w:rPr>
        <w:i/>
        <w:iCs/>
        <w:sz w:val="16"/>
        <w:szCs w:val="16"/>
      </w:rPr>
      <w:t>* Corresponding author. E-mail address: your student email</w:t>
    </w:r>
  </w:p>
  <w:p>
    <w:pPr>
      <w:pStyle w:val="Footer"/>
      <w:rPr>
        <w:i/>
        <w:i/>
        <w:iCs/>
        <w:sz w:val="16"/>
        <w:szCs w:val="16"/>
      </w:rPr>
    </w:pPr>
    <w:r>
      <w:rPr>
        <w:i/>
        <w:iCs/>
        <w:sz w:val="16"/>
        <w:szCs w:val="16"/>
      </w:rPr>
      <w:t>Hosting by UWTSD. All rights reserved.</w:t>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Top of Page)"/>
        <w:docPartUnique w:val="true"/>
      </w:docPartObj>
      <w:id w:val="-721595329"/>
    </w:sdtPr>
    <w:sdtContent>
      <w:p>
        <w:pPr>
          <w:pStyle w:val="Header"/>
          <w:jc w:val="right"/>
          <w:rPr/>
        </w:pPr>
        <w:r>
          <w:rPr/>
        </w:r>
      </w:p>
      <w:p>
        <w:pPr>
          <w:pStyle w:val="Header"/>
          <w:jc w:val="right"/>
          <w:rPr/>
        </w:pPr>
        <w:r>
          <w:rPr/>
        </w:r>
      </w:p>
      <w:p>
        <w:pPr>
          <w:pStyle w:val="Header"/>
          <w:jc w:val="right"/>
          <w:rPr/>
        </w:pPr>
        <w:r>
          <w:rPr/>
        </w:r>
      </w:p>
    </w:sdtContent>
  </w:sdt>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tbl>
    <w:tblPr>
      <w:tblStyle w:val="TableGrid"/>
      <w:tblW w:w="9924" w:type="dxa"/>
      <w:jc w:val="center"/>
      <w:tblInd w:w="0" w:type="dxa"/>
      <w:tblLayout w:type="fixed"/>
      <w:tblCellMar>
        <w:top w:w="0" w:type="dxa"/>
        <w:left w:w="108" w:type="dxa"/>
        <w:bottom w:w="0" w:type="dxa"/>
        <w:right w:w="108" w:type="dxa"/>
      </w:tblCellMar>
      <w:tblLook w:firstRow="1" w:noVBand="1" w:lastRow="0" w:firstColumn="1" w:lastColumn="0" w:noHBand="0" w:val="04a0"/>
    </w:tblPr>
    <w:tblGrid>
      <w:gridCol w:w="2114"/>
      <w:gridCol w:w="5826"/>
      <w:gridCol w:w="1984"/>
    </w:tblGrid>
    <w:tr>
      <w:trPr>
        <w:trHeight w:val="57" w:hRule="atLeast"/>
      </w:trPr>
      <w:tc>
        <w:tcPr>
          <w:tcW w:w="2114" w:type="dxa"/>
          <w:tcBorders>
            <w:top w:val="nil"/>
            <w:left w:val="nil"/>
            <w:bottom w:val="single" w:sz="2" w:space="0" w:color="000000"/>
            <w:right w:val="nil"/>
          </w:tcBorders>
          <w:shd w:color="F2F2F2" w:fill="auto" w:val="pct10"/>
          <w:vAlign w:val="bottom"/>
        </w:tcPr>
        <w:p>
          <w:pPr>
            <w:pStyle w:val="Normal"/>
            <w:widowControl/>
            <w:suppressAutoHyphens w:val="true"/>
            <w:spacing w:lineRule="auto" w:line="240" w:before="0" w:after="0"/>
            <w:jc w:val="both"/>
            <w:rPr>
              <w:rFonts w:eastAsia="DengXian" w:cs="Arial"/>
            </w:rPr>
          </w:pPr>
          <w:r>
            <w:rPr>
              <w:rFonts w:eastAsia="DengXian" w:cs="Arial"/>
              <w:sz w:val="22"/>
            </w:rPr>
          </w:r>
        </w:p>
      </w:tc>
      <w:tc>
        <w:tcPr>
          <w:tcW w:w="5826" w:type="dxa"/>
          <w:tcBorders>
            <w:top w:val="nil"/>
            <w:left w:val="nil"/>
            <w:bottom w:val="single" w:sz="2" w:space="0" w:color="000000"/>
            <w:right w:val="nil"/>
          </w:tcBorders>
          <w:shd w:color="F2F2F2" w:fill="auto" w:val="pct10"/>
        </w:tcPr>
        <w:p>
          <w:pPr>
            <w:pStyle w:val="Running-head"/>
            <w:suppressAutoHyphens w:val="true"/>
            <w:spacing w:before="0" w:after="240"/>
            <w:rPr>
              <w:lang w:bidi="ar-SA"/>
            </w:rPr>
          </w:pPr>
          <w:r>
            <w:rPr>
              <w:lang w:bidi="ar-SA"/>
            </w:rPr>
            <w:t>Impact Journal of Climate Change</w:t>
          </w:r>
          <w:r>
            <w:rPr>
              <w:iCs/>
              <w:szCs w:val="16"/>
              <w:lang w:bidi="ar-SA"/>
            </w:rPr>
            <w:t xml:space="preserve"> (20</w:t>
          </w:r>
          <w:r>
            <w:rPr>
              <w:iCs/>
              <w:szCs w:val="16"/>
              <w:lang w:eastAsia="zh-CN" w:bidi="ar-SA"/>
            </w:rPr>
            <w:t>23</w:t>
          </w:r>
          <w:r>
            <w:rPr>
              <w:iCs/>
              <w:szCs w:val="16"/>
              <w:lang w:bidi="ar-SA"/>
            </w:rPr>
            <w:t>) 000–000</w:t>
          </w:r>
        </w:p>
      </w:tc>
      <w:tc>
        <w:tcPr>
          <w:tcW w:w="1984" w:type="dxa"/>
          <w:tcBorders>
            <w:top w:val="nil"/>
            <w:left w:val="nil"/>
            <w:right w:val="nil"/>
          </w:tcBorders>
          <w:shd w:color="F2F2F2" w:fill="auto" w:val="pct10"/>
          <w:vAlign w:val="center"/>
        </w:tcPr>
        <w:p>
          <w:pPr>
            <w:pStyle w:val="Header"/>
            <w:widowControl/>
            <w:tabs>
              <w:tab w:val="center" w:pos="4513" w:leader="none"/>
              <w:tab w:val="left" w:pos="6804" w:leader="none"/>
              <w:tab w:val="right" w:pos="9026" w:leader="none"/>
            </w:tabs>
            <w:suppressAutoHyphens w:val="true"/>
            <w:spacing w:before="0" w:after="0"/>
            <w:jc w:val="center"/>
            <w:rPr>
              <w:rFonts w:eastAsia="DengXian" w:cs="Arial"/>
            </w:rPr>
          </w:pPr>
          <w:r>
            <w:rPr>
              <w:rFonts w:eastAsia="DengXian" w:cs="Arial"/>
            </w:rPr>
          </w:r>
        </w:p>
      </w:tc>
    </w:tr>
    <w:tr>
      <w:trPr>
        <w:trHeight w:val="57" w:hRule="atLeast"/>
      </w:trPr>
      <w:tc>
        <w:tcPr>
          <w:tcW w:w="2114" w:type="dxa"/>
          <w:vMerge w:val="restart"/>
          <w:tcBorders>
            <w:top w:val="single" w:sz="2" w:space="0" w:color="000000"/>
            <w:left w:val="nil"/>
            <w:bottom w:val="single" w:sz="36" w:space="0" w:color="000000"/>
            <w:right w:val="nil"/>
          </w:tcBorders>
          <w:shd w:color="F2F2F2" w:fill="auto" w:val="pct10"/>
          <w:vAlign w:val="center"/>
        </w:tcPr>
        <w:p>
          <w:pPr>
            <w:pStyle w:val="Normal"/>
            <w:widowControl/>
            <w:suppressAutoHyphens w:val="true"/>
            <w:spacing w:lineRule="auto" w:line="240" w:before="0" w:after="0"/>
            <w:jc w:val="center"/>
            <w:rPr>
              <w:lang w:val="en-US"/>
            </w:rPr>
          </w:pPr>
          <w:r>
            <w:rPr>
              <w:sz w:val="22"/>
              <w:lang w:val="en-US"/>
            </w:rPr>
            <w:drawing>
              <wp:anchor behindDoc="1" distT="0" distB="0" distL="114300" distR="114300" simplePos="0" locked="0" layoutInCell="1" allowOverlap="1" relativeHeight="2">
                <wp:simplePos x="0" y="0"/>
                <wp:positionH relativeFrom="column">
                  <wp:posOffset>-96520</wp:posOffset>
                </wp:positionH>
                <wp:positionV relativeFrom="page">
                  <wp:posOffset>121285</wp:posOffset>
                </wp:positionV>
                <wp:extent cx="1276985" cy="441960"/>
                <wp:effectExtent l="0" t="0" r="0" b="0"/>
                <wp:wrapTopAndBottom/>
                <wp:docPr id="6" name="Picture 15" descr="Lecturer in Construction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5" descr="Lecturer in Construction at University of Wales, Trinity Saint David"/>
                        <pic:cNvPicPr>
                          <a:picLocks noChangeAspect="1" noChangeArrowheads="1"/>
                        </pic:cNvPicPr>
                      </pic:nvPicPr>
                      <pic:blipFill>
                        <a:blip r:embed="rId1"/>
                        <a:srcRect l="0" t="22493" r="0" b="8249"/>
                        <a:stretch>
                          <a:fillRect/>
                        </a:stretch>
                      </pic:blipFill>
                      <pic:spPr bwMode="auto">
                        <a:xfrm>
                          <a:off x="0" y="0"/>
                          <a:ext cx="1276985" cy="441960"/>
                        </a:xfrm>
                        <a:prstGeom prst="rect">
                          <a:avLst/>
                        </a:prstGeom>
                      </pic:spPr>
                    </pic:pic>
                  </a:graphicData>
                </a:graphic>
              </wp:anchor>
            </w:drawing>
          </w:r>
        </w:p>
      </w:tc>
      <w:tc>
        <w:tcPr>
          <w:tcW w:w="5826" w:type="dxa"/>
          <w:tcBorders>
            <w:top w:val="single" w:sz="2" w:space="0" w:color="000000"/>
            <w:left w:val="nil"/>
            <w:bottom w:val="nil"/>
            <w:right w:val="nil"/>
          </w:tcBorders>
          <w:shd w:color="F2F2F2" w:fill="auto" w:val="pct10"/>
        </w:tcPr>
        <w:p>
          <w:pPr>
            <w:pStyle w:val="Normal"/>
            <w:widowControl/>
            <w:suppressAutoHyphens w:val="true"/>
            <w:spacing w:lineRule="auto" w:line="240" w:before="0" w:after="0"/>
            <w:jc w:val="left"/>
            <w:rPr>
              <w:rFonts w:eastAsia="DengXian" w:cs="Arial"/>
            </w:rPr>
          </w:pPr>
          <w:r>
            <w:rPr>
              <w:rFonts w:eastAsia="DengXian" w:cs="Arial"/>
              <w:sz w:val="22"/>
            </w:rPr>
          </w:r>
        </w:p>
      </w:tc>
      <w:tc>
        <w:tcPr>
          <w:tcW w:w="1984" w:type="dxa"/>
          <w:vMerge w:val="restart"/>
          <w:tcBorders>
            <w:left w:val="nil"/>
            <w:bottom w:val="single" w:sz="36" w:space="0" w:color="000000"/>
            <w:right w:val="nil"/>
          </w:tcBorders>
          <w:shd w:color="F2F2F2" w:fill="auto" w:val="pct10"/>
          <w:vAlign w:val="center"/>
        </w:tcPr>
        <w:p>
          <w:pPr>
            <w:pStyle w:val="Header"/>
            <w:widowControl/>
            <w:tabs>
              <w:tab w:val="center" w:pos="4513" w:leader="none"/>
              <w:tab w:val="left" w:pos="6804" w:leader="none"/>
              <w:tab w:val="right" w:pos="9026" w:leader="none"/>
            </w:tabs>
            <w:suppressAutoHyphens w:val="true"/>
            <w:spacing w:before="0" w:after="0"/>
            <w:jc w:val="center"/>
            <w:rPr>
              <w:lang w:val="en-US"/>
            </w:rPr>
          </w:pPr>
          <w:r>
            <w:rPr/>
            <w:drawing>
              <wp:inline distT="0" distB="0" distL="0" distR="0">
                <wp:extent cx="1185545" cy="668020"/>
                <wp:effectExtent l="0" t="0" r="0" b="0"/>
                <wp:docPr id="7" name="Picture 16"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6" descr="A black and white logo&#10;&#10;Description automatically generated"/>
                        <pic:cNvPicPr>
                          <a:picLocks noChangeAspect="1" noChangeArrowheads="1"/>
                        </pic:cNvPicPr>
                      </pic:nvPicPr>
                      <pic:blipFill>
                        <a:blip r:embed="rId2"/>
                        <a:stretch>
                          <a:fillRect/>
                        </a:stretch>
                      </pic:blipFill>
                      <pic:spPr bwMode="auto">
                        <a:xfrm>
                          <a:off x="0" y="0"/>
                          <a:ext cx="1185545" cy="668020"/>
                        </a:xfrm>
                        <a:prstGeom prst="rect">
                          <a:avLst/>
                        </a:prstGeom>
                      </pic:spPr>
                    </pic:pic>
                  </a:graphicData>
                </a:graphic>
              </wp:inline>
            </w:drawing>
          </w:r>
        </w:p>
      </w:tc>
    </w:tr>
    <w:tr>
      <w:trPr>
        <w:trHeight w:val="57" w:hRule="atLeast"/>
      </w:trPr>
      <w:tc>
        <w:tcPr>
          <w:tcW w:w="2114" w:type="dxa"/>
          <w:vMerge w:val="continue"/>
          <w:tcBorders>
            <w:top w:val="single" w:sz="2" w:space="0" w:color="000000"/>
            <w:left w:val="nil"/>
            <w:bottom w:val="single" w:sz="36" w:space="0" w:color="000000"/>
            <w:right w:val="nil"/>
          </w:tcBorders>
          <w:shd w:color="F2F2F2" w:fill="auto" w:val="pct10"/>
          <w:vAlign w:val="center"/>
        </w:tcPr>
        <w:p>
          <w:pPr>
            <w:pStyle w:val="Normal"/>
            <w:widowControl/>
            <w:suppressAutoHyphens w:val="true"/>
            <w:spacing w:lineRule="auto" w:line="240" w:before="0" w:after="0"/>
            <w:jc w:val="left"/>
            <w:rPr>
              <w:lang w:val="en-US" w:eastAsia="en-US"/>
            </w:rPr>
          </w:pPr>
          <w:r>
            <w:rPr>
              <w:sz w:val="22"/>
              <w:lang w:val="en-US" w:eastAsia="en-US"/>
            </w:rPr>
          </w:r>
        </w:p>
      </w:tc>
      <w:tc>
        <w:tcPr>
          <w:tcW w:w="5826" w:type="dxa"/>
          <w:tcBorders>
            <w:top w:val="nil"/>
            <w:left w:val="nil"/>
            <w:bottom w:val="nil"/>
            <w:right w:val="nil"/>
          </w:tcBorders>
          <w:shd w:color="auto" w:fill="F9EAD3" w:themeFill="accent3" w:themeFillTint="33" w:val="clear"/>
        </w:tcPr>
        <w:p>
          <w:pPr>
            <w:pStyle w:val="Header"/>
            <w:widowControl/>
            <w:tabs>
              <w:tab w:val="center" w:pos="3329" w:leader="none"/>
              <w:tab w:val="center" w:pos="4513" w:leader="none"/>
              <w:tab w:val="left" w:pos="5284" w:leader="none"/>
              <w:tab w:val="right" w:pos="9026" w:leader="none"/>
            </w:tabs>
            <w:suppressAutoHyphens w:val="true"/>
            <w:spacing w:lineRule="atLeast" w:line="220" w:before="0" w:after="0"/>
            <w:jc w:val="center"/>
            <w:rPr>
              <w:rFonts w:ascii="Arial" w:hAnsi="Arial" w:cs="Arial"/>
              <w:sz w:val="18"/>
              <w:szCs w:val="18"/>
            </w:rPr>
          </w:pPr>
          <w:r>
            <w:rPr>
              <w:rFonts w:eastAsia="DengXian" w:cs="Arial" w:ascii="Arial" w:hAnsi="Arial"/>
              <w:kern w:val="2"/>
              <w:sz w:val="18"/>
              <w:szCs w:val="18"/>
              <w:lang w:val="en-GB" w:eastAsia="zh-CN" w:bidi="ar-SA"/>
            </w:rPr>
            <w:t>Available on Moodle</w:t>
          </w:r>
        </w:p>
        <w:p>
          <w:pPr>
            <w:pStyle w:val="Header"/>
            <w:widowControl/>
            <w:tabs>
              <w:tab w:val="center" w:pos="3329" w:leader="none"/>
              <w:tab w:val="center" w:pos="4513" w:leader="none"/>
              <w:tab w:val="left" w:pos="5284" w:leader="none"/>
              <w:tab w:val="right" w:pos="9026" w:leader="none"/>
            </w:tabs>
            <w:suppressAutoHyphens w:val="true"/>
            <w:spacing w:lineRule="atLeast" w:line="220" w:before="0" w:after="0"/>
            <w:jc w:val="right"/>
            <w:rPr>
              <w:rFonts w:ascii="Times New Roman" w:hAnsi="Times New Roman"/>
              <w:sz w:val="18"/>
              <w:szCs w:val="18"/>
            </w:rPr>
          </w:pPr>
          <w:r>
            <w:rPr>
              <w:rFonts w:ascii="Times New Roman" w:hAnsi="Times New Roman"/>
              <w:sz w:val="18"/>
              <w:szCs w:val="18"/>
            </w:rPr>
          </w:r>
        </w:p>
        <w:p>
          <w:pPr>
            <w:pStyle w:val="Header"/>
            <w:widowControl/>
            <w:suppressAutoHyphens w:val="true"/>
            <w:spacing w:before="0" w:after="0"/>
            <w:jc w:val="center"/>
            <w:rPr>
              <w:rStyle w:val="Hyperlink"/>
              <w:rFonts w:ascii="Bookman Old Style" w:hAnsi="Bookman Old Style" w:cs="Tahoma"/>
              <w:i/>
              <w:i/>
              <w:iCs/>
              <w:color w:themeColor="accent4" w:themeShade="80" w:val="5E4F38"/>
              <w:szCs w:val="20"/>
            </w:rPr>
          </w:pPr>
          <w:r>
            <w:rPr>
              <w:rFonts w:eastAsia="DengXian" w:cs="Tahoma" w:ascii="Bookman Old Style" w:hAnsi="Bookman Old Style"/>
              <w:iCs/>
              <w:color w:themeColor="accent4" w:themeShade="80" w:val="5E4F38"/>
              <w:kern w:val="2"/>
              <w:sz w:val="32"/>
              <w:szCs w:val="32"/>
              <w:lang w:val="en-GB" w:eastAsia="zh-CN" w:bidi="ar-SA"/>
            </w:rPr>
            <w:t>School of the Natural Environment</w:t>
          </w:r>
        </w:p>
        <w:p>
          <w:pPr>
            <w:pStyle w:val="Header"/>
            <w:widowControl/>
            <w:suppressAutoHyphens w:val="true"/>
            <w:spacing w:before="0" w:after="0"/>
            <w:jc w:val="center"/>
            <w:rPr>
              <w:rStyle w:val="Hyperlink"/>
              <w:rFonts w:ascii="Arial" w:hAnsi="Arial" w:cs="Arial"/>
              <w:i/>
              <w:i/>
              <w:iCs/>
              <w:color w:val="0000FF"/>
              <w:sz w:val="18"/>
            </w:rPr>
          </w:pPr>
          <w:r>
            <w:rPr>
              <w:rFonts w:cs="Arial" w:ascii="Arial" w:hAnsi="Arial"/>
              <w:i/>
              <w:iCs/>
              <w:color w:val="0000FF"/>
              <w:sz w:val="18"/>
            </w:rPr>
          </w:r>
        </w:p>
        <w:p>
          <w:pPr>
            <w:pStyle w:val="Header"/>
            <w:widowControl/>
            <w:suppressAutoHyphens w:val="true"/>
            <w:spacing w:lineRule="atLeast" w:line="220" w:before="0" w:after="0"/>
            <w:jc w:val="center"/>
            <w:rPr>
              <w:rFonts w:ascii="Times New Roman" w:hAnsi="Times New Roman"/>
              <w:sz w:val="18"/>
              <w:szCs w:val="18"/>
            </w:rPr>
          </w:pPr>
          <w:r>
            <w:rPr>
              <w:rFonts w:eastAsia="DengXian" w:cs="Arial"/>
              <w:iCs/>
              <w:kern w:val="2"/>
              <w:sz w:val="16"/>
              <w:szCs w:val="16"/>
              <w:lang w:val="en-GB" w:eastAsia="zh-CN" w:bidi="ar-SA"/>
            </w:rPr>
            <w:t xml:space="preserve">School homepage: </w:t>
          </w:r>
          <w:hyperlink r:id="rId3">
            <w:r>
              <w:rPr>
                <w:rStyle w:val="Hyperlink"/>
                <w:rFonts w:eastAsia="DengXian" w:cs="Arial"/>
                <w:kern w:val="2"/>
                <w:szCs w:val="16"/>
                <w:lang w:val="en-GB" w:eastAsia="zh-CN" w:bidi="ar-SA"/>
              </w:rPr>
              <w:t>www.uwtsd.ac.uk/undergraduate/natural-environments/</w:t>
            </w:r>
          </w:hyperlink>
        </w:p>
      </w:tc>
      <w:tc>
        <w:tcPr>
          <w:tcW w:w="1984" w:type="dxa"/>
          <w:vMerge w:val="continue"/>
          <w:tcBorders>
            <w:left w:val="nil"/>
            <w:bottom w:val="single" w:sz="36" w:space="0" w:color="000000"/>
            <w:right w:val="nil"/>
          </w:tcBorders>
          <w:shd w:color="F2F2F2" w:fill="auto" w:val="pct10"/>
          <w:vAlign w:val="center"/>
        </w:tcPr>
        <w:p>
          <w:pPr>
            <w:pStyle w:val="Normal"/>
            <w:widowControl/>
            <w:suppressAutoHyphens w:val="true"/>
            <w:spacing w:lineRule="auto" w:line="240" w:before="0" w:after="0"/>
            <w:jc w:val="left"/>
            <w:rPr>
              <w:sz w:val="14"/>
              <w:lang w:val="en-US" w:eastAsia="en-US"/>
            </w:rPr>
          </w:pPr>
          <w:r>
            <w:rPr>
              <w:sz w:val="14"/>
              <w:lang w:val="en-US" w:eastAsia="en-US"/>
            </w:rPr>
          </w:r>
        </w:p>
      </w:tc>
    </w:tr>
    <w:tr>
      <w:trPr>
        <w:trHeight w:val="57" w:hRule="atLeast"/>
      </w:trPr>
      <w:tc>
        <w:tcPr>
          <w:tcW w:w="2114" w:type="dxa"/>
          <w:vMerge w:val="continue"/>
          <w:tcBorders>
            <w:top w:val="single" w:sz="2" w:space="0" w:color="000000"/>
            <w:left w:val="nil"/>
            <w:bottom w:val="single" w:sz="36" w:space="0" w:color="000000"/>
            <w:right w:val="nil"/>
          </w:tcBorders>
          <w:shd w:color="F2F2F2" w:fill="auto" w:val="pct10"/>
          <w:vAlign w:val="center"/>
        </w:tcPr>
        <w:p>
          <w:pPr>
            <w:pStyle w:val="Normal"/>
            <w:widowControl/>
            <w:suppressAutoHyphens w:val="true"/>
            <w:spacing w:lineRule="auto" w:line="240" w:before="0" w:after="0"/>
            <w:jc w:val="left"/>
            <w:rPr>
              <w:lang w:val="en-US" w:eastAsia="en-US"/>
            </w:rPr>
          </w:pPr>
          <w:r>
            <w:rPr>
              <w:sz w:val="22"/>
              <w:lang w:val="en-US" w:eastAsia="en-US"/>
            </w:rPr>
          </w:r>
        </w:p>
      </w:tc>
      <w:tc>
        <w:tcPr>
          <w:tcW w:w="5826" w:type="dxa"/>
          <w:tcBorders>
            <w:top w:val="nil"/>
            <w:left w:val="nil"/>
            <w:bottom w:val="single" w:sz="36" w:space="0" w:color="000000"/>
            <w:right w:val="nil"/>
          </w:tcBorders>
          <w:shd w:color="F2F2F2" w:fill="auto" w:val="pct10"/>
        </w:tcPr>
        <w:p>
          <w:pPr>
            <w:pStyle w:val="Normal"/>
            <w:widowControl/>
            <w:suppressAutoHyphens w:val="true"/>
            <w:spacing w:lineRule="auto" w:line="240" w:before="0" w:after="0"/>
            <w:jc w:val="left"/>
            <w:rPr>
              <w:rFonts w:eastAsia="DengXian" w:cs="Arial"/>
            </w:rPr>
          </w:pPr>
          <w:r>
            <w:rPr>
              <w:rFonts w:eastAsia="DengXian" w:cs="Arial"/>
              <w:sz w:val="22"/>
            </w:rPr>
          </w:r>
        </w:p>
      </w:tc>
      <w:tc>
        <w:tcPr>
          <w:tcW w:w="1984" w:type="dxa"/>
          <w:vMerge w:val="continue"/>
          <w:tcBorders>
            <w:left w:val="nil"/>
            <w:bottom w:val="single" w:sz="36" w:space="0" w:color="000000"/>
            <w:right w:val="nil"/>
          </w:tcBorders>
          <w:shd w:color="F2F2F2" w:fill="auto" w:val="pct10"/>
          <w:vAlign w:val="center"/>
        </w:tcPr>
        <w:p>
          <w:pPr>
            <w:pStyle w:val="Normal"/>
            <w:widowControl/>
            <w:suppressAutoHyphens w:val="true"/>
            <w:spacing w:lineRule="auto" w:line="240" w:before="0" w:after="0"/>
            <w:jc w:val="left"/>
            <w:rPr>
              <w:sz w:val="14"/>
              <w:lang w:val="en-US" w:eastAsia="en-US"/>
            </w:rPr>
          </w:pPr>
          <w:r>
            <w:rPr>
              <w:sz w:val="14"/>
              <w:lang w:val="en-US" w:eastAsia="en-US"/>
            </w:rPr>
          </w:r>
        </w:p>
      </w:tc>
    </w:tr>
  </w:tbl>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Heading1"/>
      <w:numFmt w:val="decimal"/>
      <w:lvlText w:val="%1"/>
      <w:lvlJc w:val="left"/>
      <w:pPr>
        <w:tabs>
          <w:tab w:val="num" w:pos="720"/>
        </w:tabs>
        <w:ind w:left="720" w:hanging="360"/>
      </w:pPr>
      <w:rPr/>
    </w:lvl>
    <w:lvl w:ilvl="1">
      <w:start w:val="1"/>
      <w:pStyle w:val="Heading2"/>
      <w:numFmt w:val="decimal"/>
      <w:lvlText w:val="%1.%2"/>
      <w:lvlJc w:val="left"/>
      <w:pPr>
        <w:tabs>
          <w:tab w:val="num" w:pos="1080"/>
        </w:tabs>
        <w:ind w:left="1080" w:hanging="360"/>
      </w:pPr>
      <w:rPr/>
    </w:lvl>
    <w:lvl w:ilvl="2">
      <w:start w:val="1"/>
      <w:pStyle w:val="Heading3"/>
      <w:numFmt w:val="decimal"/>
      <w:lvlText w:val="%1.%2.%3"/>
      <w:lvlJc w:val="left"/>
      <w:pPr>
        <w:tabs>
          <w:tab w:val="num" w:pos="1440"/>
        </w:tabs>
        <w:ind w:left="1440" w:hanging="360"/>
      </w:pPr>
      <w:rPr/>
    </w:lvl>
    <w:lvl w:ilvl="3">
      <w:start w:val="1"/>
      <w:pStyle w:val="Heading4"/>
      <w:numFmt w:val="decimal"/>
      <w:lvlText w:val="%1.%2.%3.%4"/>
      <w:lvlJc w:val="left"/>
      <w:pPr>
        <w:tabs>
          <w:tab w:val="num" w:pos="1800"/>
        </w:tabs>
        <w:ind w:left="1800" w:hanging="360"/>
      </w:pPr>
      <w:rPr/>
    </w:lvl>
    <w:lvl w:ilvl="4">
      <w:start w:val="1"/>
      <w:pStyle w:val="Heading5"/>
      <w:numFmt w:val="decimal"/>
      <w:lvlText w:val="%1.%2.%3.%4.%5"/>
      <w:lvlJc w:val="left"/>
      <w:pPr>
        <w:tabs>
          <w:tab w:val="num" w:pos="2160"/>
        </w:tabs>
        <w:ind w:left="2160" w:hanging="360"/>
      </w:pPr>
      <w:rPr/>
    </w:lvl>
    <w:lvl w:ilvl="5">
      <w:start w:val="1"/>
      <w:pStyle w:val="Heading6"/>
      <w:numFmt w:val="decimal"/>
      <w:lvlText w:val="%1.%2.%3.%4.%5.%6"/>
      <w:lvlJc w:val="left"/>
      <w:pPr>
        <w:tabs>
          <w:tab w:val="num" w:pos="2520"/>
        </w:tabs>
        <w:ind w:left="2520" w:hanging="360"/>
      </w:pPr>
      <w:rPr/>
    </w:lvl>
    <w:lvl w:ilvl="6">
      <w:start w:val="1"/>
      <w:pStyle w:val="Heading7"/>
      <w:numFmt w:val="decimal"/>
      <w:lvlText w:val="%1.%2.%3.%4.%5.%6.%7"/>
      <w:lvlJc w:val="left"/>
      <w:pPr>
        <w:tabs>
          <w:tab w:val="num" w:pos="2880"/>
        </w:tabs>
        <w:ind w:left="2880" w:hanging="360"/>
      </w:pPr>
      <w:rPr/>
    </w:lvl>
    <w:lvl w:ilvl="7">
      <w:start w:val="1"/>
      <w:pStyle w:val="Heading8"/>
      <w:numFmt w:val="decimal"/>
      <w:lvlText w:val="%1.%2.%3.%4.%5.%6.%7.%8"/>
      <w:lvlJc w:val="left"/>
      <w:pPr>
        <w:tabs>
          <w:tab w:val="num" w:pos="3240"/>
        </w:tabs>
        <w:ind w:left="3240" w:hanging="360"/>
      </w:pPr>
      <w:rPr/>
    </w:lvl>
    <w:lvl w:ilvl="8">
      <w:start w:val="1"/>
      <w:pStyle w:val="Heading9"/>
      <w:numFmt w:val="decimal"/>
      <w:lvlText w:val="%1.%2.%3.%4.%5.%6.%7.%8.%9"/>
      <w:lvlJc w:val="left"/>
      <w:pPr>
        <w:tabs>
          <w:tab w:val="num" w:pos="3600"/>
        </w:tabs>
        <w:ind w:left="3600" w:hanging="360"/>
      </w:pPr>
      <w:rPr/>
    </w:lvl>
  </w:abstractNum>
  <w:abstractNum w:abstractNumId="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5">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6">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7">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w="http://schemas.openxmlformats.org/wordprocessingml/2006/main">
  <w:zoom w:percent="90"/>
  <w:defaultTabStop w:val="720"/>
  <w:autoHyphenation w:val="true"/>
  <w:compat>
    <w:compatSetting w:name="compatibilityMode" w:uri="http://schemas.microsoft.com/office/word" w:val="12"/>
    <w:compatSetting w:name="useWord2013TrackBottomHyphenation" w:uri="http://schemas.microsoft.com/office/word" w:val="1"/>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 w:cs="" w:asciiTheme="minorHAnsi" w:cstheme="minorBidi" w:eastAsiaTheme="minorEastAsia" w:hAnsiTheme="minorHAnsi"/>
        <w:kern w:val="2"/>
        <w:sz w:val="22"/>
        <w:szCs w:val="22"/>
        <w:lang w:val="en-GB" w:eastAsia="zh-CN"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b3c44"/>
    <w:pPr>
      <w:widowControl/>
      <w:suppressAutoHyphens w:val="true"/>
      <w:bidi w:val="0"/>
      <w:spacing w:lineRule="auto" w:line="259" w:before="0" w:after="160"/>
      <w:jc w:val="left"/>
    </w:pPr>
    <w:rPr>
      <w:rFonts w:ascii="Tahoma" w:hAnsi="Tahoma" w:eastAsia="" w:cs="" w:cstheme="minorBidi" w:eastAsiaTheme="minorEastAsia"/>
      <w:color w:val="auto"/>
      <w:kern w:val="2"/>
      <w:sz w:val="22"/>
      <w:szCs w:val="22"/>
      <w:lang w:val="en-GB" w:eastAsia="zh-CN" w:bidi="ar-SA"/>
      <w14:ligatures w14:val="standardContextual"/>
    </w:rPr>
  </w:style>
  <w:style w:type="paragraph" w:styleId="Heading1">
    <w:name w:val="Heading 1"/>
    <w:basedOn w:val="Normal"/>
    <w:next w:val="Normal"/>
    <w:link w:val="Heading1Char"/>
    <w:uiPriority w:val="9"/>
    <w:qFormat/>
    <w:rsid w:val="00770810"/>
    <w:pPr>
      <w:keepNext w:val="true"/>
      <w:keepLines/>
      <w:numPr>
        <w:ilvl w:val="0"/>
        <w:numId w:val="1"/>
      </w:numPr>
      <w:pBdr>
        <w:top w:val="single" w:sz="18" w:space="1" w:color="000000"/>
      </w:pBdr>
      <w:spacing w:before="240" w:after="0"/>
      <w:outlineLvl w:val="0"/>
    </w:pPr>
    <w:rPr>
      <w:rFonts w:eastAsia="" w:cs="" w:cstheme="majorBidi" w:eastAsiaTheme="majorEastAsia"/>
      <w:b/>
      <w:sz w:val="25"/>
      <w:szCs w:val="32"/>
    </w:rPr>
  </w:style>
  <w:style w:type="paragraph" w:styleId="Heading2">
    <w:name w:val="Heading 2"/>
    <w:basedOn w:val="Normal"/>
    <w:next w:val="Normal"/>
    <w:link w:val="Heading2Char"/>
    <w:uiPriority w:val="9"/>
    <w:unhideWhenUsed/>
    <w:qFormat/>
    <w:rsid w:val="00770810"/>
    <w:pPr>
      <w:keepNext w:val="true"/>
      <w:keepLines/>
      <w:numPr>
        <w:ilvl w:val="1"/>
        <w:numId w:val="1"/>
      </w:numPr>
      <w:spacing w:before="40" w:after="0"/>
      <w:outlineLvl w:val="1"/>
    </w:pPr>
    <w:rPr>
      <w:rFonts w:eastAsia="" w:cs="" w:cstheme="majorBidi" w:eastAsiaTheme="majorEastAsia"/>
      <w:b/>
      <w:i/>
      <w:sz w:val="24"/>
      <w:szCs w:val="26"/>
    </w:rPr>
  </w:style>
  <w:style w:type="paragraph" w:styleId="Heading3">
    <w:name w:val="Heading 3"/>
    <w:basedOn w:val="Normal"/>
    <w:next w:val="Normal"/>
    <w:link w:val="Heading3Char"/>
    <w:uiPriority w:val="9"/>
    <w:unhideWhenUsed/>
    <w:qFormat/>
    <w:rsid w:val="001a1cfa"/>
    <w:pPr>
      <w:keepNext w:val="true"/>
      <w:keepLines/>
      <w:numPr>
        <w:ilvl w:val="2"/>
        <w:numId w:val="1"/>
      </w:numPr>
      <w:spacing w:before="40" w:after="0"/>
      <w:outlineLvl w:val="2"/>
    </w:pPr>
    <w:rPr>
      <w:rFonts w:eastAsia="" w:cs="" w:cstheme="majorBidi" w:eastAsiaTheme="majorEastAsia"/>
      <w:i/>
      <w:color w:themeColor="text1" w:val="000000"/>
      <w:sz w:val="24"/>
      <w:szCs w:val="24"/>
    </w:rPr>
  </w:style>
  <w:style w:type="paragraph" w:styleId="Heading4">
    <w:name w:val="Heading 4"/>
    <w:basedOn w:val="Normal"/>
    <w:next w:val="Normal"/>
    <w:link w:val="Heading4Char"/>
    <w:uiPriority w:val="9"/>
    <w:semiHidden/>
    <w:unhideWhenUsed/>
    <w:qFormat/>
    <w:rsid w:val="001a1cfa"/>
    <w:pPr>
      <w:keepNext w:val="true"/>
      <w:keepLines/>
      <w:numPr>
        <w:ilvl w:val="3"/>
        <w:numId w:val="1"/>
      </w:numPr>
      <w:spacing w:before="40" w:after="0"/>
      <w:outlineLvl w:val="3"/>
    </w:pPr>
    <w:rPr>
      <w:rFonts w:eastAsia="" w:cs="" w:cstheme="majorBidi" w:eastAsiaTheme="majorEastAsia"/>
      <w:iCs/>
      <w:color w:themeColor="text1" w:val="000000"/>
    </w:rPr>
  </w:style>
  <w:style w:type="paragraph" w:styleId="Heading5">
    <w:name w:val="Heading 5"/>
    <w:basedOn w:val="Normal"/>
    <w:next w:val="Normal"/>
    <w:link w:val="Heading5Char"/>
    <w:uiPriority w:val="9"/>
    <w:semiHidden/>
    <w:unhideWhenUsed/>
    <w:qFormat/>
    <w:rsid w:val="00770810"/>
    <w:pPr>
      <w:keepNext w:val="true"/>
      <w:keepLines/>
      <w:numPr>
        <w:ilvl w:val="4"/>
        <w:numId w:val="1"/>
      </w:numPr>
      <w:spacing w:before="40" w:after="0"/>
      <w:outlineLvl w:val="4"/>
    </w:pPr>
    <w:rPr>
      <w:rFonts w:ascii="Calibri Light" w:hAnsi="Calibri Light" w:eastAsia="" w:cs="" w:asciiTheme="majorHAnsi" w:cstheme="majorBidi" w:eastAsiaTheme="majorEastAsia" w:hAnsiTheme="majorHAnsi"/>
      <w:color w:themeColor="accent1" w:themeShade="bf" w:val="7B230B"/>
    </w:rPr>
  </w:style>
  <w:style w:type="paragraph" w:styleId="Heading6">
    <w:name w:val="Heading 6"/>
    <w:basedOn w:val="Normal"/>
    <w:next w:val="Normal"/>
    <w:link w:val="Heading6Char"/>
    <w:uiPriority w:val="9"/>
    <w:semiHidden/>
    <w:unhideWhenUsed/>
    <w:qFormat/>
    <w:rsid w:val="00770810"/>
    <w:pPr>
      <w:keepNext w:val="true"/>
      <w:keepLines/>
      <w:numPr>
        <w:ilvl w:val="5"/>
        <w:numId w:val="1"/>
      </w:numPr>
      <w:spacing w:before="40" w:after="0"/>
      <w:outlineLvl w:val="5"/>
    </w:pPr>
    <w:rPr>
      <w:rFonts w:ascii="Calibri Light" w:hAnsi="Calibri Light" w:eastAsia="" w:cs="" w:asciiTheme="majorHAnsi" w:cstheme="majorBidi" w:eastAsiaTheme="majorEastAsia" w:hAnsiTheme="majorHAnsi"/>
      <w:color w:themeColor="accent1" w:themeShade="7f" w:val="511707"/>
    </w:rPr>
  </w:style>
  <w:style w:type="paragraph" w:styleId="Heading7">
    <w:name w:val="Heading 7"/>
    <w:basedOn w:val="Normal"/>
    <w:next w:val="Normal"/>
    <w:link w:val="Heading7Char"/>
    <w:uiPriority w:val="9"/>
    <w:semiHidden/>
    <w:unhideWhenUsed/>
    <w:qFormat/>
    <w:rsid w:val="00770810"/>
    <w:pPr>
      <w:keepNext w:val="true"/>
      <w:keepLines/>
      <w:numPr>
        <w:ilvl w:val="6"/>
        <w:numId w:val="1"/>
      </w:numPr>
      <w:spacing w:before="40" w:after="0"/>
      <w:outlineLvl w:val="6"/>
    </w:pPr>
    <w:rPr>
      <w:rFonts w:ascii="Calibri Light" w:hAnsi="Calibri Light" w:eastAsia="" w:cs="" w:asciiTheme="majorHAnsi" w:cstheme="majorBidi" w:eastAsiaTheme="majorEastAsia" w:hAnsiTheme="majorHAnsi"/>
      <w:i/>
      <w:iCs/>
      <w:color w:themeColor="accent1" w:themeShade="7f" w:val="511707"/>
    </w:rPr>
  </w:style>
  <w:style w:type="paragraph" w:styleId="Heading8">
    <w:name w:val="Heading 8"/>
    <w:basedOn w:val="Normal"/>
    <w:next w:val="Normal"/>
    <w:link w:val="Heading8Char"/>
    <w:uiPriority w:val="9"/>
    <w:semiHidden/>
    <w:unhideWhenUsed/>
    <w:qFormat/>
    <w:rsid w:val="00770810"/>
    <w:pPr>
      <w:keepNext w:val="true"/>
      <w:keepLines/>
      <w:numPr>
        <w:ilvl w:val="7"/>
        <w:numId w:val="1"/>
      </w:numPr>
      <w:spacing w:before="40" w:after="0"/>
      <w:outlineLvl w:val="7"/>
    </w:pPr>
    <w:rPr>
      <w:rFonts w:ascii="Calibri Light" w:hAnsi="Calibri Light" w:eastAsia="" w:cs="" w:asciiTheme="majorHAnsi" w:cstheme="majorBidi" w:eastAsiaTheme="majorEastAsia" w:hAnsiTheme="majorHAnsi"/>
      <w:color w:themeColor="text1" w:themeTint="d8" w:val="272727"/>
      <w:sz w:val="21"/>
      <w:szCs w:val="21"/>
    </w:rPr>
  </w:style>
  <w:style w:type="paragraph" w:styleId="Heading9">
    <w:name w:val="Heading 9"/>
    <w:basedOn w:val="Normal"/>
    <w:next w:val="Normal"/>
    <w:link w:val="Heading9Char"/>
    <w:uiPriority w:val="9"/>
    <w:semiHidden/>
    <w:unhideWhenUsed/>
    <w:qFormat/>
    <w:rsid w:val="00770810"/>
    <w:pPr>
      <w:keepNext w:val="true"/>
      <w:keepLines/>
      <w:numPr>
        <w:ilvl w:val="8"/>
        <w:numId w:val="1"/>
      </w:numPr>
      <w:spacing w:before="40" w:after="0"/>
      <w:outlineLvl w:val="8"/>
    </w:pPr>
    <w:rPr>
      <w:rFonts w:ascii="Calibri Light" w:hAnsi="Calibri Light" w:eastAsia="" w:cs="" w:asciiTheme="majorHAnsi" w:cstheme="majorBidi" w:eastAsiaTheme="majorEastAsia" w:hAnsiTheme="majorHAnsi"/>
      <w:i/>
      <w:iCs/>
      <w:color w:themeColor="text1" w:themeTint="d8" w:val="272727"/>
      <w:sz w:val="21"/>
      <w:szCs w:val="21"/>
    </w:rPr>
  </w:style>
  <w:style w:type="character" w:styleId="DefaultParagraphFont" w:default="1">
    <w:name w:val="Default Paragraph Font"/>
    <w:uiPriority w:val="1"/>
    <w:unhideWhenUsed/>
    <w:qFormat/>
    <w:rPr/>
  </w:style>
  <w:style w:type="character" w:styleId="MindLinkChar" w:customStyle="1">
    <w:name w:val="Mind Link Char"/>
    <w:basedOn w:val="DefaultParagraphFont"/>
    <w:link w:val="MindLink"/>
    <w:qFormat/>
    <w:rsid w:val="00c409e5"/>
    <w:rPr>
      <w:i/>
    </w:rPr>
  </w:style>
  <w:style w:type="character" w:styleId="Heading1Char" w:customStyle="1">
    <w:name w:val="Heading 1 Char"/>
    <w:basedOn w:val="DefaultParagraphFont"/>
    <w:link w:val="Heading1"/>
    <w:uiPriority w:val="9"/>
    <w:qFormat/>
    <w:rsid w:val="00770810"/>
    <w:rPr>
      <w:rFonts w:ascii="Tahoma" w:hAnsi="Tahoma" w:eastAsia="" w:cs="" w:cstheme="majorBidi" w:eastAsiaTheme="majorEastAsia"/>
      <w:b/>
      <w:sz w:val="25"/>
      <w:szCs w:val="32"/>
    </w:rPr>
  </w:style>
  <w:style w:type="character" w:styleId="Heading2Char" w:customStyle="1">
    <w:name w:val="Heading 2 Char"/>
    <w:basedOn w:val="DefaultParagraphFont"/>
    <w:link w:val="Heading2"/>
    <w:uiPriority w:val="9"/>
    <w:qFormat/>
    <w:rsid w:val="00770810"/>
    <w:rPr>
      <w:rFonts w:ascii="Tahoma" w:hAnsi="Tahoma" w:eastAsia="" w:cs="" w:cstheme="majorBidi" w:eastAsiaTheme="majorEastAsia"/>
      <w:b/>
      <w:i/>
      <w:sz w:val="24"/>
      <w:szCs w:val="26"/>
    </w:rPr>
  </w:style>
  <w:style w:type="character" w:styleId="Heading3Char" w:customStyle="1">
    <w:name w:val="Heading 3 Char"/>
    <w:basedOn w:val="DefaultParagraphFont"/>
    <w:link w:val="Heading3"/>
    <w:uiPriority w:val="9"/>
    <w:qFormat/>
    <w:rsid w:val="001a1cfa"/>
    <w:rPr>
      <w:rFonts w:ascii="Tahoma" w:hAnsi="Tahoma" w:eastAsia="" w:cs="" w:cstheme="majorBidi" w:eastAsiaTheme="majorEastAsia"/>
      <w:i/>
      <w:color w:themeColor="text1" w:val="000000"/>
      <w:sz w:val="24"/>
      <w:szCs w:val="24"/>
    </w:rPr>
  </w:style>
  <w:style w:type="character" w:styleId="Heading4Char" w:customStyle="1">
    <w:name w:val="Heading 4 Char"/>
    <w:basedOn w:val="DefaultParagraphFont"/>
    <w:link w:val="Heading4"/>
    <w:uiPriority w:val="9"/>
    <w:semiHidden/>
    <w:qFormat/>
    <w:rsid w:val="001a1cfa"/>
    <w:rPr>
      <w:rFonts w:ascii="Tahoma" w:hAnsi="Tahoma" w:eastAsia="" w:cs="" w:cstheme="majorBidi" w:eastAsiaTheme="majorEastAsia"/>
      <w:iCs/>
      <w:color w:themeColor="text1" w:val="000000"/>
    </w:rPr>
  </w:style>
  <w:style w:type="character" w:styleId="Heading5Char" w:customStyle="1">
    <w:name w:val="Heading 5 Char"/>
    <w:basedOn w:val="DefaultParagraphFont"/>
    <w:link w:val="Heading5"/>
    <w:uiPriority w:val="9"/>
    <w:semiHidden/>
    <w:qFormat/>
    <w:rsid w:val="00770810"/>
    <w:rPr>
      <w:rFonts w:ascii="Calibri Light" w:hAnsi="Calibri Light" w:eastAsia="" w:cs="" w:asciiTheme="majorHAnsi" w:cstheme="majorBidi" w:eastAsiaTheme="majorEastAsia" w:hAnsiTheme="majorHAnsi"/>
      <w:color w:themeColor="accent1" w:themeShade="bf" w:val="7B230B"/>
    </w:rPr>
  </w:style>
  <w:style w:type="character" w:styleId="Heading6Char" w:customStyle="1">
    <w:name w:val="Heading 6 Char"/>
    <w:basedOn w:val="DefaultParagraphFont"/>
    <w:link w:val="Heading6"/>
    <w:uiPriority w:val="9"/>
    <w:semiHidden/>
    <w:qFormat/>
    <w:rsid w:val="00770810"/>
    <w:rPr>
      <w:rFonts w:ascii="Calibri Light" w:hAnsi="Calibri Light" w:eastAsia="" w:cs="" w:asciiTheme="majorHAnsi" w:cstheme="majorBidi" w:eastAsiaTheme="majorEastAsia" w:hAnsiTheme="majorHAnsi"/>
      <w:color w:themeColor="accent1" w:themeShade="7f" w:val="511707"/>
    </w:rPr>
  </w:style>
  <w:style w:type="character" w:styleId="Heading7Char" w:customStyle="1">
    <w:name w:val="Heading 7 Char"/>
    <w:basedOn w:val="DefaultParagraphFont"/>
    <w:link w:val="Heading7"/>
    <w:uiPriority w:val="9"/>
    <w:semiHidden/>
    <w:qFormat/>
    <w:rsid w:val="00770810"/>
    <w:rPr>
      <w:rFonts w:ascii="Calibri Light" w:hAnsi="Calibri Light" w:eastAsia="" w:cs="" w:asciiTheme="majorHAnsi" w:cstheme="majorBidi" w:eastAsiaTheme="majorEastAsia" w:hAnsiTheme="majorHAnsi"/>
      <w:i/>
      <w:iCs/>
      <w:color w:themeColor="accent1" w:themeShade="7f" w:val="511707"/>
    </w:rPr>
  </w:style>
  <w:style w:type="character" w:styleId="Heading8Char" w:customStyle="1">
    <w:name w:val="Heading 8 Char"/>
    <w:basedOn w:val="DefaultParagraphFont"/>
    <w:link w:val="Heading8"/>
    <w:uiPriority w:val="9"/>
    <w:semiHidden/>
    <w:qFormat/>
    <w:rsid w:val="00770810"/>
    <w:rPr>
      <w:rFonts w:ascii="Calibri Light" w:hAnsi="Calibri Light" w:eastAsia="" w:cs="" w:asciiTheme="majorHAnsi" w:cstheme="majorBidi" w:eastAsiaTheme="majorEastAsia" w:hAnsiTheme="majorHAnsi"/>
      <w:color w:themeColor="text1" w:themeTint="d8" w:val="272727"/>
      <w:sz w:val="21"/>
      <w:szCs w:val="21"/>
    </w:rPr>
  </w:style>
  <w:style w:type="character" w:styleId="Heading9Char" w:customStyle="1">
    <w:name w:val="Heading 9 Char"/>
    <w:basedOn w:val="DefaultParagraphFont"/>
    <w:link w:val="Heading9"/>
    <w:uiPriority w:val="9"/>
    <w:semiHidden/>
    <w:qFormat/>
    <w:rsid w:val="00770810"/>
    <w:rPr>
      <w:rFonts w:ascii="Calibri Light" w:hAnsi="Calibri Light" w:eastAsia="" w:cs="" w:asciiTheme="majorHAnsi" w:cstheme="majorBidi" w:eastAsiaTheme="majorEastAsia" w:hAnsiTheme="majorHAnsi"/>
      <w:i/>
      <w:iCs/>
      <w:color w:themeColor="text1" w:themeTint="d8" w:val="272727"/>
      <w:sz w:val="21"/>
      <w:szCs w:val="21"/>
    </w:rPr>
  </w:style>
  <w:style w:type="character" w:styleId="HeaderChar" w:customStyle="1">
    <w:name w:val="Header Char"/>
    <w:basedOn w:val="DefaultParagraphFont"/>
    <w:link w:val="Header"/>
    <w:uiPriority w:val="99"/>
    <w:qFormat/>
    <w:rsid w:val="00d33ee3"/>
    <w:rPr>
      <w:rFonts w:ascii="Tahoma" w:hAnsi="Tahoma"/>
    </w:rPr>
  </w:style>
  <w:style w:type="character" w:styleId="FooterChar" w:customStyle="1">
    <w:name w:val="Footer Char"/>
    <w:basedOn w:val="DefaultParagraphFont"/>
    <w:link w:val="Footer"/>
    <w:uiPriority w:val="99"/>
    <w:qFormat/>
    <w:rsid w:val="00d33ee3"/>
    <w:rPr>
      <w:rFonts w:ascii="Tahoma" w:hAnsi="Tahoma"/>
    </w:rPr>
  </w:style>
  <w:style w:type="character" w:styleId="Hyperlink">
    <w:name w:val="Hyperlink"/>
    <w:unhideWhenUsed/>
    <w:rsid w:val="00d33ee3"/>
    <w:rPr>
      <w:strike w:val="false"/>
      <w:dstrike w:val="false"/>
      <w:color w:val="auto"/>
      <w:sz w:val="16"/>
      <w:u w:val="none"/>
      <w:effect w:val="none"/>
    </w:rPr>
  </w:style>
  <w:style w:type="character" w:styleId="Bullets" w:customStyle="1">
    <w:name w:val="Bullets"/>
    <w:qFormat/>
    <w:rPr>
      <w:rFonts w:ascii="OpenSymbol" w:hAnsi="OpenSymbol" w:eastAsia="OpenSymbol" w:cs="OpenSymbol"/>
    </w:rPr>
  </w:style>
  <w:style w:type="character" w:styleId="UnresolvedMention">
    <w:name w:val="Unresolved Mention"/>
    <w:basedOn w:val="DefaultParagraphFont"/>
    <w:uiPriority w:val="99"/>
    <w:semiHidden/>
    <w:unhideWhenUsed/>
    <w:qFormat/>
    <w:rsid w:val="006d08ef"/>
    <w:rPr>
      <w:color w:val="605E5C"/>
      <w:shd w:fill="E1DFDD" w:val="clear"/>
    </w:rPr>
  </w:style>
  <w:style w:type="character" w:styleId="NumberingSymbols">
    <w:name w:val="Numbering Symbols"/>
    <w:qFormat/>
    <w:rPr/>
  </w:style>
  <w:style w:type="paragraph" w:styleId="Heading" w:customStyle="1">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customStyle="1">
    <w:name w:val="Index"/>
    <w:basedOn w:val="Normal"/>
    <w:qFormat/>
    <w:pPr>
      <w:suppressLineNumbers/>
    </w:pPr>
    <w:rPr>
      <w:rFonts w:cs="Arial"/>
    </w:rPr>
  </w:style>
  <w:style w:type="paragraph" w:styleId="Caption1">
    <w:name w:val="caption1"/>
    <w:basedOn w:val="Normal"/>
    <w:qFormat/>
    <w:pPr>
      <w:suppressLineNumbers/>
      <w:spacing w:before="120" w:after="120"/>
    </w:pPr>
    <w:rPr>
      <w:rFonts w:cs="Arial"/>
      <w:i/>
      <w:iCs/>
      <w:sz w:val="24"/>
      <w:szCs w:val="24"/>
    </w:rPr>
  </w:style>
  <w:style w:type="paragraph" w:styleId="Caption11" w:customStyle="1">
    <w:name w:val="caption11"/>
    <w:basedOn w:val="Normal"/>
    <w:qFormat/>
    <w:pPr>
      <w:suppressLineNumbers/>
      <w:spacing w:before="120" w:after="120"/>
    </w:pPr>
    <w:rPr>
      <w:rFonts w:cs="Arial"/>
      <w:i/>
      <w:iCs/>
      <w:sz w:val="24"/>
      <w:szCs w:val="24"/>
    </w:rPr>
  </w:style>
  <w:style w:type="paragraph" w:styleId="MindLink" w:customStyle="1">
    <w:name w:val="Mind Link"/>
    <w:basedOn w:val="Normal"/>
    <w:next w:val="Normal"/>
    <w:link w:val="MindLinkChar"/>
    <w:qFormat/>
    <w:rsid w:val="00c409e5"/>
    <w:pPr/>
    <w:rPr>
      <w:i/>
    </w:rPr>
  </w:style>
  <w:style w:type="paragraph" w:styleId="ListParagraph">
    <w:name w:val="List Paragraph"/>
    <w:basedOn w:val="Normal"/>
    <w:uiPriority w:val="34"/>
    <w:qFormat/>
    <w:rsid w:val="001a1cfa"/>
    <w:pPr>
      <w:spacing w:before="0" w:after="160"/>
      <w:ind w:left="720"/>
      <w:contextualSpacing/>
    </w:pPr>
    <w:rPr/>
  </w:style>
  <w:style w:type="paragraph" w:styleId="Caption111" w:customStyle="1">
    <w:name w:val="caption111"/>
    <w:basedOn w:val="Normal"/>
    <w:next w:val="Normal"/>
    <w:uiPriority w:val="35"/>
    <w:unhideWhenUsed/>
    <w:qFormat/>
    <w:rsid w:val="0076573d"/>
    <w:pPr>
      <w:spacing w:lineRule="auto" w:line="240" w:before="0" w:after="200"/>
    </w:pPr>
    <w:rPr>
      <w:i/>
      <w:iCs/>
      <w:color w:themeColor="text2" w:val="323232"/>
      <w:sz w:val="18"/>
      <w:szCs w:val="18"/>
    </w:rPr>
  </w:style>
  <w:style w:type="paragraph" w:styleId="HeaderandFooter" w:customStyle="1">
    <w:name w:val="Header and Footer"/>
    <w:basedOn w:val="Normal"/>
    <w:qFormat/>
    <w:pPr/>
    <w:rPr/>
  </w:style>
  <w:style w:type="paragraph" w:styleId="Header">
    <w:name w:val="Header"/>
    <w:basedOn w:val="Normal"/>
    <w:link w:val="HeaderChar"/>
    <w:uiPriority w:val="99"/>
    <w:unhideWhenUsed/>
    <w:rsid w:val="00d33ee3"/>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d33ee3"/>
    <w:pPr>
      <w:tabs>
        <w:tab w:val="clear" w:pos="720"/>
        <w:tab w:val="center" w:pos="4513" w:leader="none"/>
        <w:tab w:val="right" w:pos="9026" w:leader="none"/>
      </w:tabs>
      <w:spacing w:lineRule="auto" w:line="240" w:before="0" w:after="0"/>
    </w:pPr>
    <w:rPr/>
  </w:style>
  <w:style w:type="paragraph" w:styleId="Running-head" w:customStyle="1">
    <w:name w:val="Running-head"/>
    <w:basedOn w:val="Header"/>
    <w:qFormat/>
    <w:rsid w:val="00d33ee3"/>
    <w:pPr>
      <w:widowControl w:val="false"/>
      <w:tabs>
        <w:tab w:val="clear" w:pos="4513"/>
        <w:tab w:val="clear" w:pos="9026"/>
        <w:tab w:val="center" w:pos="4706" w:leader="none"/>
        <w:tab w:val="center" w:pos="4920" w:leader="none"/>
        <w:tab w:val="right" w:pos="9356" w:leader="none"/>
      </w:tabs>
      <w:spacing w:lineRule="exact" w:line="200" w:before="0" w:after="80"/>
      <w:jc w:val="center"/>
    </w:pPr>
    <w:rPr>
      <w:rFonts w:eastAsia="SimSun" w:cs="Times New Roman"/>
      <w:smallCaps/>
      <w:kern w:val="0"/>
      <w:sz w:val="14"/>
      <w:szCs w:val="20"/>
      <w:lang w:val="en-US" w:eastAsia="en-US"/>
      <w14:ligatures w14:val="none"/>
    </w:rPr>
  </w:style>
  <w:style w:type="paragraph" w:styleId="Figure">
    <w:name w:val="Figure"/>
    <w:basedOn w:val="Caption"/>
    <w:qFormat/>
    <w:pPr/>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59"/>
    <w:rsid w:val="0077081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5">
    <w:name w:val="Plain Table 5"/>
    <w:basedOn w:val="TableNormal"/>
    <w:uiPriority w:val="45"/>
    <w:rsid w:val="0076573d"/>
    <w:tblPr>
      <w:tblStyleRowBandSize w:val="1"/>
      <w:tblStyleColBandSize w:val="1"/>
    </w:tblPr>
    <w:tblStylePr w:type="firstRow">
      <w:rPr>
        <w:rFonts w:asciiTheme="majorHAnsi" w:hAnsiTheme="majorHAnsi" w:eastAsiaTheme="majorEastAsia" w:cstheme="majorBidi"/>
        <w:i/>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sz w:val="26"/>
      </w:rPr>
      <w:tblPr/>
      <w:tcPr>
        <w:tcBorders>
          <w:left w:val="single" w:color="000000" w:themeColor="text1"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1.png"/><Relationship Id="rId4" Type="http://schemas.openxmlformats.org/officeDocument/2006/relationships/image" Target="media/image2.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4.png"/><Relationship Id="rId10" Type="http://schemas.openxmlformats.org/officeDocument/2006/relationships/image" Target="media/image5.png"/><Relationship Id="rId11" Type="http://schemas.openxmlformats.org/officeDocument/2006/relationships/image" Target="media/image5.png"/><Relationship Id="rId12" Type="http://schemas.openxmlformats.org/officeDocument/2006/relationships/hyperlink" Target="https://allianceforscience.org/blog/2021/05/african-farmers-face-new-threats-as-invasive-pests-proliferate-on-a-warming-planet/" TargetMode="External"/><Relationship Id="rId13" Type="http://schemas.openxmlformats.org/officeDocument/2006/relationships/hyperlink" Target="https://www.weforum.org/stories/2023/07/climate-change-is-accelerating-the-global-food-crisis-we-must-act-now-to-protect-the-most-vulnerable/" TargetMode="External"/><Relationship Id="rId14" Type="http://schemas.openxmlformats.org/officeDocument/2006/relationships/hyperlink" Target="https://www.oecd.org/en/publications/social-issues-in-agriculture-in-rural-areas_fec15b38-en.html" TargetMode="External"/><Relationship Id="rId15" Type="http://schemas.openxmlformats.org/officeDocument/2006/relationships/header" Target="header1.xml"/><Relationship Id="rId16" Type="http://schemas.openxmlformats.org/officeDocument/2006/relationships/header" Target="header2.xml"/><Relationship Id="rId17" Type="http://schemas.openxmlformats.org/officeDocument/2006/relationships/footer" Target="footer1.xml"/><Relationship Id="rId18" Type="http://schemas.openxmlformats.org/officeDocument/2006/relationships/numbering" Target="numbering.xml"/><Relationship Id="rId19" Type="http://schemas.openxmlformats.org/officeDocument/2006/relationships/fontTable" Target="fontTable.xml"/><Relationship Id="rId20" Type="http://schemas.openxmlformats.org/officeDocument/2006/relationships/settings" Target="settings.xml"/><Relationship Id="rId21" Type="http://schemas.openxmlformats.org/officeDocument/2006/relationships/theme" Target="theme/theme1.xml"/><Relationship Id="rId22" Type="http://schemas.openxmlformats.org/officeDocument/2006/relationships/customXml" Target="../customXml/item1.xml"/>
</Relationships>
</file>

<file path=word/_rels/header2.xml.rels><?xml version="1.0" encoding="UTF-8"?>
<Relationships xmlns="http://schemas.openxmlformats.org/package/2006/relationships"><Relationship Id="rId1" Type="http://schemas.openxmlformats.org/officeDocument/2006/relationships/image" Target="media/image6.png"/><Relationship Id="rId2" Type="http://schemas.openxmlformats.org/officeDocument/2006/relationships/image" Target="media/image7.png"/><Relationship Id="rId3" Type="http://schemas.openxmlformats.org/officeDocument/2006/relationships/hyperlink" Target="https://www.uwtsd.ac.uk/undergraduate/natural-environments/" TargetMode="External"/>
</Relationships>
</file>

<file path=word/theme/theme1.xml><?xml version="1.0" encoding="utf-8"?>
<a:theme xmlns:a="http://schemas.openxmlformats.org/drawingml/2006/main" xmlns:r="http://schemas.openxmlformats.org/officeDocument/2006/relationships" name="Office Theme">
  <a:themeElements>
    <a:clrScheme name="Red">
      <a:dk1>
        <a:srgbClr val="000000"/>
      </a:dk1>
      <a:lt1>
        <a:srgbClr val="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pitchFamily="0" charset="1"/>
        <a:ea typeface=""/>
        <a:cs typeface=""/>
      </a:majorFont>
      <a:minorFont>
        <a:latin typeface="Calibri" panose="020F050202020403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566B8-CBFF-43EB-95C4-525B88889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926</TotalTime>
  <Application>LibreOffice/7.6.2.1$Windows_X86_64 LibreOffice_project/56f7684011345957bbf33a7ee678afaf4d2ba333</Application>
  <AppVersion>15.0000</AppVersion>
  <Pages>11</Pages>
  <Words>2667</Words>
  <Characters>17216</Characters>
  <CharactersWithSpaces>19791</CharactersWithSpaces>
  <Paragraphs>103</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2025-01-27T13:40:00Z</dcterms:created>
  <dc:creator>Sam Godden (2420076)</dc:creator>
  <dc:description/>
  <dc:language>en-GB</dc:language>
  <cp:lastModifiedBy/>
  <dcterms:modified xsi:type="dcterms:W3CDTF">2025-01-31T18:42:05Z</dcterms:modified>
  <cp:revision>16</cp:revision>
  <dc:subject/>
  <dc:title/>
</cp:coreProperties>
</file>

<file path=docProps/custom.xml><?xml version="1.0" encoding="utf-8"?>
<Properties xmlns="http://schemas.openxmlformats.org/officeDocument/2006/custom-properties" xmlns:vt="http://schemas.openxmlformats.org/officeDocument/2006/docPropsVTypes"/>
</file>