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416E1" w14:textId="77777777" w:rsidR="00653E38" w:rsidRDefault="00653E38" w:rsidP="00653E38">
      <w:pPr>
        <w:spacing w:before="120" w:after="120" w:line="360" w:lineRule="auto"/>
        <w:jc w:val="center"/>
        <w:rPr>
          <w:rFonts w:ascii="Arial" w:eastAsia="Arial" w:hAnsi="Arial" w:cs="Arial"/>
          <w:sz w:val="22"/>
          <w:szCs w:val="22"/>
        </w:rPr>
      </w:pPr>
    </w:p>
    <w:p w14:paraId="657EB198" w14:textId="77777777" w:rsidR="00653E38" w:rsidRDefault="00653E38" w:rsidP="00653E38">
      <w:pPr>
        <w:spacing w:before="120" w:after="120" w:line="360" w:lineRule="auto"/>
        <w:jc w:val="center"/>
        <w:rPr>
          <w:rFonts w:ascii="Arial" w:eastAsia="Arial" w:hAnsi="Arial" w:cs="Arial"/>
          <w:sz w:val="22"/>
          <w:szCs w:val="22"/>
        </w:rPr>
      </w:pPr>
    </w:p>
    <w:p w14:paraId="486FF7CC" w14:textId="77777777" w:rsidR="00653E38" w:rsidRDefault="00653E38" w:rsidP="00653E38">
      <w:pPr>
        <w:spacing w:before="120" w:after="120" w:line="360" w:lineRule="auto"/>
        <w:jc w:val="center"/>
        <w:rPr>
          <w:rFonts w:ascii="Arial" w:eastAsia="Arial" w:hAnsi="Arial" w:cs="Arial"/>
          <w:sz w:val="22"/>
          <w:szCs w:val="22"/>
        </w:rPr>
      </w:pPr>
    </w:p>
    <w:p w14:paraId="0A823650" w14:textId="77777777" w:rsidR="00653E38" w:rsidRDefault="00653E38" w:rsidP="00653E38">
      <w:pPr>
        <w:spacing w:before="120" w:after="120" w:line="360" w:lineRule="auto"/>
        <w:jc w:val="center"/>
        <w:rPr>
          <w:rFonts w:ascii="Arial" w:eastAsia="Arial" w:hAnsi="Arial" w:cs="Arial"/>
          <w:b/>
          <w:bCs/>
          <w:sz w:val="22"/>
          <w:szCs w:val="22"/>
        </w:rPr>
      </w:pPr>
      <w:r>
        <w:rPr>
          <w:rFonts w:ascii="Arial" w:eastAsia="Arial" w:hAnsi="Arial" w:cs="Arial"/>
          <w:b/>
          <w:bCs/>
          <w:sz w:val="22"/>
          <w:szCs w:val="22"/>
        </w:rPr>
        <w:t>LCHS7006 Quality Assurance and Service Improvements</w:t>
      </w:r>
    </w:p>
    <w:p w14:paraId="406A4F70" w14:textId="77777777" w:rsidR="00653E38" w:rsidRDefault="00653E38" w:rsidP="00653E38">
      <w:pPr>
        <w:spacing w:before="120" w:after="120" w:line="360" w:lineRule="auto"/>
        <w:jc w:val="center"/>
        <w:rPr>
          <w:rFonts w:ascii="Arial" w:eastAsia="Arial" w:hAnsi="Arial" w:cs="Arial"/>
          <w:sz w:val="22"/>
          <w:szCs w:val="22"/>
        </w:rPr>
      </w:pPr>
    </w:p>
    <w:p w14:paraId="49765441" w14:textId="77777777" w:rsidR="00653E38" w:rsidRDefault="00653E38" w:rsidP="00653E38">
      <w:pPr>
        <w:spacing w:before="120" w:after="120" w:line="360" w:lineRule="auto"/>
        <w:jc w:val="center"/>
        <w:rPr>
          <w:rFonts w:ascii="Arial" w:eastAsia="Arial" w:hAnsi="Arial" w:cs="Arial"/>
          <w:b/>
          <w:bCs/>
          <w:sz w:val="22"/>
          <w:szCs w:val="22"/>
        </w:rPr>
      </w:pPr>
      <w:r>
        <w:rPr>
          <w:rFonts w:ascii="Arial" w:eastAsia="Arial" w:hAnsi="Arial" w:cs="Arial"/>
          <w:b/>
          <w:bCs/>
          <w:sz w:val="22"/>
          <w:szCs w:val="22"/>
        </w:rPr>
        <w:t>Component 2: Service Improvement Report</w:t>
      </w:r>
    </w:p>
    <w:p w14:paraId="5B8B0FE9" w14:textId="77777777" w:rsidR="00653E38" w:rsidRDefault="00653E38" w:rsidP="00653E38">
      <w:pPr>
        <w:spacing w:before="120" w:after="120" w:line="360" w:lineRule="auto"/>
        <w:jc w:val="center"/>
        <w:rPr>
          <w:rFonts w:ascii="Arial" w:eastAsia="Arial" w:hAnsi="Arial" w:cs="Arial"/>
          <w:sz w:val="22"/>
          <w:szCs w:val="22"/>
        </w:rPr>
      </w:pPr>
    </w:p>
    <w:p w14:paraId="00EE56BC" w14:textId="77777777" w:rsidR="00653E38" w:rsidRDefault="00653E38" w:rsidP="00653E38">
      <w:pPr>
        <w:spacing w:before="120" w:after="120" w:line="360" w:lineRule="auto"/>
        <w:jc w:val="center"/>
        <w:rPr>
          <w:rFonts w:ascii="Arial" w:eastAsia="Arial" w:hAnsi="Arial" w:cs="Arial"/>
          <w:sz w:val="22"/>
          <w:szCs w:val="22"/>
        </w:rPr>
      </w:pPr>
    </w:p>
    <w:p w14:paraId="52820BCA" w14:textId="77777777" w:rsidR="00653E38" w:rsidRDefault="00653E38" w:rsidP="00653E38">
      <w:pPr>
        <w:spacing w:before="120" w:after="120" w:line="360" w:lineRule="auto"/>
        <w:jc w:val="center"/>
        <w:rPr>
          <w:rFonts w:ascii="Arial" w:eastAsia="Arial" w:hAnsi="Arial" w:cs="Arial"/>
          <w:b/>
          <w:bCs/>
          <w:sz w:val="22"/>
          <w:szCs w:val="22"/>
        </w:rPr>
      </w:pPr>
      <w:r>
        <w:rPr>
          <w:rFonts w:ascii="Arial" w:eastAsia="Arial" w:hAnsi="Arial" w:cs="Arial"/>
          <w:b/>
          <w:bCs/>
          <w:sz w:val="22"/>
          <w:szCs w:val="22"/>
        </w:rPr>
        <w:t>Lucy Letby Case</w:t>
      </w:r>
    </w:p>
    <w:p w14:paraId="620B25A4" w14:textId="77777777" w:rsidR="00653E38" w:rsidRDefault="00653E38" w:rsidP="00653E38">
      <w:pPr>
        <w:spacing w:before="120" w:after="120" w:line="360" w:lineRule="auto"/>
        <w:jc w:val="center"/>
        <w:rPr>
          <w:rFonts w:ascii="Arial" w:eastAsia="Arial" w:hAnsi="Arial" w:cs="Arial"/>
          <w:sz w:val="22"/>
          <w:szCs w:val="22"/>
        </w:rPr>
      </w:pPr>
    </w:p>
    <w:p w14:paraId="60AFE10A" w14:textId="77777777" w:rsidR="00653E38" w:rsidRDefault="00653E38" w:rsidP="00653E38">
      <w:pPr>
        <w:spacing w:before="120" w:after="120" w:line="360" w:lineRule="auto"/>
        <w:jc w:val="center"/>
        <w:rPr>
          <w:rFonts w:ascii="Arial" w:eastAsia="Arial" w:hAnsi="Arial" w:cs="Arial"/>
          <w:sz w:val="22"/>
          <w:szCs w:val="22"/>
        </w:rPr>
      </w:pPr>
    </w:p>
    <w:p w14:paraId="68F36B8F" w14:textId="299C98B9" w:rsidR="00653E38" w:rsidRDefault="00653E38" w:rsidP="00653E38">
      <w:pPr>
        <w:spacing w:before="120" w:after="120" w:line="360" w:lineRule="auto"/>
        <w:jc w:val="center"/>
        <w:rPr>
          <w:rFonts w:ascii="Arial" w:eastAsia="Arial" w:hAnsi="Arial" w:cs="Arial"/>
          <w:sz w:val="22"/>
          <w:szCs w:val="22"/>
        </w:rPr>
      </w:pPr>
      <w:r>
        <w:br w:type="page"/>
      </w:r>
    </w:p>
    <w:p w14:paraId="5D7240F0" w14:textId="77777777" w:rsidR="00653E38" w:rsidRPr="006440A1" w:rsidRDefault="00653E38" w:rsidP="00653E38">
      <w:pPr>
        <w:spacing w:before="0" w:after="0" w:line="240" w:lineRule="auto"/>
        <w:jc w:val="center"/>
        <w:rPr>
          <w:rFonts w:ascii="Arial" w:eastAsia="Arial" w:hAnsi="Arial" w:cs="Arial"/>
          <w:b/>
          <w:bCs/>
        </w:rPr>
      </w:pPr>
      <w:r w:rsidRPr="006440A1">
        <w:rPr>
          <w:rFonts w:ascii="Arial" w:eastAsia="Arial" w:hAnsi="Arial" w:cs="Arial"/>
          <w:b/>
          <w:bCs/>
        </w:rPr>
        <w:lastRenderedPageBreak/>
        <w:t>Table of Contents</w:t>
      </w:r>
    </w:p>
    <w:sdt>
      <w:sdtPr>
        <w:rPr>
          <w:rFonts w:ascii="Arial" w:hAnsi="Arial" w:cs="Arial"/>
        </w:rPr>
        <w:id w:val="-1316467257"/>
        <w:docPartObj>
          <w:docPartGallery w:val="Table of Contents"/>
          <w:docPartUnique/>
        </w:docPartObj>
      </w:sdtPr>
      <w:sdtContent>
        <w:p w14:paraId="033217ED" w14:textId="77777777" w:rsidR="00653E38" w:rsidRPr="006440A1" w:rsidRDefault="00653E38" w:rsidP="00653E38">
          <w:pPr>
            <w:pStyle w:val="TOC1"/>
            <w:tabs>
              <w:tab w:val="right" w:pos="9350"/>
            </w:tabs>
            <w:spacing w:before="0" w:after="0" w:line="240" w:lineRule="auto"/>
            <w:rPr>
              <w:rFonts w:ascii="Arial" w:hAnsi="Arial" w:cs="Arial"/>
              <w:noProof/>
            </w:rPr>
          </w:pPr>
          <w:r w:rsidRPr="006440A1">
            <w:rPr>
              <w:rFonts w:ascii="Arial" w:hAnsi="Arial" w:cs="Arial"/>
            </w:rPr>
            <w:fldChar w:fldCharType="begin"/>
          </w:r>
          <w:r w:rsidRPr="006440A1">
            <w:rPr>
              <w:rFonts w:ascii="Arial" w:hAnsi="Arial" w:cs="Arial"/>
            </w:rPr>
            <w:instrText xml:space="preserve"> TOC \h \u \z \t "Heading 1,1,Heading 2,2,Heading 3,3,Heading 4,4,Heading 5,5,Heading 6,6,"</w:instrText>
          </w:r>
          <w:r w:rsidRPr="006440A1">
            <w:rPr>
              <w:rFonts w:ascii="Arial" w:hAnsi="Arial" w:cs="Arial"/>
            </w:rPr>
            <w:fldChar w:fldCharType="separate"/>
          </w:r>
          <w:hyperlink w:anchor="_Toc226377876" w:history="1">
            <w:r w:rsidRPr="006440A1">
              <w:rPr>
                <w:rStyle w:val="Hyperlink"/>
                <w:rFonts w:ascii="Arial" w:hAnsi="Arial" w:cs="Arial"/>
                <w:noProof/>
              </w:rPr>
              <w:t>1. Introduction</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_Toc226377876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3</w:t>
            </w:r>
            <w:r w:rsidRPr="006440A1">
              <w:rPr>
                <w:rFonts w:ascii="Arial" w:hAnsi="Arial" w:cs="Arial"/>
                <w:noProof/>
                <w:webHidden/>
              </w:rPr>
              <w:fldChar w:fldCharType="end"/>
            </w:r>
          </w:hyperlink>
        </w:p>
        <w:p w14:paraId="33CC7F51"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77" w:history="1">
            <w:r w:rsidRPr="006440A1">
              <w:rPr>
                <w:rStyle w:val="Hyperlink"/>
                <w:rFonts w:ascii="Arial" w:hAnsi="Arial" w:cs="Arial"/>
                <w:noProof/>
              </w:rPr>
              <w:t>1.1 Context</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_Toc226377877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3</w:t>
            </w:r>
            <w:r w:rsidRPr="006440A1">
              <w:rPr>
                <w:rFonts w:ascii="Arial" w:hAnsi="Arial" w:cs="Arial"/>
                <w:noProof/>
                <w:webHidden/>
              </w:rPr>
              <w:fldChar w:fldCharType="end"/>
            </w:r>
          </w:hyperlink>
        </w:p>
        <w:p w14:paraId="473D2450"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78" w:history="1">
            <w:r w:rsidRPr="006440A1">
              <w:rPr>
                <w:rStyle w:val="Hyperlink"/>
                <w:rFonts w:ascii="Arial" w:hAnsi="Arial" w:cs="Arial"/>
                <w:noProof/>
              </w:rPr>
              <w:t>1.2 Problem</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_Toc226377878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3</w:t>
            </w:r>
            <w:r w:rsidRPr="006440A1">
              <w:rPr>
                <w:rFonts w:ascii="Arial" w:hAnsi="Arial" w:cs="Arial"/>
                <w:noProof/>
                <w:webHidden/>
              </w:rPr>
              <w:fldChar w:fldCharType="end"/>
            </w:r>
          </w:hyperlink>
        </w:p>
        <w:p w14:paraId="0FA6F266"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79" w:history="1">
            <w:r w:rsidRPr="006440A1">
              <w:rPr>
                <w:rStyle w:val="Hyperlink"/>
                <w:rFonts w:ascii="Arial" w:hAnsi="Arial" w:cs="Arial"/>
                <w:noProof/>
              </w:rPr>
              <w:t>1.3 Aim of the Report</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_Toc226377879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3</w:t>
            </w:r>
            <w:r w:rsidRPr="006440A1">
              <w:rPr>
                <w:rFonts w:ascii="Arial" w:hAnsi="Arial" w:cs="Arial"/>
                <w:noProof/>
                <w:webHidden/>
              </w:rPr>
              <w:fldChar w:fldCharType="end"/>
            </w:r>
          </w:hyperlink>
        </w:p>
        <w:p w14:paraId="12ADE4A9" w14:textId="77777777" w:rsidR="00653E38" w:rsidRPr="006440A1" w:rsidRDefault="00653E38" w:rsidP="00653E38">
          <w:pPr>
            <w:pStyle w:val="TOC1"/>
            <w:tabs>
              <w:tab w:val="right" w:pos="9350"/>
            </w:tabs>
            <w:spacing w:before="0" w:after="0" w:line="240" w:lineRule="auto"/>
            <w:rPr>
              <w:rFonts w:ascii="Arial" w:hAnsi="Arial" w:cs="Arial"/>
              <w:noProof/>
            </w:rPr>
          </w:pPr>
          <w:hyperlink w:anchor="_Toc226377880" w:history="1">
            <w:r w:rsidRPr="006440A1">
              <w:rPr>
                <w:rStyle w:val="Hyperlink"/>
                <w:rFonts w:ascii="Arial" w:hAnsi="Arial" w:cs="Arial"/>
                <w:noProof/>
              </w:rPr>
              <w:t>2. Main Body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_Toc226377880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4</w:t>
            </w:r>
            <w:r w:rsidRPr="006440A1">
              <w:rPr>
                <w:rFonts w:ascii="Arial" w:hAnsi="Arial" w:cs="Arial"/>
                <w:noProof/>
                <w:webHidden/>
              </w:rPr>
              <w:fldChar w:fldCharType="end"/>
            </w:r>
          </w:hyperlink>
        </w:p>
        <w:p w14:paraId="3429E450"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81" w:history="1">
            <w:r w:rsidRPr="006440A1">
              <w:rPr>
                <w:rStyle w:val="Hyperlink"/>
                <w:rFonts w:ascii="Arial" w:hAnsi="Arial" w:cs="Arial"/>
                <w:noProof/>
              </w:rPr>
              <w:t>2.1 Healthcare Failure in The Letby Case Reflects a Breakdown of Interdependent Systems (Systems Theory)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_Toc226377881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4</w:t>
            </w:r>
            <w:r w:rsidRPr="006440A1">
              <w:rPr>
                <w:rFonts w:ascii="Arial" w:hAnsi="Arial" w:cs="Arial"/>
                <w:noProof/>
                <w:webHidden/>
              </w:rPr>
              <w:fldChar w:fldCharType="end"/>
            </w:r>
          </w:hyperlink>
        </w:p>
        <w:p w14:paraId="46289E63"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82" w:history="1">
            <w:r w:rsidRPr="006440A1">
              <w:rPr>
                <w:rStyle w:val="Hyperlink"/>
                <w:rFonts w:ascii="Arial" w:hAnsi="Arial" w:cs="Arial"/>
                <w:noProof/>
              </w:rPr>
              <w:t>2.2 Patient Harm Resulted From Alignment of Multiple Latent Failures Across System Layers (Swiss Cheese Model)</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_Toc226377882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5</w:t>
            </w:r>
            <w:r w:rsidRPr="006440A1">
              <w:rPr>
                <w:rFonts w:ascii="Arial" w:hAnsi="Arial" w:cs="Arial"/>
                <w:noProof/>
                <w:webHidden/>
              </w:rPr>
              <w:fldChar w:fldCharType="end"/>
            </w:r>
          </w:hyperlink>
        </w:p>
        <w:p w14:paraId="1F512731"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83" w:history="1">
            <w:r w:rsidRPr="006440A1">
              <w:rPr>
                <w:rStyle w:val="Hyperlink"/>
                <w:rFonts w:ascii="Arial" w:eastAsia="Arial" w:hAnsi="Arial" w:cs="Arial"/>
                <w:noProof/>
              </w:rPr>
              <w:t>2.2.1 Latent Conditions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_Toc226377883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5</w:t>
            </w:r>
            <w:r w:rsidRPr="006440A1">
              <w:rPr>
                <w:rFonts w:ascii="Arial" w:hAnsi="Arial" w:cs="Arial"/>
                <w:noProof/>
                <w:webHidden/>
              </w:rPr>
              <w:fldChar w:fldCharType="end"/>
            </w:r>
          </w:hyperlink>
        </w:p>
        <w:p w14:paraId="07593382"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84" w:history="1">
            <w:r w:rsidRPr="006440A1">
              <w:rPr>
                <w:rStyle w:val="Hyperlink"/>
                <w:rFonts w:ascii="Arial" w:hAnsi="Arial" w:cs="Arial"/>
                <w:noProof/>
              </w:rPr>
              <w:t>2.3 Failures in Structure, Process, and Outcome Demonstrate Systemic Quality Breakdown (Donabedian Model)</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_Toc226377884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5</w:t>
            </w:r>
            <w:r w:rsidRPr="006440A1">
              <w:rPr>
                <w:rFonts w:ascii="Arial" w:hAnsi="Arial" w:cs="Arial"/>
                <w:noProof/>
                <w:webHidden/>
              </w:rPr>
              <w:fldChar w:fldCharType="end"/>
            </w:r>
          </w:hyperlink>
        </w:p>
        <w:p w14:paraId="0419B841"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85" w:history="1">
            <w:r w:rsidRPr="006440A1">
              <w:rPr>
                <w:rStyle w:val="Hyperlink"/>
                <w:rFonts w:ascii="Arial" w:eastAsia="Arial" w:hAnsi="Arial" w:cs="Arial"/>
                <w:noProof/>
              </w:rPr>
              <w:t>2.3.1 Structure</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_Toc226377885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6</w:t>
            </w:r>
            <w:r w:rsidRPr="006440A1">
              <w:rPr>
                <w:rFonts w:ascii="Arial" w:hAnsi="Arial" w:cs="Arial"/>
                <w:noProof/>
                <w:webHidden/>
              </w:rPr>
              <w:fldChar w:fldCharType="end"/>
            </w:r>
          </w:hyperlink>
        </w:p>
        <w:p w14:paraId="69BE47AA"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86" w:history="1">
            <w:r w:rsidRPr="006440A1">
              <w:rPr>
                <w:rStyle w:val="Hyperlink"/>
                <w:rFonts w:ascii="Arial" w:eastAsia="Arial" w:hAnsi="Arial" w:cs="Arial"/>
                <w:noProof/>
              </w:rPr>
              <w:t>2.3.2 Process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_Toc226377886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6</w:t>
            </w:r>
            <w:r w:rsidRPr="006440A1">
              <w:rPr>
                <w:rFonts w:ascii="Arial" w:hAnsi="Arial" w:cs="Arial"/>
                <w:noProof/>
                <w:webHidden/>
              </w:rPr>
              <w:fldChar w:fldCharType="end"/>
            </w:r>
          </w:hyperlink>
        </w:p>
        <w:p w14:paraId="43D02B7C"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87" w:history="1">
            <w:r w:rsidRPr="006440A1">
              <w:rPr>
                <w:rStyle w:val="Hyperlink"/>
                <w:rFonts w:ascii="Arial" w:eastAsia="Arial" w:hAnsi="Arial" w:cs="Arial"/>
                <w:noProof/>
              </w:rPr>
              <w:t>2.3.3 Outcome</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_Toc226377887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6</w:t>
            </w:r>
            <w:r w:rsidRPr="006440A1">
              <w:rPr>
                <w:rFonts w:ascii="Arial" w:hAnsi="Arial" w:cs="Arial"/>
                <w:noProof/>
                <w:webHidden/>
              </w:rPr>
              <w:fldChar w:fldCharType="end"/>
            </w:r>
          </w:hyperlink>
        </w:p>
        <w:p w14:paraId="24210F03"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88" w:history="1">
            <w:r w:rsidRPr="006440A1">
              <w:rPr>
                <w:rStyle w:val="Hyperlink"/>
                <w:rFonts w:ascii="Arial" w:hAnsi="Arial" w:cs="Arial"/>
                <w:noProof/>
              </w:rPr>
              <w:t>2.4 Root Cause Analysis Reveals That Underlying Cultural and Governance Failures Enabled Persistent Harm</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_Toc226377888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6</w:t>
            </w:r>
            <w:r w:rsidRPr="006440A1">
              <w:rPr>
                <w:rFonts w:ascii="Arial" w:hAnsi="Arial" w:cs="Arial"/>
                <w:noProof/>
                <w:webHidden/>
              </w:rPr>
              <w:fldChar w:fldCharType="end"/>
            </w:r>
          </w:hyperlink>
        </w:p>
        <w:p w14:paraId="2349AD33"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89" w:history="1">
            <w:r w:rsidRPr="006440A1">
              <w:rPr>
                <w:rStyle w:val="Hyperlink"/>
                <w:rFonts w:ascii="Arial" w:hAnsi="Arial" w:cs="Arial"/>
                <w:noProof/>
              </w:rPr>
              <w:t>2.5 Multiple Interacting Factors Across People, Processes, Policy, Technology and Environment Reinforced System Failure (Fishbone Analysis)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_Toc226377889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7</w:t>
            </w:r>
            <w:r w:rsidRPr="006440A1">
              <w:rPr>
                <w:rFonts w:ascii="Arial" w:hAnsi="Arial" w:cs="Arial"/>
                <w:noProof/>
                <w:webHidden/>
              </w:rPr>
              <w:fldChar w:fldCharType="end"/>
            </w:r>
          </w:hyperlink>
        </w:p>
        <w:p w14:paraId="5C863F76"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90" w:history="1">
            <w:r w:rsidRPr="006440A1">
              <w:rPr>
                <w:rStyle w:val="Hyperlink"/>
                <w:rFonts w:ascii="Arial" w:eastAsia="Arial" w:hAnsi="Arial" w:cs="Arial"/>
                <w:noProof/>
              </w:rPr>
              <w:t>2.5.1 People</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_Toc226377890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253D8C14"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91" w:history="1">
            <w:r w:rsidRPr="006440A1">
              <w:rPr>
                <w:rStyle w:val="Hyperlink"/>
                <w:rFonts w:ascii="Arial" w:eastAsia="Arial" w:hAnsi="Arial" w:cs="Arial"/>
                <w:noProof/>
              </w:rPr>
              <w:t>2.5.2 Processes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_Toc226377891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4533988F"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92" w:history="1">
            <w:r w:rsidRPr="006440A1">
              <w:rPr>
                <w:rStyle w:val="Hyperlink"/>
                <w:rFonts w:ascii="Arial" w:eastAsia="Arial" w:hAnsi="Arial" w:cs="Arial"/>
                <w:noProof/>
              </w:rPr>
              <w:t>2.5.3 Policy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_Toc226377892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67706FC0"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93" w:history="1">
            <w:r w:rsidRPr="006440A1">
              <w:rPr>
                <w:rStyle w:val="Hyperlink"/>
                <w:rFonts w:ascii="Arial" w:eastAsia="Arial" w:hAnsi="Arial" w:cs="Arial"/>
                <w:noProof/>
              </w:rPr>
              <w:t>2.5.4 Technology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_Toc226377893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5F7C15BB" w14:textId="77777777" w:rsidR="00653E38" w:rsidRPr="006440A1" w:rsidRDefault="00653E38" w:rsidP="00653E38">
          <w:pPr>
            <w:pStyle w:val="TOC3"/>
            <w:tabs>
              <w:tab w:val="right" w:pos="9350"/>
            </w:tabs>
            <w:spacing w:before="0" w:after="0" w:line="240" w:lineRule="auto"/>
            <w:rPr>
              <w:rFonts w:ascii="Arial" w:hAnsi="Arial" w:cs="Arial"/>
              <w:noProof/>
            </w:rPr>
          </w:pPr>
          <w:hyperlink w:anchor="_Toc226377894" w:history="1">
            <w:r w:rsidRPr="006440A1">
              <w:rPr>
                <w:rStyle w:val="Hyperlink"/>
                <w:rFonts w:ascii="Arial" w:eastAsia="Arial" w:hAnsi="Arial" w:cs="Arial"/>
                <w:noProof/>
              </w:rPr>
              <w:t>2.5.5 Environment</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_Toc226377894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365A7FE0"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95" w:history="1">
            <w:r w:rsidRPr="006440A1">
              <w:rPr>
                <w:rStyle w:val="Hyperlink"/>
                <w:rFonts w:ascii="Arial" w:hAnsi="Arial" w:cs="Arial"/>
                <w:noProof/>
              </w:rPr>
              <w:t>2.6 Policy and Governance Failures Demonstrate a Disconnect Between Formal Frameworks and Operational Reality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_Toc226377895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8</w:t>
            </w:r>
            <w:r w:rsidRPr="006440A1">
              <w:rPr>
                <w:rFonts w:ascii="Arial" w:hAnsi="Arial" w:cs="Arial"/>
                <w:noProof/>
                <w:webHidden/>
              </w:rPr>
              <w:fldChar w:fldCharType="end"/>
            </w:r>
          </w:hyperlink>
        </w:p>
        <w:p w14:paraId="48E87F27"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96" w:history="1">
            <w:r w:rsidRPr="006440A1">
              <w:rPr>
                <w:rStyle w:val="Hyperlink"/>
                <w:rFonts w:ascii="Arial" w:hAnsi="Arial" w:cs="Arial"/>
                <w:noProof/>
              </w:rPr>
              <w:t>2.7 Strategic Analysis Highlights Systemic Weaknesses and Opportunities for Quality Improvement (SWOT Analysis)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_Toc226377896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9</w:t>
            </w:r>
            <w:r w:rsidRPr="006440A1">
              <w:rPr>
                <w:rFonts w:ascii="Arial" w:hAnsi="Arial" w:cs="Arial"/>
                <w:noProof/>
                <w:webHidden/>
              </w:rPr>
              <w:fldChar w:fldCharType="end"/>
            </w:r>
          </w:hyperlink>
        </w:p>
        <w:p w14:paraId="1A62DFA6" w14:textId="77777777" w:rsidR="00653E38" w:rsidRPr="006440A1" w:rsidRDefault="00653E38" w:rsidP="00653E38">
          <w:pPr>
            <w:pStyle w:val="TOC1"/>
            <w:tabs>
              <w:tab w:val="right" w:pos="9350"/>
            </w:tabs>
            <w:spacing w:before="0" w:after="0" w:line="240" w:lineRule="auto"/>
            <w:rPr>
              <w:rFonts w:ascii="Arial" w:hAnsi="Arial" w:cs="Arial"/>
              <w:noProof/>
            </w:rPr>
          </w:pPr>
          <w:hyperlink w:anchor="_Toc226377897" w:history="1">
            <w:r w:rsidRPr="006440A1">
              <w:rPr>
                <w:rStyle w:val="Hyperlink"/>
                <w:rFonts w:ascii="Arial" w:hAnsi="Arial" w:cs="Arial"/>
                <w:noProof/>
              </w:rPr>
              <w:t>3. Recommendations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_Toc226377897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10</w:t>
            </w:r>
            <w:r w:rsidRPr="006440A1">
              <w:rPr>
                <w:rFonts w:ascii="Arial" w:hAnsi="Arial" w:cs="Arial"/>
                <w:noProof/>
                <w:webHidden/>
              </w:rPr>
              <w:fldChar w:fldCharType="end"/>
            </w:r>
          </w:hyperlink>
        </w:p>
        <w:p w14:paraId="5E2AAD08"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98" w:history="1">
            <w:r w:rsidRPr="006440A1">
              <w:rPr>
                <w:rStyle w:val="Hyperlink"/>
                <w:rFonts w:ascii="Arial" w:hAnsi="Arial" w:cs="Arial"/>
                <w:noProof/>
              </w:rPr>
              <w:t>3.1 Strengthening Escalation and Incident Reporting Systems is Essential to Restore Patient Safety (PDSA Cycle)</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_Toc226377898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10</w:t>
            </w:r>
            <w:r w:rsidRPr="006440A1">
              <w:rPr>
                <w:rFonts w:ascii="Arial" w:hAnsi="Arial" w:cs="Arial"/>
                <w:noProof/>
                <w:webHidden/>
              </w:rPr>
              <w:fldChar w:fldCharType="end"/>
            </w:r>
          </w:hyperlink>
        </w:p>
        <w:p w14:paraId="263D01EC"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899" w:history="1">
            <w:r w:rsidRPr="006440A1">
              <w:rPr>
                <w:rStyle w:val="Hyperlink"/>
                <w:rFonts w:ascii="Arial" w:hAnsi="Arial" w:cs="Arial"/>
                <w:noProof/>
              </w:rPr>
              <w:t>3.2 Embedding a Transparent and Protected Whistleblowing Culture is Critical for Early Risk Detection</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_Toc226377899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10</w:t>
            </w:r>
            <w:r w:rsidRPr="006440A1">
              <w:rPr>
                <w:rFonts w:ascii="Arial" w:hAnsi="Arial" w:cs="Arial"/>
                <w:noProof/>
                <w:webHidden/>
              </w:rPr>
              <w:fldChar w:fldCharType="end"/>
            </w:r>
          </w:hyperlink>
        </w:p>
        <w:p w14:paraId="0D7F716F" w14:textId="77777777" w:rsidR="00653E38" w:rsidRPr="006440A1" w:rsidRDefault="00653E38" w:rsidP="00653E38">
          <w:pPr>
            <w:pStyle w:val="TOC2"/>
            <w:tabs>
              <w:tab w:val="right" w:pos="9350"/>
            </w:tabs>
            <w:spacing w:before="0" w:after="0" w:line="240" w:lineRule="auto"/>
            <w:rPr>
              <w:rFonts w:ascii="Arial" w:hAnsi="Arial" w:cs="Arial"/>
              <w:noProof/>
            </w:rPr>
          </w:pPr>
          <w:hyperlink w:anchor="_Toc226377900" w:history="1">
            <w:r w:rsidRPr="006440A1">
              <w:rPr>
                <w:rStyle w:val="Hyperlink"/>
                <w:rFonts w:ascii="Arial" w:hAnsi="Arial" w:cs="Arial"/>
                <w:noProof/>
              </w:rPr>
              <w:t>3.3 Implementing Real-Time Data Monitoring Systems is Necessary to Detect Clinical Anomalies Proactively</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_Toc226377900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11</w:t>
            </w:r>
            <w:r w:rsidRPr="006440A1">
              <w:rPr>
                <w:rFonts w:ascii="Arial" w:hAnsi="Arial" w:cs="Arial"/>
                <w:noProof/>
                <w:webHidden/>
              </w:rPr>
              <w:fldChar w:fldCharType="end"/>
            </w:r>
          </w:hyperlink>
        </w:p>
        <w:p w14:paraId="6D2F79BA" w14:textId="77777777" w:rsidR="00653E38" w:rsidRPr="006440A1" w:rsidRDefault="00653E38" w:rsidP="00653E38">
          <w:pPr>
            <w:pStyle w:val="TOC1"/>
            <w:tabs>
              <w:tab w:val="right" w:pos="9350"/>
            </w:tabs>
            <w:spacing w:before="0" w:after="0" w:line="240" w:lineRule="auto"/>
            <w:rPr>
              <w:rFonts w:ascii="Arial" w:hAnsi="Arial" w:cs="Arial"/>
              <w:noProof/>
            </w:rPr>
          </w:pPr>
          <w:hyperlink w:anchor="_Toc226377901" w:history="1">
            <w:r w:rsidRPr="006440A1">
              <w:rPr>
                <w:rStyle w:val="Hyperlink"/>
                <w:rFonts w:ascii="Arial" w:hAnsi="Arial" w:cs="Arial"/>
                <w:noProof/>
              </w:rPr>
              <w:t>4. Conclusion</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_Toc226377901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11</w:t>
            </w:r>
            <w:r w:rsidRPr="006440A1">
              <w:rPr>
                <w:rFonts w:ascii="Arial" w:hAnsi="Arial" w:cs="Arial"/>
                <w:noProof/>
                <w:webHidden/>
              </w:rPr>
              <w:fldChar w:fldCharType="end"/>
            </w:r>
          </w:hyperlink>
        </w:p>
        <w:p w14:paraId="515DBC92" w14:textId="77777777" w:rsidR="00653E38" w:rsidRPr="006440A1" w:rsidRDefault="00653E38" w:rsidP="00653E38">
          <w:pPr>
            <w:pStyle w:val="TOC1"/>
            <w:tabs>
              <w:tab w:val="right" w:pos="9350"/>
            </w:tabs>
            <w:spacing w:before="0" w:after="0" w:line="240" w:lineRule="auto"/>
            <w:rPr>
              <w:rFonts w:ascii="Arial" w:hAnsi="Arial" w:cs="Arial"/>
              <w:noProof/>
            </w:rPr>
          </w:pPr>
          <w:hyperlink w:anchor="_Toc226377902" w:history="1">
            <w:r w:rsidRPr="006440A1">
              <w:rPr>
                <w:rStyle w:val="Hyperlink"/>
                <w:rFonts w:ascii="Arial" w:hAnsi="Arial" w:cs="Arial"/>
                <w:noProof/>
              </w:rPr>
              <w:t>References</w:t>
            </w:r>
            <w:r w:rsidRPr="006440A1">
              <w:rPr>
                <w:rFonts w:ascii="Arial" w:hAnsi="Arial" w:cs="Arial"/>
                <w:noProof/>
                <w:webHidden/>
              </w:rPr>
              <w:tab/>
            </w:r>
            <w:r w:rsidRPr="006440A1">
              <w:rPr>
                <w:rFonts w:ascii="Arial" w:hAnsi="Arial" w:cs="Arial"/>
                <w:noProof/>
                <w:webHidden/>
              </w:rPr>
              <w:fldChar w:fldCharType="begin"/>
            </w:r>
            <w:r w:rsidRPr="006440A1">
              <w:rPr>
                <w:rFonts w:ascii="Arial" w:hAnsi="Arial" w:cs="Arial"/>
                <w:noProof/>
                <w:webHidden/>
              </w:rPr>
              <w:instrText xml:space="preserve"> PAGEREF _Toc226377902 \h </w:instrText>
            </w:r>
            <w:r w:rsidRPr="006440A1">
              <w:rPr>
                <w:rFonts w:ascii="Arial" w:hAnsi="Arial" w:cs="Arial"/>
                <w:noProof/>
                <w:webHidden/>
              </w:rPr>
            </w:r>
            <w:r w:rsidRPr="006440A1">
              <w:rPr>
                <w:rFonts w:ascii="Arial" w:hAnsi="Arial" w:cs="Arial"/>
                <w:noProof/>
                <w:webHidden/>
              </w:rPr>
              <w:fldChar w:fldCharType="separate"/>
            </w:r>
            <w:r>
              <w:rPr>
                <w:rFonts w:ascii="Arial" w:hAnsi="Arial" w:cs="Arial"/>
                <w:noProof/>
                <w:webHidden/>
              </w:rPr>
              <w:t>12</w:t>
            </w:r>
            <w:r w:rsidRPr="006440A1">
              <w:rPr>
                <w:rFonts w:ascii="Arial" w:hAnsi="Arial" w:cs="Arial"/>
                <w:noProof/>
                <w:webHidden/>
              </w:rPr>
              <w:fldChar w:fldCharType="end"/>
            </w:r>
          </w:hyperlink>
        </w:p>
        <w:p w14:paraId="14180B60" w14:textId="77777777" w:rsidR="00653E38" w:rsidRDefault="00653E38" w:rsidP="00653E38">
          <w:pPr>
            <w:widowControl w:val="0"/>
            <w:tabs>
              <w:tab w:val="right" w:pos="12000"/>
            </w:tabs>
            <w:spacing w:before="0" w:after="0" w:line="240" w:lineRule="auto"/>
            <w:rPr>
              <w:rFonts w:ascii="Arial" w:eastAsia="Arial" w:hAnsi="Arial" w:cs="Arial"/>
              <w:b/>
              <w:bCs/>
              <w:color w:val="000000"/>
              <w:sz w:val="22"/>
              <w:szCs w:val="22"/>
            </w:rPr>
          </w:pPr>
          <w:r w:rsidRPr="006440A1">
            <w:rPr>
              <w:rFonts w:ascii="Arial" w:hAnsi="Arial" w:cs="Arial"/>
            </w:rPr>
            <w:fldChar w:fldCharType="end"/>
          </w:r>
        </w:p>
      </w:sdtContent>
    </w:sdt>
    <w:p w14:paraId="79792FA6" w14:textId="77777777" w:rsidR="00653E38" w:rsidRDefault="00653E38" w:rsidP="00653E38">
      <w:pPr>
        <w:spacing w:before="120" w:after="120" w:line="360" w:lineRule="auto"/>
        <w:jc w:val="center"/>
        <w:rPr>
          <w:rFonts w:ascii="Arial" w:eastAsia="Arial" w:hAnsi="Arial" w:cs="Arial"/>
          <w:sz w:val="22"/>
          <w:szCs w:val="22"/>
        </w:rPr>
      </w:pPr>
      <w:r>
        <w:br w:type="page"/>
      </w:r>
    </w:p>
    <w:p w14:paraId="3925E1F9" w14:textId="77777777" w:rsidR="00653E38" w:rsidRDefault="00653E38" w:rsidP="00653E38">
      <w:pPr>
        <w:pStyle w:val="Heading1"/>
      </w:pPr>
      <w:bookmarkStart w:id="0" w:name="_Toc226377876"/>
      <w:r>
        <w:lastRenderedPageBreak/>
        <w:t>1. Introduction</w:t>
      </w:r>
      <w:bookmarkEnd w:id="0"/>
    </w:p>
    <w:p w14:paraId="7D5AF23B" w14:textId="77777777" w:rsidR="00653E38" w:rsidRDefault="00653E38" w:rsidP="00653E38">
      <w:pPr>
        <w:pStyle w:val="Heading2"/>
      </w:pPr>
      <w:bookmarkStart w:id="1" w:name="_Toc226377877"/>
      <w:r>
        <w:t>1.1 Context</w:t>
      </w:r>
      <w:bookmarkEnd w:id="1"/>
    </w:p>
    <w:p w14:paraId="250BCD67"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Lucy Letby case is known to have occurred at the Countess of Chester Hospital’s neonatal unit between June 2015 and June 2016. The incident involved a neonatal nurse named Lucy Letby, who was convicted of murdering seven infants and attempting to murder six others (BBC News, 2023a). Although her individual criminal actions are not in question, the case can be reframed as a significant example of systemic failure, compared to being labelled as isolated wrongdoing. Despite clinicians raising concerns about unusual death spikes, alongside collapses, those were repeatedly dismissed or minimised by senior management (BBC News, 2023b). Overall data regarding mortality was siloed, along with several external regulators responding slowly. There was also a defensive organisational culture, which led to the suppression of whistleblowing. Such organisational shortcomings resulted in allowing harm to continue being detected for more than a year, despite clear warning signs (Nancarrow, 2025).</w:t>
      </w:r>
    </w:p>
    <w:p w14:paraId="50D3A795" w14:textId="77777777" w:rsidR="00653E38" w:rsidRDefault="00653E38" w:rsidP="00653E38">
      <w:pPr>
        <w:pStyle w:val="Heading2"/>
      </w:pPr>
      <w:bookmarkStart w:id="2" w:name="_Toc226377878"/>
      <w:r>
        <w:t>1.2 Problem</w:t>
      </w:r>
      <w:bookmarkEnd w:id="2"/>
    </w:p>
    <w:p w14:paraId="62D0DDB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core problem can be referred to as the complete breakdown of interdependent safety systems. There were escalation systems that had failed to translate clinical concerns into timely action. Overall, governance structures are known to have prioritised reputational protection over the safety of patients. On the other hand, whistleblowing mechanisms were also known to have proved ineffective (Eastern Daily Press, 2023). The “Freedom to Speak Up” framework, despite existing in policy, was poorly enforced locally, which led to staff getting no support, along with concerns going unaddressed (Chakravorty, 2023). Such a combination of siloed information, along with defensive leadership, and lastly, reactive regulation resulted in developing an environment in which preventable harm kept on persisting.</w:t>
      </w:r>
    </w:p>
    <w:p w14:paraId="01D58B9F" w14:textId="77777777" w:rsidR="00653E38" w:rsidRDefault="00653E38" w:rsidP="00653E38">
      <w:pPr>
        <w:pStyle w:val="Heading2"/>
      </w:pPr>
      <w:bookmarkStart w:id="3" w:name="_Toc226377879"/>
      <w:r>
        <w:t>1.3 Aim of the Report</w:t>
      </w:r>
      <w:bookmarkEnd w:id="3"/>
    </w:p>
    <w:p w14:paraId="785A0EB4"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This report will focus on analysing the root causes of the Lucy Letby scandal through utilising established quality and safety frameworks. The report will be evaluating overall governance and policy failures at several levels for getting a better understanding. It will also be proposing evidence-based improvements by using the Plan-Do-Study-Act cycle, which will help in improving escalation, whistleblowing, and real-time monitoring systems, making sure that such catastrophic failures are not repeated.</w:t>
      </w:r>
    </w:p>
    <w:p w14:paraId="31F2F539" w14:textId="77777777" w:rsidR="00653E38" w:rsidRDefault="00653E38" w:rsidP="00653E38">
      <w:pPr>
        <w:pStyle w:val="Heading1"/>
      </w:pPr>
      <w:bookmarkStart w:id="4" w:name="_Toc226377880"/>
      <w:r>
        <w:lastRenderedPageBreak/>
        <w:t>2. Main Body</w:t>
      </w:r>
      <w:bookmarkEnd w:id="4"/>
    </w:p>
    <w:p w14:paraId="50B6506A" w14:textId="77777777" w:rsidR="00653E38" w:rsidRDefault="00653E38" w:rsidP="00653E38">
      <w:pPr>
        <w:pStyle w:val="Heading2"/>
      </w:pPr>
      <w:bookmarkStart w:id="5" w:name="_Toc226377881"/>
      <w:r>
        <w:t>2.1 Healthcare Failure in The Letby Case Reflects a Breakdown of Interdependent Systems (Systems Theory)</w:t>
      </w:r>
      <w:bookmarkEnd w:id="5"/>
    </w:p>
    <w:p w14:paraId="7D37E1FF"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Health organisations are known for functioning as complex adaptive systems. It has several clinical teams, along with management, governance bodies and lastly, national regulators, who operate as interconnected subsystems that are linked by several feedback loops (Ratnapalan and Lang, 2019). Regarding the case of Lucy Letby at the Countess of Chester Hospital, such subsystems significantly failed to interact effectively. This led to the allowing of preventable harm that had escalated unchecked. It is essential to note that several clinicians had raised concerns regarding the unusual death spikes when the accused Letby was on duty. Despite raised concerns, senior management had dismissed such concerns as personality clashes. Doctors were even instructed to apologise to Letby, along with threatening disciplinary action (Nancarrow, 2025). Several handover notes, along with mortality data, were also known to have remained isolated within the clinical unit. This led to the prevention of pattern recognition across shifts, alongside departments (The Week, 2023). On the other hand, regulators such as the CQC and NHS England were also reported to have responded slowly. In 2015, despite several clear excess death alerts, no urgent inspection was triggered until Letby was removed from the ward in July 2016 (BBC News, 2023b).</w:t>
      </w:r>
    </w:p>
    <w:p w14:paraId="63E5FEA0" w14:textId="77777777" w:rsidR="00653E38" w:rsidRDefault="00653E38" w:rsidP="00653E38">
      <w:pPr>
        <w:numPr>
          <w:ilvl w:val="0"/>
          <w:numId w:val="1"/>
        </w:numPr>
        <w:spacing w:before="120" w:after="120" w:line="360" w:lineRule="auto"/>
        <w:jc w:val="both"/>
        <w:rPr>
          <w:sz w:val="22"/>
          <w:szCs w:val="22"/>
        </w:rPr>
      </w:pPr>
      <w:r>
        <w:rPr>
          <w:rFonts w:ascii="Arial" w:eastAsia="Arial" w:hAnsi="Arial" w:cs="Arial"/>
          <w:b/>
          <w:bCs/>
          <w:i/>
          <w:iCs/>
          <w:sz w:val="22"/>
          <w:szCs w:val="22"/>
        </w:rPr>
        <w:t>Subsystem 1 (Clinical Unit):</w:t>
      </w:r>
      <w:r>
        <w:rPr>
          <w:rFonts w:ascii="Arial" w:eastAsia="Arial" w:hAnsi="Arial" w:cs="Arial"/>
          <w:sz w:val="22"/>
          <w:szCs w:val="22"/>
        </w:rPr>
        <w:t xml:space="preserve"> The clinical unit was unable to recognise clustering patterns due to the absence of data integration (Humphries, 2025).</w:t>
      </w:r>
    </w:p>
    <w:p w14:paraId="09663E3C" w14:textId="77777777" w:rsidR="00653E38" w:rsidRDefault="00653E38" w:rsidP="00653E38">
      <w:pPr>
        <w:numPr>
          <w:ilvl w:val="0"/>
          <w:numId w:val="1"/>
        </w:numPr>
        <w:spacing w:before="120" w:after="120" w:line="360" w:lineRule="auto"/>
        <w:jc w:val="both"/>
        <w:rPr>
          <w:sz w:val="22"/>
          <w:szCs w:val="22"/>
        </w:rPr>
      </w:pPr>
      <w:r>
        <w:rPr>
          <w:rFonts w:ascii="Arial" w:eastAsia="Arial" w:hAnsi="Arial" w:cs="Arial"/>
          <w:b/>
          <w:bCs/>
          <w:i/>
          <w:iCs/>
          <w:sz w:val="22"/>
          <w:szCs w:val="22"/>
        </w:rPr>
        <w:t>Subsystem 2 (Management):</w:t>
      </w:r>
      <w:r>
        <w:rPr>
          <w:rFonts w:ascii="Arial" w:eastAsia="Arial" w:hAnsi="Arial" w:cs="Arial"/>
          <w:sz w:val="22"/>
          <w:szCs w:val="22"/>
        </w:rPr>
        <w:t xml:space="preserve"> Overall reputation was prioritised over safety, along with doctors who had raised concerns, being instructed to apologise to Letby (The Guardian, 2023).</w:t>
      </w:r>
    </w:p>
    <w:p w14:paraId="326E2BCF" w14:textId="77777777" w:rsidR="00653E38" w:rsidRDefault="00653E38" w:rsidP="00653E38">
      <w:pPr>
        <w:numPr>
          <w:ilvl w:val="0"/>
          <w:numId w:val="1"/>
        </w:numPr>
        <w:spacing w:before="120" w:after="120" w:line="360" w:lineRule="auto"/>
        <w:jc w:val="both"/>
        <w:rPr>
          <w:sz w:val="22"/>
          <w:szCs w:val="22"/>
        </w:rPr>
      </w:pPr>
      <w:r>
        <w:rPr>
          <w:rFonts w:ascii="Arial" w:eastAsia="Arial" w:hAnsi="Arial" w:cs="Arial"/>
          <w:b/>
          <w:bCs/>
          <w:i/>
          <w:iCs/>
          <w:sz w:val="22"/>
          <w:szCs w:val="22"/>
        </w:rPr>
        <w:t>Subsystem 3 (Regulators):</w:t>
      </w:r>
      <w:r>
        <w:rPr>
          <w:rFonts w:ascii="Arial" w:eastAsia="Arial" w:hAnsi="Arial" w:cs="Arial"/>
          <w:sz w:val="22"/>
          <w:szCs w:val="22"/>
        </w:rPr>
        <w:t xml:space="preserve"> The response from regulators such as CQC and NHS England was quite sluggish, as no urgent inspection was initiated despite excess death alerts (BBC News, 2023b).</w:t>
      </w:r>
    </w:p>
    <w:p w14:paraId="47937DE3" w14:textId="77777777" w:rsidR="00653E38" w:rsidRDefault="00653E38" w:rsidP="00653E38">
      <w:pPr>
        <w:numPr>
          <w:ilvl w:val="0"/>
          <w:numId w:val="1"/>
        </w:numPr>
        <w:spacing w:before="120" w:after="120" w:line="360" w:lineRule="auto"/>
        <w:jc w:val="both"/>
        <w:rPr>
          <w:sz w:val="22"/>
          <w:szCs w:val="22"/>
        </w:rPr>
      </w:pPr>
      <w:r>
        <w:rPr>
          <w:rFonts w:ascii="Arial" w:eastAsia="Arial" w:hAnsi="Arial" w:cs="Arial"/>
          <w:b/>
          <w:bCs/>
          <w:i/>
          <w:iCs/>
          <w:sz w:val="22"/>
          <w:szCs w:val="22"/>
        </w:rPr>
        <w:t>Subsystem 4 (National Policy Environment):</w:t>
      </w:r>
      <w:r>
        <w:rPr>
          <w:rFonts w:ascii="Arial" w:eastAsia="Arial" w:hAnsi="Arial" w:cs="Arial"/>
          <w:sz w:val="22"/>
          <w:szCs w:val="22"/>
        </w:rPr>
        <w:t xml:space="preserve"> Whistleblowers had inadequate protection, along with the poor enforcement of the “Freedom to Speak Up” framework (Chakravorty, 2023).</w:t>
      </w:r>
    </w:p>
    <w:p w14:paraId="00515791"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Using the Systems Theory, it can be stated that overall failure did not occur at a single point, as it emerged from the misalignment and lack of sustained feedback across these interacting subsystems. There was no presence of effective loops, which were required to integrate clinical </w:t>
      </w:r>
      <w:r>
        <w:rPr>
          <w:rFonts w:ascii="Arial" w:eastAsia="Arial" w:hAnsi="Arial" w:cs="Arial"/>
          <w:sz w:val="22"/>
          <w:szCs w:val="22"/>
        </w:rPr>
        <w:lastRenderedPageBreak/>
        <w:t>observations, align with regulatory oversight and managerial decisions. This led to the entire system getting vulnerable to active failures, along with turning isolated incidents into a prolonged scandal (Jason and Bobak, 2022).</w:t>
      </w:r>
    </w:p>
    <w:p w14:paraId="4B9910F2" w14:textId="77777777" w:rsidR="00653E38" w:rsidRDefault="00653E38" w:rsidP="00653E38">
      <w:pPr>
        <w:pStyle w:val="Heading2"/>
      </w:pPr>
      <w:bookmarkStart w:id="6" w:name="_Toc226377882"/>
      <w:r>
        <w:t>2.2 Patient Harm Resulted From Alignment of Multiple Latent Failures Across System Layers (Swiss Cheese Model)</w:t>
      </w:r>
      <w:bookmarkEnd w:id="6"/>
    </w:p>
    <w:p w14:paraId="4A2BE164"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 Swiss Cheese Model is known for illustrating the method in which harm occurs whenever latent weaknesses in multiple defensive layers align (Wiegmann </w:t>
      </w:r>
      <w:r>
        <w:rPr>
          <w:rFonts w:ascii="Arial" w:eastAsia="Arial" w:hAnsi="Arial" w:cs="Arial"/>
          <w:i/>
          <w:iCs/>
          <w:sz w:val="22"/>
          <w:szCs w:val="22"/>
        </w:rPr>
        <w:t>et al.,</w:t>
      </w:r>
      <w:r>
        <w:rPr>
          <w:rFonts w:ascii="Arial" w:eastAsia="Arial" w:hAnsi="Arial" w:cs="Arial"/>
          <w:sz w:val="22"/>
          <w:szCs w:val="22"/>
        </w:rPr>
        <w:t xml:space="preserve"> 2022). In the case of Lucy Letby, there were three layers that contained such weaknesses. The </w:t>
      </w:r>
      <w:r>
        <w:rPr>
          <w:rFonts w:ascii="Arial" w:eastAsia="Arial" w:hAnsi="Arial" w:cs="Arial"/>
          <w:b/>
          <w:bCs/>
          <w:i/>
          <w:iCs/>
          <w:sz w:val="22"/>
          <w:szCs w:val="22"/>
        </w:rPr>
        <w:t>Clinical Layer</w:t>
      </w:r>
      <w:r>
        <w:rPr>
          <w:rFonts w:ascii="Arial" w:eastAsia="Arial" w:hAnsi="Arial" w:cs="Arial"/>
          <w:sz w:val="22"/>
          <w:szCs w:val="22"/>
        </w:rPr>
        <w:t xml:space="preserve"> is known to have failed due to the missing of detecting mortality anomalies, along with incomplete handover data. This led to the patterns of collapses never being linked. The </w:t>
      </w:r>
      <w:r>
        <w:rPr>
          <w:rFonts w:ascii="Arial" w:eastAsia="Arial" w:hAnsi="Arial" w:cs="Arial"/>
          <w:b/>
          <w:bCs/>
          <w:i/>
          <w:iCs/>
          <w:sz w:val="22"/>
          <w:szCs w:val="22"/>
        </w:rPr>
        <w:t>Management Layer</w:t>
      </w:r>
      <w:r>
        <w:rPr>
          <w:rFonts w:ascii="Arial" w:eastAsia="Arial" w:hAnsi="Arial" w:cs="Arial"/>
          <w:sz w:val="22"/>
          <w:szCs w:val="22"/>
        </w:rPr>
        <w:t xml:space="preserve"> is known to have ignored the concerns of clinicians, along with threatening doctors with disciplinary action who spoke up against Letby (Halliday, 2023). The </w:t>
      </w:r>
      <w:r>
        <w:rPr>
          <w:rFonts w:ascii="Arial" w:eastAsia="Arial" w:hAnsi="Arial" w:cs="Arial"/>
          <w:b/>
          <w:bCs/>
          <w:i/>
          <w:iCs/>
          <w:sz w:val="22"/>
          <w:szCs w:val="22"/>
        </w:rPr>
        <w:t>Governance Layer</w:t>
      </w:r>
      <w:r>
        <w:rPr>
          <w:rFonts w:ascii="Arial" w:eastAsia="Arial" w:hAnsi="Arial" w:cs="Arial"/>
          <w:sz w:val="22"/>
          <w:szCs w:val="22"/>
        </w:rPr>
        <w:t xml:space="preserve"> is known to have exhibited delayed escalation, along with purely reactive oversight. Several external alerts were also not acted upon rapidly, which led to disaster (Humphries, 2024a).</w:t>
      </w:r>
    </w:p>
    <w:p w14:paraId="10729A83" w14:textId="77777777" w:rsidR="00653E38" w:rsidRDefault="00653E38" w:rsidP="00653E38">
      <w:pPr>
        <w:pStyle w:val="Heading3"/>
        <w:spacing w:before="120" w:after="120" w:line="360" w:lineRule="auto"/>
        <w:jc w:val="both"/>
        <w:rPr>
          <w:rFonts w:ascii="Arial" w:eastAsia="Arial" w:hAnsi="Arial" w:cs="Arial"/>
          <w:sz w:val="22"/>
          <w:szCs w:val="22"/>
        </w:rPr>
      </w:pPr>
      <w:bookmarkStart w:id="7" w:name="_Toc226377883"/>
      <w:r>
        <w:rPr>
          <w:rFonts w:ascii="Arial" w:eastAsia="Arial" w:hAnsi="Arial" w:cs="Arial"/>
          <w:sz w:val="22"/>
          <w:szCs w:val="22"/>
        </w:rPr>
        <w:t>2.2.1 Latent Conditions</w:t>
      </w:r>
      <w:bookmarkEnd w:id="7"/>
    </w:p>
    <w:p w14:paraId="179E5D9F"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There was a significant absence of data integration, along with defensive behaviour that resulted in suppressing dissent, and weak external accountability mechanisms (Humphries, 2025; Chakravorty, 2023). Each of the layers within the framework in the Lucy Letby case appeared robust in isolation. However, the “holes” are known to have aligned simultaneously between June 2015 and July 2016. This resulted in leading to the actions of Letby being unchecked for more than a year, which further led to the death of seven infants and six attempted murders (BBC News, 2023a). Thus, it can be stated that overall harm occurred mainly due to the pre-existing organisational weaknesses that had lined up. This also highlights the requirement for a stronger and overlapping defence mechanism in complex healthcare environments.</w:t>
      </w:r>
    </w:p>
    <w:p w14:paraId="317A61EC" w14:textId="77777777" w:rsidR="00653E38" w:rsidRDefault="00653E38" w:rsidP="00653E38">
      <w:pPr>
        <w:pStyle w:val="Heading2"/>
      </w:pPr>
      <w:bookmarkStart w:id="8" w:name="_Toc226377884"/>
      <w:r>
        <w:t>2.3 Failures in Structure, Process, and Outcome Demonstrate Systemic Quality Breakdown (Donabedian Model)</w:t>
      </w:r>
      <w:bookmarkEnd w:id="8"/>
    </w:p>
    <w:p w14:paraId="3F0B675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According to Donabedian's health care quality model, improvements in the structure of care should lead to improvements in clinical processes that should, in turn, improve patient outcomes (Moore </w:t>
      </w:r>
      <w:r>
        <w:rPr>
          <w:rFonts w:ascii="Arial" w:eastAsia="Arial" w:hAnsi="Arial" w:cs="Arial"/>
          <w:i/>
          <w:iCs/>
          <w:sz w:val="22"/>
          <w:szCs w:val="22"/>
        </w:rPr>
        <w:t xml:space="preserve">et al., </w:t>
      </w:r>
      <w:r>
        <w:rPr>
          <w:rFonts w:ascii="Arial" w:eastAsia="Arial" w:hAnsi="Arial" w:cs="Arial"/>
          <w:sz w:val="22"/>
          <w:szCs w:val="22"/>
        </w:rPr>
        <w:t>2015). In the case of Lucy Letby, each element of the framework will be able to reveal profound systemic weaknesses:</w:t>
      </w:r>
    </w:p>
    <w:p w14:paraId="338733F7" w14:textId="77777777" w:rsidR="00653E38" w:rsidRDefault="00653E38" w:rsidP="00653E38">
      <w:pPr>
        <w:pStyle w:val="Heading3"/>
        <w:spacing w:before="120" w:after="120" w:line="360" w:lineRule="auto"/>
        <w:jc w:val="both"/>
        <w:rPr>
          <w:rFonts w:ascii="Arial" w:eastAsia="Arial" w:hAnsi="Arial" w:cs="Arial"/>
          <w:sz w:val="22"/>
          <w:szCs w:val="22"/>
        </w:rPr>
      </w:pPr>
      <w:bookmarkStart w:id="9" w:name="_Toc226377885"/>
      <w:r>
        <w:rPr>
          <w:rFonts w:ascii="Arial" w:eastAsia="Arial" w:hAnsi="Arial" w:cs="Arial"/>
          <w:sz w:val="22"/>
          <w:szCs w:val="22"/>
        </w:rPr>
        <w:lastRenderedPageBreak/>
        <w:t>2.3.1 Structure</w:t>
      </w:r>
      <w:bookmarkEnd w:id="9"/>
    </w:p>
    <w:p w14:paraId="64E164A4"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trust had a hierarchical leadership pattern, which is known to have resisted external scrutiny, along with maintaining a defensive posture (Dunhill, 2023). The Care Quality Commission was involved, but it still remained predominantly reactive compared to being proactive (Nuffield Trust, 2024). On the other hand, organisational hierarchy, along with staffing arrangements, led to the development of conditions that allowed failures to go undetected.</w:t>
      </w:r>
    </w:p>
    <w:p w14:paraId="35DEE695" w14:textId="77777777" w:rsidR="00653E38" w:rsidRDefault="00653E38" w:rsidP="00653E38">
      <w:pPr>
        <w:pStyle w:val="Heading3"/>
        <w:spacing w:before="120" w:after="120" w:line="360" w:lineRule="auto"/>
        <w:jc w:val="both"/>
        <w:rPr>
          <w:rFonts w:ascii="Arial" w:eastAsia="Arial" w:hAnsi="Arial" w:cs="Arial"/>
          <w:sz w:val="22"/>
          <w:szCs w:val="22"/>
        </w:rPr>
      </w:pPr>
      <w:bookmarkStart w:id="10" w:name="_Toc226377886"/>
      <w:r>
        <w:rPr>
          <w:rFonts w:ascii="Arial" w:eastAsia="Arial" w:hAnsi="Arial" w:cs="Arial"/>
          <w:sz w:val="22"/>
          <w:szCs w:val="22"/>
        </w:rPr>
        <w:t>2.3.2 Process</w:t>
      </w:r>
      <w:bookmarkEnd w:id="10"/>
    </w:p>
    <w:p w14:paraId="4340B766"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Overall, communication pathways were also poor, along with incident reporting being disjointed. The escalation mechanisms were also known to have been inadequate. Doctors had raised concerns, which did not lead to actionable investigation loops or any kind of data-sharing protocols (Halliday, 2023). This resulted in allowing several issues to remain unaddressed for several months.</w:t>
      </w:r>
    </w:p>
    <w:p w14:paraId="24C892A8" w14:textId="77777777" w:rsidR="00653E38" w:rsidRDefault="00653E38" w:rsidP="00653E38">
      <w:pPr>
        <w:pStyle w:val="Heading3"/>
        <w:spacing w:before="120" w:after="120" w:line="360" w:lineRule="auto"/>
        <w:jc w:val="both"/>
        <w:rPr>
          <w:rFonts w:ascii="Arial" w:eastAsia="Arial" w:hAnsi="Arial" w:cs="Arial"/>
          <w:sz w:val="22"/>
          <w:szCs w:val="22"/>
        </w:rPr>
      </w:pPr>
      <w:bookmarkStart w:id="11" w:name="_Toc226377887"/>
      <w:r>
        <w:rPr>
          <w:rFonts w:ascii="Arial" w:eastAsia="Arial" w:hAnsi="Arial" w:cs="Arial"/>
          <w:sz w:val="22"/>
          <w:szCs w:val="22"/>
        </w:rPr>
        <w:t>2.3.3 Outcome</w:t>
      </w:r>
      <w:bookmarkEnd w:id="11"/>
    </w:p>
    <w:p w14:paraId="3DAEFF4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outcome was disastrous, including seven avoidable deaths, along with six near-fatal collapses (BBC News, 2023b). There was also significant family trauma, along with staff burnout and suspension of neonatal services, followed by significant legal expenses and damage to the reputation of the NHS (Beeson and Syder, 2023).</w:t>
      </w:r>
    </w:p>
    <w:p w14:paraId="7D838B12"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It is essential to note that despite this model being able to categorise failures clearly, along with helping in mapping the visible symptoms of the Letby case, it is unable to fully explain the dynamic interactions between layers, which Systems Theory is able to offer.</w:t>
      </w:r>
    </w:p>
    <w:p w14:paraId="3A7B3AA9" w14:textId="77777777" w:rsidR="00653E38" w:rsidRDefault="00653E38" w:rsidP="00653E38">
      <w:pPr>
        <w:pStyle w:val="Heading2"/>
      </w:pPr>
      <w:bookmarkStart w:id="12" w:name="_Toc226377888"/>
      <w:r>
        <w:t>2.4 Root Cause Analysis Reveals That Underlying Cultural and Governance Failures Enabled Persistent Harm</w:t>
      </w:r>
      <w:bookmarkEnd w:id="12"/>
    </w:p>
    <w:p w14:paraId="2486287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Root cause analysis is known to have emerged as a structured framework for identifying underlying causes of adverse events, implementing corrective actions, and monitoring outcomes (Singh, Patel and Boster, 2024). It is essential to note that </w:t>
      </w:r>
      <w:r>
        <w:rPr>
          <w:rFonts w:ascii="Arial" w:eastAsia="Arial" w:hAnsi="Arial" w:cs="Arial"/>
          <w:b/>
          <w:bCs/>
          <w:i/>
          <w:iCs/>
          <w:sz w:val="22"/>
          <w:szCs w:val="22"/>
        </w:rPr>
        <w:t>immediate causes</w:t>
      </w:r>
      <w:r>
        <w:rPr>
          <w:rFonts w:ascii="Arial" w:eastAsia="Arial" w:hAnsi="Arial" w:cs="Arial"/>
          <w:sz w:val="22"/>
          <w:szCs w:val="22"/>
        </w:rPr>
        <w:t xml:space="preserve"> were unexplained neonatal events that were missed or misattributed by the hospital team. The </w:t>
      </w:r>
      <w:r>
        <w:rPr>
          <w:rFonts w:ascii="Arial" w:eastAsia="Arial" w:hAnsi="Arial" w:cs="Arial"/>
          <w:b/>
          <w:bCs/>
          <w:i/>
          <w:iCs/>
          <w:sz w:val="22"/>
          <w:szCs w:val="22"/>
        </w:rPr>
        <w:t>contributing factors</w:t>
      </w:r>
      <w:r>
        <w:rPr>
          <w:rFonts w:ascii="Arial" w:eastAsia="Arial" w:hAnsi="Arial" w:cs="Arial"/>
          <w:sz w:val="22"/>
          <w:szCs w:val="22"/>
        </w:rPr>
        <w:t>, on the other hand, included fragmented handovers and the complete absence of automated anomaly detection tools.</w:t>
      </w:r>
    </w:p>
    <w:p w14:paraId="49CAD9C9"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 underlying root causes were both cultural and organisational. There was evidence of a silenced environment, along with defensiveness, and weaker external accountability (ITV News, 2023). By applying the 5 Whys logic, the core of the problem is revealed. </w:t>
      </w:r>
      <w:r>
        <w:rPr>
          <w:rFonts w:ascii="Arial" w:eastAsia="Arial" w:hAnsi="Arial" w:cs="Arial"/>
          <w:b/>
          <w:bCs/>
          <w:i/>
          <w:iCs/>
          <w:sz w:val="22"/>
          <w:szCs w:val="22"/>
        </w:rPr>
        <w:t>Firstly</w:t>
      </w:r>
      <w:r>
        <w:rPr>
          <w:rFonts w:ascii="Arial" w:eastAsia="Arial" w:hAnsi="Arial" w:cs="Arial"/>
          <w:sz w:val="22"/>
          <w:szCs w:val="22"/>
        </w:rPr>
        <w:t xml:space="preserve">, regarding the </w:t>
      </w:r>
      <w:r>
        <w:rPr>
          <w:rFonts w:ascii="Arial" w:eastAsia="Arial" w:hAnsi="Arial" w:cs="Arial"/>
          <w:sz w:val="22"/>
          <w:szCs w:val="22"/>
        </w:rPr>
        <w:lastRenderedPageBreak/>
        <w:t xml:space="preserve">reason behind the missing mortality patterns, it was due to data remaining siloed within individual shifts (Nancarrow, 2025). </w:t>
      </w:r>
      <w:r>
        <w:rPr>
          <w:rFonts w:ascii="Arial" w:eastAsia="Arial" w:hAnsi="Arial" w:cs="Arial"/>
          <w:b/>
          <w:bCs/>
          <w:i/>
          <w:iCs/>
          <w:sz w:val="22"/>
          <w:szCs w:val="22"/>
        </w:rPr>
        <w:t>Secondly</w:t>
      </w:r>
      <w:r>
        <w:rPr>
          <w:rFonts w:ascii="Arial" w:eastAsia="Arial" w:hAnsi="Arial" w:cs="Arial"/>
          <w:sz w:val="22"/>
          <w:szCs w:val="22"/>
        </w:rPr>
        <w:t xml:space="preserve">, managers were perceiving themselves as having personality clashes rather than systemic signals, which led to no action being taken on repeated clinician concerns (Patterson, 2020). </w:t>
      </w:r>
      <w:r>
        <w:rPr>
          <w:rFonts w:ascii="Arial" w:eastAsia="Arial" w:hAnsi="Arial" w:cs="Arial"/>
          <w:b/>
          <w:bCs/>
          <w:i/>
          <w:iCs/>
          <w:sz w:val="22"/>
          <w:szCs w:val="22"/>
        </w:rPr>
        <w:t>Thirdly</w:t>
      </w:r>
      <w:r>
        <w:rPr>
          <w:rFonts w:ascii="Arial" w:eastAsia="Arial" w:hAnsi="Arial" w:cs="Arial"/>
          <w:sz w:val="22"/>
          <w:szCs w:val="22"/>
        </w:rPr>
        <w:t xml:space="preserve">, the defensive response occurred mainly due to the organisation prioritising its reputation over patient safety (The Guardian, 2023). </w:t>
      </w:r>
      <w:r>
        <w:rPr>
          <w:rFonts w:ascii="Arial" w:eastAsia="Arial" w:hAnsi="Arial" w:cs="Arial"/>
          <w:b/>
          <w:bCs/>
          <w:i/>
          <w:iCs/>
          <w:sz w:val="22"/>
          <w:szCs w:val="22"/>
        </w:rPr>
        <w:t>Fourthly</w:t>
      </w:r>
      <w:r>
        <w:rPr>
          <w:rFonts w:ascii="Arial" w:eastAsia="Arial" w:hAnsi="Arial" w:cs="Arial"/>
          <w:sz w:val="22"/>
          <w:szCs w:val="22"/>
        </w:rPr>
        <w:t>, overall accountability was absent at every level due to national policies lacking robust enforcement mechanisms regarding whistleblowing and real-time data sharing.</w:t>
      </w:r>
    </w:p>
    <w:p w14:paraId="0611C03A"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Hence, it can be stated that the root causes were systemic, alongside cultural rather than being merely individual or operational. Such a cultural climate of denial, along with reputational protection, resulted in developing a self-reinforcing loop that prevented learning and allowed harm to continue despite multiple warning signs between 2015 and 2016.</w:t>
      </w:r>
    </w:p>
    <w:p w14:paraId="72081A21" w14:textId="77777777" w:rsidR="00653E38" w:rsidRDefault="00653E38" w:rsidP="00653E38">
      <w:pPr>
        <w:pStyle w:val="Heading2"/>
      </w:pPr>
      <w:bookmarkStart w:id="13" w:name="_Toc226377889"/>
      <w:r>
        <w:t>2.5 Multiple Interacting Factors Across People, Processes, Policy, Technology and Environment Reinforced System Failure (Fishbone Analysis)</w:t>
      </w:r>
      <w:bookmarkEnd w:id="13"/>
    </w:p>
    <w:p w14:paraId="3BDF5282"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A fishbone diagram is known for being a visual aid that demonstrates the relationship between the various factors that contribute to a particular effect or problem (Kumah </w:t>
      </w:r>
      <w:r>
        <w:rPr>
          <w:rFonts w:ascii="Arial" w:eastAsia="Arial" w:hAnsi="Arial" w:cs="Arial"/>
          <w:i/>
          <w:iCs/>
          <w:sz w:val="22"/>
          <w:szCs w:val="22"/>
        </w:rPr>
        <w:t>et al.,</w:t>
      </w:r>
      <w:r>
        <w:rPr>
          <w:rFonts w:ascii="Arial" w:eastAsia="Arial" w:hAnsi="Arial" w:cs="Arial"/>
          <w:sz w:val="22"/>
          <w:szCs w:val="22"/>
        </w:rPr>
        <w:t xml:space="preserve"> 2024).</w:t>
      </w:r>
    </w:p>
    <w:p w14:paraId="016D1C13" w14:textId="77777777" w:rsidR="00653E38" w:rsidRDefault="00653E38" w:rsidP="00653E38">
      <w:pPr>
        <w:spacing w:before="120" w:after="120" w:line="360" w:lineRule="auto"/>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08B9513A" wp14:editId="486DCE2D">
            <wp:extent cx="5897249" cy="29435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5929" t="17531" r="1362"/>
                    <a:stretch>
                      <a:fillRect/>
                    </a:stretch>
                  </pic:blipFill>
                  <pic:spPr>
                    <a:xfrm>
                      <a:off x="0" y="0"/>
                      <a:ext cx="5897249" cy="2943532"/>
                    </a:xfrm>
                    <a:prstGeom prst="rect">
                      <a:avLst/>
                    </a:prstGeom>
                    <a:ln/>
                  </pic:spPr>
                </pic:pic>
              </a:graphicData>
            </a:graphic>
          </wp:inline>
        </w:drawing>
      </w:r>
    </w:p>
    <w:p w14:paraId="51DAA605" w14:textId="77777777" w:rsidR="00653E38" w:rsidRDefault="00653E38" w:rsidP="00653E38">
      <w:pPr>
        <w:spacing w:before="120" w:after="120" w:line="360" w:lineRule="auto"/>
        <w:jc w:val="center"/>
        <w:rPr>
          <w:rFonts w:ascii="Arial" w:eastAsia="Arial" w:hAnsi="Arial" w:cs="Arial"/>
          <w:sz w:val="22"/>
          <w:szCs w:val="22"/>
        </w:rPr>
      </w:pPr>
      <w:r>
        <w:rPr>
          <w:rFonts w:ascii="Arial" w:eastAsia="Arial" w:hAnsi="Arial" w:cs="Arial"/>
          <w:b/>
          <w:bCs/>
          <w:sz w:val="22"/>
          <w:szCs w:val="22"/>
        </w:rPr>
        <w:t>Figure 1: Fishbone Diagram of the Lucy Letby Case</w:t>
      </w:r>
    </w:p>
    <w:p w14:paraId="4C1FF299" w14:textId="77777777" w:rsidR="00653E38" w:rsidRDefault="00653E38" w:rsidP="00653E38">
      <w:pPr>
        <w:spacing w:before="120" w:after="120" w:line="360" w:lineRule="auto"/>
        <w:jc w:val="center"/>
        <w:rPr>
          <w:rFonts w:ascii="Arial" w:eastAsia="Arial" w:hAnsi="Arial" w:cs="Arial"/>
          <w:sz w:val="22"/>
          <w:szCs w:val="22"/>
        </w:rPr>
      </w:pPr>
      <w:r>
        <w:rPr>
          <w:rFonts w:ascii="Arial" w:eastAsia="Arial" w:hAnsi="Arial" w:cs="Arial"/>
          <w:sz w:val="22"/>
          <w:szCs w:val="22"/>
        </w:rPr>
        <w:t>(Created by Author)</w:t>
      </w:r>
    </w:p>
    <w:p w14:paraId="00AAA24A" w14:textId="77777777" w:rsidR="00653E38" w:rsidRDefault="00653E38" w:rsidP="00653E38">
      <w:pPr>
        <w:pStyle w:val="Heading3"/>
        <w:spacing w:before="120" w:after="120" w:line="360" w:lineRule="auto"/>
        <w:jc w:val="both"/>
        <w:rPr>
          <w:rFonts w:ascii="Arial" w:eastAsia="Arial" w:hAnsi="Arial" w:cs="Arial"/>
          <w:sz w:val="22"/>
          <w:szCs w:val="22"/>
        </w:rPr>
      </w:pPr>
      <w:bookmarkStart w:id="14" w:name="_Toc226377890"/>
      <w:r>
        <w:rPr>
          <w:rFonts w:ascii="Arial" w:eastAsia="Arial" w:hAnsi="Arial" w:cs="Arial"/>
          <w:sz w:val="22"/>
          <w:szCs w:val="22"/>
        </w:rPr>
        <w:lastRenderedPageBreak/>
        <w:t>2.5.1 People</w:t>
      </w:r>
      <w:bookmarkEnd w:id="14"/>
    </w:p>
    <w:p w14:paraId="2D20A808"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There was evidence of managerial inaction, along with inadequate supervision and repeated dismissal of concerns, that led to the creation of fear among staff (BBC News, 2023b). </w:t>
      </w:r>
    </w:p>
    <w:p w14:paraId="58DB08C2" w14:textId="77777777" w:rsidR="00653E38" w:rsidRDefault="00653E38" w:rsidP="00653E38">
      <w:pPr>
        <w:pStyle w:val="Heading3"/>
        <w:spacing w:before="120" w:after="120" w:line="360" w:lineRule="auto"/>
        <w:jc w:val="both"/>
        <w:rPr>
          <w:rFonts w:ascii="Arial" w:eastAsia="Arial" w:hAnsi="Arial" w:cs="Arial"/>
          <w:sz w:val="22"/>
          <w:szCs w:val="22"/>
        </w:rPr>
      </w:pPr>
      <w:bookmarkStart w:id="15" w:name="_Toc226377891"/>
      <w:r>
        <w:rPr>
          <w:rFonts w:ascii="Arial" w:eastAsia="Arial" w:hAnsi="Arial" w:cs="Arial"/>
          <w:sz w:val="22"/>
          <w:szCs w:val="22"/>
        </w:rPr>
        <w:t>2.5.2 Processes</w:t>
      </w:r>
      <w:bookmarkEnd w:id="15"/>
    </w:p>
    <w:p w14:paraId="65EBD54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Overall, timely pattern recognition was also prevented mainly due to disjointed incident reporting, along with incomplete handover data (The Week, 2023).</w:t>
      </w:r>
    </w:p>
    <w:p w14:paraId="2360E772" w14:textId="77777777" w:rsidR="00653E38" w:rsidRDefault="00653E38" w:rsidP="00653E38">
      <w:pPr>
        <w:pStyle w:val="Heading3"/>
        <w:spacing w:before="120" w:after="120" w:line="360" w:lineRule="auto"/>
        <w:jc w:val="both"/>
        <w:rPr>
          <w:rFonts w:ascii="Arial" w:eastAsia="Arial" w:hAnsi="Arial" w:cs="Arial"/>
          <w:sz w:val="22"/>
          <w:szCs w:val="22"/>
        </w:rPr>
      </w:pPr>
      <w:bookmarkStart w:id="16" w:name="_Toc226377892"/>
      <w:r>
        <w:rPr>
          <w:rFonts w:ascii="Arial" w:eastAsia="Arial" w:hAnsi="Arial" w:cs="Arial"/>
          <w:sz w:val="22"/>
          <w:szCs w:val="22"/>
        </w:rPr>
        <w:t>2.5.3 Policy</w:t>
      </w:r>
      <w:bookmarkEnd w:id="16"/>
    </w:p>
    <w:p w14:paraId="579BC92B"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There was also evidence of unclear escalation protocols, along with an ineffective “Freedom to Speak Up” framework, which resulted in whistleblowers being unsupported (Chakravorty, 2023).</w:t>
      </w:r>
    </w:p>
    <w:p w14:paraId="0E815EC6" w14:textId="77777777" w:rsidR="00653E38" w:rsidRDefault="00653E38" w:rsidP="00653E38">
      <w:pPr>
        <w:pStyle w:val="Heading3"/>
        <w:spacing w:before="120" w:after="120" w:line="360" w:lineRule="auto"/>
        <w:jc w:val="both"/>
        <w:rPr>
          <w:rFonts w:ascii="Arial" w:eastAsia="Arial" w:hAnsi="Arial" w:cs="Arial"/>
          <w:sz w:val="22"/>
          <w:szCs w:val="22"/>
        </w:rPr>
      </w:pPr>
      <w:bookmarkStart w:id="17" w:name="_Toc226377893"/>
      <w:r>
        <w:rPr>
          <w:rFonts w:ascii="Arial" w:eastAsia="Arial" w:hAnsi="Arial" w:cs="Arial"/>
          <w:sz w:val="22"/>
          <w:szCs w:val="22"/>
        </w:rPr>
        <w:t>2.5.4 Technology</w:t>
      </w:r>
      <w:bookmarkEnd w:id="17"/>
    </w:p>
    <w:p w14:paraId="141D97D7"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There was also the absence of centralised analytics dashboards, along with any kind of automated mortality alerts, which led to mortality spikes going unnoticed.</w:t>
      </w:r>
    </w:p>
    <w:p w14:paraId="4E56D8A3" w14:textId="77777777" w:rsidR="00653E38" w:rsidRDefault="00653E38" w:rsidP="00653E38">
      <w:pPr>
        <w:pStyle w:val="Heading3"/>
        <w:spacing w:before="120" w:after="120" w:line="360" w:lineRule="auto"/>
        <w:jc w:val="both"/>
        <w:rPr>
          <w:rFonts w:ascii="Arial" w:eastAsia="Arial" w:hAnsi="Arial" w:cs="Arial"/>
          <w:sz w:val="22"/>
          <w:szCs w:val="22"/>
        </w:rPr>
      </w:pPr>
      <w:bookmarkStart w:id="18" w:name="_Toc226377894"/>
      <w:r>
        <w:rPr>
          <w:rFonts w:ascii="Arial" w:eastAsia="Arial" w:hAnsi="Arial" w:cs="Arial"/>
          <w:sz w:val="22"/>
          <w:szCs w:val="22"/>
        </w:rPr>
        <w:t>2.5.5 Environment</w:t>
      </w:r>
      <w:bookmarkEnd w:id="18"/>
    </w:p>
    <w:p w14:paraId="74C1D4A1"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Lastly, collective vigilance had also eroded mainly due to chronic short-staffing, high stress levels, and low psychological safety (O’Donoghue, 2023).</w:t>
      </w:r>
    </w:p>
    <w:p w14:paraId="4B07288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Such factors were known to have interacted dynamically rather than operating in isolation. Due to fear among people, the reporting process was quite weak, which led to failing to act on the limited available data. There was also a lack of technology utilisation, which prevented pattern detection. As a result, the overall system collapsed, proving the fact that multi-casual interaction is able to turn individual errors into an organisational catastrophe.</w:t>
      </w:r>
    </w:p>
    <w:p w14:paraId="6CAA0586" w14:textId="77777777" w:rsidR="00653E38" w:rsidRDefault="00653E38" w:rsidP="00653E38">
      <w:pPr>
        <w:pStyle w:val="Heading2"/>
      </w:pPr>
      <w:bookmarkStart w:id="19" w:name="_Toc226377895"/>
      <w:r>
        <w:t>2.6 Policy and Governance Failures Demonstrate a Disconnect Between Formal Frameworks and Operational Reality</w:t>
      </w:r>
      <w:bookmarkEnd w:id="19"/>
    </w:p>
    <w:p w14:paraId="51A2E10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At the time of the incident, the framework, “Freedom to Speak Up”, existed. However, it was poorly enforced at the Countess of Chester Hospital (Chakravorty, 2023). It is also essential to note that “Freedom to Speak Up” guardians were also ineffective or entirely absent during that time, as clinicians reported that they were instructed to avoid raising issues. Overall, CQC inspections were also known to have remained reactive. Only after the crimes were revealed, these started to intensify (Humphries, 2024b). There was clear evidence of a persistent gap being present between policy intention and local implementation. Such disconnection resulted in allowing systemic risks to remain unaddressed for more than a year, as the organisation kept on prioritising </w:t>
      </w:r>
      <w:r>
        <w:rPr>
          <w:rFonts w:ascii="Arial" w:eastAsia="Arial" w:hAnsi="Arial" w:cs="Arial"/>
          <w:sz w:val="22"/>
          <w:szCs w:val="22"/>
        </w:rPr>
        <w:lastRenderedPageBreak/>
        <w:t>reputational protection over patient safety (Thirlwall, 2016). It was the Thirlwall Inquiry that later confirmed the fact that such governance breakdowns were not isolated, as it reflected a wide range of NHS cultural and structural deficiencies.</w:t>
      </w:r>
    </w:p>
    <w:p w14:paraId="709F0954" w14:textId="77777777" w:rsidR="00653E38" w:rsidRDefault="00653E38" w:rsidP="00653E38">
      <w:pPr>
        <w:pStyle w:val="Heading2"/>
      </w:pPr>
      <w:bookmarkStart w:id="20" w:name="_Toc226377896"/>
      <w:r>
        <w:t>2.7 Strategic Analysis Highlights Systemic Weaknesses and Opportunities for Quality Improvement (SWOT Analysis)</w:t>
      </w:r>
      <w:bookmarkEnd w:id="2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53E38" w14:paraId="05D79B5F" w14:textId="77777777" w:rsidTr="00A36F32">
        <w:tc>
          <w:tcPr>
            <w:tcW w:w="4680" w:type="dxa"/>
            <w:tcMar>
              <w:top w:w="100" w:type="dxa"/>
              <w:left w:w="100" w:type="dxa"/>
              <w:bottom w:w="100" w:type="dxa"/>
              <w:right w:w="100" w:type="dxa"/>
            </w:tcMar>
          </w:tcPr>
          <w:p w14:paraId="2035C22B" w14:textId="77777777" w:rsidR="00653E38" w:rsidRDefault="00653E38" w:rsidP="00A36F32">
            <w:pPr>
              <w:widowControl w:val="0"/>
              <w:pBdr>
                <w:top w:val="nil"/>
                <w:left w:val="nil"/>
                <w:bottom w:val="nil"/>
                <w:right w:val="nil"/>
                <w:between w:val="nil"/>
              </w:pBdr>
              <w:spacing w:before="120" w:after="120" w:line="360" w:lineRule="auto"/>
              <w:jc w:val="center"/>
              <w:rPr>
                <w:rFonts w:ascii="Arial" w:eastAsia="Arial" w:hAnsi="Arial" w:cs="Arial"/>
                <w:b/>
                <w:bCs/>
                <w:sz w:val="22"/>
                <w:szCs w:val="22"/>
              </w:rPr>
            </w:pPr>
            <w:r>
              <w:rPr>
                <w:rFonts w:ascii="Arial" w:eastAsia="Arial" w:hAnsi="Arial" w:cs="Arial"/>
                <w:b/>
                <w:bCs/>
                <w:sz w:val="22"/>
                <w:szCs w:val="22"/>
              </w:rPr>
              <w:t>Strengths</w:t>
            </w:r>
          </w:p>
        </w:tc>
        <w:tc>
          <w:tcPr>
            <w:tcW w:w="4680" w:type="dxa"/>
            <w:tcMar>
              <w:top w:w="100" w:type="dxa"/>
              <w:left w:w="100" w:type="dxa"/>
              <w:bottom w:w="100" w:type="dxa"/>
              <w:right w:w="100" w:type="dxa"/>
            </w:tcMar>
          </w:tcPr>
          <w:p w14:paraId="4966BFC4" w14:textId="77777777" w:rsidR="00653E38" w:rsidRDefault="00653E38" w:rsidP="00A36F32">
            <w:pPr>
              <w:widowControl w:val="0"/>
              <w:pBdr>
                <w:top w:val="nil"/>
                <w:left w:val="nil"/>
                <w:bottom w:val="nil"/>
                <w:right w:val="nil"/>
                <w:between w:val="nil"/>
              </w:pBdr>
              <w:spacing w:before="120" w:after="120" w:line="360" w:lineRule="auto"/>
              <w:jc w:val="center"/>
              <w:rPr>
                <w:rFonts w:ascii="Arial" w:eastAsia="Arial" w:hAnsi="Arial" w:cs="Arial"/>
                <w:b/>
                <w:bCs/>
                <w:sz w:val="22"/>
                <w:szCs w:val="22"/>
              </w:rPr>
            </w:pPr>
            <w:r>
              <w:rPr>
                <w:rFonts w:ascii="Arial" w:eastAsia="Arial" w:hAnsi="Arial" w:cs="Arial"/>
                <w:b/>
                <w:bCs/>
                <w:sz w:val="22"/>
                <w:szCs w:val="22"/>
              </w:rPr>
              <w:t>Weaknesses</w:t>
            </w:r>
          </w:p>
        </w:tc>
      </w:tr>
      <w:tr w:rsidR="00653E38" w14:paraId="68AE0DFD" w14:textId="77777777" w:rsidTr="00A36F32">
        <w:tc>
          <w:tcPr>
            <w:tcW w:w="4680" w:type="dxa"/>
            <w:tcMar>
              <w:top w:w="100" w:type="dxa"/>
              <w:left w:w="100" w:type="dxa"/>
              <w:bottom w:w="100" w:type="dxa"/>
              <w:right w:w="100" w:type="dxa"/>
            </w:tcMar>
          </w:tcPr>
          <w:p w14:paraId="3B7044D5" w14:textId="77777777" w:rsidR="00653E38" w:rsidRDefault="00653E38" w:rsidP="00A36F32">
            <w:pPr>
              <w:widowControl w:val="0"/>
              <w:pBdr>
                <w:top w:val="nil"/>
                <w:left w:val="nil"/>
                <w:bottom w:val="nil"/>
                <w:right w:val="nil"/>
                <w:between w:val="nil"/>
              </w:pBdr>
              <w:spacing w:before="120" w:after="120" w:line="360" w:lineRule="auto"/>
              <w:jc w:val="both"/>
              <w:rPr>
                <w:rFonts w:ascii="Arial" w:eastAsia="Arial" w:hAnsi="Arial" w:cs="Arial"/>
                <w:sz w:val="22"/>
                <w:szCs w:val="22"/>
              </w:rPr>
            </w:pPr>
            <w:r>
              <w:rPr>
                <w:rFonts w:ascii="Arial" w:eastAsia="Arial" w:hAnsi="Arial" w:cs="Arial"/>
                <w:sz w:val="22"/>
                <w:szCs w:val="22"/>
              </w:rPr>
              <w:t>There is evidence of already existing NHS safety policies, alongside frameworks including the national “Freedom to Speak Up” initiative and regulatory oversight structures, which, if implemented properly, could have offered protective mechanisms for staff and patients (Chakravorty, 2023).</w:t>
            </w:r>
          </w:p>
        </w:tc>
        <w:tc>
          <w:tcPr>
            <w:tcW w:w="4680" w:type="dxa"/>
            <w:tcMar>
              <w:top w:w="100" w:type="dxa"/>
              <w:left w:w="100" w:type="dxa"/>
              <w:bottom w:w="100" w:type="dxa"/>
              <w:right w:w="100" w:type="dxa"/>
            </w:tcMar>
          </w:tcPr>
          <w:p w14:paraId="5D0D777E" w14:textId="77777777" w:rsidR="00653E38" w:rsidRDefault="00653E38" w:rsidP="00A36F32">
            <w:pPr>
              <w:widowControl w:val="0"/>
              <w:pBdr>
                <w:top w:val="nil"/>
                <w:left w:val="nil"/>
                <w:bottom w:val="nil"/>
                <w:right w:val="nil"/>
                <w:between w:val="nil"/>
              </w:pBdr>
              <w:spacing w:before="120" w:after="120" w:line="360" w:lineRule="auto"/>
              <w:jc w:val="both"/>
              <w:rPr>
                <w:rFonts w:ascii="Arial" w:eastAsia="Arial" w:hAnsi="Arial" w:cs="Arial"/>
                <w:sz w:val="22"/>
                <w:szCs w:val="22"/>
              </w:rPr>
            </w:pPr>
            <w:r>
              <w:rPr>
                <w:rFonts w:ascii="Arial" w:eastAsia="Arial" w:hAnsi="Arial" w:cs="Arial"/>
                <w:sz w:val="22"/>
                <w:szCs w:val="22"/>
              </w:rPr>
              <w:t>Several policies at the Countess of Chester Hospital were enforced poorly. On the other hand, there was also the lack of data integration across various subsystems, along with the presence of fundamentally weak governance that allowed concerns to be dismissed.</w:t>
            </w:r>
          </w:p>
        </w:tc>
      </w:tr>
      <w:tr w:rsidR="00653E38" w14:paraId="6EA67401" w14:textId="77777777" w:rsidTr="00A36F32">
        <w:tc>
          <w:tcPr>
            <w:tcW w:w="4680" w:type="dxa"/>
            <w:tcMar>
              <w:top w:w="100" w:type="dxa"/>
              <w:left w:w="100" w:type="dxa"/>
              <w:bottom w:w="100" w:type="dxa"/>
              <w:right w:w="100" w:type="dxa"/>
            </w:tcMar>
          </w:tcPr>
          <w:p w14:paraId="785B8E5B" w14:textId="77777777" w:rsidR="00653E38" w:rsidRDefault="00653E38" w:rsidP="00A36F32">
            <w:pPr>
              <w:widowControl w:val="0"/>
              <w:pBdr>
                <w:top w:val="nil"/>
                <w:left w:val="nil"/>
                <w:bottom w:val="nil"/>
                <w:right w:val="nil"/>
                <w:between w:val="nil"/>
              </w:pBdr>
              <w:spacing w:before="120" w:after="120" w:line="360" w:lineRule="auto"/>
              <w:jc w:val="center"/>
              <w:rPr>
                <w:rFonts w:ascii="Arial" w:eastAsia="Arial" w:hAnsi="Arial" w:cs="Arial"/>
                <w:b/>
                <w:bCs/>
                <w:sz w:val="22"/>
                <w:szCs w:val="22"/>
              </w:rPr>
            </w:pPr>
            <w:r>
              <w:rPr>
                <w:rFonts w:ascii="Arial" w:eastAsia="Arial" w:hAnsi="Arial" w:cs="Arial"/>
                <w:b/>
                <w:bCs/>
                <w:sz w:val="22"/>
                <w:szCs w:val="22"/>
              </w:rPr>
              <w:t>Opportunities</w:t>
            </w:r>
          </w:p>
        </w:tc>
        <w:tc>
          <w:tcPr>
            <w:tcW w:w="4680" w:type="dxa"/>
            <w:tcMar>
              <w:top w:w="100" w:type="dxa"/>
              <w:left w:w="100" w:type="dxa"/>
              <w:bottom w:w="100" w:type="dxa"/>
              <w:right w:w="100" w:type="dxa"/>
            </w:tcMar>
          </w:tcPr>
          <w:p w14:paraId="6B712507" w14:textId="77777777" w:rsidR="00653E38" w:rsidRDefault="00653E38" w:rsidP="00A36F32">
            <w:pPr>
              <w:widowControl w:val="0"/>
              <w:pBdr>
                <w:top w:val="nil"/>
                <w:left w:val="nil"/>
                <w:bottom w:val="nil"/>
                <w:right w:val="nil"/>
                <w:between w:val="nil"/>
              </w:pBdr>
              <w:spacing w:before="120" w:after="120" w:line="360" w:lineRule="auto"/>
              <w:jc w:val="center"/>
              <w:rPr>
                <w:rFonts w:ascii="Arial" w:eastAsia="Arial" w:hAnsi="Arial" w:cs="Arial"/>
                <w:b/>
                <w:bCs/>
                <w:sz w:val="22"/>
                <w:szCs w:val="22"/>
              </w:rPr>
            </w:pPr>
            <w:r>
              <w:rPr>
                <w:rFonts w:ascii="Arial" w:eastAsia="Arial" w:hAnsi="Arial" w:cs="Arial"/>
                <w:b/>
                <w:bCs/>
                <w:sz w:val="22"/>
                <w:szCs w:val="22"/>
              </w:rPr>
              <w:t>Threats</w:t>
            </w:r>
          </w:p>
        </w:tc>
      </w:tr>
      <w:tr w:rsidR="00653E38" w14:paraId="6BA077BB" w14:textId="77777777" w:rsidTr="00A36F32">
        <w:tc>
          <w:tcPr>
            <w:tcW w:w="4680" w:type="dxa"/>
            <w:tcMar>
              <w:top w:w="100" w:type="dxa"/>
              <w:left w:w="100" w:type="dxa"/>
              <w:bottom w:w="100" w:type="dxa"/>
              <w:right w:w="100" w:type="dxa"/>
            </w:tcMar>
          </w:tcPr>
          <w:p w14:paraId="02BD2AF3" w14:textId="77777777" w:rsidR="00653E38" w:rsidRDefault="00653E38" w:rsidP="00A36F32">
            <w:pPr>
              <w:widowControl w:val="0"/>
              <w:pBdr>
                <w:top w:val="nil"/>
                <w:left w:val="nil"/>
                <w:bottom w:val="nil"/>
                <w:right w:val="nil"/>
                <w:between w:val="nil"/>
              </w:pBdr>
              <w:spacing w:before="120" w:after="120" w:line="360" w:lineRule="auto"/>
              <w:jc w:val="both"/>
              <w:rPr>
                <w:rFonts w:ascii="Arial" w:eastAsia="Arial" w:hAnsi="Arial" w:cs="Arial"/>
                <w:sz w:val="22"/>
                <w:szCs w:val="22"/>
              </w:rPr>
            </w:pPr>
            <w:r>
              <w:rPr>
                <w:rFonts w:ascii="Arial" w:eastAsia="Arial" w:hAnsi="Arial" w:cs="Arial"/>
                <w:sz w:val="22"/>
                <w:szCs w:val="22"/>
              </w:rPr>
              <w:t>Several opportunities exist, such as introducing digital monitoring systems with automated alerts, which are able to alert mortality spikes. On the other hand, another opportunity includes mandatory leadership development in psychological safety, along with wider cultural reform for prioritising learning over blame.</w:t>
            </w:r>
          </w:p>
        </w:tc>
        <w:tc>
          <w:tcPr>
            <w:tcW w:w="4680" w:type="dxa"/>
            <w:tcMar>
              <w:top w:w="100" w:type="dxa"/>
              <w:left w:w="100" w:type="dxa"/>
              <w:bottom w:w="100" w:type="dxa"/>
              <w:right w:w="100" w:type="dxa"/>
            </w:tcMar>
          </w:tcPr>
          <w:p w14:paraId="2E256500" w14:textId="77777777" w:rsidR="00653E38" w:rsidRDefault="00653E38" w:rsidP="00A36F32">
            <w:pPr>
              <w:widowControl w:val="0"/>
              <w:pBdr>
                <w:top w:val="nil"/>
                <w:left w:val="nil"/>
                <w:bottom w:val="nil"/>
                <w:right w:val="nil"/>
                <w:between w:val="nil"/>
              </w:pBdr>
              <w:spacing w:before="120" w:after="120" w:line="360" w:lineRule="auto"/>
              <w:jc w:val="both"/>
              <w:rPr>
                <w:rFonts w:ascii="Arial" w:eastAsia="Arial" w:hAnsi="Arial" w:cs="Arial"/>
                <w:sz w:val="22"/>
                <w:szCs w:val="22"/>
              </w:rPr>
            </w:pPr>
            <w:r>
              <w:rPr>
                <w:rFonts w:ascii="Arial" w:eastAsia="Arial" w:hAnsi="Arial" w:cs="Arial"/>
                <w:sz w:val="22"/>
                <w:szCs w:val="22"/>
              </w:rPr>
              <w:t>Overall threat remains significant, which is particularly strong in the case of defensiveness and persistent reputational pressures, as these favoured silence over focusing on improving transparency (ITV, 2023).</w:t>
            </w:r>
          </w:p>
        </w:tc>
      </w:tr>
    </w:tbl>
    <w:p w14:paraId="061E43C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Such weaknesses and threats result in directly reinforcing the root causes that were identified earlier, which are defensive culture, siloed information, and ineffective accountability. These are required to be addressed through various factors, such as evidence-based quality improvement interventions, which could help in preventing future alignment of system failures.</w:t>
      </w:r>
    </w:p>
    <w:p w14:paraId="521A4902" w14:textId="77777777" w:rsidR="00653E38" w:rsidRDefault="00653E38" w:rsidP="00653E38">
      <w:pPr>
        <w:pStyle w:val="Heading1"/>
      </w:pPr>
      <w:bookmarkStart w:id="21" w:name="_Toc226377897"/>
      <w:r>
        <w:lastRenderedPageBreak/>
        <w:t>3. Recommendations</w:t>
      </w:r>
      <w:bookmarkEnd w:id="21"/>
    </w:p>
    <w:p w14:paraId="556FC24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above analysis showcased that the incident was due to repeated failure of escalation, ignored clinical concerns, and delayed organisational response. In order to bridge such gaps, the following recommendations are provided:</w:t>
      </w:r>
    </w:p>
    <w:p w14:paraId="3B7CA42A" w14:textId="77777777" w:rsidR="00653E38" w:rsidRDefault="00653E38" w:rsidP="00653E38">
      <w:pPr>
        <w:pStyle w:val="Heading2"/>
      </w:pPr>
      <w:bookmarkStart w:id="22" w:name="_Toc226377898"/>
      <w:r>
        <w:t>3.1 Strengthening Escalation and Incident Reporting Systems is Essential to Restore Patient Safety (PDSA Cycle)</w:t>
      </w:r>
      <w:bookmarkEnd w:id="22"/>
    </w:p>
    <w:p w14:paraId="37B2A398"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Plan-Do-Study-Act cycles provide a structure for iterative testing of changes to improve the quality of systems (Taylor </w:t>
      </w:r>
      <w:r>
        <w:rPr>
          <w:rFonts w:ascii="Arial" w:eastAsia="Arial" w:hAnsi="Arial" w:cs="Arial"/>
          <w:i/>
          <w:iCs/>
          <w:sz w:val="22"/>
          <w:szCs w:val="22"/>
        </w:rPr>
        <w:t>et al.,</w:t>
      </w:r>
      <w:r>
        <w:rPr>
          <w:rFonts w:ascii="Arial" w:eastAsia="Arial" w:hAnsi="Arial" w:cs="Arial"/>
          <w:sz w:val="22"/>
          <w:szCs w:val="22"/>
        </w:rPr>
        <w:t xml:space="preserve"> 2014). Using the Plan-Do-Study-Act cycle, recommendations are provided for restoring patient safety:</w:t>
      </w:r>
    </w:p>
    <w:p w14:paraId="5B3ACADE"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 </w:t>
      </w:r>
      <w:r>
        <w:rPr>
          <w:rFonts w:ascii="Arial" w:eastAsia="Arial" w:hAnsi="Arial" w:cs="Arial"/>
          <w:b/>
          <w:bCs/>
          <w:sz w:val="22"/>
          <w:szCs w:val="22"/>
        </w:rPr>
        <w:t>‘</w:t>
      </w:r>
      <w:r>
        <w:rPr>
          <w:rFonts w:ascii="Arial" w:eastAsia="Arial" w:hAnsi="Arial" w:cs="Arial"/>
          <w:b/>
          <w:bCs/>
          <w:i/>
          <w:iCs/>
          <w:sz w:val="22"/>
          <w:szCs w:val="22"/>
        </w:rPr>
        <w:t xml:space="preserve">plan’ </w:t>
      </w:r>
      <w:r>
        <w:rPr>
          <w:rFonts w:ascii="Arial" w:eastAsia="Arial" w:hAnsi="Arial" w:cs="Arial"/>
          <w:sz w:val="22"/>
          <w:szCs w:val="22"/>
        </w:rPr>
        <w:t xml:space="preserve">includes the designing of a structured escalation framework that will be equipped with clear, evidence-based thresholds, such as statistical alerts regarding mortality clusters. On the other hand, it is also recommended to implement clearly defined roles regarding multidisciplinary rapid response teams. Immediate action includes piloting the framework in neonatal units that belong within selected NHS Trusts, which will help in testing overall feasibility in real clinical settings </w:t>
      </w:r>
      <w:r>
        <w:rPr>
          <w:rFonts w:ascii="Arial" w:eastAsia="Arial" w:hAnsi="Arial" w:cs="Arial"/>
          <w:b/>
          <w:bCs/>
          <w:i/>
          <w:iCs/>
          <w:sz w:val="22"/>
          <w:szCs w:val="22"/>
        </w:rPr>
        <w:t>(Do)</w:t>
      </w:r>
      <w:r>
        <w:rPr>
          <w:rFonts w:ascii="Arial" w:eastAsia="Arial" w:hAnsi="Arial" w:cs="Arial"/>
          <w:sz w:val="22"/>
          <w:szCs w:val="22"/>
        </w:rPr>
        <w:t xml:space="preserve">. Key metrics are also recommended to be evaluated, which should include time-to-time detection, along with response rates, and incident outcomes, which could be evaluated through pre- and post-implementation audits </w:t>
      </w:r>
      <w:r>
        <w:rPr>
          <w:rFonts w:ascii="Arial" w:eastAsia="Arial" w:hAnsi="Arial" w:cs="Arial"/>
          <w:b/>
          <w:bCs/>
          <w:i/>
          <w:iCs/>
          <w:sz w:val="22"/>
          <w:szCs w:val="22"/>
        </w:rPr>
        <w:t>(Study)</w:t>
      </w:r>
      <w:r>
        <w:rPr>
          <w:rFonts w:ascii="Arial" w:eastAsia="Arial" w:hAnsi="Arial" w:cs="Arial"/>
          <w:sz w:val="22"/>
          <w:szCs w:val="22"/>
        </w:rPr>
        <w:t xml:space="preserve">. Lastly, it is recommended to refine the overall protocol, which is required to be based on findings and scale nationally </w:t>
      </w:r>
      <w:r>
        <w:rPr>
          <w:rFonts w:ascii="Arial" w:eastAsia="Arial" w:hAnsi="Arial" w:cs="Arial"/>
          <w:b/>
          <w:bCs/>
          <w:i/>
          <w:iCs/>
          <w:sz w:val="22"/>
          <w:szCs w:val="22"/>
        </w:rPr>
        <w:t>(Act)</w:t>
      </w:r>
      <w:r>
        <w:rPr>
          <w:rFonts w:ascii="Arial" w:eastAsia="Arial" w:hAnsi="Arial" w:cs="Arial"/>
          <w:sz w:val="22"/>
          <w:szCs w:val="22"/>
        </w:rPr>
        <w:t xml:space="preserve">. Such an approach will help in developing closed feedback loops, which will be able to directly address the failure of Systems Theory that is observed in the Letby case (Pant </w:t>
      </w:r>
      <w:r>
        <w:rPr>
          <w:rFonts w:ascii="Arial" w:eastAsia="Arial" w:hAnsi="Arial" w:cs="Arial"/>
          <w:i/>
          <w:iCs/>
          <w:sz w:val="22"/>
          <w:szCs w:val="22"/>
        </w:rPr>
        <w:t>et al.,</w:t>
      </w:r>
      <w:r>
        <w:rPr>
          <w:rFonts w:ascii="Arial" w:eastAsia="Arial" w:hAnsi="Arial" w:cs="Arial"/>
          <w:sz w:val="22"/>
          <w:szCs w:val="22"/>
        </w:rPr>
        <w:t xml:space="preserve"> 2022).</w:t>
      </w:r>
    </w:p>
    <w:p w14:paraId="79859FE1" w14:textId="77777777" w:rsidR="00653E38" w:rsidRDefault="00653E38" w:rsidP="00653E38">
      <w:pPr>
        <w:pStyle w:val="Heading2"/>
      </w:pPr>
      <w:bookmarkStart w:id="23" w:name="_Toc226377899"/>
      <w:r>
        <w:t>3.2 Embedding a Transparent and Protected Whistleblowing Culture is Critical for Early Risk Detection</w:t>
      </w:r>
      <w:bookmarkEnd w:id="23"/>
    </w:p>
    <w:p w14:paraId="165376E6"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Independent whistleblowing channels equipped with legal, alongside organisational protection, in addition to mandatory response timelines, are recommended to be established, which can help in overcoming the culture of silence (Al-Thani and Wright, 2026). On the other hand, lean thinking is also recommended to be applied, as it is a philosophy that focuses on eliminating waste or non-value-added elements from the processes (</w:t>
      </w:r>
      <w:r>
        <w:rPr>
          <w:rFonts w:ascii="Arial" w:eastAsia="Arial" w:hAnsi="Arial" w:cs="Arial"/>
          <w:sz w:val="22"/>
          <w:szCs w:val="22"/>
          <w:highlight w:val="white"/>
        </w:rPr>
        <w:t xml:space="preserve">Chan </w:t>
      </w:r>
      <w:r>
        <w:rPr>
          <w:rFonts w:ascii="Arial" w:eastAsia="Arial" w:hAnsi="Arial" w:cs="Arial"/>
          <w:i/>
          <w:iCs/>
          <w:sz w:val="22"/>
          <w:szCs w:val="22"/>
          <w:highlight w:val="white"/>
        </w:rPr>
        <w:t>et al.,</w:t>
      </w:r>
      <w:r>
        <w:rPr>
          <w:rFonts w:ascii="Arial" w:eastAsia="Arial" w:hAnsi="Arial" w:cs="Arial"/>
          <w:sz w:val="22"/>
          <w:szCs w:val="22"/>
          <w:highlight w:val="white"/>
        </w:rPr>
        <w:t xml:space="preserve"> 2014). It will help in removing delays, along with unnecessary bureaucracy, and multiple approval layers, which will allow direct escalation to decision-makers. It is also essential to note that the Plan-Do-Study-Act cycle can be utilised for testing the new reporting system, along with evaluating employee engagement and psychological safety through anonymous surveys. Lastly, cultural change is also recommended to be systematically embedded, measured, and reinforced at every organisational level.</w:t>
      </w:r>
    </w:p>
    <w:p w14:paraId="1B050849" w14:textId="77777777" w:rsidR="00653E38" w:rsidRDefault="00653E38" w:rsidP="00653E38">
      <w:pPr>
        <w:pStyle w:val="Heading2"/>
      </w:pPr>
      <w:bookmarkStart w:id="24" w:name="_Toc226377900"/>
      <w:r>
        <w:lastRenderedPageBreak/>
        <w:t>3.3 Implementing Real-Time Data Monitoring Systems is Necessary to Detect Clinical Anomalies Proactively</w:t>
      </w:r>
      <w:bookmarkEnd w:id="24"/>
    </w:p>
    <w:p w14:paraId="2B1B8ADF"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It is recommended to implement a centralised digital dashboard, which will be equipped with statistical process control tools, along with automated alerts regarding abnormal trends. This can be implemented properly with the help of the Six Sigma’s DMAIC framework, which is a framework for merging quality tools such as statistical process controls and DMAIC procedures with high-level management support (Mogatusi, Takalani and Gupta, 2025):</w:t>
      </w:r>
    </w:p>
    <w:p w14:paraId="5AAB693F" w14:textId="77777777" w:rsidR="00653E38" w:rsidRDefault="00653E38" w:rsidP="00653E38">
      <w:pPr>
        <w:numPr>
          <w:ilvl w:val="0"/>
          <w:numId w:val="2"/>
        </w:numPr>
        <w:spacing w:before="120" w:after="120" w:line="360" w:lineRule="auto"/>
        <w:jc w:val="both"/>
        <w:rPr>
          <w:sz w:val="22"/>
          <w:szCs w:val="22"/>
        </w:rPr>
      </w:pPr>
      <w:r>
        <w:rPr>
          <w:rFonts w:ascii="Arial" w:eastAsia="Arial" w:hAnsi="Arial" w:cs="Arial"/>
          <w:b/>
          <w:bCs/>
          <w:i/>
          <w:iCs/>
          <w:sz w:val="22"/>
          <w:szCs w:val="22"/>
        </w:rPr>
        <w:t>Define</w:t>
      </w:r>
      <w:r>
        <w:rPr>
          <w:rFonts w:ascii="Arial" w:eastAsia="Arial" w:hAnsi="Arial" w:cs="Arial"/>
          <w:i/>
          <w:iCs/>
          <w:sz w:val="22"/>
          <w:szCs w:val="22"/>
        </w:rPr>
        <w:t xml:space="preserve"> </w:t>
      </w:r>
      <w:r>
        <w:rPr>
          <w:rFonts w:ascii="Arial" w:eastAsia="Arial" w:hAnsi="Arial" w:cs="Arial"/>
          <w:sz w:val="22"/>
          <w:szCs w:val="22"/>
        </w:rPr>
        <w:t>the patient safety problem of undetected clinical anomalies.</w:t>
      </w:r>
    </w:p>
    <w:p w14:paraId="7CF186BA" w14:textId="77777777" w:rsidR="00653E38" w:rsidRDefault="00653E38" w:rsidP="00653E38">
      <w:pPr>
        <w:numPr>
          <w:ilvl w:val="0"/>
          <w:numId w:val="2"/>
        </w:numPr>
        <w:spacing w:before="120" w:after="120" w:line="360" w:lineRule="auto"/>
        <w:jc w:val="both"/>
        <w:rPr>
          <w:sz w:val="22"/>
          <w:szCs w:val="22"/>
        </w:rPr>
      </w:pPr>
      <w:r>
        <w:rPr>
          <w:rFonts w:ascii="Arial" w:eastAsia="Arial" w:hAnsi="Arial" w:cs="Arial"/>
          <w:b/>
          <w:bCs/>
          <w:i/>
          <w:iCs/>
          <w:sz w:val="22"/>
          <w:szCs w:val="22"/>
        </w:rPr>
        <w:t>Measure</w:t>
      </w:r>
      <w:r>
        <w:rPr>
          <w:rFonts w:ascii="Arial" w:eastAsia="Arial" w:hAnsi="Arial" w:cs="Arial"/>
          <w:i/>
          <w:iCs/>
          <w:sz w:val="22"/>
          <w:szCs w:val="22"/>
        </w:rPr>
        <w:t xml:space="preserve"> </w:t>
      </w:r>
      <w:r>
        <w:rPr>
          <w:rFonts w:ascii="Arial" w:eastAsia="Arial" w:hAnsi="Arial" w:cs="Arial"/>
          <w:sz w:val="22"/>
          <w:szCs w:val="22"/>
        </w:rPr>
        <w:t>present incident detection rates and time lags.</w:t>
      </w:r>
    </w:p>
    <w:p w14:paraId="58CA7C8A" w14:textId="77777777" w:rsidR="00653E38" w:rsidRDefault="00653E38" w:rsidP="00653E38">
      <w:pPr>
        <w:numPr>
          <w:ilvl w:val="0"/>
          <w:numId w:val="2"/>
        </w:numPr>
        <w:spacing w:before="120" w:after="120" w:line="360" w:lineRule="auto"/>
        <w:jc w:val="both"/>
        <w:rPr>
          <w:sz w:val="22"/>
          <w:szCs w:val="22"/>
        </w:rPr>
      </w:pPr>
      <w:r>
        <w:rPr>
          <w:rFonts w:ascii="Arial" w:eastAsia="Arial" w:hAnsi="Arial" w:cs="Arial"/>
          <w:b/>
          <w:bCs/>
          <w:i/>
          <w:iCs/>
          <w:sz w:val="22"/>
          <w:szCs w:val="22"/>
        </w:rPr>
        <w:t>Analyse</w:t>
      </w:r>
      <w:r>
        <w:rPr>
          <w:rFonts w:ascii="Arial" w:eastAsia="Arial" w:hAnsi="Arial" w:cs="Arial"/>
          <w:i/>
          <w:iCs/>
          <w:sz w:val="22"/>
          <w:szCs w:val="22"/>
        </w:rPr>
        <w:t xml:space="preserve"> </w:t>
      </w:r>
      <w:r>
        <w:rPr>
          <w:rFonts w:ascii="Arial" w:eastAsia="Arial" w:hAnsi="Arial" w:cs="Arial"/>
          <w:sz w:val="22"/>
          <w:szCs w:val="22"/>
        </w:rPr>
        <w:t>the root causes of delays and data silos.</w:t>
      </w:r>
    </w:p>
    <w:p w14:paraId="6B18946B" w14:textId="77777777" w:rsidR="00653E38" w:rsidRDefault="00653E38" w:rsidP="00653E38">
      <w:pPr>
        <w:numPr>
          <w:ilvl w:val="0"/>
          <w:numId w:val="2"/>
        </w:numPr>
        <w:spacing w:before="120" w:after="120" w:line="360" w:lineRule="auto"/>
        <w:jc w:val="both"/>
        <w:rPr>
          <w:sz w:val="22"/>
          <w:szCs w:val="22"/>
        </w:rPr>
      </w:pPr>
      <w:r>
        <w:rPr>
          <w:rFonts w:ascii="Arial" w:eastAsia="Arial" w:hAnsi="Arial" w:cs="Arial"/>
          <w:b/>
          <w:bCs/>
          <w:i/>
          <w:iCs/>
          <w:sz w:val="22"/>
          <w:szCs w:val="22"/>
        </w:rPr>
        <w:t>Improve</w:t>
      </w:r>
      <w:r>
        <w:rPr>
          <w:rFonts w:ascii="Arial" w:eastAsia="Arial" w:hAnsi="Arial" w:cs="Arial"/>
          <w:i/>
          <w:iCs/>
          <w:sz w:val="22"/>
          <w:szCs w:val="22"/>
        </w:rPr>
        <w:t xml:space="preserve"> </w:t>
      </w:r>
      <w:r>
        <w:rPr>
          <w:rFonts w:ascii="Arial" w:eastAsia="Arial" w:hAnsi="Arial" w:cs="Arial"/>
          <w:sz w:val="22"/>
          <w:szCs w:val="22"/>
        </w:rPr>
        <w:t>by introducing automated monitoring systems with real-time dashboards.</w:t>
      </w:r>
    </w:p>
    <w:p w14:paraId="2902C85B" w14:textId="77777777" w:rsidR="00653E38" w:rsidRDefault="00653E38" w:rsidP="00653E38">
      <w:pPr>
        <w:numPr>
          <w:ilvl w:val="0"/>
          <w:numId w:val="2"/>
        </w:numPr>
        <w:spacing w:before="120" w:after="120" w:line="360" w:lineRule="auto"/>
        <w:jc w:val="both"/>
        <w:rPr>
          <w:sz w:val="22"/>
          <w:szCs w:val="22"/>
        </w:rPr>
      </w:pPr>
      <w:r>
        <w:rPr>
          <w:rFonts w:ascii="Arial" w:eastAsia="Arial" w:hAnsi="Arial" w:cs="Arial"/>
          <w:sz w:val="22"/>
          <w:szCs w:val="22"/>
        </w:rPr>
        <w:t xml:space="preserve">Focus on </w:t>
      </w:r>
      <w:r>
        <w:rPr>
          <w:rFonts w:ascii="Arial" w:eastAsia="Arial" w:hAnsi="Arial" w:cs="Arial"/>
          <w:b/>
          <w:bCs/>
          <w:i/>
          <w:iCs/>
          <w:sz w:val="22"/>
          <w:szCs w:val="22"/>
        </w:rPr>
        <w:t xml:space="preserve">controlling </w:t>
      </w:r>
      <w:r>
        <w:rPr>
          <w:rFonts w:ascii="Arial" w:eastAsia="Arial" w:hAnsi="Arial" w:cs="Arial"/>
          <w:sz w:val="22"/>
          <w:szCs w:val="22"/>
        </w:rPr>
        <w:t>by continuously tracking performance through SPC charts and regular executive review.</w:t>
      </w:r>
    </w:p>
    <w:p w14:paraId="6ACD0BB8"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This will help in significantly reducing overall variation, along with also enabling data-driven decision making. It will also help in preventing latent failures from aligning in the future.</w:t>
      </w:r>
    </w:p>
    <w:p w14:paraId="574788AE" w14:textId="77777777" w:rsidR="00653E38" w:rsidRDefault="00653E38" w:rsidP="00653E38">
      <w:pPr>
        <w:pStyle w:val="Heading1"/>
      </w:pPr>
      <w:bookmarkStart w:id="25" w:name="_Toc226377901"/>
      <w:r>
        <w:t>4. Conclusion</w:t>
      </w:r>
      <w:bookmarkEnd w:id="25"/>
    </w:p>
    <w:p w14:paraId="6E535858"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The case of Lucy Letby resulted in exposing several systemic failures across clinical, managerial, regulatory, and policy layers. By applying Systems Theory, along with Swiss Cheese, Donabedian, Root Cause Analysis and Fishbone model, it is also revealed that overall harm resulted from aligned latent weaknesses as it was not due to isolated individual actions. Governance, along with whistleblowing breakdowns, along with siloed data, and a defensive culture, resulted in allowing preventable deaths that occurred. The author also provided recommendations, such as improving escalation, along with protected whistleblowing and real-time monitoring, which is able to offer a structured pathway for rebuilding safety systems. By implementing such changes, it is possible to restore overall feedback loops, along with embedding psychological safety and also making sure that quality, efficiency, and equity are prioritised across the NHS.</w:t>
      </w:r>
      <w:r>
        <w:br w:type="page"/>
      </w:r>
    </w:p>
    <w:p w14:paraId="0E711FB5" w14:textId="77777777" w:rsidR="00653E38" w:rsidRDefault="00653E38" w:rsidP="00653E38">
      <w:pPr>
        <w:pStyle w:val="Heading1"/>
      </w:pPr>
      <w:bookmarkStart w:id="26" w:name="_Toc226377902"/>
      <w:r>
        <w:lastRenderedPageBreak/>
        <w:t>References</w:t>
      </w:r>
      <w:bookmarkEnd w:id="26"/>
    </w:p>
    <w:p w14:paraId="61B7F43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Al-Thani, N. and Wright, S. (2026). Whistleblowing in Emerging Financial Systems: Model Development and Mixed-Methods Evidence from Banks in Qatar. </w:t>
      </w:r>
      <w:r>
        <w:rPr>
          <w:rFonts w:ascii="Arial" w:eastAsia="Arial" w:hAnsi="Arial" w:cs="Arial"/>
          <w:i/>
          <w:iCs/>
          <w:sz w:val="22"/>
          <w:szCs w:val="22"/>
        </w:rPr>
        <w:t>Journal of risk and financial management</w:t>
      </w:r>
      <w:r>
        <w:rPr>
          <w:rFonts w:ascii="Arial" w:eastAsia="Arial" w:hAnsi="Arial" w:cs="Arial"/>
          <w:sz w:val="22"/>
          <w:szCs w:val="22"/>
        </w:rPr>
        <w:t>, 19(1), pp.33–33. doi:</w:t>
      </w:r>
      <w:hyperlink r:id="rId8">
        <w:r>
          <w:rPr>
            <w:rFonts w:ascii="Arial" w:eastAsia="Arial" w:hAnsi="Arial" w:cs="Arial"/>
            <w:color w:val="1155CC"/>
            <w:sz w:val="22"/>
            <w:szCs w:val="22"/>
            <w:u w:val="single"/>
          </w:rPr>
          <w:t>https://doi.org/10.3390/jrfm19010033</w:t>
        </w:r>
      </w:hyperlink>
      <w:r>
        <w:rPr>
          <w:rFonts w:ascii="Arial" w:eastAsia="Arial" w:hAnsi="Arial" w:cs="Arial"/>
          <w:sz w:val="22"/>
          <w:szCs w:val="22"/>
        </w:rPr>
        <w:t>.</w:t>
      </w:r>
    </w:p>
    <w:p w14:paraId="69208CB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BBC News (2023a). Nurse Lucy Letby guilty of murdering seven babies on neonatal unit. </w:t>
      </w:r>
      <w:r>
        <w:rPr>
          <w:rFonts w:ascii="Arial" w:eastAsia="Arial" w:hAnsi="Arial" w:cs="Arial"/>
          <w:i/>
          <w:iCs/>
          <w:sz w:val="22"/>
          <w:szCs w:val="22"/>
        </w:rPr>
        <w:t>BBC News</w:t>
      </w:r>
      <w:r>
        <w:rPr>
          <w:rFonts w:ascii="Arial" w:eastAsia="Arial" w:hAnsi="Arial" w:cs="Arial"/>
          <w:sz w:val="22"/>
          <w:szCs w:val="22"/>
        </w:rPr>
        <w:t>. [online] 18 Aug. Available at: https://www.bbc.com/news/uk-england-merseyside-65960514 [Accessed 5 Apr. 2026].</w:t>
      </w:r>
    </w:p>
    <w:p w14:paraId="20C22A4F"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BBC News (2023b). Hospital bosses ignored months of doctors’ warnings about Lucy Letby. </w:t>
      </w:r>
      <w:r>
        <w:rPr>
          <w:rFonts w:ascii="Arial" w:eastAsia="Arial" w:hAnsi="Arial" w:cs="Arial"/>
          <w:i/>
          <w:iCs/>
          <w:sz w:val="22"/>
          <w:szCs w:val="22"/>
        </w:rPr>
        <w:t>BBC News</w:t>
      </w:r>
      <w:r>
        <w:rPr>
          <w:rFonts w:ascii="Arial" w:eastAsia="Arial" w:hAnsi="Arial" w:cs="Arial"/>
          <w:sz w:val="22"/>
          <w:szCs w:val="22"/>
        </w:rPr>
        <w:t>. [online] 18 Aug. Available at: https://www.bbc.com/news/uk-66120934 [Accessed 5 Apr. 2026].</w:t>
      </w:r>
    </w:p>
    <w:p w14:paraId="53DDE187"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Beeson, E. and Syder, C. (2023). </w:t>
      </w:r>
      <w:r>
        <w:rPr>
          <w:rFonts w:ascii="Arial" w:eastAsia="Arial" w:hAnsi="Arial" w:cs="Arial"/>
          <w:i/>
          <w:iCs/>
          <w:sz w:val="22"/>
          <w:szCs w:val="22"/>
        </w:rPr>
        <w:t>The lessons to be learned across the NHS from the Lucy Letby verdict</w:t>
      </w:r>
      <w:r>
        <w:rPr>
          <w:rFonts w:ascii="Arial" w:eastAsia="Arial" w:hAnsi="Arial" w:cs="Arial"/>
          <w:sz w:val="22"/>
          <w:szCs w:val="22"/>
        </w:rPr>
        <w:t>. [online] www.penningtonslaw.com. Available at: https://www.penningtonslaw.com/news-publications/latest-news/2023/the-lessons-to-be-learned-across-the-nhs-following-the-lucy-letby-verdict [Accessed 5 Apr. 2026].</w:t>
      </w:r>
    </w:p>
    <w:p w14:paraId="0221E72A"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Chakravorty, I. (2023). Case of Nurse Letby: Systems Failure in Safeguarding Patients. </w:t>
      </w:r>
      <w:r>
        <w:rPr>
          <w:rFonts w:ascii="Arial" w:eastAsia="Arial" w:hAnsi="Arial" w:cs="Arial"/>
          <w:i/>
          <w:iCs/>
          <w:sz w:val="22"/>
          <w:szCs w:val="22"/>
        </w:rPr>
        <w:t>Sushruta</w:t>
      </w:r>
      <w:r>
        <w:rPr>
          <w:rFonts w:ascii="Arial" w:eastAsia="Arial" w:hAnsi="Arial" w:cs="Arial"/>
          <w:sz w:val="22"/>
          <w:szCs w:val="22"/>
        </w:rPr>
        <w:t>, 15(3). doi:</w:t>
      </w:r>
      <w:hyperlink r:id="rId9">
        <w:r>
          <w:rPr>
            <w:rFonts w:ascii="Arial" w:eastAsia="Arial" w:hAnsi="Arial" w:cs="Arial"/>
            <w:color w:val="1155CC"/>
            <w:sz w:val="22"/>
            <w:szCs w:val="22"/>
            <w:u w:val="single"/>
          </w:rPr>
          <w:t>https://doi.org/10.38192/15.3.4</w:t>
        </w:r>
      </w:hyperlink>
      <w:r>
        <w:rPr>
          <w:rFonts w:ascii="Arial" w:eastAsia="Arial" w:hAnsi="Arial" w:cs="Arial"/>
          <w:sz w:val="22"/>
          <w:szCs w:val="22"/>
        </w:rPr>
        <w:t>.</w:t>
      </w:r>
    </w:p>
    <w:p w14:paraId="69ADF80B"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highlight w:val="white"/>
        </w:rPr>
        <w:t xml:space="preserve">Chan, H.Y., Lo, S.M., Lee, L.L.Y., Lo, W.Y.L., Yu, W.C., Wu, Y.F., Ho, S.T., Yeung, R.S.D. and Chan, J.T.S., (2014). Lean techniques for the improvement of patients’ flow in emergency department. </w:t>
      </w:r>
      <w:r>
        <w:rPr>
          <w:rFonts w:ascii="Arial" w:eastAsia="Arial" w:hAnsi="Arial" w:cs="Arial"/>
          <w:i/>
          <w:iCs/>
          <w:sz w:val="22"/>
          <w:szCs w:val="22"/>
          <w:highlight w:val="white"/>
        </w:rPr>
        <w:t>World journal of emergency medicine</w:t>
      </w:r>
      <w:r>
        <w:rPr>
          <w:rFonts w:ascii="Arial" w:eastAsia="Arial" w:hAnsi="Arial" w:cs="Arial"/>
          <w:sz w:val="22"/>
          <w:szCs w:val="22"/>
          <w:highlight w:val="white"/>
        </w:rPr>
        <w:t xml:space="preserve">, </w:t>
      </w:r>
      <w:r>
        <w:rPr>
          <w:rFonts w:ascii="Arial" w:eastAsia="Arial" w:hAnsi="Arial" w:cs="Arial"/>
          <w:i/>
          <w:iCs/>
          <w:sz w:val="22"/>
          <w:szCs w:val="22"/>
          <w:highlight w:val="white"/>
        </w:rPr>
        <w:t>5</w:t>
      </w:r>
      <w:r>
        <w:rPr>
          <w:rFonts w:ascii="Arial" w:eastAsia="Arial" w:hAnsi="Arial" w:cs="Arial"/>
          <w:sz w:val="22"/>
          <w:szCs w:val="22"/>
          <w:highlight w:val="white"/>
        </w:rPr>
        <w:t>(1), p.24.</w:t>
      </w:r>
    </w:p>
    <w:p w14:paraId="5211AA4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Dunhill, L. (2023). </w:t>
      </w:r>
      <w:r>
        <w:rPr>
          <w:rFonts w:ascii="Arial" w:eastAsia="Arial" w:hAnsi="Arial" w:cs="Arial"/>
          <w:i/>
          <w:iCs/>
          <w:sz w:val="22"/>
          <w:szCs w:val="22"/>
        </w:rPr>
        <w:t>Revealed: How trust execs resisted concerns over Letby</w:t>
      </w:r>
      <w:r>
        <w:rPr>
          <w:rFonts w:ascii="Arial" w:eastAsia="Arial" w:hAnsi="Arial" w:cs="Arial"/>
          <w:sz w:val="22"/>
          <w:szCs w:val="22"/>
        </w:rPr>
        <w:t>. [online] Health Service Journal. Available at: https://www.hsj.co.uk/countess-of-chester-hospital-nhs-foundation-trust/revealed-how-trust-execs-resisted-concerns-over-letby/7035170.article [Accessed 5 Apr. 2026].</w:t>
      </w:r>
    </w:p>
    <w:p w14:paraId="0ABDF59B"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Eastern Daily Press (2023). </w:t>
      </w:r>
      <w:r>
        <w:rPr>
          <w:rFonts w:ascii="Arial" w:eastAsia="Arial" w:hAnsi="Arial" w:cs="Arial"/>
          <w:i/>
          <w:iCs/>
          <w:sz w:val="22"/>
          <w:szCs w:val="22"/>
        </w:rPr>
        <w:t>Whistleblowers ‘treated like the problem’ – doctors’ union calls for reform</w:t>
      </w:r>
      <w:r>
        <w:rPr>
          <w:rFonts w:ascii="Arial" w:eastAsia="Arial" w:hAnsi="Arial" w:cs="Arial"/>
          <w:sz w:val="22"/>
          <w:szCs w:val="22"/>
        </w:rPr>
        <w:t>. [online] Eastern Daily Press. Available at: https://www.edp24.co.uk/news/national/23734325.whistleblowers-treated-like-problem---doctors-union-calls-reform/ [Accessed 5 Apr. 2026].</w:t>
      </w:r>
    </w:p>
    <w:p w14:paraId="3483FB4C"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Halliday, J. (2023). Doctors were forced to apologise for raising alarm over Lucy Letby and baby deaths. </w:t>
      </w:r>
      <w:r>
        <w:rPr>
          <w:rFonts w:ascii="Arial" w:eastAsia="Arial" w:hAnsi="Arial" w:cs="Arial"/>
          <w:i/>
          <w:iCs/>
          <w:sz w:val="22"/>
          <w:szCs w:val="22"/>
        </w:rPr>
        <w:t>The Guardian</w:t>
      </w:r>
      <w:r>
        <w:rPr>
          <w:rFonts w:ascii="Arial" w:eastAsia="Arial" w:hAnsi="Arial" w:cs="Arial"/>
          <w:sz w:val="22"/>
          <w:szCs w:val="22"/>
        </w:rPr>
        <w:t>. [online] 19 Aug. Available at: https://www.theguardian.com/uk-news/2023/aug/19/doctors-were-forced-to-apologise-for-raising-alarm-over-lucy-letby-and-baby-deaths [Accessed 5 Apr. 2026].</w:t>
      </w:r>
    </w:p>
    <w:p w14:paraId="464C7118" w14:textId="77777777" w:rsidR="00653E38" w:rsidRP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lastRenderedPageBreak/>
        <w:t xml:space="preserve">Humphries, J. (2024a). Thirlwall Inquiry: Inspectors ‘not told’ of baby deaths at Letby hospital. </w:t>
      </w:r>
      <w:r>
        <w:rPr>
          <w:rFonts w:ascii="Arial" w:eastAsia="Arial" w:hAnsi="Arial" w:cs="Arial"/>
          <w:i/>
          <w:iCs/>
          <w:sz w:val="22"/>
          <w:szCs w:val="22"/>
        </w:rPr>
        <w:t>BBC News</w:t>
      </w:r>
      <w:r>
        <w:rPr>
          <w:rFonts w:ascii="Arial" w:eastAsia="Arial" w:hAnsi="Arial" w:cs="Arial"/>
          <w:sz w:val="22"/>
          <w:szCs w:val="22"/>
        </w:rPr>
        <w:t>. [online] 14 Nov. Available at: https://www.bbc.com/news/articles/ckgzx3vkelro [Accessed 5 Apr. 2026].</w:t>
      </w:r>
    </w:p>
    <w:p w14:paraId="7D9B816D"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Humphries, J. (2024b). Lucy Letby: NHS duty of candour ‘not working’, inquiry hears. </w:t>
      </w:r>
      <w:r>
        <w:rPr>
          <w:rFonts w:ascii="Arial" w:eastAsia="Arial" w:hAnsi="Arial" w:cs="Arial"/>
          <w:i/>
          <w:iCs/>
          <w:sz w:val="22"/>
          <w:szCs w:val="22"/>
        </w:rPr>
        <w:t>BBC News</w:t>
      </w:r>
      <w:r>
        <w:rPr>
          <w:rFonts w:ascii="Arial" w:eastAsia="Arial" w:hAnsi="Arial" w:cs="Arial"/>
          <w:sz w:val="22"/>
          <w:szCs w:val="22"/>
        </w:rPr>
        <w:t>. [online] 10 Dec. Available at: https://www.bbc.com/news/articles/c9q740wnvpno [Accessed 5 Apr. 2026].</w:t>
      </w:r>
    </w:p>
    <w:p w14:paraId="51C13F6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Humphries, J. (2025). Lucy Letby unit baby death increase ‘not extreme’, inquiry hears. </w:t>
      </w:r>
      <w:r>
        <w:rPr>
          <w:rFonts w:ascii="Arial" w:eastAsia="Arial" w:hAnsi="Arial" w:cs="Arial"/>
          <w:i/>
          <w:iCs/>
          <w:sz w:val="22"/>
          <w:szCs w:val="22"/>
        </w:rPr>
        <w:t>BBC News</w:t>
      </w:r>
      <w:r>
        <w:rPr>
          <w:rFonts w:ascii="Arial" w:eastAsia="Arial" w:hAnsi="Arial" w:cs="Arial"/>
          <w:sz w:val="22"/>
          <w:szCs w:val="22"/>
        </w:rPr>
        <w:t>. [online] 15 Jan. Available at: https://www.bbc.com/news/articles/cpdxn4x5477o [Accessed 5 Apr. 2026].</w:t>
      </w:r>
    </w:p>
    <w:p w14:paraId="7DA99E7D"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ITV News (2023). </w:t>
      </w:r>
      <w:r>
        <w:rPr>
          <w:rFonts w:ascii="Arial" w:eastAsia="Arial" w:hAnsi="Arial" w:cs="Arial"/>
          <w:i/>
          <w:iCs/>
          <w:sz w:val="22"/>
          <w:szCs w:val="22"/>
        </w:rPr>
        <w:t>Lucy Letby hospital accused of trying to ‘protect its reputation before babies’ safety’</w:t>
      </w:r>
      <w:r>
        <w:rPr>
          <w:rFonts w:ascii="Arial" w:eastAsia="Arial" w:hAnsi="Arial" w:cs="Arial"/>
          <w:sz w:val="22"/>
          <w:szCs w:val="22"/>
        </w:rPr>
        <w:t>. [online] ITV News. Available at: https://www.itv.com/news/granada/2023-08-19/letby-hospital-accused-of-trying-to-protect-its-reputation-before-babies-safety [Accessed 5 Apr. 2026].</w:t>
      </w:r>
    </w:p>
    <w:p w14:paraId="6F32265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Jason, L.A. and Bobak, T. (2022). Using systems theory to improve intervention outcomes. </w:t>
      </w:r>
      <w:r>
        <w:rPr>
          <w:rFonts w:ascii="Arial" w:eastAsia="Arial" w:hAnsi="Arial" w:cs="Arial"/>
          <w:i/>
          <w:iCs/>
          <w:sz w:val="22"/>
          <w:szCs w:val="22"/>
        </w:rPr>
        <w:t>Professional Psychology: Research and Practice</w:t>
      </w:r>
      <w:r>
        <w:rPr>
          <w:rFonts w:ascii="Arial" w:eastAsia="Arial" w:hAnsi="Arial" w:cs="Arial"/>
          <w:sz w:val="22"/>
          <w:szCs w:val="22"/>
        </w:rPr>
        <w:t>, [online] 53(4). Available at: https://pmc.ncbi.nlm.nih.gov/articles/PMC10100444/ [Accessed 5 Apr. 2026].</w:t>
      </w:r>
    </w:p>
    <w:p w14:paraId="71F56DB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Kumah, A., Nwogu, C.N., Issah, A.-R., Obot, E., Kanamitie, D.T., Sifa, J.S. and Aidoo, L.A. (2024). Cause-and-Effect (Fishbone) Diagram: a Tool for Generating and Organizing Quality Improvement Ideas. </w:t>
      </w:r>
      <w:r>
        <w:rPr>
          <w:rFonts w:ascii="Arial" w:eastAsia="Arial" w:hAnsi="Arial" w:cs="Arial"/>
          <w:i/>
          <w:iCs/>
          <w:sz w:val="22"/>
          <w:szCs w:val="22"/>
        </w:rPr>
        <w:t>Innovations Journals</w:t>
      </w:r>
      <w:r>
        <w:rPr>
          <w:rFonts w:ascii="Arial" w:eastAsia="Arial" w:hAnsi="Arial" w:cs="Arial"/>
          <w:sz w:val="22"/>
          <w:szCs w:val="22"/>
        </w:rPr>
        <w:t>, [online] 7(2), pp.85–87. doi:</w:t>
      </w:r>
      <w:hyperlink r:id="rId10">
        <w:r>
          <w:rPr>
            <w:rFonts w:ascii="Arial" w:eastAsia="Arial" w:hAnsi="Arial" w:cs="Arial"/>
            <w:color w:val="1155CC"/>
            <w:sz w:val="22"/>
            <w:szCs w:val="22"/>
            <w:u w:val="single"/>
          </w:rPr>
          <w:t>https://doi.org/10.36401/JQSH-23-42</w:t>
        </w:r>
      </w:hyperlink>
      <w:r>
        <w:rPr>
          <w:rFonts w:ascii="Arial" w:eastAsia="Arial" w:hAnsi="Arial" w:cs="Arial"/>
          <w:sz w:val="22"/>
          <w:szCs w:val="22"/>
        </w:rPr>
        <w:t>.</w:t>
      </w:r>
    </w:p>
    <w:p w14:paraId="6F7EA912"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Mogatusi, S., Takalani, T. and Gupta, K. (2025). Leveraging Six Sigma DMAIC for Lean Implementation in Mechanical Workshops. </w:t>
      </w:r>
      <w:r>
        <w:rPr>
          <w:rFonts w:ascii="Arial" w:eastAsia="Arial" w:hAnsi="Arial" w:cs="Arial"/>
          <w:i/>
          <w:iCs/>
          <w:sz w:val="22"/>
          <w:szCs w:val="22"/>
        </w:rPr>
        <w:t>Applied Sciences</w:t>
      </w:r>
      <w:r>
        <w:rPr>
          <w:rFonts w:ascii="Arial" w:eastAsia="Arial" w:hAnsi="Arial" w:cs="Arial"/>
          <w:sz w:val="22"/>
          <w:szCs w:val="22"/>
        </w:rPr>
        <w:t>, [online] 15(21), pp.11788–11788. doi:</w:t>
      </w:r>
      <w:hyperlink r:id="rId11">
        <w:r>
          <w:rPr>
            <w:rFonts w:ascii="Arial" w:eastAsia="Arial" w:hAnsi="Arial" w:cs="Arial"/>
            <w:color w:val="1155CC"/>
            <w:sz w:val="22"/>
            <w:szCs w:val="22"/>
            <w:u w:val="single"/>
          </w:rPr>
          <w:t>https://doi.org/10.3390/app152111788</w:t>
        </w:r>
      </w:hyperlink>
      <w:r>
        <w:rPr>
          <w:rFonts w:ascii="Arial" w:eastAsia="Arial" w:hAnsi="Arial" w:cs="Arial"/>
          <w:sz w:val="22"/>
          <w:szCs w:val="22"/>
        </w:rPr>
        <w:t>.</w:t>
      </w:r>
    </w:p>
    <w:p w14:paraId="6928FC2A"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Moore, L., Lavoie, A., Bourgeois, G. and Lapointe, J. (2015). Donabedian’s structure-process-outcome quality of care model: Validation in an integrated trauma system. </w:t>
      </w:r>
      <w:r>
        <w:rPr>
          <w:rFonts w:ascii="Arial" w:eastAsia="Arial" w:hAnsi="Arial" w:cs="Arial"/>
          <w:i/>
          <w:iCs/>
          <w:sz w:val="22"/>
          <w:szCs w:val="22"/>
        </w:rPr>
        <w:t>The journal of trauma and acute care surgery</w:t>
      </w:r>
      <w:r>
        <w:rPr>
          <w:rFonts w:ascii="Arial" w:eastAsia="Arial" w:hAnsi="Arial" w:cs="Arial"/>
          <w:sz w:val="22"/>
          <w:szCs w:val="22"/>
        </w:rPr>
        <w:t>, 78(6), pp.1168–75. doi:</w:t>
      </w:r>
      <w:hyperlink r:id="rId12">
        <w:r>
          <w:rPr>
            <w:rFonts w:ascii="Arial" w:eastAsia="Arial" w:hAnsi="Arial" w:cs="Arial"/>
            <w:color w:val="1155CC"/>
            <w:sz w:val="22"/>
            <w:szCs w:val="22"/>
            <w:u w:val="single"/>
          </w:rPr>
          <w:t>https://doi.org/10.1097/TA.0000000000000663</w:t>
        </w:r>
      </w:hyperlink>
      <w:r>
        <w:rPr>
          <w:rFonts w:ascii="Arial" w:eastAsia="Arial" w:hAnsi="Arial" w:cs="Arial"/>
          <w:sz w:val="22"/>
          <w:szCs w:val="22"/>
        </w:rPr>
        <w:t>.</w:t>
      </w:r>
    </w:p>
    <w:p w14:paraId="645ED55C"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Nancarrow, S. (2025). </w:t>
      </w:r>
      <w:r>
        <w:rPr>
          <w:rFonts w:ascii="Arial" w:eastAsia="Arial" w:hAnsi="Arial" w:cs="Arial"/>
          <w:i/>
          <w:iCs/>
          <w:sz w:val="22"/>
          <w:szCs w:val="22"/>
        </w:rPr>
        <w:t>When the System Knows — But Still Fails: What the Lucy Letby Case Reveals About Governance</w:t>
      </w:r>
      <w:r>
        <w:rPr>
          <w:rFonts w:ascii="Arial" w:eastAsia="Arial" w:hAnsi="Arial" w:cs="Arial"/>
          <w:sz w:val="22"/>
          <w:szCs w:val="22"/>
        </w:rPr>
        <w:t>. [online] Medium. Available at: https://medium.com/healthworx-futures/when-the-system-knows-but-still-fails-what-the-lucy-letby-case-reveals-about-governance-c6a39a1ca692 [Accessed 5 Apr. 2026].</w:t>
      </w:r>
    </w:p>
    <w:p w14:paraId="252C1F2A"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Nuffield Trust (2024). </w:t>
      </w:r>
      <w:r>
        <w:rPr>
          <w:rFonts w:ascii="Arial" w:eastAsia="Arial" w:hAnsi="Arial" w:cs="Arial"/>
          <w:i/>
          <w:iCs/>
          <w:sz w:val="22"/>
          <w:szCs w:val="22"/>
        </w:rPr>
        <w:t>Report for the Thirlwall Inquiry Analysis of questionnaires from 120 NHS trusts</w:t>
      </w:r>
      <w:r>
        <w:rPr>
          <w:rFonts w:ascii="Arial" w:eastAsia="Arial" w:hAnsi="Arial" w:cs="Arial"/>
          <w:sz w:val="22"/>
          <w:szCs w:val="22"/>
        </w:rPr>
        <w:t>. [online] Available at: https://www.nuffieldtrust.org.uk/sites/default/files/2025-</w:t>
      </w:r>
      <w:r>
        <w:rPr>
          <w:rFonts w:ascii="Arial" w:eastAsia="Arial" w:hAnsi="Arial" w:cs="Arial"/>
          <w:sz w:val="22"/>
          <w:szCs w:val="22"/>
        </w:rPr>
        <w:lastRenderedPageBreak/>
        <w:t>03/Nuffield%20Trust%20report%20for%20the%20Thirlwall%20Inquiry_FINAL%20report_0.pdf [Accessed 5 Apr. 2026].</w:t>
      </w:r>
    </w:p>
    <w:p w14:paraId="28B44196"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O’Donoghue, D. (2023). Lucy Letby trial: Staffing levels were unsafe, nurse tells jury. </w:t>
      </w:r>
      <w:r>
        <w:rPr>
          <w:rFonts w:ascii="Arial" w:eastAsia="Arial" w:hAnsi="Arial" w:cs="Arial"/>
          <w:i/>
          <w:iCs/>
          <w:sz w:val="22"/>
          <w:szCs w:val="22"/>
        </w:rPr>
        <w:t>BBC News</w:t>
      </w:r>
      <w:r>
        <w:rPr>
          <w:rFonts w:ascii="Arial" w:eastAsia="Arial" w:hAnsi="Arial" w:cs="Arial"/>
          <w:sz w:val="22"/>
          <w:szCs w:val="22"/>
        </w:rPr>
        <w:t>. [online] 15 May. Available at: https://www.bbc.com/news/uk-england-merseyside-65597707.</w:t>
      </w:r>
    </w:p>
    <w:p w14:paraId="2644DB3B"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Pant, I., Patro, L., Sedlander, E., Chandrana, S. and Rimal, R.N. (2022). Monitor to innovate with feedback loops: process evaluation protocol for an anemia prevention intervention. </w:t>
      </w:r>
      <w:r>
        <w:rPr>
          <w:rFonts w:ascii="Arial" w:eastAsia="Arial" w:hAnsi="Arial" w:cs="Arial"/>
          <w:i/>
          <w:iCs/>
          <w:sz w:val="22"/>
          <w:szCs w:val="22"/>
        </w:rPr>
        <w:t>Gates Open Research</w:t>
      </w:r>
      <w:r>
        <w:rPr>
          <w:rFonts w:ascii="Arial" w:eastAsia="Arial" w:hAnsi="Arial" w:cs="Arial"/>
          <w:sz w:val="22"/>
          <w:szCs w:val="22"/>
        </w:rPr>
        <w:t>, 6, pp.13–13. doi:</w:t>
      </w:r>
      <w:hyperlink r:id="rId13">
        <w:r>
          <w:rPr>
            <w:rFonts w:ascii="Arial" w:eastAsia="Arial" w:hAnsi="Arial" w:cs="Arial"/>
            <w:color w:val="1155CC"/>
            <w:sz w:val="22"/>
            <w:szCs w:val="22"/>
            <w:u w:val="single"/>
          </w:rPr>
          <w:t>https://doi.org/10.12688/gatesopenres.13417.2</w:t>
        </w:r>
      </w:hyperlink>
      <w:r>
        <w:rPr>
          <w:rFonts w:ascii="Arial" w:eastAsia="Arial" w:hAnsi="Arial" w:cs="Arial"/>
          <w:sz w:val="22"/>
          <w:szCs w:val="22"/>
        </w:rPr>
        <w:t>.</w:t>
      </w:r>
    </w:p>
    <w:p w14:paraId="3A9B21B4"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Patterson, C. (2020). </w:t>
      </w:r>
      <w:r>
        <w:rPr>
          <w:rFonts w:ascii="Arial" w:eastAsia="Arial" w:hAnsi="Arial" w:cs="Arial"/>
          <w:i/>
          <w:iCs/>
          <w:sz w:val="22"/>
          <w:szCs w:val="22"/>
        </w:rPr>
        <w:t>Letby disaster epitomises flaws in NHS</w:t>
      </w:r>
      <w:r>
        <w:rPr>
          <w:rFonts w:ascii="Arial" w:eastAsia="Arial" w:hAnsi="Arial" w:cs="Arial"/>
          <w:sz w:val="22"/>
          <w:szCs w:val="22"/>
        </w:rPr>
        <w:t>. [online] The British Medical Association is the trade union and professional body for doctors in the UK. Available at: https://www.bma.org.uk/news-and-opinion/letby-disaster-epitomises-flaws-in-nhs [Accessed 5 Apr. 2026].</w:t>
      </w:r>
    </w:p>
    <w:p w14:paraId="6C68C3DD"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Ratnapalan, S. and Lang, D. (2019). Health Care Organizations as Complex Adaptive Systems. </w:t>
      </w:r>
      <w:r>
        <w:rPr>
          <w:rFonts w:ascii="Arial" w:eastAsia="Arial" w:hAnsi="Arial" w:cs="Arial"/>
          <w:i/>
          <w:iCs/>
          <w:sz w:val="22"/>
          <w:szCs w:val="22"/>
        </w:rPr>
        <w:t>The Health Care Manager</w:t>
      </w:r>
      <w:r>
        <w:rPr>
          <w:rFonts w:ascii="Arial" w:eastAsia="Arial" w:hAnsi="Arial" w:cs="Arial"/>
          <w:sz w:val="22"/>
          <w:szCs w:val="22"/>
        </w:rPr>
        <w:t>, [online] 39(1), p.1. doi:</w:t>
      </w:r>
      <w:hyperlink r:id="rId14">
        <w:r>
          <w:rPr>
            <w:rFonts w:ascii="Arial" w:eastAsia="Arial" w:hAnsi="Arial" w:cs="Arial"/>
            <w:color w:val="1155CC"/>
            <w:sz w:val="22"/>
            <w:szCs w:val="22"/>
            <w:u w:val="single"/>
          </w:rPr>
          <w:t>https://doi.org/10.1097/hcm.0000000000000284</w:t>
        </w:r>
      </w:hyperlink>
      <w:r>
        <w:rPr>
          <w:rFonts w:ascii="Arial" w:eastAsia="Arial" w:hAnsi="Arial" w:cs="Arial"/>
          <w:sz w:val="22"/>
          <w:szCs w:val="22"/>
        </w:rPr>
        <w:t>.</w:t>
      </w:r>
    </w:p>
    <w:p w14:paraId="0A2EEE73"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Singh, G., Patel, R.H. and Boster, J. (2024). </w:t>
      </w:r>
      <w:r>
        <w:rPr>
          <w:rFonts w:ascii="Arial" w:eastAsia="Arial" w:hAnsi="Arial" w:cs="Arial"/>
          <w:i/>
          <w:iCs/>
          <w:sz w:val="22"/>
          <w:szCs w:val="22"/>
        </w:rPr>
        <w:t>Root cause analysis and medical error prevention</w:t>
      </w:r>
      <w:r>
        <w:rPr>
          <w:rFonts w:ascii="Arial" w:eastAsia="Arial" w:hAnsi="Arial" w:cs="Arial"/>
          <w:sz w:val="22"/>
          <w:szCs w:val="22"/>
        </w:rPr>
        <w:t>. [online] PubMed. Available at: https://www.ncbi.nlm.nih.gov/books/NBK570638/ [Accessed 5 Apr. 2026].</w:t>
      </w:r>
    </w:p>
    <w:p w14:paraId="457E5A5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Taylor, M.J., McNicholas, C., Nicolay, C., Darzi, A., Bell, D. and Reed, J.E. (2014). Systematic Review of the Application of the Plan–do–study–act Method to Improve Quality in Healthcare. </w:t>
      </w:r>
      <w:r>
        <w:rPr>
          <w:rFonts w:ascii="Arial" w:eastAsia="Arial" w:hAnsi="Arial" w:cs="Arial"/>
          <w:i/>
          <w:iCs/>
          <w:sz w:val="22"/>
          <w:szCs w:val="22"/>
        </w:rPr>
        <w:t>BMJ Quality &amp; Safety</w:t>
      </w:r>
      <w:r>
        <w:rPr>
          <w:rFonts w:ascii="Arial" w:eastAsia="Arial" w:hAnsi="Arial" w:cs="Arial"/>
          <w:sz w:val="22"/>
          <w:szCs w:val="22"/>
        </w:rPr>
        <w:t>, [online] 23(4), pp.290–298. doi:</w:t>
      </w:r>
      <w:hyperlink r:id="rId15">
        <w:r>
          <w:rPr>
            <w:rFonts w:ascii="Arial" w:eastAsia="Arial" w:hAnsi="Arial" w:cs="Arial"/>
            <w:color w:val="1155CC"/>
            <w:sz w:val="22"/>
            <w:szCs w:val="22"/>
            <w:u w:val="single"/>
          </w:rPr>
          <w:t>https://doi.org/10.1136/bmjqs-2013-001862</w:t>
        </w:r>
      </w:hyperlink>
      <w:r>
        <w:rPr>
          <w:rFonts w:ascii="Arial" w:eastAsia="Arial" w:hAnsi="Arial" w:cs="Arial"/>
          <w:sz w:val="22"/>
          <w:szCs w:val="22"/>
        </w:rPr>
        <w:t>.</w:t>
      </w:r>
    </w:p>
    <w:p w14:paraId="1B5B932B"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 Guardian (2023). The Observer view: only a robust inquiry will hold NHS to account over Lucy Letby murders. </w:t>
      </w:r>
      <w:r>
        <w:rPr>
          <w:rFonts w:ascii="Arial" w:eastAsia="Arial" w:hAnsi="Arial" w:cs="Arial"/>
          <w:i/>
          <w:iCs/>
          <w:sz w:val="22"/>
          <w:szCs w:val="22"/>
        </w:rPr>
        <w:t>The Observer</w:t>
      </w:r>
      <w:r>
        <w:rPr>
          <w:rFonts w:ascii="Arial" w:eastAsia="Arial" w:hAnsi="Arial" w:cs="Arial"/>
          <w:sz w:val="22"/>
          <w:szCs w:val="22"/>
        </w:rPr>
        <w:t>. [online] 19 Aug. Available at: https://www.theguardian.com/commentisfree/2023/aug/19/observer-editorial-lucy-letby-statutory-inquiry-nhs-failings [Accessed 5 Apr. 2026].</w:t>
      </w:r>
    </w:p>
    <w:p w14:paraId="2329A5E0"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The Week (2023). </w:t>
      </w:r>
      <w:r>
        <w:rPr>
          <w:rFonts w:ascii="Arial" w:eastAsia="Arial" w:hAnsi="Arial" w:cs="Arial"/>
          <w:i/>
          <w:iCs/>
          <w:sz w:val="22"/>
          <w:szCs w:val="22"/>
        </w:rPr>
        <w:t>Lucy Letby: why wasn’t nurse caught sooner?</w:t>
      </w:r>
      <w:r>
        <w:rPr>
          <w:rFonts w:ascii="Arial" w:eastAsia="Arial" w:hAnsi="Arial" w:cs="Arial"/>
          <w:sz w:val="22"/>
          <w:szCs w:val="22"/>
        </w:rPr>
        <w:t xml:space="preserve"> [online] The Week. Available at: https://theweek.com/news/crime/962091/lucy-letby-why-wasnt-nurse-caught-sooner [Accessed 5 Apr. 2026].</w:t>
      </w:r>
    </w:p>
    <w:p w14:paraId="0FCD4045"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t xml:space="preserve">Thirlwall (2016). </w:t>
      </w:r>
      <w:r>
        <w:rPr>
          <w:rFonts w:ascii="Arial" w:eastAsia="Arial" w:hAnsi="Arial" w:cs="Arial"/>
          <w:i/>
          <w:iCs/>
          <w:sz w:val="22"/>
          <w:szCs w:val="22"/>
        </w:rPr>
        <w:t xml:space="preserve">Position Paper — Neonatal Unit Mortality 2013 - 2016 </w:t>
      </w:r>
      <w:r>
        <w:rPr>
          <w:rFonts w:ascii="Arial" w:eastAsia="Arial" w:hAnsi="Arial" w:cs="Arial"/>
          <w:sz w:val="22"/>
          <w:szCs w:val="22"/>
        </w:rPr>
        <w:t>. [online] thirlwall.public-inquiry.uk. Available at: https://thirlwall.public-inquiry.uk/wp-content/uploads/thirlwall-evidence/INQ0001888.pdf [Accessed 5 Apr. 2026].</w:t>
      </w:r>
    </w:p>
    <w:p w14:paraId="50274BE4" w14:textId="77777777" w:rsidR="00653E38" w:rsidRDefault="00653E38" w:rsidP="00653E38">
      <w:pPr>
        <w:spacing w:before="120" w:after="120" w:line="360" w:lineRule="auto"/>
        <w:jc w:val="both"/>
        <w:rPr>
          <w:rFonts w:ascii="Arial" w:eastAsia="Arial" w:hAnsi="Arial" w:cs="Arial"/>
          <w:sz w:val="22"/>
          <w:szCs w:val="22"/>
        </w:rPr>
      </w:pPr>
      <w:r>
        <w:rPr>
          <w:rFonts w:ascii="Arial" w:eastAsia="Arial" w:hAnsi="Arial" w:cs="Arial"/>
          <w:sz w:val="22"/>
          <w:szCs w:val="22"/>
        </w:rPr>
        <w:lastRenderedPageBreak/>
        <w:t xml:space="preserve">Wiegmann, D.A., J. Wood, L., N. Cohen, T. and Shappell, S.A. (2022). Understanding the ‘Swiss cheese model’ and its application to patient safety. </w:t>
      </w:r>
      <w:r>
        <w:rPr>
          <w:rFonts w:ascii="Arial" w:eastAsia="Arial" w:hAnsi="Arial" w:cs="Arial"/>
          <w:i/>
          <w:iCs/>
          <w:sz w:val="22"/>
          <w:szCs w:val="22"/>
        </w:rPr>
        <w:t>Journal of Patient Safety</w:t>
      </w:r>
      <w:r>
        <w:rPr>
          <w:rFonts w:ascii="Arial" w:eastAsia="Arial" w:hAnsi="Arial" w:cs="Arial"/>
          <w:sz w:val="22"/>
          <w:szCs w:val="22"/>
        </w:rPr>
        <w:t>, [online] 18(2), pp.119–123. Available at: https://www.ncbi.nlm.nih.gov/pmc/articles/PMC8514562/ [Accessed 5 Apr. 2026].</w:t>
      </w:r>
    </w:p>
    <w:sectPr w:rsidR="00653E38">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6C68F" w14:textId="77777777" w:rsidR="00D77547" w:rsidRDefault="00D77547">
      <w:pPr>
        <w:spacing w:before="0" w:after="0" w:line="240" w:lineRule="auto"/>
      </w:pPr>
      <w:r>
        <w:separator/>
      </w:r>
    </w:p>
  </w:endnote>
  <w:endnote w:type="continuationSeparator" w:id="0">
    <w:p w14:paraId="11F112A0" w14:textId="77777777" w:rsidR="00D77547" w:rsidRDefault="00D775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B5F5A" w14:textId="77777777" w:rsidR="00000000" w:rsidRDefault="00653E38">
    <w:pPr>
      <w:jc w:val="right"/>
      <w:rPr>
        <w:rFonts w:ascii="Arial" w:eastAsia="Arial" w:hAnsi="Arial" w:cs="Arial"/>
        <w:sz w:val="22"/>
        <w:szCs w:val="22"/>
      </w:rP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Pr>
        <w:rFonts w:ascii="Arial" w:eastAsia="Arial" w:hAnsi="Arial" w:cs="Arial"/>
        <w:noProof/>
        <w:sz w:val="22"/>
        <w:szCs w:val="22"/>
      </w:rPr>
      <w:t>1</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C859C" w14:textId="77777777" w:rsidR="00D77547" w:rsidRDefault="00D77547">
      <w:pPr>
        <w:spacing w:before="0" w:after="0" w:line="240" w:lineRule="auto"/>
      </w:pPr>
      <w:r>
        <w:separator/>
      </w:r>
    </w:p>
  </w:footnote>
  <w:footnote w:type="continuationSeparator" w:id="0">
    <w:p w14:paraId="641C73B3" w14:textId="77777777" w:rsidR="00D77547" w:rsidRDefault="00D7754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7445A"/>
    <w:multiLevelType w:val="multilevel"/>
    <w:tmpl w:val="F7480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7E4630"/>
    <w:multiLevelType w:val="multilevel"/>
    <w:tmpl w:val="A33CB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1492228">
    <w:abstractNumId w:val="0"/>
  </w:num>
  <w:num w:numId="2" w16cid:durableId="895778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38"/>
    <w:rsid w:val="001139BD"/>
    <w:rsid w:val="001C1988"/>
    <w:rsid w:val="00653E38"/>
    <w:rsid w:val="008B2AA1"/>
    <w:rsid w:val="00CD0B98"/>
    <w:rsid w:val="00D77547"/>
    <w:rsid w:val="00E05844"/>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AE0B2"/>
  <w15:chartTrackingRefBased/>
  <w15:docId w15:val="{61636FDC-1F09-4633-AB46-1FF160D4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E38"/>
    <w:pPr>
      <w:spacing w:before="240" w:after="240" w:line="276" w:lineRule="auto"/>
    </w:pPr>
    <w:rPr>
      <w:rFonts w:ascii="Calibri" w:eastAsia="Calibri" w:hAnsi="Calibri" w:cs="Calibri"/>
      <w:sz w:val="24"/>
      <w:szCs w:val="24"/>
      <w:lang w:val="en-GB"/>
    </w:rPr>
  </w:style>
  <w:style w:type="paragraph" w:styleId="Heading1">
    <w:name w:val="heading 1"/>
    <w:basedOn w:val="Normal"/>
    <w:next w:val="Normal"/>
    <w:link w:val="Heading1Char"/>
    <w:uiPriority w:val="9"/>
    <w:qFormat/>
    <w:rsid w:val="00653E38"/>
    <w:pPr>
      <w:keepNext/>
      <w:keepLines/>
      <w:spacing w:before="120" w:after="120" w:line="360" w:lineRule="auto"/>
      <w:jc w:val="both"/>
      <w:outlineLvl w:val="0"/>
    </w:pPr>
    <w:rPr>
      <w:rFonts w:ascii="Arial" w:eastAsia="Arial" w:hAnsi="Arial" w:cs="Arial"/>
      <w:b/>
      <w:bCs/>
      <w:sz w:val="22"/>
      <w:szCs w:val="22"/>
    </w:rPr>
  </w:style>
  <w:style w:type="paragraph" w:styleId="Heading2">
    <w:name w:val="heading 2"/>
    <w:basedOn w:val="Normal"/>
    <w:next w:val="Normal"/>
    <w:link w:val="Heading2Char"/>
    <w:uiPriority w:val="9"/>
    <w:unhideWhenUsed/>
    <w:qFormat/>
    <w:rsid w:val="00653E38"/>
    <w:pPr>
      <w:keepNext/>
      <w:keepLines/>
      <w:spacing w:before="120" w:after="120" w:line="360" w:lineRule="auto"/>
      <w:jc w:val="both"/>
      <w:outlineLvl w:val="1"/>
    </w:pPr>
    <w:rPr>
      <w:rFonts w:ascii="Arial" w:eastAsia="Arial" w:hAnsi="Arial" w:cs="Arial"/>
      <w:b/>
      <w:bCs/>
      <w:sz w:val="22"/>
      <w:szCs w:val="22"/>
    </w:rPr>
  </w:style>
  <w:style w:type="paragraph" w:styleId="Heading3">
    <w:name w:val="heading 3"/>
    <w:basedOn w:val="Normal"/>
    <w:next w:val="Normal"/>
    <w:link w:val="Heading3Char"/>
    <w:uiPriority w:val="9"/>
    <w:unhideWhenUsed/>
    <w:qFormat/>
    <w:rsid w:val="00653E38"/>
    <w:pPr>
      <w:keepNext/>
      <w:keepLines/>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E38"/>
    <w:rPr>
      <w:rFonts w:ascii="Arial" w:eastAsia="Arial" w:hAnsi="Arial" w:cs="Arial"/>
      <w:b/>
      <w:bCs/>
      <w:lang w:val="en-GB"/>
    </w:rPr>
  </w:style>
  <w:style w:type="character" w:customStyle="1" w:styleId="Heading2Char">
    <w:name w:val="Heading 2 Char"/>
    <w:basedOn w:val="DefaultParagraphFont"/>
    <w:link w:val="Heading2"/>
    <w:uiPriority w:val="9"/>
    <w:rsid w:val="00653E38"/>
    <w:rPr>
      <w:rFonts w:ascii="Arial" w:eastAsia="Arial" w:hAnsi="Arial" w:cs="Arial"/>
      <w:b/>
      <w:bCs/>
      <w:lang w:val="en-GB"/>
    </w:rPr>
  </w:style>
  <w:style w:type="character" w:customStyle="1" w:styleId="Heading3Char">
    <w:name w:val="Heading 3 Char"/>
    <w:basedOn w:val="DefaultParagraphFont"/>
    <w:link w:val="Heading3"/>
    <w:uiPriority w:val="9"/>
    <w:rsid w:val="00653E38"/>
    <w:rPr>
      <w:rFonts w:ascii="Calibri" w:eastAsia="Calibri" w:hAnsi="Calibri" w:cs="Calibri"/>
      <w:b/>
      <w:bCs/>
      <w:i/>
      <w:iCs/>
      <w:sz w:val="24"/>
      <w:szCs w:val="24"/>
      <w:lang w:val="en-GB"/>
    </w:rPr>
  </w:style>
  <w:style w:type="paragraph" w:styleId="TOC1">
    <w:name w:val="toc 1"/>
    <w:basedOn w:val="Normal"/>
    <w:next w:val="Normal"/>
    <w:autoRedefine/>
    <w:uiPriority w:val="39"/>
    <w:unhideWhenUsed/>
    <w:rsid w:val="00653E38"/>
    <w:pPr>
      <w:spacing w:after="100"/>
    </w:pPr>
  </w:style>
  <w:style w:type="paragraph" w:styleId="TOC2">
    <w:name w:val="toc 2"/>
    <w:basedOn w:val="Normal"/>
    <w:next w:val="Normal"/>
    <w:autoRedefine/>
    <w:uiPriority w:val="39"/>
    <w:unhideWhenUsed/>
    <w:rsid w:val="00653E38"/>
    <w:pPr>
      <w:spacing w:after="100"/>
      <w:ind w:left="240"/>
    </w:pPr>
  </w:style>
  <w:style w:type="paragraph" w:styleId="TOC3">
    <w:name w:val="toc 3"/>
    <w:basedOn w:val="Normal"/>
    <w:next w:val="Normal"/>
    <w:autoRedefine/>
    <w:uiPriority w:val="39"/>
    <w:unhideWhenUsed/>
    <w:rsid w:val="00653E38"/>
    <w:pPr>
      <w:spacing w:after="100"/>
      <w:ind w:left="480"/>
    </w:pPr>
  </w:style>
  <w:style w:type="character" w:styleId="Hyperlink">
    <w:name w:val="Hyperlink"/>
    <w:basedOn w:val="DefaultParagraphFont"/>
    <w:uiPriority w:val="99"/>
    <w:unhideWhenUsed/>
    <w:rsid w:val="00653E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jrfm19010033" TargetMode="External"/><Relationship Id="rId13" Type="http://schemas.openxmlformats.org/officeDocument/2006/relationships/hyperlink" Target="https://doi.org/10.12688/gatesopenres.13417.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97/TA.000000000000066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app152111788" TargetMode="External"/><Relationship Id="rId5" Type="http://schemas.openxmlformats.org/officeDocument/2006/relationships/footnotes" Target="footnotes.xml"/><Relationship Id="rId15" Type="http://schemas.openxmlformats.org/officeDocument/2006/relationships/hyperlink" Target="https://doi.org/10.1136/bmjqs-2013-001862" TargetMode="External"/><Relationship Id="rId10" Type="http://schemas.openxmlformats.org/officeDocument/2006/relationships/hyperlink" Target="https://doi.org/10.36401/JQSH-23-42" TargetMode="External"/><Relationship Id="rId4" Type="http://schemas.openxmlformats.org/officeDocument/2006/relationships/webSettings" Target="webSettings.xml"/><Relationship Id="rId9" Type="http://schemas.openxmlformats.org/officeDocument/2006/relationships/hyperlink" Target="https://doi.org/10.38192/15.3.4" TargetMode="External"/><Relationship Id="rId14" Type="http://schemas.openxmlformats.org/officeDocument/2006/relationships/hyperlink" Target="https://doi.org/10.1097/hcm.0000000000000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4598</Words>
  <Characters>26211</Characters>
  <Application>Microsoft Office Word</Application>
  <DocSecurity>0</DocSecurity>
  <Lines>218</Lines>
  <Paragraphs>61</Paragraphs>
  <ScaleCrop>false</ScaleCrop>
  <Company/>
  <LinksUpToDate>false</LinksUpToDate>
  <CharactersWithSpaces>30748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17563</cp:lastModifiedBy>
  <cp:revision>2</cp:revision>
  <dcterms:created xsi:type="dcterms:W3CDTF">2026-04-06T08:54:00Z</dcterms:created>
  <dcterms:modified xsi:type="dcterms:W3CDTF">2026-04-10T09:11:00Z</dcterms:modified>
</cp:coreProperties>
</file>