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190248" w14:textId="77777777" w:rsidR="006D1722" w:rsidRDefault="006D1722" w:rsidP="006D1722">
      <w:pPr>
        <w:rPr>
          <w:rFonts w:ascii="Arial" w:hAnsi="Arial" w:cs="Arial"/>
          <w:sz w:val="24"/>
          <w:szCs w:val="24"/>
        </w:rPr>
      </w:pPr>
      <w:r w:rsidRPr="006D1722">
        <w:rPr>
          <w:rFonts w:ascii="Arial" w:hAnsi="Arial" w:cs="Arial"/>
          <w:b/>
          <w:bCs/>
          <w:sz w:val="48"/>
          <w:szCs w:val="48"/>
        </w:rPr>
        <w:t>Mental Health Awareness Campaign: A Critical Assessment of Project Management Tools and Techniques</w:t>
      </w:r>
      <w:r w:rsidRPr="006D1722">
        <w:rPr>
          <w:rFonts w:ascii="Arial" w:hAnsi="Arial" w:cs="Arial"/>
          <w:b/>
          <w:bCs/>
          <w:sz w:val="48"/>
          <w:szCs w:val="48"/>
        </w:rPr>
        <w:br/>
      </w:r>
    </w:p>
    <w:p w14:paraId="4BB64137" w14:textId="77777777" w:rsidR="006D1722" w:rsidRDefault="006D1722" w:rsidP="006D1722">
      <w:pPr>
        <w:rPr>
          <w:rFonts w:ascii="Arial" w:hAnsi="Arial" w:cs="Arial"/>
          <w:sz w:val="24"/>
          <w:szCs w:val="24"/>
        </w:rPr>
      </w:pPr>
    </w:p>
    <w:p w14:paraId="137DC0A5" w14:textId="77777777" w:rsidR="006D1722" w:rsidRDefault="006D1722" w:rsidP="006D1722">
      <w:pPr>
        <w:rPr>
          <w:rFonts w:ascii="Arial" w:hAnsi="Arial" w:cs="Arial"/>
          <w:sz w:val="24"/>
          <w:szCs w:val="24"/>
        </w:rPr>
      </w:pPr>
    </w:p>
    <w:p w14:paraId="69EF1896" w14:textId="77777777" w:rsidR="006D1722" w:rsidRDefault="006D1722" w:rsidP="006D1722">
      <w:pPr>
        <w:rPr>
          <w:rFonts w:ascii="Arial" w:hAnsi="Arial" w:cs="Arial"/>
          <w:sz w:val="24"/>
          <w:szCs w:val="24"/>
        </w:rPr>
      </w:pPr>
    </w:p>
    <w:p w14:paraId="4FDE7EC8" w14:textId="77777777" w:rsidR="006D1722" w:rsidRDefault="006D1722" w:rsidP="006D1722">
      <w:pPr>
        <w:rPr>
          <w:rFonts w:ascii="Arial" w:hAnsi="Arial" w:cs="Arial"/>
          <w:sz w:val="24"/>
          <w:szCs w:val="24"/>
        </w:rPr>
      </w:pPr>
    </w:p>
    <w:p w14:paraId="50CA63B6" w14:textId="77777777" w:rsidR="006D1722" w:rsidRDefault="006D1722" w:rsidP="006D1722">
      <w:pPr>
        <w:rPr>
          <w:rFonts w:ascii="Arial" w:hAnsi="Arial" w:cs="Arial"/>
          <w:sz w:val="24"/>
          <w:szCs w:val="24"/>
        </w:rPr>
      </w:pPr>
    </w:p>
    <w:p w14:paraId="25F8942F" w14:textId="77777777" w:rsidR="006D1722" w:rsidRDefault="006D1722" w:rsidP="006D1722">
      <w:pPr>
        <w:rPr>
          <w:rFonts w:ascii="Arial" w:hAnsi="Arial" w:cs="Arial"/>
          <w:sz w:val="24"/>
          <w:szCs w:val="24"/>
        </w:rPr>
      </w:pPr>
    </w:p>
    <w:p w14:paraId="248FC341" w14:textId="77777777" w:rsidR="006D1722" w:rsidRDefault="006D1722" w:rsidP="006D1722">
      <w:pPr>
        <w:rPr>
          <w:rFonts w:ascii="Arial" w:hAnsi="Arial" w:cs="Arial"/>
          <w:sz w:val="24"/>
          <w:szCs w:val="24"/>
        </w:rPr>
      </w:pPr>
    </w:p>
    <w:p w14:paraId="1E1ED1A6" w14:textId="77777777" w:rsidR="006D1722" w:rsidRDefault="006D1722" w:rsidP="006D1722">
      <w:pPr>
        <w:rPr>
          <w:rFonts w:ascii="Arial" w:hAnsi="Arial" w:cs="Arial"/>
          <w:sz w:val="24"/>
          <w:szCs w:val="24"/>
        </w:rPr>
      </w:pPr>
    </w:p>
    <w:p w14:paraId="2D38902F" w14:textId="3A425760" w:rsidR="006D1722" w:rsidRDefault="006D1722" w:rsidP="006D1722">
      <w:pPr>
        <w:rPr>
          <w:rFonts w:ascii="Arial" w:hAnsi="Arial" w:cs="Arial"/>
          <w:sz w:val="24"/>
          <w:szCs w:val="24"/>
        </w:rPr>
      </w:pPr>
      <w:r w:rsidRPr="006D1722">
        <w:rPr>
          <w:rFonts w:ascii="Arial" w:hAnsi="Arial" w:cs="Arial"/>
          <w:sz w:val="24"/>
          <w:szCs w:val="24"/>
        </w:rPr>
        <w:t>Module Name: Managing Projects in the Organisation (BMSW5009_SWAN)</w:t>
      </w:r>
    </w:p>
    <w:p w14:paraId="4AA03808" w14:textId="7F925E4C" w:rsidR="006D1722" w:rsidRDefault="006D1722" w:rsidP="006D1722">
      <w:pPr>
        <w:rPr>
          <w:rFonts w:ascii="Arial" w:hAnsi="Arial" w:cs="Arial"/>
          <w:sz w:val="24"/>
          <w:szCs w:val="24"/>
        </w:rPr>
      </w:pPr>
      <w:r w:rsidRPr="006D1722">
        <w:rPr>
          <w:rFonts w:ascii="Arial" w:hAnsi="Arial" w:cs="Arial"/>
          <w:sz w:val="24"/>
          <w:szCs w:val="24"/>
        </w:rPr>
        <w:t xml:space="preserve">Student name: Ionela Catalina Simion </w:t>
      </w:r>
    </w:p>
    <w:p w14:paraId="18499028" w14:textId="77777777" w:rsidR="00292BDE" w:rsidRDefault="006D1722" w:rsidP="006D1722">
      <w:pPr>
        <w:rPr>
          <w:rFonts w:ascii="Arial" w:hAnsi="Arial" w:cs="Arial"/>
          <w:sz w:val="24"/>
          <w:szCs w:val="24"/>
        </w:rPr>
      </w:pPr>
      <w:r w:rsidRPr="006D1722">
        <w:rPr>
          <w:rFonts w:ascii="Arial" w:hAnsi="Arial" w:cs="Arial"/>
          <w:sz w:val="24"/>
          <w:szCs w:val="24"/>
        </w:rPr>
        <w:t>Student Number: 2227035</w:t>
      </w:r>
    </w:p>
    <w:p w14:paraId="59FE09C0" w14:textId="4EC84811" w:rsidR="006D1722" w:rsidRDefault="006D1722" w:rsidP="006D1722">
      <w:pPr>
        <w:rPr>
          <w:rFonts w:ascii="Arial" w:hAnsi="Arial" w:cs="Arial"/>
          <w:sz w:val="24"/>
          <w:szCs w:val="24"/>
        </w:rPr>
      </w:pPr>
      <w:r w:rsidRPr="006D1722">
        <w:rPr>
          <w:rFonts w:ascii="Arial" w:hAnsi="Arial" w:cs="Arial"/>
          <w:sz w:val="24"/>
          <w:szCs w:val="24"/>
        </w:rPr>
        <w:br/>
      </w:r>
      <w:r w:rsidRPr="006D1722">
        <w:rPr>
          <w:rFonts w:ascii="Arial" w:hAnsi="Arial" w:cs="Arial"/>
          <w:sz w:val="24"/>
          <w:szCs w:val="24"/>
        </w:rPr>
        <w:br/>
      </w:r>
    </w:p>
    <w:p w14:paraId="135AE201" w14:textId="77777777" w:rsidR="006D1722" w:rsidRDefault="006D1722" w:rsidP="006D1722">
      <w:pPr>
        <w:rPr>
          <w:rFonts w:ascii="Arial" w:hAnsi="Arial" w:cs="Arial"/>
          <w:sz w:val="24"/>
          <w:szCs w:val="24"/>
        </w:rPr>
      </w:pPr>
    </w:p>
    <w:p w14:paraId="4193B8A6" w14:textId="77777777" w:rsidR="006D1722" w:rsidRDefault="006D1722" w:rsidP="006D1722">
      <w:pPr>
        <w:rPr>
          <w:rFonts w:ascii="Arial" w:hAnsi="Arial" w:cs="Arial"/>
          <w:sz w:val="24"/>
          <w:szCs w:val="24"/>
        </w:rPr>
      </w:pPr>
    </w:p>
    <w:p w14:paraId="66449AF4" w14:textId="77777777" w:rsidR="006D1722" w:rsidRDefault="006D1722" w:rsidP="006D1722">
      <w:pPr>
        <w:rPr>
          <w:rFonts w:ascii="Arial" w:hAnsi="Arial" w:cs="Arial"/>
          <w:sz w:val="24"/>
          <w:szCs w:val="24"/>
        </w:rPr>
      </w:pPr>
    </w:p>
    <w:p w14:paraId="2E7C7162" w14:textId="77777777" w:rsidR="006D1722" w:rsidRDefault="006D1722" w:rsidP="006D1722">
      <w:pPr>
        <w:rPr>
          <w:rFonts w:ascii="Arial" w:hAnsi="Arial" w:cs="Arial"/>
          <w:sz w:val="24"/>
          <w:szCs w:val="24"/>
        </w:rPr>
      </w:pPr>
    </w:p>
    <w:p w14:paraId="38A1BE35" w14:textId="77777777" w:rsidR="006D1722" w:rsidRDefault="006D1722" w:rsidP="006D1722">
      <w:pPr>
        <w:rPr>
          <w:rFonts w:ascii="Arial" w:hAnsi="Arial" w:cs="Arial"/>
          <w:sz w:val="24"/>
          <w:szCs w:val="24"/>
        </w:rPr>
      </w:pPr>
    </w:p>
    <w:p w14:paraId="2780745D" w14:textId="77777777" w:rsidR="006D1722" w:rsidRDefault="006D1722" w:rsidP="006D1722">
      <w:pPr>
        <w:rPr>
          <w:rFonts w:ascii="Arial" w:hAnsi="Arial" w:cs="Arial"/>
          <w:sz w:val="24"/>
          <w:szCs w:val="24"/>
        </w:rPr>
      </w:pPr>
    </w:p>
    <w:p w14:paraId="4DBFE3A6" w14:textId="77777777" w:rsidR="006D1722" w:rsidRDefault="006D1722" w:rsidP="006D1722">
      <w:pPr>
        <w:rPr>
          <w:rFonts w:ascii="Arial" w:hAnsi="Arial" w:cs="Arial"/>
          <w:sz w:val="24"/>
          <w:szCs w:val="24"/>
        </w:rPr>
      </w:pPr>
    </w:p>
    <w:p w14:paraId="25C29D2F" w14:textId="77777777" w:rsidR="006D1722" w:rsidRDefault="006D1722" w:rsidP="006D1722">
      <w:pPr>
        <w:rPr>
          <w:rFonts w:ascii="Arial" w:hAnsi="Arial" w:cs="Arial"/>
          <w:sz w:val="24"/>
          <w:szCs w:val="24"/>
        </w:rPr>
      </w:pPr>
    </w:p>
    <w:p w14:paraId="57A26D99" w14:textId="77777777" w:rsidR="006D1722" w:rsidRDefault="006D1722" w:rsidP="006D1722">
      <w:pPr>
        <w:rPr>
          <w:rFonts w:ascii="Arial" w:hAnsi="Arial" w:cs="Arial"/>
          <w:sz w:val="24"/>
          <w:szCs w:val="24"/>
        </w:rPr>
      </w:pPr>
    </w:p>
    <w:p w14:paraId="5541C2E7" w14:textId="77777777" w:rsidR="006D1722" w:rsidRDefault="006D1722" w:rsidP="006D1722">
      <w:pPr>
        <w:rPr>
          <w:rFonts w:ascii="Arial" w:hAnsi="Arial" w:cs="Arial"/>
          <w:sz w:val="24"/>
          <w:szCs w:val="24"/>
        </w:rPr>
      </w:pPr>
    </w:p>
    <w:p w14:paraId="424F2CC0" w14:textId="77777777" w:rsidR="006D1722" w:rsidRDefault="006D1722" w:rsidP="006D1722">
      <w:pPr>
        <w:rPr>
          <w:rFonts w:ascii="Arial" w:hAnsi="Arial" w:cs="Arial"/>
          <w:sz w:val="24"/>
          <w:szCs w:val="24"/>
        </w:rPr>
      </w:pPr>
    </w:p>
    <w:p w14:paraId="00702B4A" w14:textId="77777777" w:rsidR="006D1722" w:rsidRDefault="006D1722" w:rsidP="006D1722">
      <w:pPr>
        <w:rPr>
          <w:rFonts w:ascii="Arial" w:hAnsi="Arial" w:cs="Arial"/>
          <w:sz w:val="24"/>
          <w:szCs w:val="24"/>
        </w:rPr>
      </w:pPr>
    </w:p>
    <w:p w14:paraId="34C2E02B" w14:textId="77777777" w:rsidR="006D1722" w:rsidRDefault="006D1722" w:rsidP="006D1722">
      <w:pPr>
        <w:rPr>
          <w:rFonts w:ascii="Arial" w:hAnsi="Arial" w:cs="Arial"/>
          <w:sz w:val="24"/>
          <w:szCs w:val="24"/>
        </w:rPr>
      </w:pPr>
    </w:p>
    <w:p w14:paraId="780B0CB5" w14:textId="77777777" w:rsidR="006D1722" w:rsidRDefault="006D1722" w:rsidP="00795FD8">
      <w:pPr>
        <w:pStyle w:val="Heading1"/>
        <w:rPr>
          <w:rFonts w:ascii="Arial" w:hAnsi="Arial" w:cs="Arial"/>
          <w:sz w:val="24"/>
          <w:szCs w:val="24"/>
        </w:rPr>
      </w:pPr>
      <w:bookmarkStart w:id="0" w:name="_Toc232766214"/>
      <w:r>
        <w:rPr>
          <w:lang w:val="en-US"/>
        </w:rPr>
        <w:t>Executive summary</w:t>
      </w:r>
      <w:bookmarkEnd w:id="0"/>
      <w:r>
        <w:rPr>
          <w:lang w:val="en-US"/>
        </w:rPr>
        <w:t xml:space="preserve"> </w:t>
      </w:r>
    </w:p>
    <w:p w14:paraId="0652F4D6" w14:textId="0CB29A15" w:rsidR="006D1722" w:rsidRPr="006D1722" w:rsidRDefault="006D1722" w:rsidP="006D1722">
      <w:pPr>
        <w:pStyle w:val="TOCHeading"/>
      </w:pPr>
    </w:p>
    <w:p w14:paraId="033AC4E4" w14:textId="77777777" w:rsidR="006D1722" w:rsidRDefault="006D1722" w:rsidP="006D1722">
      <w:pPr>
        <w:rPr>
          <w:rFonts w:ascii="Arial" w:hAnsi="Arial" w:cs="Arial"/>
          <w:b/>
          <w:bCs/>
          <w:sz w:val="24"/>
          <w:szCs w:val="24"/>
        </w:rPr>
      </w:pPr>
      <w:r w:rsidRPr="006D1722">
        <w:rPr>
          <w:rFonts w:ascii="Arial" w:hAnsi="Arial" w:cs="Arial"/>
          <w:sz w:val="24"/>
          <w:szCs w:val="24"/>
        </w:rPr>
        <w:br/>
      </w:r>
      <w:r w:rsidRPr="006D1722">
        <w:rPr>
          <w:rFonts w:ascii="Arial" w:hAnsi="Arial" w:cs="Arial"/>
          <w:sz w:val="24"/>
          <w:szCs w:val="24"/>
        </w:rPr>
        <w:br/>
      </w:r>
      <w:r w:rsidRPr="006D1722">
        <w:rPr>
          <w:rFonts w:ascii="Arial" w:hAnsi="Arial" w:cs="Arial"/>
          <w:sz w:val="24"/>
          <w:szCs w:val="24"/>
        </w:rPr>
        <w:br/>
        <w:t xml:space="preserve">This report critically evaluates the project management tools and techniques used during the planning and delivery of a Mental Health Awareness Campaign, completed as part of the Managing Projects in the Organisation module at the University of Wales Trinity Saint David. The project was undertaken by a team of four </w:t>
      </w:r>
      <w:proofErr w:type="gramStart"/>
      <w:r w:rsidRPr="006D1722">
        <w:rPr>
          <w:rFonts w:ascii="Arial" w:hAnsi="Arial" w:cs="Arial"/>
          <w:sz w:val="24"/>
          <w:szCs w:val="24"/>
        </w:rPr>
        <w:t>students  Sanda</w:t>
      </w:r>
      <w:proofErr w:type="gramEnd"/>
      <w:r w:rsidRPr="006D1722">
        <w:rPr>
          <w:rFonts w:ascii="Arial" w:hAnsi="Arial" w:cs="Arial"/>
          <w:sz w:val="24"/>
          <w:szCs w:val="24"/>
        </w:rPr>
        <w:t xml:space="preserve">, Marian, Daniel and </w:t>
      </w:r>
      <w:proofErr w:type="gramStart"/>
      <w:r w:rsidRPr="006D1722">
        <w:rPr>
          <w:rFonts w:ascii="Arial" w:hAnsi="Arial" w:cs="Arial"/>
          <w:sz w:val="24"/>
          <w:szCs w:val="24"/>
        </w:rPr>
        <w:t>myself  between</w:t>
      </w:r>
      <w:proofErr w:type="gramEnd"/>
      <w:r w:rsidRPr="006D1722">
        <w:rPr>
          <w:rFonts w:ascii="Arial" w:hAnsi="Arial" w:cs="Arial"/>
          <w:sz w:val="24"/>
          <w:szCs w:val="24"/>
        </w:rPr>
        <w:t xml:space="preserve"> May and June 2026, with the primary aim of raising awareness of mental health issues among university students and generating charitable donations for Mind. The report assesses the tools used across the full project lifecycle, discusses stakeholder analysis and communication strategies, and concludes with recommendations for improving future project management practice.</w:t>
      </w:r>
      <w:r w:rsidRPr="006D1722">
        <w:rPr>
          <w:rFonts w:ascii="Arial" w:hAnsi="Arial" w:cs="Arial"/>
          <w:sz w:val="24"/>
          <w:szCs w:val="24"/>
        </w:rPr>
        <w:br/>
      </w:r>
      <w:r w:rsidRPr="006D1722">
        <w:rPr>
          <w:rFonts w:ascii="Arial" w:hAnsi="Arial" w:cs="Arial"/>
          <w:sz w:val="24"/>
          <w:szCs w:val="24"/>
        </w:rPr>
        <w:br/>
      </w:r>
    </w:p>
    <w:p w14:paraId="17BFEDF4" w14:textId="77777777" w:rsidR="006D1722" w:rsidRPr="00795FD8" w:rsidRDefault="006D1722" w:rsidP="00795FD8">
      <w:pPr>
        <w:pStyle w:val="Heading1"/>
        <w:rPr>
          <w:rFonts w:ascii="Arial" w:hAnsi="Arial" w:cs="Arial"/>
          <w:sz w:val="24"/>
          <w:szCs w:val="24"/>
        </w:rPr>
      </w:pPr>
    </w:p>
    <w:sdt>
      <w:sdtPr>
        <w:rPr>
          <w:rFonts w:asciiTheme="minorHAnsi" w:eastAsiaTheme="minorHAnsi" w:hAnsiTheme="minorHAnsi" w:cstheme="minorBidi"/>
          <w:color w:val="auto"/>
          <w:sz w:val="22"/>
          <w:szCs w:val="22"/>
          <w:lang w:val="en-GB"/>
        </w:rPr>
        <w:id w:val="-11076315"/>
        <w:docPartObj>
          <w:docPartGallery w:val="Table of Contents"/>
          <w:docPartUnique/>
        </w:docPartObj>
      </w:sdtPr>
      <w:sdtEndPr>
        <w:rPr>
          <w:b/>
          <w:bCs/>
          <w:noProof/>
        </w:rPr>
      </w:sdtEndPr>
      <w:sdtContent>
        <w:p w14:paraId="1F897849" w14:textId="6CAE8EDE" w:rsidR="00795FD8" w:rsidRDefault="00795FD8">
          <w:pPr>
            <w:pStyle w:val="TOCHeading"/>
          </w:pPr>
          <w:r>
            <w:t>Table of Contents</w:t>
          </w:r>
        </w:p>
        <w:p w14:paraId="5520A6D2" w14:textId="0F9E1ABB" w:rsidR="00A61D89" w:rsidRDefault="00795FD8">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2766214" w:history="1">
            <w:r w:rsidR="00A61D89" w:rsidRPr="005E7D9C">
              <w:rPr>
                <w:rStyle w:val="Hyperlink"/>
                <w:noProof/>
                <w:lang w:val="en-US"/>
              </w:rPr>
              <w:t>Executive summary</w:t>
            </w:r>
            <w:r w:rsidR="00A61D89">
              <w:rPr>
                <w:noProof/>
                <w:webHidden/>
              </w:rPr>
              <w:tab/>
            </w:r>
            <w:r w:rsidR="00A61D89">
              <w:rPr>
                <w:noProof/>
                <w:webHidden/>
              </w:rPr>
              <w:fldChar w:fldCharType="begin"/>
            </w:r>
            <w:r w:rsidR="00A61D89">
              <w:rPr>
                <w:noProof/>
                <w:webHidden/>
              </w:rPr>
              <w:instrText xml:space="preserve"> PAGEREF _Toc232766214 \h </w:instrText>
            </w:r>
            <w:r w:rsidR="00A61D89">
              <w:rPr>
                <w:noProof/>
                <w:webHidden/>
              </w:rPr>
            </w:r>
            <w:r w:rsidR="00A61D89">
              <w:rPr>
                <w:noProof/>
                <w:webHidden/>
              </w:rPr>
              <w:fldChar w:fldCharType="separate"/>
            </w:r>
            <w:r w:rsidR="00A61D89">
              <w:rPr>
                <w:noProof/>
                <w:webHidden/>
              </w:rPr>
              <w:t>2</w:t>
            </w:r>
            <w:r w:rsidR="00A61D89">
              <w:rPr>
                <w:noProof/>
                <w:webHidden/>
              </w:rPr>
              <w:fldChar w:fldCharType="end"/>
            </w:r>
          </w:hyperlink>
        </w:p>
        <w:p w14:paraId="60AC9869" w14:textId="692A905D" w:rsidR="00A61D89" w:rsidRDefault="00A61D89">
          <w:pPr>
            <w:pStyle w:val="TOC1"/>
            <w:tabs>
              <w:tab w:val="right" w:leader="dot" w:pos="9016"/>
            </w:tabs>
            <w:rPr>
              <w:rFonts w:eastAsiaTheme="minorEastAsia"/>
              <w:noProof/>
              <w:kern w:val="2"/>
              <w:sz w:val="24"/>
              <w:szCs w:val="24"/>
              <w:lang w:eastAsia="en-GB"/>
              <w14:ligatures w14:val="standardContextual"/>
            </w:rPr>
          </w:pPr>
          <w:hyperlink w:anchor="_Toc232766215" w:history="1">
            <w:r w:rsidRPr="005E7D9C">
              <w:rPr>
                <w:rStyle w:val="Hyperlink"/>
                <w:noProof/>
              </w:rPr>
              <w:t>1. Introduction</w:t>
            </w:r>
            <w:r>
              <w:rPr>
                <w:noProof/>
                <w:webHidden/>
              </w:rPr>
              <w:tab/>
            </w:r>
            <w:r>
              <w:rPr>
                <w:noProof/>
                <w:webHidden/>
              </w:rPr>
              <w:fldChar w:fldCharType="begin"/>
            </w:r>
            <w:r>
              <w:rPr>
                <w:noProof/>
                <w:webHidden/>
              </w:rPr>
              <w:instrText xml:space="preserve"> PAGEREF _Toc232766215 \h </w:instrText>
            </w:r>
            <w:r>
              <w:rPr>
                <w:noProof/>
                <w:webHidden/>
              </w:rPr>
            </w:r>
            <w:r>
              <w:rPr>
                <w:noProof/>
                <w:webHidden/>
              </w:rPr>
              <w:fldChar w:fldCharType="separate"/>
            </w:r>
            <w:r>
              <w:rPr>
                <w:noProof/>
                <w:webHidden/>
              </w:rPr>
              <w:t>3</w:t>
            </w:r>
            <w:r>
              <w:rPr>
                <w:noProof/>
                <w:webHidden/>
              </w:rPr>
              <w:fldChar w:fldCharType="end"/>
            </w:r>
          </w:hyperlink>
        </w:p>
        <w:p w14:paraId="585FD0FB" w14:textId="5E7C0942" w:rsidR="00A61D89" w:rsidRDefault="00A61D89">
          <w:pPr>
            <w:pStyle w:val="TOC1"/>
            <w:tabs>
              <w:tab w:val="right" w:leader="dot" w:pos="9016"/>
            </w:tabs>
            <w:rPr>
              <w:rFonts w:eastAsiaTheme="minorEastAsia"/>
              <w:noProof/>
              <w:kern w:val="2"/>
              <w:sz w:val="24"/>
              <w:szCs w:val="24"/>
              <w:lang w:eastAsia="en-GB"/>
              <w14:ligatures w14:val="standardContextual"/>
            </w:rPr>
          </w:pPr>
          <w:hyperlink w:anchor="_Toc232766216" w:history="1">
            <w:r w:rsidRPr="005E7D9C">
              <w:rPr>
                <w:rStyle w:val="Hyperlink"/>
                <w:noProof/>
              </w:rPr>
              <w:t>2. Critical Assessment of Project Management Tools and Techniques</w:t>
            </w:r>
            <w:r>
              <w:rPr>
                <w:noProof/>
                <w:webHidden/>
              </w:rPr>
              <w:tab/>
            </w:r>
            <w:r>
              <w:rPr>
                <w:noProof/>
                <w:webHidden/>
              </w:rPr>
              <w:fldChar w:fldCharType="begin"/>
            </w:r>
            <w:r>
              <w:rPr>
                <w:noProof/>
                <w:webHidden/>
              </w:rPr>
              <w:instrText xml:space="preserve"> PAGEREF _Toc232766216 \h </w:instrText>
            </w:r>
            <w:r>
              <w:rPr>
                <w:noProof/>
                <w:webHidden/>
              </w:rPr>
            </w:r>
            <w:r>
              <w:rPr>
                <w:noProof/>
                <w:webHidden/>
              </w:rPr>
              <w:fldChar w:fldCharType="separate"/>
            </w:r>
            <w:r>
              <w:rPr>
                <w:noProof/>
                <w:webHidden/>
              </w:rPr>
              <w:t>4</w:t>
            </w:r>
            <w:r>
              <w:rPr>
                <w:noProof/>
                <w:webHidden/>
              </w:rPr>
              <w:fldChar w:fldCharType="end"/>
            </w:r>
          </w:hyperlink>
        </w:p>
        <w:p w14:paraId="6EE1090B" w14:textId="4E08C0A1" w:rsidR="00A61D89" w:rsidRDefault="00A61D89">
          <w:pPr>
            <w:pStyle w:val="TOC1"/>
            <w:tabs>
              <w:tab w:val="right" w:leader="dot" w:pos="9016"/>
            </w:tabs>
            <w:rPr>
              <w:rFonts w:eastAsiaTheme="minorEastAsia"/>
              <w:noProof/>
              <w:kern w:val="2"/>
              <w:sz w:val="24"/>
              <w:szCs w:val="24"/>
              <w:lang w:eastAsia="en-GB"/>
              <w14:ligatures w14:val="standardContextual"/>
            </w:rPr>
          </w:pPr>
          <w:hyperlink w:anchor="_Toc232766217" w:history="1">
            <w:r w:rsidRPr="005E7D9C">
              <w:rPr>
                <w:rStyle w:val="Hyperlink"/>
                <w:noProof/>
              </w:rPr>
              <w:t>3. Stakeholder Analysis and Communication</w:t>
            </w:r>
            <w:r>
              <w:rPr>
                <w:noProof/>
                <w:webHidden/>
              </w:rPr>
              <w:tab/>
            </w:r>
            <w:r>
              <w:rPr>
                <w:noProof/>
                <w:webHidden/>
              </w:rPr>
              <w:fldChar w:fldCharType="begin"/>
            </w:r>
            <w:r>
              <w:rPr>
                <w:noProof/>
                <w:webHidden/>
              </w:rPr>
              <w:instrText xml:space="preserve"> PAGEREF _Toc232766217 \h </w:instrText>
            </w:r>
            <w:r>
              <w:rPr>
                <w:noProof/>
                <w:webHidden/>
              </w:rPr>
            </w:r>
            <w:r>
              <w:rPr>
                <w:noProof/>
                <w:webHidden/>
              </w:rPr>
              <w:fldChar w:fldCharType="separate"/>
            </w:r>
            <w:r>
              <w:rPr>
                <w:noProof/>
                <w:webHidden/>
              </w:rPr>
              <w:t>6</w:t>
            </w:r>
            <w:r>
              <w:rPr>
                <w:noProof/>
                <w:webHidden/>
              </w:rPr>
              <w:fldChar w:fldCharType="end"/>
            </w:r>
          </w:hyperlink>
        </w:p>
        <w:p w14:paraId="4A24DF5C" w14:textId="6ED5BF19" w:rsidR="00A61D89" w:rsidRDefault="00A61D89">
          <w:pPr>
            <w:pStyle w:val="TOC1"/>
            <w:tabs>
              <w:tab w:val="right" w:leader="dot" w:pos="9016"/>
            </w:tabs>
            <w:rPr>
              <w:rFonts w:eastAsiaTheme="minorEastAsia"/>
              <w:noProof/>
              <w:kern w:val="2"/>
              <w:sz w:val="24"/>
              <w:szCs w:val="24"/>
              <w:lang w:eastAsia="en-GB"/>
              <w14:ligatures w14:val="standardContextual"/>
            </w:rPr>
          </w:pPr>
          <w:hyperlink w:anchor="_Toc232766218" w:history="1">
            <w:r w:rsidRPr="005E7D9C">
              <w:rPr>
                <w:rStyle w:val="Hyperlink"/>
                <w:noProof/>
              </w:rPr>
              <w:t>4. Project Scheduling, Delivery and Closure</w:t>
            </w:r>
            <w:r>
              <w:rPr>
                <w:noProof/>
                <w:webHidden/>
              </w:rPr>
              <w:tab/>
            </w:r>
            <w:r>
              <w:rPr>
                <w:noProof/>
                <w:webHidden/>
              </w:rPr>
              <w:fldChar w:fldCharType="begin"/>
            </w:r>
            <w:r>
              <w:rPr>
                <w:noProof/>
                <w:webHidden/>
              </w:rPr>
              <w:instrText xml:space="preserve"> PAGEREF _Toc232766218 \h </w:instrText>
            </w:r>
            <w:r>
              <w:rPr>
                <w:noProof/>
                <w:webHidden/>
              </w:rPr>
            </w:r>
            <w:r>
              <w:rPr>
                <w:noProof/>
                <w:webHidden/>
              </w:rPr>
              <w:fldChar w:fldCharType="separate"/>
            </w:r>
            <w:r>
              <w:rPr>
                <w:noProof/>
                <w:webHidden/>
              </w:rPr>
              <w:t>7</w:t>
            </w:r>
            <w:r>
              <w:rPr>
                <w:noProof/>
                <w:webHidden/>
              </w:rPr>
              <w:fldChar w:fldCharType="end"/>
            </w:r>
          </w:hyperlink>
        </w:p>
        <w:p w14:paraId="0399A9B6" w14:textId="41C4979C" w:rsidR="00A61D89" w:rsidRDefault="00A61D89">
          <w:pPr>
            <w:pStyle w:val="TOC1"/>
            <w:tabs>
              <w:tab w:val="right" w:leader="dot" w:pos="9016"/>
            </w:tabs>
            <w:rPr>
              <w:rFonts w:eastAsiaTheme="minorEastAsia"/>
              <w:noProof/>
              <w:kern w:val="2"/>
              <w:sz w:val="24"/>
              <w:szCs w:val="24"/>
              <w:lang w:eastAsia="en-GB"/>
              <w14:ligatures w14:val="standardContextual"/>
            </w:rPr>
          </w:pPr>
          <w:hyperlink w:anchor="_Toc232766219" w:history="1">
            <w:r w:rsidRPr="005E7D9C">
              <w:rPr>
                <w:rStyle w:val="Hyperlink"/>
                <w:noProof/>
              </w:rPr>
              <w:t>5. Evaluation and Recommendations</w:t>
            </w:r>
            <w:r>
              <w:rPr>
                <w:noProof/>
                <w:webHidden/>
              </w:rPr>
              <w:tab/>
            </w:r>
            <w:r>
              <w:rPr>
                <w:noProof/>
                <w:webHidden/>
              </w:rPr>
              <w:fldChar w:fldCharType="begin"/>
            </w:r>
            <w:r>
              <w:rPr>
                <w:noProof/>
                <w:webHidden/>
              </w:rPr>
              <w:instrText xml:space="preserve"> PAGEREF _Toc232766219 \h </w:instrText>
            </w:r>
            <w:r>
              <w:rPr>
                <w:noProof/>
                <w:webHidden/>
              </w:rPr>
            </w:r>
            <w:r>
              <w:rPr>
                <w:noProof/>
                <w:webHidden/>
              </w:rPr>
              <w:fldChar w:fldCharType="separate"/>
            </w:r>
            <w:r>
              <w:rPr>
                <w:noProof/>
                <w:webHidden/>
              </w:rPr>
              <w:t>8</w:t>
            </w:r>
            <w:r>
              <w:rPr>
                <w:noProof/>
                <w:webHidden/>
              </w:rPr>
              <w:fldChar w:fldCharType="end"/>
            </w:r>
          </w:hyperlink>
        </w:p>
        <w:p w14:paraId="39106410" w14:textId="4978A037" w:rsidR="00A61D89" w:rsidRDefault="00A61D89">
          <w:pPr>
            <w:pStyle w:val="TOC1"/>
            <w:tabs>
              <w:tab w:val="right" w:leader="dot" w:pos="9016"/>
            </w:tabs>
            <w:rPr>
              <w:rFonts w:eastAsiaTheme="minorEastAsia"/>
              <w:noProof/>
              <w:kern w:val="2"/>
              <w:sz w:val="24"/>
              <w:szCs w:val="24"/>
              <w:lang w:eastAsia="en-GB"/>
              <w14:ligatures w14:val="standardContextual"/>
            </w:rPr>
          </w:pPr>
          <w:hyperlink w:anchor="_Toc232766220" w:history="1">
            <w:r w:rsidRPr="005E7D9C">
              <w:rPr>
                <w:rStyle w:val="Hyperlink"/>
                <w:noProof/>
              </w:rPr>
              <w:t>6. Conclusion</w:t>
            </w:r>
            <w:r>
              <w:rPr>
                <w:noProof/>
                <w:webHidden/>
              </w:rPr>
              <w:tab/>
            </w:r>
            <w:r>
              <w:rPr>
                <w:noProof/>
                <w:webHidden/>
              </w:rPr>
              <w:fldChar w:fldCharType="begin"/>
            </w:r>
            <w:r>
              <w:rPr>
                <w:noProof/>
                <w:webHidden/>
              </w:rPr>
              <w:instrText xml:space="preserve"> PAGEREF _Toc232766220 \h </w:instrText>
            </w:r>
            <w:r>
              <w:rPr>
                <w:noProof/>
                <w:webHidden/>
              </w:rPr>
            </w:r>
            <w:r>
              <w:rPr>
                <w:noProof/>
                <w:webHidden/>
              </w:rPr>
              <w:fldChar w:fldCharType="separate"/>
            </w:r>
            <w:r>
              <w:rPr>
                <w:noProof/>
                <w:webHidden/>
              </w:rPr>
              <w:t>9</w:t>
            </w:r>
            <w:r>
              <w:rPr>
                <w:noProof/>
                <w:webHidden/>
              </w:rPr>
              <w:fldChar w:fldCharType="end"/>
            </w:r>
          </w:hyperlink>
        </w:p>
        <w:p w14:paraId="44DB9573" w14:textId="33068E97" w:rsidR="00A61D89" w:rsidRDefault="00A61D89">
          <w:pPr>
            <w:pStyle w:val="TOC1"/>
            <w:tabs>
              <w:tab w:val="right" w:leader="dot" w:pos="9016"/>
            </w:tabs>
            <w:rPr>
              <w:rFonts w:eastAsiaTheme="minorEastAsia"/>
              <w:noProof/>
              <w:kern w:val="2"/>
              <w:sz w:val="24"/>
              <w:szCs w:val="24"/>
              <w:lang w:eastAsia="en-GB"/>
              <w14:ligatures w14:val="standardContextual"/>
            </w:rPr>
          </w:pPr>
          <w:hyperlink w:anchor="_Toc232766221" w:history="1">
            <w:r w:rsidRPr="005E7D9C">
              <w:rPr>
                <w:rStyle w:val="Hyperlink"/>
                <w:noProof/>
                <w:lang w:val="en-US"/>
              </w:rPr>
              <w:t>Reference list:</w:t>
            </w:r>
            <w:r>
              <w:rPr>
                <w:noProof/>
                <w:webHidden/>
              </w:rPr>
              <w:tab/>
            </w:r>
            <w:r>
              <w:rPr>
                <w:noProof/>
                <w:webHidden/>
              </w:rPr>
              <w:fldChar w:fldCharType="begin"/>
            </w:r>
            <w:r>
              <w:rPr>
                <w:noProof/>
                <w:webHidden/>
              </w:rPr>
              <w:instrText xml:space="preserve"> PAGEREF _Toc232766221 \h </w:instrText>
            </w:r>
            <w:r>
              <w:rPr>
                <w:noProof/>
                <w:webHidden/>
              </w:rPr>
            </w:r>
            <w:r>
              <w:rPr>
                <w:noProof/>
                <w:webHidden/>
              </w:rPr>
              <w:fldChar w:fldCharType="separate"/>
            </w:r>
            <w:r>
              <w:rPr>
                <w:noProof/>
                <w:webHidden/>
              </w:rPr>
              <w:t>10</w:t>
            </w:r>
            <w:r>
              <w:rPr>
                <w:noProof/>
                <w:webHidden/>
              </w:rPr>
              <w:fldChar w:fldCharType="end"/>
            </w:r>
          </w:hyperlink>
        </w:p>
        <w:p w14:paraId="77D84A61" w14:textId="37013C3D" w:rsidR="00795FD8" w:rsidRDefault="00795FD8">
          <w:r>
            <w:rPr>
              <w:b/>
              <w:bCs/>
              <w:noProof/>
            </w:rPr>
            <w:fldChar w:fldCharType="end"/>
          </w:r>
        </w:p>
      </w:sdtContent>
    </w:sdt>
    <w:p w14:paraId="77DE12E3" w14:textId="77777777" w:rsidR="006D1722" w:rsidRDefault="006D1722" w:rsidP="006D1722">
      <w:pPr>
        <w:rPr>
          <w:rFonts w:ascii="Arial" w:hAnsi="Arial" w:cs="Arial"/>
          <w:b/>
          <w:bCs/>
          <w:sz w:val="24"/>
          <w:szCs w:val="24"/>
        </w:rPr>
      </w:pPr>
    </w:p>
    <w:p w14:paraId="74004D4C" w14:textId="77777777" w:rsidR="006D1722" w:rsidRDefault="006D1722" w:rsidP="006D1722">
      <w:pPr>
        <w:rPr>
          <w:rFonts w:ascii="Arial" w:hAnsi="Arial" w:cs="Arial"/>
          <w:b/>
          <w:bCs/>
          <w:sz w:val="24"/>
          <w:szCs w:val="24"/>
        </w:rPr>
      </w:pPr>
    </w:p>
    <w:p w14:paraId="4FFADE50" w14:textId="77777777" w:rsidR="006D1722" w:rsidRDefault="006D1722" w:rsidP="006D1722">
      <w:pPr>
        <w:rPr>
          <w:rFonts w:ascii="Arial" w:hAnsi="Arial" w:cs="Arial"/>
          <w:b/>
          <w:bCs/>
          <w:sz w:val="24"/>
          <w:szCs w:val="24"/>
        </w:rPr>
      </w:pPr>
    </w:p>
    <w:p w14:paraId="49B47A9D" w14:textId="77777777" w:rsidR="006D1722" w:rsidRDefault="006D1722" w:rsidP="006D1722">
      <w:pPr>
        <w:rPr>
          <w:rFonts w:ascii="Arial" w:hAnsi="Arial" w:cs="Arial"/>
          <w:b/>
          <w:bCs/>
          <w:sz w:val="24"/>
          <w:szCs w:val="24"/>
        </w:rPr>
      </w:pPr>
    </w:p>
    <w:p w14:paraId="7E1807D0" w14:textId="77777777" w:rsidR="006D1722" w:rsidRDefault="006D1722" w:rsidP="006D1722">
      <w:pPr>
        <w:rPr>
          <w:rFonts w:ascii="Arial" w:hAnsi="Arial" w:cs="Arial"/>
          <w:b/>
          <w:bCs/>
          <w:sz w:val="24"/>
          <w:szCs w:val="24"/>
        </w:rPr>
      </w:pPr>
    </w:p>
    <w:p w14:paraId="6AFFDFE7" w14:textId="77777777" w:rsidR="006D1722" w:rsidRDefault="006D1722" w:rsidP="006D1722">
      <w:pPr>
        <w:rPr>
          <w:rFonts w:ascii="Arial" w:hAnsi="Arial" w:cs="Arial"/>
          <w:sz w:val="24"/>
          <w:szCs w:val="24"/>
        </w:rPr>
      </w:pPr>
    </w:p>
    <w:p w14:paraId="57583FA6" w14:textId="77777777" w:rsidR="006D1722" w:rsidRDefault="006D1722" w:rsidP="006D1722">
      <w:pPr>
        <w:rPr>
          <w:rFonts w:ascii="Arial" w:hAnsi="Arial" w:cs="Arial"/>
          <w:sz w:val="24"/>
          <w:szCs w:val="24"/>
        </w:rPr>
      </w:pPr>
    </w:p>
    <w:p w14:paraId="100CDD9E" w14:textId="77777777" w:rsidR="006D1722" w:rsidRDefault="006D1722" w:rsidP="006D1722">
      <w:pPr>
        <w:rPr>
          <w:rStyle w:val="Heading1Char"/>
        </w:rPr>
      </w:pPr>
      <w:bookmarkStart w:id="1" w:name="_Toc232598690"/>
      <w:bookmarkStart w:id="2" w:name="_Toc232598720"/>
      <w:bookmarkStart w:id="3" w:name="_Toc232598782"/>
    </w:p>
    <w:p w14:paraId="5B85B56C" w14:textId="7C4E6DD0" w:rsidR="006D1722" w:rsidRDefault="006D1722" w:rsidP="00795FD8">
      <w:pPr>
        <w:rPr>
          <w:rStyle w:val="Heading1Char"/>
        </w:rPr>
      </w:pPr>
      <w:bookmarkStart w:id="4" w:name="_Toc232766215"/>
      <w:r w:rsidRPr="006D1722">
        <w:rPr>
          <w:rStyle w:val="Heading1Char"/>
        </w:rPr>
        <w:t>1. Introduction</w:t>
      </w:r>
      <w:bookmarkEnd w:id="1"/>
      <w:bookmarkEnd w:id="2"/>
      <w:bookmarkEnd w:id="3"/>
      <w:bookmarkEnd w:id="4"/>
      <w:r w:rsidRPr="006D1722">
        <w:br/>
      </w:r>
      <w:r w:rsidRPr="00795FD8">
        <w:rPr>
          <w:rFonts w:ascii="Arial" w:hAnsi="Arial" w:cs="Arial"/>
          <w:sz w:val="24"/>
          <w:szCs w:val="24"/>
        </w:rPr>
        <w:t>This report critically evaluates the project management tools and techniques used during the planning and delivery of a Mental Health Awareness Campaign. The project was undertaken by a team consisting of Sanda, Marian, Daniel and myself as part of the Managing Projects in the Organisation module at the University of Wales Trinity Saint David. The project ran from 11th May 2026 to 16th June 2026. The primary aim was to raise awareness of mental health issues among university students while generating donations for Mind, a UK charity that provides mental health support and information (Mind, 2025).</w:t>
      </w:r>
      <w:r w:rsidRPr="00795FD8">
        <w:rPr>
          <w:rFonts w:ascii="Arial" w:hAnsi="Arial" w:cs="Arial"/>
          <w:sz w:val="24"/>
          <w:szCs w:val="24"/>
        </w:rPr>
        <w:br/>
      </w:r>
      <w:r w:rsidRPr="00795FD8">
        <w:rPr>
          <w:rFonts w:ascii="Arial" w:hAnsi="Arial" w:cs="Arial"/>
          <w:sz w:val="24"/>
          <w:szCs w:val="24"/>
        </w:rPr>
        <w:br/>
        <w:t>To achieve this aim, the team established several objectives, including promoting mental wellbeing, engaging students through awareness activities and organising a fundraising event on campus. According to Heagney (2016), clearly defined objectives are essential because they provide direction and help ensure that project activities remain aligned with the intended outcomes. The Project Management Institute (2021, p.4) defines a project as a temporary endeavour undertaken to create a unique product, service or result, which accurately reflects the nature of our campaign as it had a defined start and end date, a specific scope and a clear goal.</w:t>
      </w:r>
      <w:r w:rsidRPr="00795FD8">
        <w:rPr>
          <w:rFonts w:ascii="Arial" w:hAnsi="Arial" w:cs="Arial"/>
          <w:sz w:val="24"/>
          <w:szCs w:val="24"/>
        </w:rPr>
        <w:br/>
      </w:r>
      <w:r w:rsidRPr="00795FD8">
        <w:rPr>
          <w:rFonts w:ascii="Arial" w:hAnsi="Arial" w:cs="Arial"/>
          <w:sz w:val="24"/>
          <w:szCs w:val="24"/>
        </w:rPr>
        <w:br/>
        <w:t>The project followed the full project lifecycle, covering initiation, planning, execution, monitoring and control, closure and evaluation, with each phase requiring different tools and approaches (Meredith and Mantel, 2009). This report critically assesses the effectiveness of those tools, discusses stakeholder management and communication, and offers recommendations for future improvement.</w:t>
      </w:r>
      <w:r w:rsidRPr="00795FD8">
        <w:rPr>
          <w:rFonts w:ascii="Arial" w:hAnsi="Arial" w:cs="Arial"/>
          <w:sz w:val="24"/>
          <w:szCs w:val="24"/>
        </w:rPr>
        <w:br/>
      </w:r>
      <w:r w:rsidRPr="006D1722">
        <w:br/>
      </w:r>
    </w:p>
    <w:p w14:paraId="648AAA2C" w14:textId="77777777" w:rsidR="006D1722" w:rsidRDefault="006D1722" w:rsidP="006D1722">
      <w:pPr>
        <w:rPr>
          <w:rStyle w:val="Heading1Char"/>
        </w:rPr>
      </w:pPr>
    </w:p>
    <w:p w14:paraId="7CC55BE7" w14:textId="77777777" w:rsidR="006D1722" w:rsidRDefault="006D1722" w:rsidP="006D1722">
      <w:pPr>
        <w:rPr>
          <w:rStyle w:val="Heading1Char"/>
        </w:rPr>
      </w:pPr>
    </w:p>
    <w:p w14:paraId="1E3181C9" w14:textId="77777777" w:rsidR="006D1722" w:rsidRDefault="006D1722" w:rsidP="006D1722">
      <w:pPr>
        <w:rPr>
          <w:rStyle w:val="Heading1Char"/>
        </w:rPr>
      </w:pPr>
    </w:p>
    <w:p w14:paraId="56FDB566" w14:textId="77777777" w:rsidR="006D1722" w:rsidRDefault="006D1722" w:rsidP="006D1722">
      <w:pPr>
        <w:rPr>
          <w:rStyle w:val="Heading1Char"/>
        </w:rPr>
      </w:pPr>
    </w:p>
    <w:p w14:paraId="581F3D74" w14:textId="77777777" w:rsidR="0078011F" w:rsidRDefault="0078011F" w:rsidP="006D1722">
      <w:pPr>
        <w:rPr>
          <w:rStyle w:val="Heading1Char"/>
        </w:rPr>
      </w:pPr>
    </w:p>
    <w:p w14:paraId="39D830CF" w14:textId="77777777" w:rsidR="0078011F" w:rsidRDefault="0078011F" w:rsidP="006D1722">
      <w:pPr>
        <w:rPr>
          <w:rStyle w:val="Heading1Char"/>
        </w:rPr>
      </w:pPr>
    </w:p>
    <w:p w14:paraId="1E6C7CA7" w14:textId="418581FA" w:rsidR="006D1722" w:rsidRDefault="006D1722" w:rsidP="006D1722">
      <w:pPr>
        <w:rPr>
          <w:rFonts w:ascii="Arial" w:hAnsi="Arial" w:cs="Arial"/>
          <w:sz w:val="24"/>
          <w:szCs w:val="24"/>
        </w:rPr>
      </w:pPr>
      <w:bookmarkStart w:id="5" w:name="_Toc232766216"/>
      <w:r w:rsidRPr="006D1722">
        <w:rPr>
          <w:rStyle w:val="Heading1Char"/>
        </w:rPr>
        <w:lastRenderedPageBreak/>
        <w:t>2. Critical Assessment of Project Management Tools and Techniques</w:t>
      </w:r>
      <w:bookmarkEnd w:id="5"/>
      <w:r w:rsidRPr="006D1722">
        <w:rPr>
          <w:rFonts w:ascii="Arial" w:hAnsi="Arial" w:cs="Arial"/>
          <w:sz w:val="24"/>
          <w:szCs w:val="24"/>
        </w:rPr>
        <w:br/>
      </w:r>
    </w:p>
    <w:p w14:paraId="4AEF981D" w14:textId="77777777" w:rsidR="00286E6D" w:rsidRDefault="006D1722" w:rsidP="006D1722">
      <w:pPr>
        <w:rPr>
          <w:rFonts w:ascii="Arial" w:hAnsi="Arial" w:cs="Arial"/>
          <w:sz w:val="24"/>
          <w:szCs w:val="24"/>
        </w:rPr>
      </w:pPr>
      <w:r w:rsidRPr="006D1722">
        <w:rPr>
          <w:rFonts w:ascii="Arial" w:hAnsi="Arial" w:cs="Arial"/>
          <w:sz w:val="24"/>
          <w:szCs w:val="24"/>
        </w:rPr>
        <w:t>Heagney (2016, p.3) argues that project management provides teams with a structured framework for defining objectives, allocating resources and delivering results within agreed constraints. Selecting and applying appropriate tools is therefore fundamental to project success. This section critically examines the key tools used in the campaign and evaluates both their theoretical strengths and their limitations.</w:t>
      </w:r>
      <w:r w:rsidRPr="006D1722">
        <w:rPr>
          <w:rFonts w:ascii="Arial" w:hAnsi="Arial" w:cs="Arial"/>
          <w:sz w:val="24"/>
          <w:szCs w:val="24"/>
        </w:rPr>
        <w:br/>
      </w:r>
      <w:r w:rsidRPr="006D1722">
        <w:rPr>
          <w:rFonts w:ascii="Arial" w:hAnsi="Arial" w:cs="Arial"/>
          <w:sz w:val="24"/>
          <w:szCs w:val="24"/>
        </w:rPr>
        <w:br/>
      </w:r>
      <w:r w:rsidRPr="0095508F">
        <w:rPr>
          <w:rFonts w:ascii="Arial" w:hAnsi="Arial" w:cs="Arial"/>
          <w:b/>
          <w:bCs/>
          <w:sz w:val="24"/>
          <w:szCs w:val="24"/>
        </w:rPr>
        <w:t>The Work Breakdown Structure</w:t>
      </w:r>
    </w:p>
    <w:p w14:paraId="0DE96E67" w14:textId="77777777" w:rsidR="00286E6D" w:rsidRPr="00286E6D" w:rsidRDefault="00286E6D" w:rsidP="00286E6D">
      <w:pPr>
        <w:rPr>
          <w:rFonts w:ascii="Arial" w:hAnsi="Arial" w:cs="Arial"/>
        </w:rPr>
      </w:pPr>
      <w:r>
        <w:rPr>
          <w:noProof/>
        </w:rPr>
        <w:drawing>
          <wp:inline distT="0" distB="0" distL="0" distR="0" wp14:anchorId="1E2597E3" wp14:editId="065C1EC6">
            <wp:extent cx="3937000" cy="3048000"/>
            <wp:effectExtent l="0" t="0" r="6350" b="0"/>
            <wp:docPr id="12" name="Picture 11" descr="wbs_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wbs_diagram.png"/>
                    <pic:cNvPicPr>
                      <a:picLocks noChangeAspect="1"/>
                    </pic:cNvPicPr>
                  </pic:nvPicPr>
                  <pic:blipFill>
                    <a:blip r:embed="rId5"/>
                    <a:stretch>
                      <a:fillRect/>
                    </a:stretch>
                  </pic:blipFill>
                  <pic:spPr>
                    <a:xfrm>
                      <a:off x="0" y="0"/>
                      <a:ext cx="3947691" cy="3056277"/>
                    </a:xfrm>
                    <a:prstGeom prst="rect">
                      <a:avLst/>
                    </a:prstGeom>
                  </pic:spPr>
                </pic:pic>
              </a:graphicData>
            </a:graphic>
          </wp:inline>
        </w:drawing>
      </w:r>
      <w:r w:rsidR="006D1722" w:rsidRPr="006D1722">
        <w:rPr>
          <w:rFonts w:ascii="Arial" w:hAnsi="Arial" w:cs="Arial"/>
          <w:sz w:val="24"/>
          <w:szCs w:val="24"/>
        </w:rPr>
        <w:br/>
      </w:r>
      <w:r w:rsidRPr="00286E6D">
        <w:rPr>
          <w:rFonts w:ascii="Arial" w:hAnsi="Arial" w:cs="Arial"/>
          <w:i/>
          <w:iCs/>
        </w:rPr>
        <w:t>Work Breakdown Structure (WBS) — Heagney, 2016</w:t>
      </w:r>
    </w:p>
    <w:p w14:paraId="25BB5C77" w14:textId="4C33EA2B" w:rsidR="00286E6D" w:rsidRDefault="006D1722" w:rsidP="006D1722">
      <w:pPr>
        <w:rPr>
          <w:rFonts w:ascii="Arial" w:hAnsi="Arial" w:cs="Arial"/>
          <w:sz w:val="24"/>
          <w:szCs w:val="24"/>
        </w:rPr>
      </w:pPr>
      <w:r w:rsidRPr="006D1722">
        <w:rPr>
          <w:rFonts w:ascii="Arial" w:hAnsi="Arial" w:cs="Arial"/>
          <w:sz w:val="24"/>
          <w:szCs w:val="24"/>
        </w:rPr>
        <w:br/>
        <w:t xml:space="preserve">Heagney (2016) identifies the WBS as the foundation upon which all other planning activities are built, arguing that it transforms an abstract project goal into a structured set of manageable tasks. One of its key strengths is that it makes the full scope of a project visible to every team member, which helps prevent scope creep </w:t>
      </w:r>
      <w:r w:rsidR="0078011F">
        <w:rPr>
          <w:rFonts w:ascii="Arial" w:hAnsi="Arial" w:cs="Arial"/>
          <w:sz w:val="24"/>
          <w:szCs w:val="24"/>
        </w:rPr>
        <w:t>-</w:t>
      </w:r>
      <w:r w:rsidRPr="006D1722">
        <w:rPr>
          <w:rFonts w:ascii="Arial" w:hAnsi="Arial" w:cs="Arial"/>
          <w:sz w:val="24"/>
          <w:szCs w:val="24"/>
        </w:rPr>
        <w:t>the gradual addition of tasks without adjusting time or budget (Hollister, 2017). However, Wysocki, Kaikini and Sneed (2014) caution that a WBS is only as effective as the discipline used to maintain it, warning that teams often create a WBS during planning and then fail to update it as the project evolves. This was a limitation we experienced, as the university operations approval process was never included in our original WBS, which contributed to the scheduling problems we encountered later.</w:t>
      </w:r>
      <w:r w:rsidRPr="006D1722">
        <w:rPr>
          <w:rFonts w:ascii="Arial" w:hAnsi="Arial" w:cs="Arial"/>
          <w:sz w:val="24"/>
          <w:szCs w:val="24"/>
        </w:rPr>
        <w:br/>
      </w:r>
      <w:r w:rsidRPr="006D1722">
        <w:rPr>
          <w:rFonts w:ascii="Arial" w:hAnsi="Arial" w:cs="Arial"/>
          <w:sz w:val="24"/>
          <w:szCs w:val="24"/>
        </w:rPr>
        <w:br/>
      </w:r>
    </w:p>
    <w:p w14:paraId="4F984BDC" w14:textId="77777777" w:rsidR="0095508F" w:rsidRDefault="006D1722" w:rsidP="006D1722">
      <w:pPr>
        <w:rPr>
          <w:rFonts w:ascii="Arial" w:hAnsi="Arial" w:cs="Arial"/>
          <w:sz w:val="24"/>
          <w:szCs w:val="24"/>
        </w:rPr>
      </w:pPr>
      <w:r w:rsidRPr="006D1722">
        <w:rPr>
          <w:rFonts w:ascii="Arial" w:hAnsi="Arial" w:cs="Arial"/>
          <w:sz w:val="24"/>
          <w:szCs w:val="24"/>
        </w:rPr>
        <w:lastRenderedPageBreak/>
        <w:t>The Gantt Chart</w:t>
      </w:r>
      <w:r w:rsidRPr="006D1722">
        <w:rPr>
          <w:rFonts w:ascii="Arial" w:hAnsi="Arial" w:cs="Arial"/>
          <w:sz w:val="24"/>
          <w:szCs w:val="24"/>
        </w:rPr>
        <w:br/>
      </w:r>
      <w:r w:rsidRPr="006D1722">
        <w:rPr>
          <w:rFonts w:ascii="Arial" w:hAnsi="Arial" w:cs="Arial"/>
          <w:sz w:val="24"/>
          <w:szCs w:val="24"/>
        </w:rPr>
        <w:br/>
        <w:t xml:space="preserve">The Gantt Chart is one of the most widely used scheduling tools in project management. Kidston, Haward and the Association for Project Management (2015) describe it as a valuable tool for supporting planning, monitoring and control throughout the project lifecycle. Its primary strength is that it provides a clear visual timeline that shows tasks, their duration and their dependencies, making it easy for team members to understand what needs to be done and when. However, Lock (2020) notes that traditional Gantt Charts struggle to capture complex resource conflicts or inter-team dependencies, and </w:t>
      </w:r>
      <w:proofErr w:type="spellStart"/>
      <w:r w:rsidRPr="006D1722">
        <w:rPr>
          <w:rFonts w:ascii="Arial" w:hAnsi="Arial" w:cs="Arial"/>
          <w:sz w:val="24"/>
          <w:szCs w:val="24"/>
        </w:rPr>
        <w:t>Heerkens</w:t>
      </w:r>
      <w:proofErr w:type="spellEnd"/>
      <w:r w:rsidRPr="006D1722">
        <w:rPr>
          <w:rFonts w:ascii="Arial" w:hAnsi="Arial" w:cs="Arial"/>
          <w:sz w:val="24"/>
          <w:szCs w:val="24"/>
        </w:rPr>
        <w:t xml:space="preserve"> (2015) adds that they can create a false sense of control if treated as fixed plans rather than living documents. In our project, the Gantt Chart was useful when we needed to reschedule activities, but its limitation was clear when the approval process disrupted the timeline unexpectedly.</w:t>
      </w:r>
    </w:p>
    <w:p w14:paraId="36E0ED66" w14:textId="341CEEBC" w:rsidR="0095508F" w:rsidRPr="0095508F" w:rsidRDefault="0095508F" w:rsidP="006D1722">
      <w:pPr>
        <w:rPr>
          <w:rFonts w:ascii="Arial" w:hAnsi="Arial" w:cs="Arial"/>
          <w:b/>
          <w:bCs/>
          <w:sz w:val="24"/>
          <w:szCs w:val="24"/>
        </w:rPr>
      </w:pPr>
      <w:r w:rsidRPr="0095508F">
        <w:rPr>
          <w:rFonts w:ascii="Arial" w:hAnsi="Arial" w:cs="Arial"/>
          <w:b/>
          <w:bCs/>
          <w:sz w:val="24"/>
          <w:szCs w:val="24"/>
        </w:rPr>
        <w:t>Gantt chart</w:t>
      </w:r>
    </w:p>
    <w:p w14:paraId="4B6C75A7" w14:textId="41EDB983" w:rsidR="006D1722" w:rsidRDefault="0095508F" w:rsidP="006D1722">
      <w:pPr>
        <w:rPr>
          <w:rStyle w:val="Heading1Char"/>
        </w:rPr>
      </w:pPr>
      <w:r>
        <w:rPr>
          <w:rFonts w:ascii="Arial" w:hAnsi="Arial" w:cs="Arial"/>
          <w:noProof/>
          <w:sz w:val="24"/>
          <w:szCs w:val="24"/>
        </w:rPr>
        <w:drawing>
          <wp:inline distT="0" distB="0" distL="0" distR="0" wp14:anchorId="31618F26" wp14:editId="6C296541">
            <wp:extent cx="5730875" cy="3060700"/>
            <wp:effectExtent l="0" t="0" r="3175" b="6350"/>
            <wp:docPr id="377357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3060700"/>
                    </a:xfrm>
                    <a:prstGeom prst="rect">
                      <a:avLst/>
                    </a:prstGeom>
                    <a:noFill/>
                  </pic:spPr>
                </pic:pic>
              </a:graphicData>
            </a:graphic>
          </wp:inline>
        </w:drawing>
      </w:r>
      <w:r w:rsidR="006D1722" w:rsidRPr="006D1722">
        <w:rPr>
          <w:rFonts w:ascii="Arial" w:hAnsi="Arial" w:cs="Arial"/>
          <w:sz w:val="24"/>
          <w:szCs w:val="24"/>
        </w:rPr>
        <w:br/>
      </w:r>
      <w:r w:rsidR="006D1722" w:rsidRPr="006D1722">
        <w:rPr>
          <w:rFonts w:ascii="Arial" w:hAnsi="Arial" w:cs="Arial"/>
          <w:sz w:val="24"/>
          <w:szCs w:val="24"/>
        </w:rPr>
        <w:br/>
        <w:t>The Iron Triangle</w:t>
      </w:r>
      <w:r w:rsidR="006D1722" w:rsidRPr="006D1722">
        <w:rPr>
          <w:rFonts w:ascii="Arial" w:hAnsi="Arial" w:cs="Arial"/>
          <w:sz w:val="24"/>
          <w:szCs w:val="24"/>
        </w:rPr>
        <w:br/>
      </w:r>
      <w:r w:rsidR="006D1722" w:rsidRPr="006D1722">
        <w:rPr>
          <w:rFonts w:ascii="Arial" w:hAnsi="Arial" w:cs="Arial"/>
          <w:sz w:val="24"/>
          <w:szCs w:val="24"/>
        </w:rPr>
        <w:br/>
        <w:t xml:space="preserve">The Iron Triangle is a foundational model in project management that describes the interdependency between time, cost and quality. Kerzner (2022) argues that these three constraints are inherently connected and that any change to one will affect the others. Burke (2013) adds that the Iron Triangle gives project managers a practical framework for making trade-off decisions under pressure. In our project, the Iron Triangle became directly relevant when the timeline was shortened because Marian and I were unavailable during the original presentation period. With less time available, the team had to make conscious decisions about prioritisation, choosing to focus on the most visible elements such as flyers, refreshments and the presentation while simplifying activities that were less central to the event. This is exactly the kind of trade-off decision the Iron Triangle is designed to support. However, one limitation of the model is that it does not account for stakeholder satisfaction or team wellbeing </w:t>
      </w:r>
      <w:r w:rsidR="006D1722" w:rsidRPr="006D1722">
        <w:rPr>
          <w:rFonts w:ascii="Arial" w:hAnsi="Arial" w:cs="Arial"/>
          <w:sz w:val="24"/>
          <w:szCs w:val="24"/>
        </w:rPr>
        <w:lastRenderedPageBreak/>
        <w:t>as project constraints, which Reiss (2015) argues are equally important factors in assessing project success.</w:t>
      </w:r>
      <w:r w:rsidR="006D1722" w:rsidRPr="006D1722">
        <w:rPr>
          <w:rFonts w:ascii="Arial" w:hAnsi="Arial" w:cs="Arial"/>
          <w:sz w:val="24"/>
          <w:szCs w:val="24"/>
        </w:rPr>
        <w:br/>
      </w:r>
      <w:r w:rsidR="006D1722" w:rsidRPr="006D1722">
        <w:rPr>
          <w:rFonts w:ascii="Arial" w:hAnsi="Arial" w:cs="Arial"/>
          <w:sz w:val="24"/>
          <w:szCs w:val="24"/>
        </w:rPr>
        <w:br/>
      </w:r>
      <w:r w:rsidR="006D1722" w:rsidRPr="006D1722">
        <w:rPr>
          <w:rFonts w:ascii="Arial" w:hAnsi="Arial" w:cs="Arial"/>
          <w:sz w:val="24"/>
          <w:szCs w:val="24"/>
        </w:rPr>
        <w:br/>
      </w:r>
      <w:r w:rsidR="006D1722" w:rsidRPr="006D1722">
        <w:rPr>
          <w:rFonts w:ascii="Arial" w:hAnsi="Arial" w:cs="Arial"/>
          <w:sz w:val="24"/>
          <w:szCs w:val="24"/>
        </w:rPr>
        <w:br/>
        <w:t>Risk Management</w:t>
      </w:r>
      <w:r w:rsidR="006D1722" w:rsidRPr="006D1722">
        <w:rPr>
          <w:rFonts w:ascii="Arial" w:hAnsi="Arial" w:cs="Arial"/>
          <w:sz w:val="24"/>
          <w:szCs w:val="24"/>
        </w:rPr>
        <w:br/>
      </w:r>
      <w:r w:rsidR="006D1722" w:rsidRPr="006D1722">
        <w:rPr>
          <w:rFonts w:ascii="Arial" w:hAnsi="Arial" w:cs="Arial"/>
          <w:sz w:val="24"/>
          <w:szCs w:val="24"/>
        </w:rPr>
        <w:br/>
        <w:t xml:space="preserve">One significant gap in our project was the absence of a formal risk management process. No risk register was developed during the planning phase, meaning that foreseeable risks such as the operations approval requirement and team availability were not identified in advance. Hillson (2017) argues that even a basic risk register listing potential risks, their likelihood, their impact and planned responses can significantly improve a team's ability to manage uncertainty. The Association for Project Management (2019) similarly identifies risk identification and mitigation planning as core components of effective project governance. </w:t>
      </w:r>
      <w:r w:rsidR="0078011F">
        <w:rPr>
          <w:rFonts w:ascii="Arial" w:hAnsi="Arial" w:cs="Arial"/>
          <w:sz w:val="24"/>
          <w:szCs w:val="24"/>
        </w:rPr>
        <w:t xml:space="preserve">  </w:t>
      </w:r>
      <w:r w:rsidR="006D1722" w:rsidRPr="006D1722">
        <w:rPr>
          <w:rFonts w:ascii="Arial" w:hAnsi="Arial" w:cs="Arial"/>
          <w:sz w:val="24"/>
          <w:szCs w:val="24"/>
        </w:rPr>
        <w:br/>
      </w:r>
    </w:p>
    <w:p w14:paraId="38471713" w14:textId="5E24F8DF" w:rsidR="006D1722" w:rsidRDefault="006D1722" w:rsidP="006D1722">
      <w:pPr>
        <w:rPr>
          <w:rFonts w:ascii="Arial" w:hAnsi="Arial" w:cs="Arial"/>
          <w:sz w:val="24"/>
          <w:szCs w:val="24"/>
        </w:rPr>
      </w:pPr>
      <w:bookmarkStart w:id="6" w:name="_Toc232766217"/>
      <w:r w:rsidRPr="006D1722">
        <w:rPr>
          <w:rStyle w:val="Heading1Char"/>
        </w:rPr>
        <w:t>3. Stakeholder Analysis and Communication</w:t>
      </w:r>
      <w:bookmarkEnd w:id="6"/>
      <w:r w:rsidRPr="006D1722">
        <w:rPr>
          <w:rFonts w:ascii="Arial" w:hAnsi="Arial" w:cs="Arial"/>
          <w:sz w:val="24"/>
          <w:szCs w:val="24"/>
        </w:rPr>
        <w:br/>
      </w:r>
    </w:p>
    <w:p w14:paraId="3E6C7BC4" w14:textId="77777777" w:rsidR="00795FD8" w:rsidRDefault="006D1722" w:rsidP="006D1722">
      <w:pPr>
        <w:rPr>
          <w:rFonts w:ascii="Arial" w:hAnsi="Arial" w:cs="Arial"/>
          <w:sz w:val="24"/>
          <w:szCs w:val="24"/>
        </w:rPr>
      </w:pPr>
      <w:r w:rsidRPr="006D1722">
        <w:rPr>
          <w:rFonts w:ascii="Arial" w:hAnsi="Arial" w:cs="Arial"/>
          <w:sz w:val="24"/>
          <w:szCs w:val="24"/>
        </w:rPr>
        <w:t>Freeman (1984, p.46) defines stakeholders as any group or individual who can affect or be affected by the achievement of an organisation's objectives. Bourne (2015) builds on this by arguing that stakeholder management is not a one-time activity conducted during initiation, but an ongoing process requiring continuous attention and adaptation throughout the full project lifecycle.</w:t>
      </w:r>
      <w:r w:rsidRPr="006D1722">
        <w:rPr>
          <w:rFonts w:ascii="Arial" w:hAnsi="Arial" w:cs="Arial"/>
          <w:sz w:val="24"/>
          <w:szCs w:val="24"/>
        </w:rPr>
        <w:br/>
      </w:r>
      <w:r w:rsidRPr="006D1722">
        <w:rPr>
          <w:rFonts w:ascii="Arial" w:hAnsi="Arial" w:cs="Arial"/>
          <w:sz w:val="24"/>
          <w:szCs w:val="24"/>
        </w:rPr>
        <w:br/>
        <w:t>To prioritise stakeholders and plan our communication strategy, the team used the Power-Interest Grid, a widely used stakeholder mapping tool that categorises stakeholders according to their level of power and interest in the project (Bourne, 2015). This produced four distinct groups: manage closely, keep satisfied, keep informed and monitor.</w:t>
      </w:r>
      <w:r w:rsidRPr="006D1722">
        <w:rPr>
          <w:rFonts w:ascii="Arial" w:hAnsi="Arial" w:cs="Arial"/>
          <w:sz w:val="24"/>
          <w:szCs w:val="24"/>
        </w:rPr>
        <w:br/>
      </w:r>
      <w:r w:rsidRPr="006D1722">
        <w:rPr>
          <w:rFonts w:ascii="Arial" w:hAnsi="Arial" w:cs="Arial"/>
          <w:sz w:val="24"/>
          <w:szCs w:val="24"/>
        </w:rPr>
        <w:br/>
        <w:t xml:space="preserve">University students were categorised as high interest but low power, meaning the main communication objective was to keep them informed and engaged. This was achieved through printed flyers distributed across campus and a social media event page created by Sanda. The Student Wellbeing </w:t>
      </w:r>
      <w:proofErr w:type="gramStart"/>
      <w:r w:rsidRPr="006D1722">
        <w:rPr>
          <w:rFonts w:ascii="Arial" w:hAnsi="Arial" w:cs="Arial"/>
          <w:sz w:val="24"/>
          <w:szCs w:val="24"/>
        </w:rPr>
        <w:t>Team</w:t>
      </w:r>
      <w:proofErr w:type="gramEnd"/>
      <w:r w:rsidRPr="006D1722">
        <w:rPr>
          <w:rFonts w:ascii="Arial" w:hAnsi="Arial" w:cs="Arial"/>
          <w:sz w:val="24"/>
          <w:szCs w:val="24"/>
        </w:rPr>
        <w:t xml:space="preserve"> were identified as high power and high interest and were therefore managed closely through formal email communication, which helped us ensure that our campaign was appropriate and relevant. University staff were categorised as high power but lower interest and received less frequent communication, though they were kept aware of the campaign's purpose.</w:t>
      </w:r>
      <w:r w:rsidRPr="006D1722">
        <w:rPr>
          <w:rFonts w:ascii="Arial" w:hAnsi="Arial" w:cs="Arial"/>
          <w:sz w:val="24"/>
          <w:szCs w:val="24"/>
        </w:rPr>
        <w:br/>
      </w:r>
      <w:r w:rsidRPr="006D1722">
        <w:rPr>
          <w:rFonts w:ascii="Arial" w:hAnsi="Arial" w:cs="Arial"/>
          <w:sz w:val="24"/>
          <w:szCs w:val="24"/>
        </w:rPr>
        <w:br/>
        <w:t xml:space="preserve">Mind was also identified as an important stakeholder because the charity was the direct beneficiary of the funds raised, and their involvement gave the project a clear purpose and credibility. One of the first challenges encountered was uncertainty around the correct procedure for collecting and donating funds to Mind. To resolve </w:t>
      </w:r>
      <w:r w:rsidRPr="006D1722">
        <w:rPr>
          <w:rFonts w:ascii="Arial" w:hAnsi="Arial" w:cs="Arial"/>
          <w:sz w:val="24"/>
          <w:szCs w:val="24"/>
        </w:rPr>
        <w:lastRenderedPageBreak/>
        <w:t xml:space="preserve">this, we contacted our module leader, Ffion Cumberpatch, for guidance. </w:t>
      </w:r>
      <w:proofErr w:type="spellStart"/>
      <w:r w:rsidRPr="006D1722">
        <w:rPr>
          <w:rFonts w:ascii="Arial" w:hAnsi="Arial" w:cs="Arial"/>
          <w:sz w:val="24"/>
          <w:szCs w:val="24"/>
        </w:rPr>
        <w:t>Heerkens</w:t>
      </w:r>
      <w:proofErr w:type="spellEnd"/>
      <w:r w:rsidRPr="006D1722">
        <w:rPr>
          <w:rFonts w:ascii="Arial" w:hAnsi="Arial" w:cs="Arial"/>
          <w:sz w:val="24"/>
          <w:szCs w:val="24"/>
        </w:rPr>
        <w:t xml:space="preserve"> (2015) argues that seeking clarification from relevant stakeholders when uncertainties arise is an important part of effective project communication, and this action demonstrated the team's willingness to engage proactively with those who could provide support.</w:t>
      </w:r>
      <w:r w:rsidRPr="006D1722">
        <w:rPr>
          <w:rFonts w:ascii="Arial" w:hAnsi="Arial" w:cs="Arial"/>
          <w:sz w:val="24"/>
          <w:szCs w:val="24"/>
        </w:rPr>
        <w:br/>
      </w:r>
      <w:r w:rsidRPr="006D1722">
        <w:rPr>
          <w:rFonts w:ascii="Arial" w:hAnsi="Arial" w:cs="Arial"/>
          <w:sz w:val="24"/>
          <w:szCs w:val="24"/>
        </w:rPr>
        <w:br/>
        <w:t>However, the most significant weakness in our stakeholder management was the failure to identify the University Operations Team at the start of the project. Their approval was required before the event could proceed, but this requirement was not discovered until late in the planning phase, which forced adjustments to the original schedule. Project Management Institute (2021) recommends that stakeholder identification be completed as early as possible during initiation, as late identification is one of the most common causes of avoidable project disruption. Meredith and Mantel (2009) similarly highlight that failing to engage all relevant stakeholders early is a frequent and preventable source of delay. This experience reinforced the importance of conducting a comprehensive stakeholder mapping exercise at the very beginning of any project rather than relying on stakeholders to identify themselves.</w:t>
      </w:r>
    </w:p>
    <w:p w14:paraId="1BA04DA3" w14:textId="77777777" w:rsidR="00795FD8" w:rsidRDefault="00795FD8" w:rsidP="006D1722">
      <w:pPr>
        <w:rPr>
          <w:rFonts w:ascii="Arial" w:hAnsi="Arial" w:cs="Arial"/>
          <w:sz w:val="24"/>
          <w:szCs w:val="24"/>
        </w:rPr>
      </w:pPr>
    </w:p>
    <w:p w14:paraId="7A7D85EA" w14:textId="77777777" w:rsidR="00795FD8" w:rsidRDefault="00795FD8" w:rsidP="00795FD8">
      <w:pPr>
        <w:pStyle w:val="Heading1"/>
      </w:pPr>
    </w:p>
    <w:p w14:paraId="18688B75" w14:textId="6FCF3051" w:rsidR="006D1722" w:rsidRDefault="006D1722" w:rsidP="00795FD8">
      <w:pPr>
        <w:pStyle w:val="Heading1"/>
      </w:pPr>
      <w:bookmarkStart w:id="7" w:name="_Toc232766218"/>
      <w:r w:rsidRPr="00795FD8">
        <w:rPr>
          <w:rStyle w:val="Heading1Char"/>
        </w:rPr>
        <w:t>4. Project Scheduling, Delivery and Closure</w:t>
      </w:r>
      <w:bookmarkEnd w:id="7"/>
      <w:r w:rsidRPr="006D1722">
        <w:br/>
      </w:r>
    </w:p>
    <w:p w14:paraId="23439699" w14:textId="57FCBA7A" w:rsidR="00795FD8" w:rsidRDefault="006D1722" w:rsidP="006D1722">
      <w:pPr>
        <w:rPr>
          <w:rStyle w:val="Heading1Char"/>
        </w:rPr>
      </w:pPr>
      <w:r w:rsidRPr="006D1722">
        <w:rPr>
          <w:rFonts w:ascii="Arial" w:hAnsi="Arial" w:cs="Arial"/>
          <w:sz w:val="24"/>
          <w:szCs w:val="24"/>
        </w:rPr>
        <w:t>Once the key stakeholders had been identified and planning activities agreed, the team used a WBS to divide the project into five main areas: promotional materials, venue and event logistics, refreshment procurement, stakeholder communication and presentation preparation. Each area was broken down into specific tasks and assigned to individual team members. For example, within promotional materials, tasks included designing flyers, printing them and distributing them across the campus. Heagney (2016) argues that this kind of structured task decomposition is what separates effective planning from vague intention, and this was clearly demonstrated in our experience — once the WBS was in place, the project felt much more manageable.</w:t>
      </w:r>
      <w:r w:rsidRPr="006D1722">
        <w:rPr>
          <w:rFonts w:ascii="Arial" w:hAnsi="Arial" w:cs="Arial"/>
          <w:sz w:val="24"/>
          <w:szCs w:val="24"/>
        </w:rPr>
        <w:br/>
      </w:r>
      <w:r w:rsidRPr="006D1722">
        <w:rPr>
          <w:rFonts w:ascii="Arial" w:hAnsi="Arial" w:cs="Arial"/>
          <w:sz w:val="24"/>
          <w:szCs w:val="24"/>
        </w:rPr>
        <w:br/>
        <w:t>The Gantt Chart was then used to schedule all tasks across the available timeline. It made clear which tasks needed to begin immediately and which could be delayed, for example identifying that refreshments should be purchased close to the event day to ensure freshness, while promotional materials needed to be started early. When the team discovered that the original event date could not proceed due to the missing operations approval, the Gantt Chart was used to review completed tasks, identify what needed to be accelerated and revise the remaining schedule. Lock (2020) argues that the real value of a Gantt Chart is demonstrated precisely in these moments of disruption, when teams need to re-plan quickly and clearly.</w:t>
      </w:r>
      <w:r w:rsidRPr="006D1722">
        <w:rPr>
          <w:rFonts w:ascii="Arial" w:hAnsi="Arial" w:cs="Arial"/>
          <w:sz w:val="24"/>
          <w:szCs w:val="24"/>
        </w:rPr>
        <w:br/>
      </w:r>
      <w:r w:rsidRPr="006D1722">
        <w:rPr>
          <w:rFonts w:ascii="Arial" w:hAnsi="Arial" w:cs="Arial"/>
          <w:sz w:val="24"/>
          <w:szCs w:val="24"/>
        </w:rPr>
        <w:lastRenderedPageBreak/>
        <w:br/>
        <w:t>During the execution phase, all revised tasks were completed successfully. Flyers were printed and distributed, Sanda managed the social media promotion, Daniel purchased the refreshments and the full team prepared the presentation. The event on 16th June 2026 was delivered successfully and received very positive feedback from students and lecturers who attended.</w:t>
      </w:r>
      <w:r w:rsidRPr="006D1722">
        <w:rPr>
          <w:rFonts w:ascii="Arial" w:hAnsi="Arial" w:cs="Arial"/>
          <w:sz w:val="24"/>
          <w:szCs w:val="24"/>
        </w:rPr>
        <w:br/>
      </w:r>
      <w:r w:rsidRPr="006D1722">
        <w:rPr>
          <w:rFonts w:ascii="Arial" w:hAnsi="Arial" w:cs="Arial"/>
          <w:sz w:val="24"/>
          <w:szCs w:val="24"/>
        </w:rPr>
        <w:br/>
        <w:t>Following the event, the team held an informal debrief to reflect on the campaign. Each member discussed their individual contributions, acknowledged what had worked well and identified areas for future improvement. Gibbs' Reflective Cycle (1988) provides a useful framework for this kind of structured reflection, moving through description, feelings, evaluation, analysis, conclusions and action planning. Applying this model to our debrief, we were able to move beyond simply describing what happened and instead analyse why certain challenges occurred and what we would do differently in future projects. All key deliverables  including the awareness stand, promotional materials and the presentation  were completed and signed off, marking the formal closure of the project.</w:t>
      </w:r>
      <w:r w:rsidRPr="006D1722">
        <w:rPr>
          <w:rFonts w:ascii="Arial" w:hAnsi="Arial" w:cs="Arial"/>
          <w:sz w:val="24"/>
          <w:szCs w:val="24"/>
        </w:rPr>
        <w:br/>
      </w:r>
      <w:r w:rsidRPr="006D1722">
        <w:rPr>
          <w:rFonts w:ascii="Arial" w:hAnsi="Arial" w:cs="Arial"/>
          <w:b/>
          <w:bCs/>
          <w:sz w:val="24"/>
          <w:szCs w:val="24"/>
        </w:rPr>
        <w:br/>
      </w:r>
    </w:p>
    <w:p w14:paraId="72D17EAC" w14:textId="1F733EF9" w:rsidR="006D1722" w:rsidRDefault="006D1722" w:rsidP="006D1722">
      <w:pPr>
        <w:rPr>
          <w:rFonts w:ascii="Arial" w:hAnsi="Arial" w:cs="Arial"/>
          <w:sz w:val="24"/>
          <w:szCs w:val="24"/>
        </w:rPr>
      </w:pPr>
      <w:bookmarkStart w:id="8" w:name="_Toc232766219"/>
      <w:r w:rsidRPr="006D1722">
        <w:rPr>
          <w:rStyle w:val="Heading1Char"/>
        </w:rPr>
        <w:t>5. Evaluation and Recommendations</w:t>
      </w:r>
      <w:bookmarkEnd w:id="8"/>
      <w:r w:rsidRPr="006D1722">
        <w:rPr>
          <w:rFonts w:ascii="Arial" w:hAnsi="Arial" w:cs="Arial"/>
          <w:sz w:val="24"/>
          <w:szCs w:val="24"/>
        </w:rPr>
        <w:br/>
      </w:r>
    </w:p>
    <w:p w14:paraId="437E340C" w14:textId="12A3F1F1" w:rsidR="00795FD8" w:rsidRPr="009863BF" w:rsidRDefault="006D1722" w:rsidP="006D1722">
      <w:pPr>
        <w:rPr>
          <w:rStyle w:val="Heading1Char"/>
          <w:rFonts w:ascii="Arial" w:eastAsiaTheme="minorHAnsi" w:hAnsi="Arial" w:cs="Arial"/>
          <w:color w:val="auto"/>
          <w:sz w:val="24"/>
          <w:szCs w:val="24"/>
        </w:rPr>
      </w:pPr>
      <w:r w:rsidRPr="006D1722">
        <w:rPr>
          <w:rFonts w:ascii="Arial" w:hAnsi="Arial" w:cs="Arial"/>
          <w:sz w:val="24"/>
          <w:szCs w:val="24"/>
        </w:rPr>
        <w:t xml:space="preserve">Overall, the Mental Health Awareness Campaign achieved its main objectives of raising awareness among students and generating donations for Mind. Heagney (2016) argues that project success should be measured not only by whether a project was delivered on time and within budget, but by whether it achieved its intended purpose. By this measure, the campaign was a genuine success. The teamwork demonstrated throughout was one of the strongest aspects of the project. Belbin (2010) suggests that effective teams rely on individuals contributing different strengths towards a common goal, and this was </w:t>
      </w:r>
      <w:r w:rsidR="00A61D89" w:rsidRPr="006D1722">
        <w:rPr>
          <w:rFonts w:ascii="Arial" w:hAnsi="Arial" w:cs="Arial"/>
          <w:sz w:val="24"/>
          <w:szCs w:val="24"/>
        </w:rPr>
        <w:t>clear</w:t>
      </w:r>
      <w:r w:rsidRPr="006D1722">
        <w:rPr>
          <w:rFonts w:ascii="Arial" w:hAnsi="Arial" w:cs="Arial"/>
          <w:sz w:val="24"/>
          <w:szCs w:val="24"/>
        </w:rPr>
        <w:t xml:space="preserve"> across the group.</w:t>
      </w:r>
      <w:r w:rsidRPr="006D1722">
        <w:rPr>
          <w:rFonts w:ascii="Arial" w:hAnsi="Arial" w:cs="Arial"/>
          <w:sz w:val="24"/>
          <w:szCs w:val="24"/>
        </w:rPr>
        <w:br/>
      </w:r>
      <w:r w:rsidRPr="006D1722">
        <w:rPr>
          <w:rFonts w:ascii="Arial" w:hAnsi="Arial" w:cs="Arial"/>
          <w:sz w:val="24"/>
          <w:szCs w:val="24"/>
        </w:rPr>
        <w:br/>
        <w:t>However, several important areas for improvement were identified. The first recommendation is to develop a formal risk register at the beginning of any future project. Hillson (2017) argues that risk identification allows teams to prepare responses before problems occur. A risk register covering potential risks such as approval delays, resource unavailability and scheduling conflicts would have helped the team anticipate and manage the disruptions encountered during this project.</w:t>
      </w:r>
      <w:r w:rsidRPr="006D1722">
        <w:rPr>
          <w:rFonts w:ascii="Arial" w:hAnsi="Arial" w:cs="Arial"/>
          <w:sz w:val="24"/>
          <w:szCs w:val="24"/>
        </w:rPr>
        <w:br/>
      </w:r>
      <w:r w:rsidRPr="006D1722">
        <w:rPr>
          <w:rFonts w:ascii="Arial" w:hAnsi="Arial" w:cs="Arial"/>
          <w:sz w:val="24"/>
          <w:szCs w:val="24"/>
        </w:rPr>
        <w:br/>
        <w:t>The second recommendation is to conduct a comprehensive stakeholder mapping exercise at initiation and maintain a formal stakeholder register throughout the lifecycle. Bourne (2015) argues this ensures that no key stakeholders are overlooked as the project develops.</w:t>
      </w:r>
      <w:r w:rsidR="009863BF" w:rsidRPr="00345022">
        <w:rPr>
          <w:rFonts w:ascii="Arial" w:hAnsi="Arial" w:cs="Arial"/>
          <w:sz w:val="24"/>
          <w:szCs w:val="24"/>
        </w:rPr>
        <w:t xml:space="preserve"> According to Clegg, </w:t>
      </w:r>
      <w:proofErr w:type="spellStart"/>
      <w:r w:rsidR="009863BF" w:rsidRPr="00345022">
        <w:rPr>
          <w:rFonts w:ascii="Arial" w:hAnsi="Arial" w:cs="Arial"/>
          <w:sz w:val="24"/>
          <w:szCs w:val="24"/>
        </w:rPr>
        <w:t>Skyttermoen</w:t>
      </w:r>
      <w:proofErr w:type="spellEnd"/>
      <w:r w:rsidR="009863BF" w:rsidRPr="00345022">
        <w:rPr>
          <w:rFonts w:ascii="Arial" w:hAnsi="Arial" w:cs="Arial"/>
          <w:sz w:val="24"/>
          <w:szCs w:val="24"/>
        </w:rPr>
        <w:t xml:space="preserve"> and </w:t>
      </w:r>
      <w:proofErr w:type="spellStart"/>
      <w:r w:rsidR="009863BF" w:rsidRPr="00345022">
        <w:rPr>
          <w:rFonts w:ascii="Arial" w:hAnsi="Arial" w:cs="Arial"/>
          <w:sz w:val="24"/>
          <w:szCs w:val="24"/>
        </w:rPr>
        <w:t>Vaagaasar</w:t>
      </w:r>
      <w:proofErr w:type="spellEnd"/>
      <w:r w:rsidR="009863BF" w:rsidRPr="00345022">
        <w:rPr>
          <w:rFonts w:ascii="Arial" w:hAnsi="Arial" w:cs="Arial"/>
          <w:sz w:val="24"/>
          <w:szCs w:val="24"/>
        </w:rPr>
        <w:t xml:space="preserve"> (2020), successful projects create value through effective collaboration and stakeholder engagement. Therefore, improving stakeholder involvement and risk planning would strengthen future project delivery and increase the likelihood of achieving project </w:t>
      </w:r>
      <w:r w:rsidR="009863BF" w:rsidRPr="00345022">
        <w:rPr>
          <w:rFonts w:ascii="Arial" w:hAnsi="Arial" w:cs="Arial"/>
          <w:sz w:val="24"/>
          <w:szCs w:val="24"/>
        </w:rPr>
        <w:lastRenderedPageBreak/>
        <w:t>objectives efficiently</w:t>
      </w:r>
      <w:r w:rsidR="009863BF">
        <w:rPr>
          <w:rFonts w:ascii="Arial" w:hAnsi="Arial" w:cs="Arial"/>
          <w:sz w:val="24"/>
          <w:szCs w:val="24"/>
        </w:rPr>
        <w:t>.</w:t>
      </w:r>
      <w:r w:rsidRPr="006D1722">
        <w:rPr>
          <w:rFonts w:ascii="Arial" w:hAnsi="Arial" w:cs="Arial"/>
          <w:sz w:val="24"/>
          <w:szCs w:val="24"/>
        </w:rPr>
        <w:br/>
      </w:r>
      <w:r w:rsidRPr="006D1722">
        <w:rPr>
          <w:rFonts w:ascii="Arial" w:hAnsi="Arial" w:cs="Arial"/>
          <w:sz w:val="24"/>
          <w:szCs w:val="24"/>
        </w:rPr>
        <w:br/>
        <w:t>The third recommendation is to build contingency time into the project schedule for activities outside the team's direct control, such as administrative approvals and external dependencies. Wysocki, Kaikini and Sneed (2014) recommend that all project schedules include buffer periods to accommodate uncertainty, and this is a lesson the team will carry into future projects.</w:t>
      </w:r>
      <w:r w:rsidRPr="006D1722">
        <w:rPr>
          <w:rFonts w:ascii="Arial" w:hAnsi="Arial" w:cs="Arial"/>
          <w:sz w:val="24"/>
          <w:szCs w:val="24"/>
        </w:rPr>
        <w:br/>
      </w:r>
      <w:r w:rsidRPr="006D1722">
        <w:rPr>
          <w:rFonts w:ascii="Arial" w:hAnsi="Arial" w:cs="Arial"/>
          <w:sz w:val="24"/>
          <w:szCs w:val="24"/>
        </w:rPr>
        <w:br/>
      </w:r>
      <w:r w:rsidRPr="006D1722">
        <w:rPr>
          <w:rFonts w:ascii="Arial" w:hAnsi="Arial" w:cs="Arial"/>
          <w:sz w:val="24"/>
          <w:szCs w:val="24"/>
        </w:rPr>
        <w:br/>
      </w:r>
      <w:r w:rsidRPr="006D1722">
        <w:rPr>
          <w:rFonts w:ascii="Arial" w:hAnsi="Arial" w:cs="Arial"/>
          <w:sz w:val="24"/>
          <w:szCs w:val="24"/>
        </w:rPr>
        <w:br/>
      </w:r>
    </w:p>
    <w:p w14:paraId="148B00EC" w14:textId="77777777" w:rsidR="00795FD8" w:rsidRDefault="00795FD8" w:rsidP="006D1722">
      <w:pPr>
        <w:rPr>
          <w:rStyle w:val="Heading1Char"/>
        </w:rPr>
      </w:pPr>
    </w:p>
    <w:p w14:paraId="0B5CCD9D" w14:textId="189D372A" w:rsidR="006D1722" w:rsidRDefault="006D1722" w:rsidP="006D1722">
      <w:pPr>
        <w:rPr>
          <w:rFonts w:ascii="Arial" w:hAnsi="Arial" w:cs="Arial"/>
          <w:sz w:val="24"/>
          <w:szCs w:val="24"/>
        </w:rPr>
      </w:pPr>
      <w:bookmarkStart w:id="9" w:name="_Toc232766220"/>
      <w:r w:rsidRPr="006D1722">
        <w:rPr>
          <w:rStyle w:val="Heading1Char"/>
        </w:rPr>
        <w:t>6. Conclusion</w:t>
      </w:r>
      <w:bookmarkEnd w:id="9"/>
      <w:r w:rsidRPr="006D1722">
        <w:rPr>
          <w:rFonts w:ascii="Arial" w:hAnsi="Arial" w:cs="Arial"/>
          <w:sz w:val="24"/>
          <w:szCs w:val="24"/>
        </w:rPr>
        <w:br/>
      </w:r>
    </w:p>
    <w:p w14:paraId="29F55C68" w14:textId="77777777" w:rsidR="006D1722" w:rsidRDefault="006D1722" w:rsidP="006D1722">
      <w:pPr>
        <w:rPr>
          <w:rFonts w:asciiTheme="majorHAnsi" w:eastAsiaTheme="majorEastAsia" w:hAnsiTheme="majorHAnsi" w:cstheme="majorBidi"/>
          <w:color w:val="0F4761" w:themeColor="accent1" w:themeShade="BF"/>
          <w:sz w:val="32"/>
          <w:szCs w:val="32"/>
          <w:lang w:val="en-US"/>
        </w:rPr>
      </w:pPr>
      <w:r w:rsidRPr="006D1722">
        <w:rPr>
          <w:rFonts w:ascii="Arial" w:hAnsi="Arial" w:cs="Arial"/>
          <w:sz w:val="24"/>
          <w:szCs w:val="24"/>
        </w:rPr>
        <w:t>This report has critically evaluated the project management tools and techniques used during the planning and delivery of the Mental Health Awareness Campaign. The WBS provided a clear framework for scope management and task allocation, while the Gantt Chart supported scheduling, monitoring and adaptive re-planning when the project was disrupted. The Iron Triangle gave the team a practical model for managing trade-offs under time pressure, and the Power-Interest Grid helped prioritise stakeholder communication effectively.</w:t>
      </w:r>
      <w:r w:rsidRPr="006D1722">
        <w:rPr>
          <w:rFonts w:ascii="Arial" w:hAnsi="Arial" w:cs="Arial"/>
          <w:sz w:val="24"/>
          <w:szCs w:val="24"/>
        </w:rPr>
        <w:br/>
      </w:r>
      <w:r w:rsidRPr="006D1722">
        <w:rPr>
          <w:rFonts w:ascii="Arial" w:hAnsi="Arial" w:cs="Arial"/>
          <w:sz w:val="24"/>
          <w:szCs w:val="24"/>
        </w:rPr>
        <w:br/>
        <w:t>The project demonstrated that traditional project management tools are valuable but have clear limitations, particularly when unexpected risks arise and when stakeholder identification is incomplete. The absence of a formal risk register and the late identification of the University Operations Team were the most significant weaknesses in our approach, and both would be addressed in future projects through the recommendations outlined above.</w:t>
      </w:r>
      <w:r w:rsidRPr="006D1722">
        <w:rPr>
          <w:rFonts w:ascii="Arial" w:hAnsi="Arial" w:cs="Arial"/>
          <w:sz w:val="24"/>
          <w:szCs w:val="24"/>
        </w:rPr>
        <w:br/>
      </w:r>
      <w:r w:rsidRPr="006D1722">
        <w:rPr>
          <w:rFonts w:ascii="Arial" w:hAnsi="Arial" w:cs="Arial"/>
          <w:sz w:val="24"/>
          <w:szCs w:val="24"/>
        </w:rPr>
        <w:br/>
        <w:t xml:space="preserve">Despite these challenges, the campaign was delivered successfully and achieved its core objectives. It provided all four team members with practical experience of managing a real project from initiation through to closure and evaluation, and the lessons learned will directly inform how we approach future projects both within the module and in our professional lives. </w:t>
      </w:r>
      <w:proofErr w:type="spellStart"/>
      <w:r w:rsidRPr="006D1722">
        <w:rPr>
          <w:rFonts w:ascii="Arial" w:hAnsi="Arial" w:cs="Arial"/>
          <w:sz w:val="24"/>
          <w:szCs w:val="24"/>
        </w:rPr>
        <w:t>Heerkens</w:t>
      </w:r>
      <w:proofErr w:type="spellEnd"/>
      <w:r w:rsidRPr="006D1722">
        <w:rPr>
          <w:rFonts w:ascii="Arial" w:hAnsi="Arial" w:cs="Arial"/>
          <w:sz w:val="24"/>
          <w:szCs w:val="24"/>
        </w:rPr>
        <w:t xml:space="preserve"> (2015) argues that project success depends on balancing technical planning with effective people management, and this campaign demonstrated that both are equally important.</w:t>
      </w:r>
      <w:r w:rsidRPr="006D1722">
        <w:rPr>
          <w:rFonts w:ascii="Arial" w:hAnsi="Arial" w:cs="Arial"/>
          <w:sz w:val="24"/>
          <w:szCs w:val="24"/>
        </w:rPr>
        <w:br/>
      </w:r>
      <w:r w:rsidRPr="006D1722">
        <w:rPr>
          <w:rFonts w:ascii="Arial" w:hAnsi="Arial" w:cs="Arial"/>
          <w:sz w:val="24"/>
          <w:szCs w:val="24"/>
        </w:rPr>
        <w:br/>
      </w:r>
    </w:p>
    <w:p w14:paraId="65482E2B" w14:textId="77777777" w:rsidR="006D1722" w:rsidRDefault="006D1722" w:rsidP="006D1722">
      <w:pPr>
        <w:rPr>
          <w:rFonts w:asciiTheme="majorHAnsi" w:eastAsiaTheme="majorEastAsia" w:hAnsiTheme="majorHAnsi" w:cstheme="majorBidi"/>
          <w:color w:val="0F4761" w:themeColor="accent1" w:themeShade="BF"/>
          <w:sz w:val="32"/>
          <w:szCs w:val="32"/>
          <w:lang w:val="en-US"/>
        </w:rPr>
      </w:pPr>
    </w:p>
    <w:p w14:paraId="3EB022EB" w14:textId="77777777" w:rsidR="006D1722" w:rsidRDefault="006D1722" w:rsidP="006D1722">
      <w:pPr>
        <w:rPr>
          <w:rFonts w:asciiTheme="majorHAnsi" w:eastAsiaTheme="majorEastAsia" w:hAnsiTheme="majorHAnsi" w:cstheme="majorBidi"/>
          <w:color w:val="0F4761" w:themeColor="accent1" w:themeShade="BF"/>
          <w:sz w:val="32"/>
          <w:szCs w:val="32"/>
          <w:lang w:val="en-US"/>
        </w:rPr>
      </w:pPr>
    </w:p>
    <w:p w14:paraId="72616754" w14:textId="13F52599" w:rsidR="006D1722" w:rsidRDefault="006D1722" w:rsidP="00795FD8">
      <w:pPr>
        <w:pStyle w:val="Heading1"/>
      </w:pPr>
      <w:bookmarkStart w:id="10" w:name="_Toc232766221"/>
      <w:r>
        <w:rPr>
          <w:lang w:val="en-US"/>
        </w:rPr>
        <w:lastRenderedPageBreak/>
        <w:t>Reference list:</w:t>
      </w:r>
      <w:bookmarkEnd w:id="10"/>
    </w:p>
    <w:p w14:paraId="7FF0CCA8" w14:textId="1059AA53" w:rsidR="00D87410" w:rsidRPr="006D1722" w:rsidRDefault="006D1722" w:rsidP="006D1722">
      <w:pPr>
        <w:rPr>
          <w:rFonts w:ascii="Arial" w:hAnsi="Arial" w:cs="Arial"/>
          <w:sz w:val="24"/>
          <w:szCs w:val="24"/>
        </w:rPr>
      </w:pPr>
      <w:r w:rsidRPr="006D1722">
        <w:rPr>
          <w:rFonts w:ascii="Arial" w:hAnsi="Arial" w:cs="Arial"/>
          <w:sz w:val="24"/>
          <w:szCs w:val="24"/>
        </w:rPr>
        <w:br/>
      </w:r>
      <w:r w:rsidRPr="006D1722">
        <w:rPr>
          <w:rFonts w:ascii="Arial" w:hAnsi="Arial" w:cs="Arial"/>
          <w:sz w:val="24"/>
          <w:szCs w:val="24"/>
        </w:rPr>
        <w:br/>
      </w:r>
      <w:r w:rsidRPr="006D1722">
        <w:rPr>
          <w:rFonts w:ascii="Arial" w:hAnsi="Arial" w:cs="Arial"/>
          <w:sz w:val="24"/>
          <w:szCs w:val="24"/>
        </w:rPr>
        <w:br/>
        <w:t xml:space="preserve">Association for Project Management (2019) APM Body of Knowledge. 7th </w:t>
      </w:r>
      <w:proofErr w:type="spellStart"/>
      <w:r w:rsidRPr="006D1722">
        <w:rPr>
          <w:rFonts w:ascii="Arial" w:hAnsi="Arial" w:cs="Arial"/>
          <w:sz w:val="24"/>
          <w:szCs w:val="24"/>
        </w:rPr>
        <w:t>edn</w:t>
      </w:r>
      <w:proofErr w:type="spellEnd"/>
      <w:r w:rsidRPr="006D1722">
        <w:rPr>
          <w:rFonts w:ascii="Arial" w:hAnsi="Arial" w:cs="Arial"/>
          <w:sz w:val="24"/>
          <w:szCs w:val="24"/>
        </w:rPr>
        <w:t>. Princes Risborough: Association for Project Management.</w:t>
      </w:r>
      <w:r w:rsidRPr="006D1722">
        <w:rPr>
          <w:rFonts w:ascii="Arial" w:hAnsi="Arial" w:cs="Arial"/>
          <w:sz w:val="24"/>
          <w:szCs w:val="24"/>
        </w:rPr>
        <w:br/>
      </w:r>
      <w:r w:rsidRPr="006D1722">
        <w:rPr>
          <w:rFonts w:ascii="Arial" w:hAnsi="Arial" w:cs="Arial"/>
          <w:sz w:val="24"/>
          <w:szCs w:val="24"/>
        </w:rPr>
        <w:br/>
        <w:t xml:space="preserve">Belbin, R.M. (2010) Management Teams: Why They Succeed or Fail. 3rd </w:t>
      </w:r>
      <w:proofErr w:type="spellStart"/>
      <w:r w:rsidRPr="006D1722">
        <w:rPr>
          <w:rFonts w:ascii="Arial" w:hAnsi="Arial" w:cs="Arial"/>
          <w:sz w:val="24"/>
          <w:szCs w:val="24"/>
        </w:rPr>
        <w:t>edn</w:t>
      </w:r>
      <w:proofErr w:type="spellEnd"/>
      <w:r w:rsidRPr="006D1722">
        <w:rPr>
          <w:rFonts w:ascii="Arial" w:hAnsi="Arial" w:cs="Arial"/>
          <w:sz w:val="24"/>
          <w:szCs w:val="24"/>
        </w:rPr>
        <w:t>. Oxford: Butterworth-Heinemann.</w:t>
      </w:r>
      <w:r w:rsidRPr="006D1722">
        <w:rPr>
          <w:rFonts w:ascii="Arial" w:hAnsi="Arial" w:cs="Arial"/>
          <w:sz w:val="24"/>
          <w:szCs w:val="24"/>
        </w:rPr>
        <w:br/>
      </w:r>
      <w:r w:rsidRPr="006D1722">
        <w:rPr>
          <w:rFonts w:ascii="Arial" w:hAnsi="Arial" w:cs="Arial"/>
          <w:sz w:val="24"/>
          <w:szCs w:val="24"/>
        </w:rPr>
        <w:br/>
        <w:t>Bourne, L. (2015) Stakeholder Relationship Management. Farnham: Gower.</w:t>
      </w:r>
      <w:r w:rsidRPr="006D1722">
        <w:rPr>
          <w:rFonts w:ascii="Arial" w:hAnsi="Arial" w:cs="Arial"/>
          <w:sz w:val="24"/>
          <w:szCs w:val="24"/>
        </w:rPr>
        <w:br/>
      </w:r>
      <w:r w:rsidRPr="006D1722">
        <w:rPr>
          <w:rFonts w:ascii="Arial" w:hAnsi="Arial" w:cs="Arial"/>
          <w:sz w:val="24"/>
          <w:szCs w:val="24"/>
        </w:rPr>
        <w:br/>
        <w:t xml:space="preserve">Burke, R. (2013) Project Management: Planning and Control. 6th </w:t>
      </w:r>
      <w:proofErr w:type="spellStart"/>
      <w:r w:rsidRPr="006D1722">
        <w:rPr>
          <w:rFonts w:ascii="Arial" w:hAnsi="Arial" w:cs="Arial"/>
          <w:sz w:val="24"/>
          <w:szCs w:val="24"/>
        </w:rPr>
        <w:t>edn</w:t>
      </w:r>
      <w:proofErr w:type="spellEnd"/>
      <w:r w:rsidRPr="006D1722">
        <w:rPr>
          <w:rFonts w:ascii="Arial" w:hAnsi="Arial" w:cs="Arial"/>
          <w:sz w:val="24"/>
          <w:szCs w:val="24"/>
        </w:rPr>
        <w:t>. Chichester: Wiley.</w:t>
      </w:r>
      <w:r w:rsidRPr="006D1722">
        <w:rPr>
          <w:rFonts w:ascii="Arial" w:hAnsi="Arial" w:cs="Arial"/>
          <w:sz w:val="24"/>
          <w:szCs w:val="24"/>
        </w:rPr>
        <w:br/>
      </w:r>
      <w:r w:rsidRPr="006D1722">
        <w:rPr>
          <w:rFonts w:ascii="Arial" w:hAnsi="Arial" w:cs="Arial"/>
          <w:sz w:val="24"/>
          <w:szCs w:val="24"/>
        </w:rPr>
        <w:br/>
        <w:t xml:space="preserve">Clegg, S.R., </w:t>
      </w:r>
      <w:proofErr w:type="spellStart"/>
      <w:r w:rsidRPr="006D1722">
        <w:rPr>
          <w:rFonts w:ascii="Arial" w:hAnsi="Arial" w:cs="Arial"/>
          <w:sz w:val="24"/>
          <w:szCs w:val="24"/>
        </w:rPr>
        <w:t>Skyttermoen</w:t>
      </w:r>
      <w:proofErr w:type="spellEnd"/>
      <w:r w:rsidRPr="006D1722">
        <w:rPr>
          <w:rFonts w:ascii="Arial" w:hAnsi="Arial" w:cs="Arial"/>
          <w:sz w:val="24"/>
          <w:szCs w:val="24"/>
        </w:rPr>
        <w:t xml:space="preserve">, T. and </w:t>
      </w:r>
      <w:proofErr w:type="spellStart"/>
      <w:r w:rsidRPr="006D1722">
        <w:rPr>
          <w:rFonts w:ascii="Arial" w:hAnsi="Arial" w:cs="Arial"/>
          <w:sz w:val="24"/>
          <w:szCs w:val="24"/>
        </w:rPr>
        <w:t>Vaagaasar</w:t>
      </w:r>
      <w:proofErr w:type="spellEnd"/>
      <w:r w:rsidRPr="006D1722">
        <w:rPr>
          <w:rFonts w:ascii="Arial" w:hAnsi="Arial" w:cs="Arial"/>
          <w:sz w:val="24"/>
          <w:szCs w:val="24"/>
        </w:rPr>
        <w:t>, A.L. (2020) Project Management: A Value Creation Approach. London: Sage.</w:t>
      </w:r>
      <w:r w:rsidRPr="006D1722">
        <w:rPr>
          <w:rFonts w:ascii="Arial" w:hAnsi="Arial" w:cs="Arial"/>
          <w:sz w:val="24"/>
          <w:szCs w:val="24"/>
        </w:rPr>
        <w:br/>
      </w:r>
      <w:r w:rsidRPr="006D1722">
        <w:rPr>
          <w:rFonts w:ascii="Arial" w:hAnsi="Arial" w:cs="Arial"/>
          <w:sz w:val="24"/>
          <w:szCs w:val="24"/>
        </w:rPr>
        <w:br/>
        <w:t>Freeman, R.E. (1984) Strategic Management: A Stakeholder Approach. Boston: Pitman.</w:t>
      </w:r>
      <w:r w:rsidRPr="006D1722">
        <w:rPr>
          <w:rFonts w:ascii="Arial" w:hAnsi="Arial" w:cs="Arial"/>
          <w:sz w:val="24"/>
          <w:szCs w:val="24"/>
        </w:rPr>
        <w:br/>
      </w:r>
      <w:r w:rsidRPr="006D1722">
        <w:rPr>
          <w:rFonts w:ascii="Arial" w:hAnsi="Arial" w:cs="Arial"/>
          <w:sz w:val="24"/>
          <w:szCs w:val="24"/>
        </w:rPr>
        <w:br/>
        <w:t>Gibbs, G. (1988) Learning by Doing: A Guide to Teaching and Learning Methods. Oxford: Oxford Polytechnic.</w:t>
      </w:r>
      <w:r w:rsidRPr="006D1722">
        <w:rPr>
          <w:rFonts w:ascii="Arial" w:hAnsi="Arial" w:cs="Arial"/>
          <w:sz w:val="24"/>
          <w:szCs w:val="24"/>
        </w:rPr>
        <w:br/>
      </w:r>
      <w:r w:rsidRPr="006D1722">
        <w:rPr>
          <w:rFonts w:ascii="Arial" w:hAnsi="Arial" w:cs="Arial"/>
          <w:sz w:val="24"/>
          <w:szCs w:val="24"/>
        </w:rPr>
        <w:br/>
        <w:t xml:space="preserve">Heagney, J. (2016) Fundamentals of Project Management. 5th </w:t>
      </w:r>
      <w:proofErr w:type="spellStart"/>
      <w:r w:rsidRPr="006D1722">
        <w:rPr>
          <w:rFonts w:ascii="Arial" w:hAnsi="Arial" w:cs="Arial"/>
          <w:sz w:val="24"/>
          <w:szCs w:val="24"/>
        </w:rPr>
        <w:t>edn</w:t>
      </w:r>
      <w:proofErr w:type="spellEnd"/>
      <w:r w:rsidRPr="006D1722">
        <w:rPr>
          <w:rFonts w:ascii="Arial" w:hAnsi="Arial" w:cs="Arial"/>
          <w:sz w:val="24"/>
          <w:szCs w:val="24"/>
        </w:rPr>
        <w:t>. New York: AMACOM.</w:t>
      </w:r>
      <w:r w:rsidRPr="006D1722">
        <w:rPr>
          <w:rFonts w:ascii="Arial" w:hAnsi="Arial" w:cs="Arial"/>
          <w:sz w:val="24"/>
          <w:szCs w:val="24"/>
        </w:rPr>
        <w:br/>
      </w:r>
      <w:r w:rsidRPr="006D1722">
        <w:rPr>
          <w:rFonts w:ascii="Arial" w:hAnsi="Arial" w:cs="Arial"/>
          <w:sz w:val="24"/>
          <w:szCs w:val="24"/>
        </w:rPr>
        <w:br/>
      </w:r>
      <w:proofErr w:type="spellStart"/>
      <w:r w:rsidRPr="006D1722">
        <w:rPr>
          <w:rFonts w:ascii="Arial" w:hAnsi="Arial" w:cs="Arial"/>
          <w:sz w:val="24"/>
          <w:szCs w:val="24"/>
        </w:rPr>
        <w:t>Heerkens</w:t>
      </w:r>
      <w:proofErr w:type="spellEnd"/>
      <w:r w:rsidRPr="006D1722">
        <w:rPr>
          <w:rFonts w:ascii="Arial" w:hAnsi="Arial" w:cs="Arial"/>
          <w:sz w:val="24"/>
          <w:szCs w:val="24"/>
        </w:rPr>
        <w:t>, G. (2015) Project Management. New York: McGraw-Hill.</w:t>
      </w:r>
      <w:r w:rsidRPr="006D1722">
        <w:rPr>
          <w:rFonts w:ascii="Arial" w:hAnsi="Arial" w:cs="Arial"/>
          <w:sz w:val="24"/>
          <w:szCs w:val="24"/>
        </w:rPr>
        <w:br/>
      </w:r>
      <w:r w:rsidRPr="006D1722">
        <w:rPr>
          <w:rFonts w:ascii="Arial" w:hAnsi="Arial" w:cs="Arial"/>
          <w:sz w:val="24"/>
          <w:szCs w:val="24"/>
        </w:rPr>
        <w:br/>
        <w:t>Hillson, D. (2017) The Risk Management Handbook. London: Kogan Page.</w:t>
      </w:r>
      <w:r w:rsidRPr="006D1722">
        <w:rPr>
          <w:rFonts w:ascii="Arial" w:hAnsi="Arial" w:cs="Arial"/>
          <w:sz w:val="24"/>
          <w:szCs w:val="24"/>
        </w:rPr>
        <w:br/>
      </w:r>
      <w:r w:rsidRPr="006D1722">
        <w:rPr>
          <w:rFonts w:ascii="Arial" w:hAnsi="Arial" w:cs="Arial"/>
          <w:sz w:val="24"/>
          <w:szCs w:val="24"/>
        </w:rPr>
        <w:br/>
        <w:t xml:space="preserve">Hollister, S. (2017) Project Management: A Quick Start Beginners Guide </w:t>
      </w:r>
      <w:proofErr w:type="gramStart"/>
      <w:r w:rsidRPr="006D1722">
        <w:rPr>
          <w:rFonts w:ascii="Arial" w:hAnsi="Arial" w:cs="Arial"/>
          <w:sz w:val="24"/>
          <w:szCs w:val="24"/>
        </w:rPr>
        <w:t>For</w:t>
      </w:r>
      <w:proofErr w:type="gramEnd"/>
      <w:r w:rsidRPr="006D1722">
        <w:rPr>
          <w:rFonts w:ascii="Arial" w:hAnsi="Arial" w:cs="Arial"/>
          <w:sz w:val="24"/>
          <w:szCs w:val="24"/>
        </w:rPr>
        <w:t xml:space="preserve"> Easily Managing Projects </w:t>
      </w:r>
      <w:proofErr w:type="gramStart"/>
      <w:r w:rsidRPr="006D1722">
        <w:rPr>
          <w:rFonts w:ascii="Arial" w:hAnsi="Arial" w:cs="Arial"/>
          <w:sz w:val="24"/>
          <w:szCs w:val="24"/>
        </w:rPr>
        <w:t>The</w:t>
      </w:r>
      <w:proofErr w:type="gramEnd"/>
      <w:r w:rsidRPr="006D1722">
        <w:rPr>
          <w:rFonts w:ascii="Arial" w:hAnsi="Arial" w:cs="Arial"/>
          <w:sz w:val="24"/>
          <w:szCs w:val="24"/>
        </w:rPr>
        <w:t xml:space="preserve"> Right Way. </w:t>
      </w:r>
      <w:proofErr w:type="spellStart"/>
      <w:r w:rsidRPr="006D1722">
        <w:rPr>
          <w:rFonts w:ascii="Arial" w:hAnsi="Arial" w:cs="Arial"/>
          <w:sz w:val="24"/>
          <w:szCs w:val="24"/>
        </w:rPr>
        <w:t>Createspace</w:t>
      </w:r>
      <w:proofErr w:type="spellEnd"/>
      <w:r w:rsidRPr="006D1722">
        <w:rPr>
          <w:rFonts w:ascii="Arial" w:hAnsi="Arial" w:cs="Arial"/>
          <w:sz w:val="24"/>
          <w:szCs w:val="24"/>
        </w:rPr>
        <w:t xml:space="preserve"> Independent Publishing Platform.</w:t>
      </w:r>
      <w:r w:rsidRPr="006D1722">
        <w:rPr>
          <w:rFonts w:ascii="Arial" w:hAnsi="Arial" w:cs="Arial"/>
          <w:sz w:val="24"/>
          <w:szCs w:val="24"/>
        </w:rPr>
        <w:br/>
      </w:r>
      <w:r w:rsidRPr="006D1722">
        <w:rPr>
          <w:rFonts w:ascii="Arial" w:hAnsi="Arial" w:cs="Arial"/>
          <w:sz w:val="24"/>
          <w:szCs w:val="24"/>
        </w:rPr>
        <w:br/>
        <w:t xml:space="preserve">Kerzner, H. (2022) Project Management: A Systems Approach to Planning, Scheduling, and Controlling. 13th </w:t>
      </w:r>
      <w:proofErr w:type="spellStart"/>
      <w:r w:rsidRPr="006D1722">
        <w:rPr>
          <w:rFonts w:ascii="Arial" w:hAnsi="Arial" w:cs="Arial"/>
          <w:sz w:val="24"/>
          <w:szCs w:val="24"/>
        </w:rPr>
        <w:t>edn</w:t>
      </w:r>
      <w:proofErr w:type="spellEnd"/>
      <w:r w:rsidRPr="006D1722">
        <w:rPr>
          <w:rFonts w:ascii="Arial" w:hAnsi="Arial" w:cs="Arial"/>
          <w:sz w:val="24"/>
          <w:szCs w:val="24"/>
        </w:rPr>
        <w:t>. Hoboken, NJ: Wiley.</w:t>
      </w:r>
      <w:r w:rsidRPr="006D1722">
        <w:rPr>
          <w:rFonts w:ascii="Arial" w:hAnsi="Arial" w:cs="Arial"/>
          <w:sz w:val="24"/>
          <w:szCs w:val="24"/>
        </w:rPr>
        <w:br/>
      </w:r>
      <w:r w:rsidRPr="006D1722">
        <w:rPr>
          <w:rFonts w:ascii="Arial" w:hAnsi="Arial" w:cs="Arial"/>
          <w:sz w:val="24"/>
          <w:szCs w:val="24"/>
        </w:rPr>
        <w:br/>
        <w:t>Kidston, P., Haward, K. and Association for Project Management (2015) Planning, Scheduling, Monitoring and Control: The Practical Project Management of Time, Cost and Risk. Buckinghamshire: Association for Project Management.</w:t>
      </w:r>
      <w:r w:rsidRPr="006D1722">
        <w:rPr>
          <w:rFonts w:ascii="Arial" w:hAnsi="Arial" w:cs="Arial"/>
          <w:sz w:val="24"/>
          <w:szCs w:val="24"/>
        </w:rPr>
        <w:br/>
      </w:r>
      <w:r w:rsidRPr="006D1722">
        <w:rPr>
          <w:rFonts w:ascii="Arial" w:hAnsi="Arial" w:cs="Arial"/>
          <w:sz w:val="24"/>
          <w:szCs w:val="24"/>
        </w:rPr>
        <w:br/>
        <w:t xml:space="preserve">Lock, D. (2020) Project Management. 11th </w:t>
      </w:r>
      <w:proofErr w:type="spellStart"/>
      <w:r w:rsidRPr="006D1722">
        <w:rPr>
          <w:rFonts w:ascii="Arial" w:hAnsi="Arial" w:cs="Arial"/>
          <w:sz w:val="24"/>
          <w:szCs w:val="24"/>
        </w:rPr>
        <w:t>edn</w:t>
      </w:r>
      <w:proofErr w:type="spellEnd"/>
      <w:r w:rsidRPr="006D1722">
        <w:rPr>
          <w:rFonts w:ascii="Arial" w:hAnsi="Arial" w:cs="Arial"/>
          <w:sz w:val="24"/>
          <w:szCs w:val="24"/>
        </w:rPr>
        <w:t>. London: Routledge.</w:t>
      </w:r>
      <w:r w:rsidRPr="006D1722">
        <w:rPr>
          <w:rFonts w:ascii="Arial" w:hAnsi="Arial" w:cs="Arial"/>
          <w:sz w:val="24"/>
          <w:szCs w:val="24"/>
        </w:rPr>
        <w:br/>
      </w:r>
      <w:r w:rsidRPr="006D1722">
        <w:rPr>
          <w:rFonts w:ascii="Arial" w:hAnsi="Arial" w:cs="Arial"/>
          <w:sz w:val="24"/>
          <w:szCs w:val="24"/>
        </w:rPr>
        <w:br/>
        <w:t xml:space="preserve">Meredith, J.R. and Mantel, S.J. (2009) Project Management: A Managerial Approach. 7th </w:t>
      </w:r>
      <w:proofErr w:type="spellStart"/>
      <w:r w:rsidRPr="006D1722">
        <w:rPr>
          <w:rFonts w:ascii="Arial" w:hAnsi="Arial" w:cs="Arial"/>
          <w:sz w:val="24"/>
          <w:szCs w:val="24"/>
        </w:rPr>
        <w:t>edn</w:t>
      </w:r>
      <w:proofErr w:type="spellEnd"/>
      <w:r w:rsidRPr="006D1722">
        <w:rPr>
          <w:rFonts w:ascii="Arial" w:hAnsi="Arial" w:cs="Arial"/>
          <w:sz w:val="24"/>
          <w:szCs w:val="24"/>
        </w:rPr>
        <w:t>. Singapore: John Wiley and Sons.</w:t>
      </w:r>
      <w:r w:rsidRPr="006D1722">
        <w:rPr>
          <w:rFonts w:ascii="Arial" w:hAnsi="Arial" w:cs="Arial"/>
          <w:sz w:val="24"/>
          <w:szCs w:val="24"/>
        </w:rPr>
        <w:br/>
      </w:r>
      <w:r w:rsidRPr="006D1722">
        <w:rPr>
          <w:rFonts w:ascii="Arial" w:hAnsi="Arial" w:cs="Arial"/>
          <w:sz w:val="24"/>
          <w:szCs w:val="24"/>
        </w:rPr>
        <w:lastRenderedPageBreak/>
        <w:br/>
        <w:t>Mind (2025) Mental health support and information. Available at: </w:t>
      </w:r>
      <w:hyperlink r:id="rId7" w:tgtFrame="_blank" w:history="1">
        <w:r w:rsidRPr="006D1722">
          <w:rPr>
            <w:rStyle w:val="Hyperlink"/>
            <w:rFonts w:ascii="Arial" w:hAnsi="Arial" w:cs="Arial"/>
            <w:sz w:val="24"/>
            <w:szCs w:val="24"/>
          </w:rPr>
          <w:t>https://www.mind.org.uk</w:t>
        </w:r>
      </w:hyperlink>
      <w:r w:rsidRPr="006D1722">
        <w:rPr>
          <w:rFonts w:ascii="Arial" w:hAnsi="Arial" w:cs="Arial"/>
          <w:sz w:val="24"/>
          <w:szCs w:val="24"/>
        </w:rPr>
        <w:t> (Accessed: 5 June 2026).</w:t>
      </w:r>
      <w:r w:rsidRPr="006D1722">
        <w:rPr>
          <w:rFonts w:ascii="Arial" w:hAnsi="Arial" w:cs="Arial"/>
          <w:sz w:val="24"/>
          <w:szCs w:val="24"/>
        </w:rPr>
        <w:br/>
      </w:r>
      <w:r w:rsidRPr="006D1722">
        <w:rPr>
          <w:rFonts w:ascii="Arial" w:hAnsi="Arial" w:cs="Arial"/>
          <w:sz w:val="24"/>
          <w:szCs w:val="24"/>
        </w:rPr>
        <w:br/>
        <w:t xml:space="preserve">Project Management Institute (2021) A Guide to the Project Management Body of Knowledge (PMBOK Guide). 7th </w:t>
      </w:r>
      <w:proofErr w:type="spellStart"/>
      <w:r w:rsidRPr="006D1722">
        <w:rPr>
          <w:rFonts w:ascii="Arial" w:hAnsi="Arial" w:cs="Arial"/>
          <w:sz w:val="24"/>
          <w:szCs w:val="24"/>
        </w:rPr>
        <w:t>edn</w:t>
      </w:r>
      <w:proofErr w:type="spellEnd"/>
      <w:r w:rsidRPr="006D1722">
        <w:rPr>
          <w:rFonts w:ascii="Arial" w:hAnsi="Arial" w:cs="Arial"/>
          <w:sz w:val="24"/>
          <w:szCs w:val="24"/>
        </w:rPr>
        <w:t>. Newtown Square, PA: Project Management Institute.</w:t>
      </w:r>
      <w:r w:rsidRPr="006D1722">
        <w:rPr>
          <w:rFonts w:ascii="Arial" w:hAnsi="Arial" w:cs="Arial"/>
          <w:sz w:val="24"/>
          <w:szCs w:val="24"/>
        </w:rPr>
        <w:br/>
      </w:r>
      <w:r w:rsidRPr="006D1722">
        <w:rPr>
          <w:rFonts w:ascii="Arial" w:hAnsi="Arial" w:cs="Arial"/>
          <w:sz w:val="24"/>
          <w:szCs w:val="24"/>
        </w:rPr>
        <w:br/>
        <w:t>Reiss, G. (2015) Project Management Demystified. London: Routledge.</w:t>
      </w:r>
      <w:r w:rsidRPr="006D1722">
        <w:rPr>
          <w:rFonts w:ascii="Arial" w:hAnsi="Arial" w:cs="Arial"/>
          <w:sz w:val="24"/>
          <w:szCs w:val="24"/>
        </w:rPr>
        <w:br/>
      </w:r>
      <w:r w:rsidRPr="006D1722">
        <w:rPr>
          <w:rFonts w:ascii="Arial" w:hAnsi="Arial" w:cs="Arial"/>
          <w:sz w:val="24"/>
          <w:szCs w:val="24"/>
        </w:rPr>
        <w:br/>
        <w:t xml:space="preserve">Wysocki, R.K., Kaikini, S. and Sneed, R. (2014) Effective Project Management: Traditional, Agile, Extreme. 7th </w:t>
      </w:r>
      <w:proofErr w:type="spellStart"/>
      <w:r w:rsidRPr="006D1722">
        <w:rPr>
          <w:rFonts w:ascii="Arial" w:hAnsi="Arial" w:cs="Arial"/>
          <w:sz w:val="24"/>
          <w:szCs w:val="24"/>
        </w:rPr>
        <w:t>edn</w:t>
      </w:r>
      <w:proofErr w:type="spellEnd"/>
      <w:r w:rsidRPr="006D1722">
        <w:rPr>
          <w:rFonts w:ascii="Arial" w:hAnsi="Arial" w:cs="Arial"/>
          <w:sz w:val="24"/>
          <w:szCs w:val="24"/>
        </w:rPr>
        <w:t>. Indianapolis: Wiley.</w:t>
      </w:r>
    </w:p>
    <w:sectPr w:rsidR="00D87410" w:rsidRPr="006D17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722"/>
    <w:rsid w:val="001B464C"/>
    <w:rsid w:val="001D00C2"/>
    <w:rsid w:val="00286E6D"/>
    <w:rsid w:val="00292BDE"/>
    <w:rsid w:val="00433DDA"/>
    <w:rsid w:val="004B2E12"/>
    <w:rsid w:val="006D1722"/>
    <w:rsid w:val="0078011F"/>
    <w:rsid w:val="00793C2B"/>
    <w:rsid w:val="00795FD8"/>
    <w:rsid w:val="0095508F"/>
    <w:rsid w:val="009863BF"/>
    <w:rsid w:val="00A61D89"/>
    <w:rsid w:val="00D87410"/>
    <w:rsid w:val="00FD7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E73A1"/>
  <w15:chartTrackingRefBased/>
  <w15:docId w15:val="{7532463E-86D7-4339-9D37-31FBEC0F1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7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17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17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17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17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17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17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17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17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7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17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17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17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17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17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17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17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1722"/>
    <w:rPr>
      <w:rFonts w:eastAsiaTheme="majorEastAsia" w:cstheme="majorBidi"/>
      <w:color w:val="272727" w:themeColor="text1" w:themeTint="D8"/>
    </w:rPr>
  </w:style>
  <w:style w:type="paragraph" w:styleId="Title">
    <w:name w:val="Title"/>
    <w:basedOn w:val="Normal"/>
    <w:next w:val="Normal"/>
    <w:link w:val="TitleChar"/>
    <w:uiPriority w:val="10"/>
    <w:qFormat/>
    <w:rsid w:val="006D17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7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17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7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1722"/>
    <w:pPr>
      <w:spacing w:before="160"/>
      <w:jc w:val="center"/>
    </w:pPr>
    <w:rPr>
      <w:i/>
      <w:iCs/>
      <w:color w:val="404040" w:themeColor="text1" w:themeTint="BF"/>
    </w:rPr>
  </w:style>
  <w:style w:type="character" w:customStyle="1" w:styleId="QuoteChar">
    <w:name w:val="Quote Char"/>
    <w:basedOn w:val="DefaultParagraphFont"/>
    <w:link w:val="Quote"/>
    <w:uiPriority w:val="29"/>
    <w:rsid w:val="006D1722"/>
    <w:rPr>
      <w:i/>
      <w:iCs/>
      <w:color w:val="404040" w:themeColor="text1" w:themeTint="BF"/>
    </w:rPr>
  </w:style>
  <w:style w:type="paragraph" w:styleId="ListParagraph">
    <w:name w:val="List Paragraph"/>
    <w:basedOn w:val="Normal"/>
    <w:uiPriority w:val="34"/>
    <w:qFormat/>
    <w:rsid w:val="006D1722"/>
    <w:pPr>
      <w:ind w:left="720"/>
      <w:contextualSpacing/>
    </w:pPr>
  </w:style>
  <w:style w:type="character" w:styleId="IntenseEmphasis">
    <w:name w:val="Intense Emphasis"/>
    <w:basedOn w:val="DefaultParagraphFont"/>
    <w:uiPriority w:val="21"/>
    <w:qFormat/>
    <w:rsid w:val="006D1722"/>
    <w:rPr>
      <w:i/>
      <w:iCs/>
      <w:color w:val="0F4761" w:themeColor="accent1" w:themeShade="BF"/>
    </w:rPr>
  </w:style>
  <w:style w:type="paragraph" w:styleId="IntenseQuote">
    <w:name w:val="Intense Quote"/>
    <w:basedOn w:val="Normal"/>
    <w:next w:val="Normal"/>
    <w:link w:val="IntenseQuoteChar"/>
    <w:uiPriority w:val="30"/>
    <w:qFormat/>
    <w:rsid w:val="006D17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1722"/>
    <w:rPr>
      <w:i/>
      <w:iCs/>
      <w:color w:val="0F4761" w:themeColor="accent1" w:themeShade="BF"/>
    </w:rPr>
  </w:style>
  <w:style w:type="character" w:styleId="IntenseReference">
    <w:name w:val="Intense Reference"/>
    <w:basedOn w:val="DefaultParagraphFont"/>
    <w:uiPriority w:val="32"/>
    <w:qFormat/>
    <w:rsid w:val="006D1722"/>
    <w:rPr>
      <w:b/>
      <w:bCs/>
      <w:smallCaps/>
      <w:color w:val="0F4761" w:themeColor="accent1" w:themeShade="BF"/>
      <w:spacing w:val="5"/>
    </w:rPr>
  </w:style>
  <w:style w:type="character" w:styleId="Hyperlink">
    <w:name w:val="Hyperlink"/>
    <w:basedOn w:val="DefaultParagraphFont"/>
    <w:uiPriority w:val="99"/>
    <w:unhideWhenUsed/>
    <w:rsid w:val="006D1722"/>
    <w:rPr>
      <w:color w:val="467886" w:themeColor="hyperlink"/>
      <w:u w:val="single"/>
    </w:rPr>
  </w:style>
  <w:style w:type="character" w:styleId="UnresolvedMention">
    <w:name w:val="Unresolved Mention"/>
    <w:basedOn w:val="DefaultParagraphFont"/>
    <w:uiPriority w:val="99"/>
    <w:semiHidden/>
    <w:unhideWhenUsed/>
    <w:rsid w:val="006D1722"/>
    <w:rPr>
      <w:color w:val="605E5C"/>
      <w:shd w:val="clear" w:color="auto" w:fill="E1DFDD"/>
    </w:rPr>
  </w:style>
  <w:style w:type="paragraph" w:styleId="TOCHeading">
    <w:name w:val="TOC Heading"/>
    <w:basedOn w:val="Heading1"/>
    <w:next w:val="Normal"/>
    <w:uiPriority w:val="39"/>
    <w:unhideWhenUsed/>
    <w:qFormat/>
    <w:rsid w:val="006D1722"/>
    <w:pPr>
      <w:spacing w:before="240" w:after="0"/>
      <w:outlineLvl w:val="9"/>
    </w:pPr>
    <w:rPr>
      <w:sz w:val="32"/>
      <w:szCs w:val="32"/>
      <w:lang w:val="en-US"/>
    </w:rPr>
  </w:style>
  <w:style w:type="paragraph" w:styleId="TOC1">
    <w:name w:val="toc 1"/>
    <w:basedOn w:val="Normal"/>
    <w:next w:val="Normal"/>
    <w:autoRedefine/>
    <w:uiPriority w:val="39"/>
    <w:unhideWhenUsed/>
    <w:rsid w:val="006D1722"/>
    <w:pPr>
      <w:spacing w:after="100"/>
    </w:pPr>
  </w:style>
  <w:style w:type="paragraph" w:styleId="NormalWeb">
    <w:name w:val="Normal (Web)"/>
    <w:basedOn w:val="Normal"/>
    <w:uiPriority w:val="99"/>
    <w:semiHidden/>
    <w:unhideWhenUsed/>
    <w:rsid w:val="00286E6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ind.org.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BDCB02-3D9B-46DC-8020-E35F318D6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11</Pages>
  <Words>2862</Words>
  <Characters>16319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Ionela-Catalina Simion (2227035)</dc:creator>
  <cp:keywords/>
  <dc:description/>
  <cp:lastModifiedBy>Ionela-Catalina Simion (2227035)</cp:lastModifiedBy>
  <cp:revision>4</cp:revision>
  <dcterms:created xsi:type="dcterms:W3CDTF">2026-06-17T13:16:00Z</dcterms:created>
  <dcterms:modified xsi:type="dcterms:W3CDTF">2026-06-19T11:59:00Z</dcterms:modified>
</cp:coreProperties>
</file>