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39BDD" w14:textId="77777777" w:rsidR="006D231C" w:rsidRDefault="006D231C" w:rsidP="006D231C">
      <w:pPr>
        <w:spacing w:line="360" w:lineRule="auto"/>
        <w:jc w:val="center"/>
        <w:rPr>
          <w:rFonts w:cs="Times New Roman"/>
          <w:b/>
          <w:sz w:val="32"/>
          <w:szCs w:val="32"/>
        </w:rPr>
      </w:pPr>
      <w:r>
        <w:rPr>
          <w:rFonts w:cs="Times New Roman"/>
          <w:b/>
          <w:sz w:val="32"/>
          <w:szCs w:val="32"/>
        </w:rPr>
        <w:t>INTERNATIONAL BUSINESS</w:t>
      </w:r>
    </w:p>
    <w:p w14:paraId="70CF684B" w14:textId="77777777" w:rsidR="009D58BB" w:rsidRDefault="009D58BB" w:rsidP="009D58BB">
      <w:pPr>
        <w:spacing w:line="360" w:lineRule="auto"/>
        <w:jc w:val="center"/>
        <w:rPr>
          <w:rFonts w:cs="Times New Roman"/>
          <w:b/>
          <w:sz w:val="32"/>
          <w:szCs w:val="32"/>
        </w:rPr>
      </w:pPr>
    </w:p>
    <w:p w14:paraId="5FE106CC" w14:textId="77777777" w:rsidR="009D58BB" w:rsidRDefault="009D58BB" w:rsidP="009D58BB">
      <w:pPr>
        <w:spacing w:line="360" w:lineRule="auto"/>
        <w:jc w:val="center"/>
        <w:rPr>
          <w:rFonts w:cs="Times New Roman"/>
          <w:sz w:val="26"/>
          <w:szCs w:val="26"/>
        </w:rPr>
      </w:pPr>
      <w:r>
        <w:rPr>
          <w:rFonts w:cs="Times New Roman"/>
          <w:sz w:val="26"/>
          <w:szCs w:val="26"/>
        </w:rPr>
        <w:t>Program: MBA - Master of Business management (General Management)</w:t>
      </w:r>
    </w:p>
    <w:p w14:paraId="56CE9C32" w14:textId="3748FCBE" w:rsidR="009D58BB" w:rsidRDefault="009D58BB" w:rsidP="009D58BB">
      <w:pPr>
        <w:spacing w:line="360" w:lineRule="auto"/>
        <w:jc w:val="center"/>
        <w:rPr>
          <w:rFonts w:cs="Times New Roman"/>
          <w:sz w:val="26"/>
          <w:szCs w:val="26"/>
        </w:rPr>
      </w:pPr>
      <w:r>
        <w:rPr>
          <w:rFonts w:cs="Times New Roman"/>
          <w:sz w:val="26"/>
          <w:szCs w:val="26"/>
        </w:rPr>
        <w:t xml:space="preserve">Module: </w:t>
      </w:r>
      <w:r w:rsidR="006D231C">
        <w:rPr>
          <w:rFonts w:cs="Times New Roman"/>
          <w:sz w:val="26"/>
          <w:szCs w:val="26"/>
        </w:rPr>
        <w:t>International Business</w:t>
      </w:r>
    </w:p>
    <w:p w14:paraId="4F4B0D12" w14:textId="5071F9DA" w:rsidR="009D58BB" w:rsidRDefault="009D58BB" w:rsidP="009D58BB">
      <w:pPr>
        <w:spacing w:line="360" w:lineRule="auto"/>
        <w:jc w:val="center"/>
        <w:rPr>
          <w:rFonts w:cs="Times New Roman"/>
          <w:sz w:val="26"/>
          <w:szCs w:val="26"/>
        </w:rPr>
      </w:pPr>
      <w:r>
        <w:rPr>
          <w:rFonts w:cs="Times New Roman"/>
          <w:sz w:val="26"/>
          <w:szCs w:val="26"/>
        </w:rPr>
        <w:t>Module code: LCMB70</w:t>
      </w:r>
      <w:r w:rsidR="006D231C">
        <w:rPr>
          <w:rFonts w:cs="Times New Roman"/>
          <w:sz w:val="26"/>
          <w:szCs w:val="26"/>
        </w:rPr>
        <w:t>14</w:t>
      </w:r>
    </w:p>
    <w:p w14:paraId="0D413C64" w14:textId="210A3C4D" w:rsidR="009D58BB" w:rsidRDefault="009D58BB" w:rsidP="009D58BB">
      <w:pPr>
        <w:spacing w:line="360" w:lineRule="auto"/>
        <w:jc w:val="center"/>
        <w:rPr>
          <w:rFonts w:cs="Times New Roman"/>
          <w:sz w:val="26"/>
          <w:szCs w:val="26"/>
        </w:rPr>
      </w:pPr>
      <w:r>
        <w:rPr>
          <w:rFonts w:cs="Times New Roman"/>
          <w:sz w:val="26"/>
          <w:szCs w:val="26"/>
        </w:rPr>
        <w:t xml:space="preserve">Assignment title: </w:t>
      </w:r>
      <w:r w:rsidR="006D231C">
        <w:rPr>
          <w:rFonts w:cs="Times New Roman"/>
          <w:sz w:val="26"/>
          <w:szCs w:val="26"/>
        </w:rPr>
        <w:t>International Business</w:t>
      </w:r>
    </w:p>
    <w:p w14:paraId="1AB67B6F" w14:textId="77777777" w:rsidR="009D58BB" w:rsidRDefault="009D58BB" w:rsidP="009D58BB">
      <w:pPr>
        <w:spacing w:line="360" w:lineRule="auto"/>
        <w:jc w:val="center"/>
        <w:rPr>
          <w:rFonts w:cs="Times New Roman"/>
          <w:sz w:val="26"/>
          <w:szCs w:val="26"/>
        </w:rPr>
      </w:pPr>
      <w:r>
        <w:rPr>
          <w:rFonts w:cs="Times New Roman"/>
          <w:sz w:val="26"/>
          <w:szCs w:val="26"/>
        </w:rPr>
        <w:t xml:space="preserve">Student name: </w:t>
      </w:r>
      <w:proofErr w:type="spellStart"/>
      <w:r>
        <w:rPr>
          <w:rFonts w:cs="Times New Roman"/>
          <w:sz w:val="26"/>
          <w:szCs w:val="26"/>
        </w:rPr>
        <w:t>Ramneek</w:t>
      </w:r>
      <w:proofErr w:type="spellEnd"/>
      <w:r>
        <w:rPr>
          <w:rFonts w:cs="Times New Roman"/>
          <w:sz w:val="26"/>
          <w:szCs w:val="26"/>
        </w:rPr>
        <w:t xml:space="preserve"> Singh</w:t>
      </w:r>
    </w:p>
    <w:p w14:paraId="65AA0027" w14:textId="77777777" w:rsidR="009D58BB" w:rsidRDefault="009D58BB" w:rsidP="009D58BB">
      <w:pPr>
        <w:spacing w:line="360" w:lineRule="auto"/>
        <w:jc w:val="center"/>
        <w:rPr>
          <w:rFonts w:cs="Times New Roman"/>
          <w:sz w:val="26"/>
          <w:szCs w:val="26"/>
        </w:rPr>
      </w:pPr>
      <w:r>
        <w:rPr>
          <w:rFonts w:cs="Times New Roman"/>
          <w:sz w:val="26"/>
          <w:szCs w:val="26"/>
        </w:rPr>
        <w:t>Student number: 2127179</w:t>
      </w:r>
    </w:p>
    <w:p w14:paraId="42B48F15" w14:textId="77777777" w:rsidR="006D231C" w:rsidRDefault="009D58BB" w:rsidP="006D231C">
      <w:pPr>
        <w:spacing w:line="360" w:lineRule="auto"/>
        <w:jc w:val="center"/>
        <w:rPr>
          <w:rFonts w:cs="Times New Roman"/>
          <w:b/>
          <w:bCs/>
          <w:szCs w:val="24"/>
        </w:rPr>
      </w:pPr>
      <w:r>
        <w:rPr>
          <w:rFonts w:cs="Times New Roman"/>
          <w:sz w:val="26"/>
          <w:szCs w:val="26"/>
        </w:rPr>
        <w:t xml:space="preserve">Lecturer Name: </w:t>
      </w:r>
      <w:r w:rsidR="006D231C">
        <w:rPr>
          <w:rFonts w:cs="Times New Roman"/>
          <w:sz w:val="26"/>
          <w:szCs w:val="26"/>
        </w:rPr>
        <w:t>Jean Wang</w:t>
      </w:r>
    </w:p>
    <w:p w14:paraId="45D4C62A" w14:textId="23E1E97B" w:rsidR="009D58BB" w:rsidRDefault="009D58BB" w:rsidP="009D58BB">
      <w:pPr>
        <w:spacing w:line="360" w:lineRule="auto"/>
        <w:jc w:val="center"/>
        <w:rPr>
          <w:rFonts w:cs="Times New Roman"/>
          <w:b/>
          <w:bCs/>
          <w:szCs w:val="24"/>
        </w:rPr>
      </w:pPr>
    </w:p>
    <w:p w14:paraId="4E437AF8" w14:textId="77777777" w:rsidR="008D2267" w:rsidRDefault="008D2267" w:rsidP="008D2267">
      <w:pPr>
        <w:spacing w:line="480" w:lineRule="auto"/>
        <w:jc w:val="center"/>
        <w:rPr>
          <w:rFonts w:ascii="Arial" w:hAnsi="Arial" w:cs="Arial"/>
          <w:b/>
          <w:bCs/>
          <w:color w:val="000000" w:themeColor="text1"/>
          <w:sz w:val="22"/>
          <w:szCs w:val="22"/>
        </w:rPr>
      </w:pPr>
    </w:p>
    <w:p w14:paraId="3347BE95" w14:textId="77777777" w:rsidR="008D2267" w:rsidRDefault="008D2267" w:rsidP="008D2267">
      <w:pPr>
        <w:spacing w:line="480" w:lineRule="auto"/>
        <w:jc w:val="center"/>
        <w:rPr>
          <w:rFonts w:ascii="Arial" w:hAnsi="Arial" w:cs="Arial"/>
          <w:b/>
          <w:bCs/>
          <w:color w:val="000000" w:themeColor="text1"/>
          <w:sz w:val="22"/>
          <w:szCs w:val="22"/>
        </w:rPr>
      </w:pPr>
    </w:p>
    <w:p w14:paraId="2BB788FA" w14:textId="77777777" w:rsidR="008D2267" w:rsidRDefault="008D2267" w:rsidP="008D2267">
      <w:pPr>
        <w:spacing w:line="480" w:lineRule="auto"/>
        <w:jc w:val="center"/>
        <w:rPr>
          <w:rFonts w:ascii="Arial" w:hAnsi="Arial" w:cs="Arial"/>
          <w:b/>
          <w:bCs/>
          <w:color w:val="000000" w:themeColor="text1"/>
          <w:sz w:val="22"/>
          <w:szCs w:val="22"/>
        </w:rPr>
      </w:pPr>
    </w:p>
    <w:p w14:paraId="39E3F5B6" w14:textId="77777777" w:rsidR="008D2267" w:rsidRDefault="008D2267" w:rsidP="008D2267">
      <w:pPr>
        <w:spacing w:line="480" w:lineRule="auto"/>
        <w:jc w:val="center"/>
        <w:rPr>
          <w:rFonts w:ascii="Arial" w:hAnsi="Arial" w:cs="Arial"/>
          <w:b/>
          <w:bCs/>
          <w:color w:val="000000" w:themeColor="text1"/>
          <w:sz w:val="22"/>
          <w:szCs w:val="22"/>
        </w:rPr>
      </w:pPr>
    </w:p>
    <w:p w14:paraId="7874A616" w14:textId="77777777" w:rsidR="008D2267" w:rsidRDefault="008D2267" w:rsidP="008D2267">
      <w:pPr>
        <w:spacing w:line="480" w:lineRule="auto"/>
        <w:jc w:val="center"/>
        <w:rPr>
          <w:rFonts w:ascii="Arial" w:hAnsi="Arial" w:cs="Arial"/>
          <w:b/>
          <w:bCs/>
          <w:color w:val="000000" w:themeColor="text1"/>
          <w:sz w:val="22"/>
          <w:szCs w:val="22"/>
        </w:rPr>
      </w:pPr>
    </w:p>
    <w:p w14:paraId="66864C41" w14:textId="77777777" w:rsidR="008D2267" w:rsidRDefault="008D2267" w:rsidP="008D2267">
      <w:pPr>
        <w:spacing w:line="480" w:lineRule="auto"/>
        <w:jc w:val="center"/>
        <w:rPr>
          <w:rFonts w:ascii="Arial" w:hAnsi="Arial" w:cs="Arial"/>
          <w:b/>
          <w:bCs/>
          <w:color w:val="000000" w:themeColor="text1"/>
          <w:sz w:val="22"/>
          <w:szCs w:val="22"/>
        </w:rPr>
      </w:pPr>
    </w:p>
    <w:p w14:paraId="41707854" w14:textId="09795234" w:rsidR="00F36278" w:rsidRPr="008D2267" w:rsidRDefault="001D2D07" w:rsidP="008D2267">
      <w:pPr>
        <w:spacing w:line="480" w:lineRule="auto"/>
        <w:jc w:val="center"/>
        <w:rPr>
          <w:rFonts w:ascii="Arial" w:hAnsi="Arial" w:cs="Arial"/>
          <w:b/>
          <w:bCs/>
          <w:color w:val="000000" w:themeColor="text1"/>
          <w:sz w:val="22"/>
          <w:szCs w:val="22"/>
        </w:rPr>
      </w:pPr>
      <w:r w:rsidRPr="008D2267">
        <w:rPr>
          <w:rFonts w:ascii="Arial" w:hAnsi="Arial" w:cs="Arial"/>
          <w:b/>
          <w:bCs/>
          <w:color w:val="000000" w:themeColor="text1"/>
          <w:sz w:val="22"/>
          <w:szCs w:val="22"/>
        </w:rPr>
        <w:t xml:space="preserve">A Report on </w:t>
      </w:r>
      <w:r w:rsidR="00F36278" w:rsidRPr="008D2267">
        <w:rPr>
          <w:rFonts w:ascii="Arial" w:hAnsi="Arial" w:cs="Arial"/>
          <w:b/>
          <w:bCs/>
          <w:color w:val="000000" w:themeColor="text1"/>
          <w:sz w:val="22"/>
          <w:szCs w:val="22"/>
        </w:rPr>
        <w:t>Analysis of Toyota International Business</w:t>
      </w:r>
    </w:p>
    <w:p w14:paraId="28B3C134" w14:textId="77777777" w:rsidR="00F36278" w:rsidRPr="008D2267" w:rsidRDefault="00F36278"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br w:type="page"/>
      </w:r>
    </w:p>
    <w:sdt>
      <w:sdtPr>
        <w:rPr>
          <w:rFonts w:ascii="Arial" w:eastAsiaTheme="minorHAnsi" w:hAnsi="Arial" w:cs="Arial"/>
          <w:b/>
          <w:bCs/>
          <w:color w:val="000000" w:themeColor="text1"/>
          <w:sz w:val="22"/>
          <w:szCs w:val="22"/>
          <w:lang w:bidi="th-TH"/>
        </w:rPr>
        <w:id w:val="-1267231225"/>
        <w:docPartObj>
          <w:docPartGallery w:val="Table of Contents"/>
          <w:docPartUnique/>
        </w:docPartObj>
      </w:sdtPr>
      <w:sdtEndPr>
        <w:rPr>
          <w:noProof/>
        </w:rPr>
      </w:sdtEndPr>
      <w:sdtContent>
        <w:p w14:paraId="65D1D84D" w14:textId="7D91B790" w:rsidR="00F36278" w:rsidRPr="008D2267" w:rsidRDefault="00F36278" w:rsidP="008D2267">
          <w:pPr>
            <w:pStyle w:val="TOCHeading"/>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Table of Contents</w:t>
          </w:r>
        </w:p>
        <w:p w14:paraId="2B1C6443" w14:textId="68CCF29B" w:rsidR="008D2267" w:rsidRPr="008D2267" w:rsidRDefault="00F36278" w:rsidP="008D2267">
          <w:pPr>
            <w:pStyle w:val="TOC1"/>
            <w:tabs>
              <w:tab w:val="right" w:leader="dot" w:pos="9350"/>
            </w:tabs>
            <w:spacing w:line="480" w:lineRule="auto"/>
            <w:jc w:val="both"/>
            <w:rPr>
              <w:rFonts w:ascii="Arial" w:eastAsiaTheme="minorEastAsia" w:hAnsi="Arial" w:cs="Arial"/>
              <w:noProof/>
              <w:color w:val="000000" w:themeColor="text1"/>
              <w:sz w:val="22"/>
              <w:szCs w:val="22"/>
              <w:lang w:bidi="ar-SA"/>
            </w:rPr>
          </w:pPr>
          <w:r w:rsidRPr="008D2267">
            <w:rPr>
              <w:rFonts w:ascii="Arial" w:hAnsi="Arial" w:cs="Arial"/>
              <w:color w:val="000000" w:themeColor="text1"/>
              <w:sz w:val="22"/>
              <w:szCs w:val="22"/>
            </w:rPr>
            <w:fldChar w:fldCharType="begin"/>
          </w:r>
          <w:r w:rsidRPr="008D2267">
            <w:rPr>
              <w:rFonts w:ascii="Arial" w:hAnsi="Arial" w:cs="Arial"/>
              <w:color w:val="000000" w:themeColor="text1"/>
              <w:sz w:val="22"/>
              <w:szCs w:val="22"/>
            </w:rPr>
            <w:instrText xml:space="preserve"> TOC \o "1-3" \h \z \u </w:instrText>
          </w:r>
          <w:r w:rsidRPr="008D2267">
            <w:rPr>
              <w:rFonts w:ascii="Arial" w:hAnsi="Arial" w:cs="Arial"/>
              <w:color w:val="000000" w:themeColor="text1"/>
              <w:sz w:val="22"/>
              <w:szCs w:val="22"/>
            </w:rPr>
            <w:fldChar w:fldCharType="separate"/>
          </w:r>
          <w:hyperlink w:anchor="_Toc122543593" w:history="1">
            <w:r w:rsidR="008D2267" w:rsidRPr="008D2267">
              <w:rPr>
                <w:rStyle w:val="Hyperlink"/>
                <w:rFonts w:ascii="Arial" w:hAnsi="Arial" w:cs="Arial"/>
                <w:noProof/>
                <w:color w:val="000000" w:themeColor="text1"/>
                <w:sz w:val="22"/>
                <w:szCs w:val="22"/>
              </w:rPr>
              <w:t>1. Introduction</w:t>
            </w:r>
            <w:r w:rsidR="008D2267" w:rsidRPr="008D2267">
              <w:rPr>
                <w:rFonts w:ascii="Arial" w:hAnsi="Arial" w:cs="Arial"/>
                <w:noProof/>
                <w:webHidden/>
                <w:color w:val="000000" w:themeColor="text1"/>
                <w:sz w:val="22"/>
                <w:szCs w:val="22"/>
              </w:rPr>
              <w:tab/>
            </w:r>
            <w:r w:rsidR="008D2267" w:rsidRPr="008D2267">
              <w:rPr>
                <w:rFonts w:ascii="Arial" w:hAnsi="Arial" w:cs="Arial"/>
                <w:noProof/>
                <w:webHidden/>
                <w:color w:val="000000" w:themeColor="text1"/>
                <w:sz w:val="22"/>
                <w:szCs w:val="22"/>
              </w:rPr>
              <w:fldChar w:fldCharType="begin"/>
            </w:r>
            <w:r w:rsidR="008D2267" w:rsidRPr="008D2267">
              <w:rPr>
                <w:rFonts w:ascii="Arial" w:hAnsi="Arial" w:cs="Arial"/>
                <w:noProof/>
                <w:webHidden/>
                <w:color w:val="000000" w:themeColor="text1"/>
                <w:sz w:val="22"/>
                <w:szCs w:val="22"/>
              </w:rPr>
              <w:instrText xml:space="preserve"> PAGEREF _Toc122543593 \h </w:instrText>
            </w:r>
            <w:r w:rsidR="008D2267" w:rsidRPr="008D2267">
              <w:rPr>
                <w:rFonts w:ascii="Arial" w:hAnsi="Arial" w:cs="Arial"/>
                <w:noProof/>
                <w:webHidden/>
                <w:color w:val="000000" w:themeColor="text1"/>
                <w:sz w:val="22"/>
                <w:szCs w:val="22"/>
              </w:rPr>
            </w:r>
            <w:r w:rsidR="008D2267" w:rsidRPr="008D2267">
              <w:rPr>
                <w:rFonts w:ascii="Arial" w:hAnsi="Arial" w:cs="Arial"/>
                <w:noProof/>
                <w:webHidden/>
                <w:color w:val="000000" w:themeColor="text1"/>
                <w:sz w:val="22"/>
                <w:szCs w:val="22"/>
              </w:rPr>
              <w:fldChar w:fldCharType="separate"/>
            </w:r>
            <w:r w:rsidR="008D2267" w:rsidRPr="008D2267">
              <w:rPr>
                <w:rFonts w:ascii="Arial" w:hAnsi="Arial" w:cs="Arial"/>
                <w:noProof/>
                <w:webHidden/>
                <w:color w:val="000000" w:themeColor="text1"/>
                <w:sz w:val="22"/>
                <w:szCs w:val="22"/>
              </w:rPr>
              <w:t>3</w:t>
            </w:r>
            <w:r w:rsidR="008D2267" w:rsidRPr="008D2267">
              <w:rPr>
                <w:rFonts w:ascii="Arial" w:hAnsi="Arial" w:cs="Arial"/>
                <w:noProof/>
                <w:webHidden/>
                <w:color w:val="000000" w:themeColor="text1"/>
                <w:sz w:val="22"/>
                <w:szCs w:val="22"/>
              </w:rPr>
              <w:fldChar w:fldCharType="end"/>
            </w:r>
          </w:hyperlink>
        </w:p>
        <w:p w14:paraId="7B3F3315" w14:textId="0596A0D5" w:rsidR="008D2267" w:rsidRPr="008D2267" w:rsidRDefault="006D231C" w:rsidP="008D2267">
          <w:pPr>
            <w:pStyle w:val="TOC1"/>
            <w:tabs>
              <w:tab w:val="right" w:leader="dot" w:pos="9350"/>
            </w:tabs>
            <w:spacing w:line="480" w:lineRule="auto"/>
            <w:jc w:val="both"/>
            <w:rPr>
              <w:rFonts w:ascii="Arial" w:eastAsiaTheme="minorEastAsia" w:hAnsi="Arial" w:cs="Arial"/>
              <w:noProof/>
              <w:color w:val="000000" w:themeColor="text1"/>
              <w:sz w:val="22"/>
              <w:szCs w:val="22"/>
              <w:lang w:bidi="ar-SA"/>
            </w:rPr>
          </w:pPr>
          <w:hyperlink w:anchor="_Toc122543594" w:history="1">
            <w:r w:rsidR="008D2267" w:rsidRPr="008D2267">
              <w:rPr>
                <w:rStyle w:val="Hyperlink"/>
                <w:rFonts w:ascii="Arial" w:hAnsi="Arial" w:cs="Arial"/>
                <w:noProof/>
                <w:color w:val="000000" w:themeColor="text1"/>
                <w:sz w:val="22"/>
                <w:szCs w:val="22"/>
              </w:rPr>
              <w:t>2. Analysis and Discussion</w:t>
            </w:r>
            <w:r w:rsidR="008D2267" w:rsidRPr="008D2267">
              <w:rPr>
                <w:rFonts w:ascii="Arial" w:hAnsi="Arial" w:cs="Arial"/>
                <w:noProof/>
                <w:webHidden/>
                <w:color w:val="000000" w:themeColor="text1"/>
                <w:sz w:val="22"/>
                <w:szCs w:val="22"/>
              </w:rPr>
              <w:tab/>
            </w:r>
            <w:r w:rsidR="008D2267" w:rsidRPr="008D2267">
              <w:rPr>
                <w:rFonts w:ascii="Arial" w:hAnsi="Arial" w:cs="Arial"/>
                <w:noProof/>
                <w:webHidden/>
                <w:color w:val="000000" w:themeColor="text1"/>
                <w:sz w:val="22"/>
                <w:szCs w:val="22"/>
              </w:rPr>
              <w:fldChar w:fldCharType="begin"/>
            </w:r>
            <w:r w:rsidR="008D2267" w:rsidRPr="008D2267">
              <w:rPr>
                <w:rFonts w:ascii="Arial" w:hAnsi="Arial" w:cs="Arial"/>
                <w:noProof/>
                <w:webHidden/>
                <w:color w:val="000000" w:themeColor="text1"/>
                <w:sz w:val="22"/>
                <w:szCs w:val="22"/>
              </w:rPr>
              <w:instrText xml:space="preserve"> PAGEREF _Toc122543594 \h </w:instrText>
            </w:r>
            <w:r w:rsidR="008D2267" w:rsidRPr="008D2267">
              <w:rPr>
                <w:rFonts w:ascii="Arial" w:hAnsi="Arial" w:cs="Arial"/>
                <w:noProof/>
                <w:webHidden/>
                <w:color w:val="000000" w:themeColor="text1"/>
                <w:sz w:val="22"/>
                <w:szCs w:val="22"/>
              </w:rPr>
            </w:r>
            <w:r w:rsidR="008D2267" w:rsidRPr="008D2267">
              <w:rPr>
                <w:rFonts w:ascii="Arial" w:hAnsi="Arial" w:cs="Arial"/>
                <w:noProof/>
                <w:webHidden/>
                <w:color w:val="000000" w:themeColor="text1"/>
                <w:sz w:val="22"/>
                <w:szCs w:val="22"/>
              </w:rPr>
              <w:fldChar w:fldCharType="separate"/>
            </w:r>
            <w:r w:rsidR="008D2267" w:rsidRPr="008D2267">
              <w:rPr>
                <w:rFonts w:ascii="Arial" w:hAnsi="Arial" w:cs="Arial"/>
                <w:noProof/>
                <w:webHidden/>
                <w:color w:val="000000" w:themeColor="text1"/>
                <w:sz w:val="22"/>
                <w:szCs w:val="22"/>
              </w:rPr>
              <w:t>6</w:t>
            </w:r>
            <w:r w:rsidR="008D2267" w:rsidRPr="008D2267">
              <w:rPr>
                <w:rFonts w:ascii="Arial" w:hAnsi="Arial" w:cs="Arial"/>
                <w:noProof/>
                <w:webHidden/>
                <w:color w:val="000000" w:themeColor="text1"/>
                <w:sz w:val="22"/>
                <w:szCs w:val="22"/>
              </w:rPr>
              <w:fldChar w:fldCharType="end"/>
            </w:r>
          </w:hyperlink>
        </w:p>
        <w:p w14:paraId="4297972D" w14:textId="6CE2CB79" w:rsidR="008D2267" w:rsidRPr="008D2267" w:rsidRDefault="006D231C" w:rsidP="008D2267">
          <w:pPr>
            <w:pStyle w:val="TOC2"/>
            <w:tabs>
              <w:tab w:val="right" w:leader="dot" w:pos="9350"/>
            </w:tabs>
            <w:spacing w:line="480" w:lineRule="auto"/>
            <w:jc w:val="both"/>
            <w:rPr>
              <w:rFonts w:ascii="Arial" w:eastAsiaTheme="minorEastAsia" w:hAnsi="Arial" w:cs="Arial"/>
              <w:noProof/>
              <w:color w:val="000000" w:themeColor="text1"/>
              <w:sz w:val="22"/>
              <w:szCs w:val="22"/>
              <w:lang w:bidi="ar-SA"/>
            </w:rPr>
          </w:pPr>
          <w:hyperlink w:anchor="_Toc122543595" w:history="1">
            <w:r w:rsidR="008D2267" w:rsidRPr="008D2267">
              <w:rPr>
                <w:rStyle w:val="Hyperlink"/>
                <w:rFonts w:ascii="Arial" w:hAnsi="Arial" w:cs="Arial"/>
                <w:noProof/>
                <w:color w:val="000000" w:themeColor="text1"/>
                <w:sz w:val="22"/>
                <w:szCs w:val="22"/>
              </w:rPr>
              <w:t>2.1 Internationalization strategy of Toyota</w:t>
            </w:r>
            <w:r w:rsidR="008D2267" w:rsidRPr="008D2267">
              <w:rPr>
                <w:rFonts w:ascii="Arial" w:hAnsi="Arial" w:cs="Arial"/>
                <w:noProof/>
                <w:webHidden/>
                <w:color w:val="000000" w:themeColor="text1"/>
                <w:sz w:val="22"/>
                <w:szCs w:val="22"/>
              </w:rPr>
              <w:tab/>
            </w:r>
            <w:r w:rsidR="008D2267" w:rsidRPr="008D2267">
              <w:rPr>
                <w:rFonts w:ascii="Arial" w:hAnsi="Arial" w:cs="Arial"/>
                <w:noProof/>
                <w:webHidden/>
                <w:color w:val="000000" w:themeColor="text1"/>
                <w:sz w:val="22"/>
                <w:szCs w:val="22"/>
              </w:rPr>
              <w:fldChar w:fldCharType="begin"/>
            </w:r>
            <w:r w:rsidR="008D2267" w:rsidRPr="008D2267">
              <w:rPr>
                <w:rFonts w:ascii="Arial" w:hAnsi="Arial" w:cs="Arial"/>
                <w:noProof/>
                <w:webHidden/>
                <w:color w:val="000000" w:themeColor="text1"/>
                <w:sz w:val="22"/>
                <w:szCs w:val="22"/>
              </w:rPr>
              <w:instrText xml:space="preserve"> PAGEREF _Toc122543595 \h </w:instrText>
            </w:r>
            <w:r w:rsidR="008D2267" w:rsidRPr="008D2267">
              <w:rPr>
                <w:rFonts w:ascii="Arial" w:hAnsi="Arial" w:cs="Arial"/>
                <w:noProof/>
                <w:webHidden/>
                <w:color w:val="000000" w:themeColor="text1"/>
                <w:sz w:val="22"/>
                <w:szCs w:val="22"/>
              </w:rPr>
            </w:r>
            <w:r w:rsidR="008D2267" w:rsidRPr="008D2267">
              <w:rPr>
                <w:rFonts w:ascii="Arial" w:hAnsi="Arial" w:cs="Arial"/>
                <w:noProof/>
                <w:webHidden/>
                <w:color w:val="000000" w:themeColor="text1"/>
                <w:sz w:val="22"/>
                <w:szCs w:val="22"/>
              </w:rPr>
              <w:fldChar w:fldCharType="separate"/>
            </w:r>
            <w:r w:rsidR="008D2267" w:rsidRPr="008D2267">
              <w:rPr>
                <w:rFonts w:ascii="Arial" w:hAnsi="Arial" w:cs="Arial"/>
                <w:noProof/>
                <w:webHidden/>
                <w:color w:val="000000" w:themeColor="text1"/>
                <w:sz w:val="22"/>
                <w:szCs w:val="22"/>
              </w:rPr>
              <w:t>6</w:t>
            </w:r>
            <w:r w:rsidR="008D2267" w:rsidRPr="008D2267">
              <w:rPr>
                <w:rFonts w:ascii="Arial" w:hAnsi="Arial" w:cs="Arial"/>
                <w:noProof/>
                <w:webHidden/>
                <w:color w:val="000000" w:themeColor="text1"/>
                <w:sz w:val="22"/>
                <w:szCs w:val="22"/>
              </w:rPr>
              <w:fldChar w:fldCharType="end"/>
            </w:r>
          </w:hyperlink>
        </w:p>
        <w:p w14:paraId="4C8F7E93" w14:textId="18DAF0EB" w:rsidR="008D2267" w:rsidRPr="008D2267" w:rsidRDefault="006D231C" w:rsidP="008D2267">
          <w:pPr>
            <w:pStyle w:val="TOC2"/>
            <w:tabs>
              <w:tab w:val="right" w:leader="dot" w:pos="9350"/>
            </w:tabs>
            <w:spacing w:line="480" w:lineRule="auto"/>
            <w:jc w:val="both"/>
            <w:rPr>
              <w:rFonts w:ascii="Arial" w:eastAsiaTheme="minorEastAsia" w:hAnsi="Arial" w:cs="Arial"/>
              <w:noProof/>
              <w:color w:val="000000" w:themeColor="text1"/>
              <w:sz w:val="22"/>
              <w:szCs w:val="22"/>
              <w:lang w:bidi="ar-SA"/>
            </w:rPr>
          </w:pPr>
          <w:hyperlink w:anchor="_Toc122543596" w:history="1">
            <w:r w:rsidR="008D2267" w:rsidRPr="008D2267">
              <w:rPr>
                <w:rStyle w:val="Hyperlink"/>
                <w:rFonts w:ascii="Arial" w:hAnsi="Arial" w:cs="Arial"/>
                <w:noProof/>
                <w:color w:val="000000" w:themeColor="text1"/>
                <w:sz w:val="22"/>
                <w:szCs w:val="22"/>
              </w:rPr>
              <w:t>2.2 Toyota organizes its Resources and Capabilities</w:t>
            </w:r>
            <w:r w:rsidR="008D2267" w:rsidRPr="008D2267">
              <w:rPr>
                <w:rFonts w:ascii="Arial" w:hAnsi="Arial" w:cs="Arial"/>
                <w:noProof/>
                <w:webHidden/>
                <w:color w:val="000000" w:themeColor="text1"/>
                <w:sz w:val="22"/>
                <w:szCs w:val="22"/>
              </w:rPr>
              <w:tab/>
            </w:r>
            <w:r w:rsidR="008D2267" w:rsidRPr="008D2267">
              <w:rPr>
                <w:rFonts w:ascii="Arial" w:hAnsi="Arial" w:cs="Arial"/>
                <w:noProof/>
                <w:webHidden/>
                <w:color w:val="000000" w:themeColor="text1"/>
                <w:sz w:val="22"/>
                <w:szCs w:val="22"/>
              </w:rPr>
              <w:fldChar w:fldCharType="begin"/>
            </w:r>
            <w:r w:rsidR="008D2267" w:rsidRPr="008D2267">
              <w:rPr>
                <w:rFonts w:ascii="Arial" w:hAnsi="Arial" w:cs="Arial"/>
                <w:noProof/>
                <w:webHidden/>
                <w:color w:val="000000" w:themeColor="text1"/>
                <w:sz w:val="22"/>
                <w:szCs w:val="22"/>
              </w:rPr>
              <w:instrText xml:space="preserve"> PAGEREF _Toc122543596 \h </w:instrText>
            </w:r>
            <w:r w:rsidR="008D2267" w:rsidRPr="008D2267">
              <w:rPr>
                <w:rFonts w:ascii="Arial" w:hAnsi="Arial" w:cs="Arial"/>
                <w:noProof/>
                <w:webHidden/>
                <w:color w:val="000000" w:themeColor="text1"/>
                <w:sz w:val="22"/>
                <w:szCs w:val="22"/>
              </w:rPr>
            </w:r>
            <w:r w:rsidR="008D2267" w:rsidRPr="008D2267">
              <w:rPr>
                <w:rFonts w:ascii="Arial" w:hAnsi="Arial" w:cs="Arial"/>
                <w:noProof/>
                <w:webHidden/>
                <w:color w:val="000000" w:themeColor="text1"/>
                <w:sz w:val="22"/>
                <w:szCs w:val="22"/>
              </w:rPr>
              <w:fldChar w:fldCharType="separate"/>
            </w:r>
            <w:r w:rsidR="008D2267" w:rsidRPr="008D2267">
              <w:rPr>
                <w:rFonts w:ascii="Arial" w:hAnsi="Arial" w:cs="Arial"/>
                <w:noProof/>
                <w:webHidden/>
                <w:color w:val="000000" w:themeColor="text1"/>
                <w:sz w:val="22"/>
                <w:szCs w:val="22"/>
              </w:rPr>
              <w:t>10</w:t>
            </w:r>
            <w:r w:rsidR="008D2267" w:rsidRPr="008D2267">
              <w:rPr>
                <w:rFonts w:ascii="Arial" w:hAnsi="Arial" w:cs="Arial"/>
                <w:noProof/>
                <w:webHidden/>
                <w:color w:val="000000" w:themeColor="text1"/>
                <w:sz w:val="22"/>
                <w:szCs w:val="22"/>
              </w:rPr>
              <w:fldChar w:fldCharType="end"/>
            </w:r>
          </w:hyperlink>
        </w:p>
        <w:p w14:paraId="37F7B674" w14:textId="76A0C392" w:rsidR="008D2267" w:rsidRPr="008D2267" w:rsidRDefault="006D231C" w:rsidP="008D2267">
          <w:pPr>
            <w:pStyle w:val="TOC2"/>
            <w:tabs>
              <w:tab w:val="right" w:leader="dot" w:pos="9350"/>
            </w:tabs>
            <w:spacing w:line="480" w:lineRule="auto"/>
            <w:jc w:val="both"/>
            <w:rPr>
              <w:rFonts w:ascii="Arial" w:eastAsiaTheme="minorEastAsia" w:hAnsi="Arial" w:cs="Arial"/>
              <w:noProof/>
              <w:color w:val="000000" w:themeColor="text1"/>
              <w:sz w:val="22"/>
              <w:szCs w:val="22"/>
              <w:lang w:bidi="ar-SA"/>
            </w:rPr>
          </w:pPr>
          <w:hyperlink w:anchor="_Toc122543597" w:history="1">
            <w:r w:rsidR="008D2267" w:rsidRPr="008D2267">
              <w:rPr>
                <w:rStyle w:val="Hyperlink"/>
                <w:rFonts w:ascii="Arial" w:hAnsi="Arial" w:cs="Arial"/>
                <w:noProof/>
                <w:color w:val="000000" w:themeColor="text1"/>
                <w:sz w:val="22"/>
                <w:szCs w:val="22"/>
              </w:rPr>
              <w:t>2.3 Style of Entry into Countries</w:t>
            </w:r>
            <w:r w:rsidR="008D2267" w:rsidRPr="008D2267">
              <w:rPr>
                <w:rFonts w:ascii="Arial" w:hAnsi="Arial" w:cs="Arial"/>
                <w:noProof/>
                <w:webHidden/>
                <w:color w:val="000000" w:themeColor="text1"/>
                <w:sz w:val="22"/>
                <w:szCs w:val="22"/>
              </w:rPr>
              <w:tab/>
            </w:r>
            <w:r w:rsidR="008D2267" w:rsidRPr="008D2267">
              <w:rPr>
                <w:rFonts w:ascii="Arial" w:hAnsi="Arial" w:cs="Arial"/>
                <w:noProof/>
                <w:webHidden/>
                <w:color w:val="000000" w:themeColor="text1"/>
                <w:sz w:val="22"/>
                <w:szCs w:val="22"/>
              </w:rPr>
              <w:fldChar w:fldCharType="begin"/>
            </w:r>
            <w:r w:rsidR="008D2267" w:rsidRPr="008D2267">
              <w:rPr>
                <w:rFonts w:ascii="Arial" w:hAnsi="Arial" w:cs="Arial"/>
                <w:noProof/>
                <w:webHidden/>
                <w:color w:val="000000" w:themeColor="text1"/>
                <w:sz w:val="22"/>
                <w:szCs w:val="22"/>
              </w:rPr>
              <w:instrText xml:space="preserve"> PAGEREF _Toc122543597 \h </w:instrText>
            </w:r>
            <w:r w:rsidR="008D2267" w:rsidRPr="008D2267">
              <w:rPr>
                <w:rFonts w:ascii="Arial" w:hAnsi="Arial" w:cs="Arial"/>
                <w:noProof/>
                <w:webHidden/>
                <w:color w:val="000000" w:themeColor="text1"/>
                <w:sz w:val="22"/>
                <w:szCs w:val="22"/>
              </w:rPr>
            </w:r>
            <w:r w:rsidR="008D2267" w:rsidRPr="008D2267">
              <w:rPr>
                <w:rFonts w:ascii="Arial" w:hAnsi="Arial" w:cs="Arial"/>
                <w:noProof/>
                <w:webHidden/>
                <w:color w:val="000000" w:themeColor="text1"/>
                <w:sz w:val="22"/>
                <w:szCs w:val="22"/>
              </w:rPr>
              <w:fldChar w:fldCharType="separate"/>
            </w:r>
            <w:r w:rsidR="008D2267" w:rsidRPr="008D2267">
              <w:rPr>
                <w:rFonts w:ascii="Arial" w:hAnsi="Arial" w:cs="Arial"/>
                <w:noProof/>
                <w:webHidden/>
                <w:color w:val="000000" w:themeColor="text1"/>
                <w:sz w:val="22"/>
                <w:szCs w:val="22"/>
              </w:rPr>
              <w:t>12</w:t>
            </w:r>
            <w:r w:rsidR="008D2267" w:rsidRPr="008D2267">
              <w:rPr>
                <w:rFonts w:ascii="Arial" w:hAnsi="Arial" w:cs="Arial"/>
                <w:noProof/>
                <w:webHidden/>
                <w:color w:val="000000" w:themeColor="text1"/>
                <w:sz w:val="22"/>
                <w:szCs w:val="22"/>
              </w:rPr>
              <w:fldChar w:fldCharType="end"/>
            </w:r>
          </w:hyperlink>
        </w:p>
        <w:p w14:paraId="351F4CF1" w14:textId="7386F111" w:rsidR="008D2267" w:rsidRPr="008D2267" w:rsidRDefault="006D231C" w:rsidP="008D2267">
          <w:pPr>
            <w:pStyle w:val="TOC2"/>
            <w:tabs>
              <w:tab w:val="right" w:leader="dot" w:pos="9350"/>
            </w:tabs>
            <w:spacing w:line="480" w:lineRule="auto"/>
            <w:jc w:val="both"/>
            <w:rPr>
              <w:rFonts w:ascii="Arial" w:eastAsiaTheme="minorEastAsia" w:hAnsi="Arial" w:cs="Arial"/>
              <w:noProof/>
              <w:color w:val="000000" w:themeColor="text1"/>
              <w:sz w:val="22"/>
              <w:szCs w:val="22"/>
              <w:lang w:bidi="ar-SA"/>
            </w:rPr>
          </w:pPr>
          <w:hyperlink w:anchor="_Toc122543598" w:history="1">
            <w:r w:rsidR="008D2267" w:rsidRPr="008D2267">
              <w:rPr>
                <w:rStyle w:val="Hyperlink"/>
                <w:rFonts w:ascii="Arial" w:hAnsi="Arial" w:cs="Arial"/>
                <w:noProof/>
                <w:color w:val="000000" w:themeColor="text1"/>
                <w:sz w:val="22"/>
                <w:szCs w:val="22"/>
              </w:rPr>
              <w:t>2.4 Goals of the Business</w:t>
            </w:r>
            <w:r w:rsidR="008D2267" w:rsidRPr="008D2267">
              <w:rPr>
                <w:rFonts w:ascii="Arial" w:hAnsi="Arial" w:cs="Arial"/>
                <w:noProof/>
                <w:webHidden/>
                <w:color w:val="000000" w:themeColor="text1"/>
                <w:sz w:val="22"/>
                <w:szCs w:val="22"/>
              </w:rPr>
              <w:tab/>
            </w:r>
            <w:r w:rsidR="008D2267" w:rsidRPr="008D2267">
              <w:rPr>
                <w:rFonts w:ascii="Arial" w:hAnsi="Arial" w:cs="Arial"/>
                <w:noProof/>
                <w:webHidden/>
                <w:color w:val="000000" w:themeColor="text1"/>
                <w:sz w:val="22"/>
                <w:szCs w:val="22"/>
              </w:rPr>
              <w:fldChar w:fldCharType="begin"/>
            </w:r>
            <w:r w:rsidR="008D2267" w:rsidRPr="008D2267">
              <w:rPr>
                <w:rFonts w:ascii="Arial" w:hAnsi="Arial" w:cs="Arial"/>
                <w:noProof/>
                <w:webHidden/>
                <w:color w:val="000000" w:themeColor="text1"/>
                <w:sz w:val="22"/>
                <w:szCs w:val="22"/>
              </w:rPr>
              <w:instrText xml:space="preserve"> PAGEREF _Toc122543598 \h </w:instrText>
            </w:r>
            <w:r w:rsidR="008D2267" w:rsidRPr="008D2267">
              <w:rPr>
                <w:rFonts w:ascii="Arial" w:hAnsi="Arial" w:cs="Arial"/>
                <w:noProof/>
                <w:webHidden/>
                <w:color w:val="000000" w:themeColor="text1"/>
                <w:sz w:val="22"/>
                <w:szCs w:val="22"/>
              </w:rPr>
            </w:r>
            <w:r w:rsidR="008D2267" w:rsidRPr="008D2267">
              <w:rPr>
                <w:rFonts w:ascii="Arial" w:hAnsi="Arial" w:cs="Arial"/>
                <w:noProof/>
                <w:webHidden/>
                <w:color w:val="000000" w:themeColor="text1"/>
                <w:sz w:val="22"/>
                <w:szCs w:val="22"/>
              </w:rPr>
              <w:fldChar w:fldCharType="separate"/>
            </w:r>
            <w:r w:rsidR="008D2267" w:rsidRPr="008D2267">
              <w:rPr>
                <w:rFonts w:ascii="Arial" w:hAnsi="Arial" w:cs="Arial"/>
                <w:noProof/>
                <w:webHidden/>
                <w:color w:val="000000" w:themeColor="text1"/>
                <w:sz w:val="22"/>
                <w:szCs w:val="22"/>
              </w:rPr>
              <w:t>15</w:t>
            </w:r>
            <w:r w:rsidR="008D2267" w:rsidRPr="008D2267">
              <w:rPr>
                <w:rFonts w:ascii="Arial" w:hAnsi="Arial" w:cs="Arial"/>
                <w:noProof/>
                <w:webHidden/>
                <w:color w:val="000000" w:themeColor="text1"/>
                <w:sz w:val="22"/>
                <w:szCs w:val="22"/>
              </w:rPr>
              <w:fldChar w:fldCharType="end"/>
            </w:r>
          </w:hyperlink>
        </w:p>
        <w:p w14:paraId="0CD79A5D" w14:textId="68477938" w:rsidR="008D2267" w:rsidRPr="008D2267" w:rsidRDefault="006D231C" w:rsidP="008D2267">
          <w:pPr>
            <w:pStyle w:val="TOC2"/>
            <w:tabs>
              <w:tab w:val="right" w:leader="dot" w:pos="9350"/>
            </w:tabs>
            <w:spacing w:line="480" w:lineRule="auto"/>
            <w:jc w:val="both"/>
            <w:rPr>
              <w:rFonts w:ascii="Arial" w:eastAsiaTheme="minorEastAsia" w:hAnsi="Arial" w:cs="Arial"/>
              <w:noProof/>
              <w:color w:val="000000" w:themeColor="text1"/>
              <w:sz w:val="22"/>
              <w:szCs w:val="22"/>
              <w:lang w:bidi="ar-SA"/>
            </w:rPr>
          </w:pPr>
          <w:hyperlink w:anchor="_Toc122543599" w:history="1">
            <w:r w:rsidR="008D2267" w:rsidRPr="008D2267">
              <w:rPr>
                <w:rStyle w:val="Hyperlink"/>
                <w:rFonts w:ascii="Arial" w:hAnsi="Arial" w:cs="Arial"/>
                <w:noProof/>
                <w:color w:val="000000" w:themeColor="text1"/>
                <w:sz w:val="22"/>
                <w:szCs w:val="22"/>
              </w:rPr>
              <w:t>2.5 Moves made by Toyota in terms of Country Risk</w:t>
            </w:r>
            <w:r w:rsidR="008D2267" w:rsidRPr="008D2267">
              <w:rPr>
                <w:rFonts w:ascii="Arial" w:hAnsi="Arial" w:cs="Arial"/>
                <w:noProof/>
                <w:webHidden/>
                <w:color w:val="000000" w:themeColor="text1"/>
                <w:sz w:val="22"/>
                <w:szCs w:val="22"/>
              </w:rPr>
              <w:tab/>
            </w:r>
            <w:r w:rsidR="008D2267" w:rsidRPr="008D2267">
              <w:rPr>
                <w:rFonts w:ascii="Arial" w:hAnsi="Arial" w:cs="Arial"/>
                <w:noProof/>
                <w:webHidden/>
                <w:color w:val="000000" w:themeColor="text1"/>
                <w:sz w:val="22"/>
                <w:szCs w:val="22"/>
              </w:rPr>
              <w:fldChar w:fldCharType="begin"/>
            </w:r>
            <w:r w:rsidR="008D2267" w:rsidRPr="008D2267">
              <w:rPr>
                <w:rFonts w:ascii="Arial" w:hAnsi="Arial" w:cs="Arial"/>
                <w:noProof/>
                <w:webHidden/>
                <w:color w:val="000000" w:themeColor="text1"/>
                <w:sz w:val="22"/>
                <w:szCs w:val="22"/>
              </w:rPr>
              <w:instrText xml:space="preserve"> PAGEREF _Toc122543599 \h </w:instrText>
            </w:r>
            <w:r w:rsidR="008D2267" w:rsidRPr="008D2267">
              <w:rPr>
                <w:rFonts w:ascii="Arial" w:hAnsi="Arial" w:cs="Arial"/>
                <w:noProof/>
                <w:webHidden/>
                <w:color w:val="000000" w:themeColor="text1"/>
                <w:sz w:val="22"/>
                <w:szCs w:val="22"/>
              </w:rPr>
            </w:r>
            <w:r w:rsidR="008D2267" w:rsidRPr="008D2267">
              <w:rPr>
                <w:rFonts w:ascii="Arial" w:hAnsi="Arial" w:cs="Arial"/>
                <w:noProof/>
                <w:webHidden/>
                <w:color w:val="000000" w:themeColor="text1"/>
                <w:sz w:val="22"/>
                <w:szCs w:val="22"/>
              </w:rPr>
              <w:fldChar w:fldCharType="separate"/>
            </w:r>
            <w:r w:rsidR="008D2267" w:rsidRPr="008D2267">
              <w:rPr>
                <w:rFonts w:ascii="Arial" w:hAnsi="Arial" w:cs="Arial"/>
                <w:noProof/>
                <w:webHidden/>
                <w:color w:val="000000" w:themeColor="text1"/>
                <w:sz w:val="22"/>
                <w:szCs w:val="22"/>
              </w:rPr>
              <w:t>17</w:t>
            </w:r>
            <w:r w:rsidR="008D2267" w:rsidRPr="008D2267">
              <w:rPr>
                <w:rFonts w:ascii="Arial" w:hAnsi="Arial" w:cs="Arial"/>
                <w:noProof/>
                <w:webHidden/>
                <w:color w:val="000000" w:themeColor="text1"/>
                <w:sz w:val="22"/>
                <w:szCs w:val="22"/>
              </w:rPr>
              <w:fldChar w:fldCharType="end"/>
            </w:r>
          </w:hyperlink>
        </w:p>
        <w:p w14:paraId="464988F9" w14:textId="3D2A1E4F" w:rsidR="008D2267" w:rsidRPr="008D2267" w:rsidRDefault="006D231C" w:rsidP="008D2267">
          <w:pPr>
            <w:pStyle w:val="TOC1"/>
            <w:tabs>
              <w:tab w:val="right" w:leader="dot" w:pos="9350"/>
            </w:tabs>
            <w:spacing w:line="480" w:lineRule="auto"/>
            <w:jc w:val="both"/>
            <w:rPr>
              <w:rFonts w:ascii="Arial" w:eastAsiaTheme="minorEastAsia" w:hAnsi="Arial" w:cs="Arial"/>
              <w:noProof/>
              <w:color w:val="000000" w:themeColor="text1"/>
              <w:sz w:val="22"/>
              <w:szCs w:val="22"/>
              <w:lang w:bidi="ar-SA"/>
            </w:rPr>
          </w:pPr>
          <w:hyperlink w:anchor="_Toc122543600" w:history="1">
            <w:r w:rsidR="008D2267" w:rsidRPr="008D2267">
              <w:rPr>
                <w:rStyle w:val="Hyperlink"/>
                <w:rFonts w:ascii="Arial" w:hAnsi="Arial" w:cs="Arial"/>
                <w:noProof/>
                <w:color w:val="000000" w:themeColor="text1"/>
                <w:sz w:val="22"/>
                <w:szCs w:val="22"/>
              </w:rPr>
              <w:t>3. Conclusion</w:t>
            </w:r>
            <w:r w:rsidR="008D2267" w:rsidRPr="008D2267">
              <w:rPr>
                <w:rFonts w:ascii="Arial" w:hAnsi="Arial" w:cs="Arial"/>
                <w:noProof/>
                <w:webHidden/>
                <w:color w:val="000000" w:themeColor="text1"/>
                <w:sz w:val="22"/>
                <w:szCs w:val="22"/>
              </w:rPr>
              <w:tab/>
            </w:r>
            <w:r w:rsidR="008D2267" w:rsidRPr="008D2267">
              <w:rPr>
                <w:rFonts w:ascii="Arial" w:hAnsi="Arial" w:cs="Arial"/>
                <w:noProof/>
                <w:webHidden/>
                <w:color w:val="000000" w:themeColor="text1"/>
                <w:sz w:val="22"/>
                <w:szCs w:val="22"/>
              </w:rPr>
              <w:fldChar w:fldCharType="begin"/>
            </w:r>
            <w:r w:rsidR="008D2267" w:rsidRPr="008D2267">
              <w:rPr>
                <w:rFonts w:ascii="Arial" w:hAnsi="Arial" w:cs="Arial"/>
                <w:noProof/>
                <w:webHidden/>
                <w:color w:val="000000" w:themeColor="text1"/>
                <w:sz w:val="22"/>
                <w:szCs w:val="22"/>
              </w:rPr>
              <w:instrText xml:space="preserve"> PAGEREF _Toc122543600 \h </w:instrText>
            </w:r>
            <w:r w:rsidR="008D2267" w:rsidRPr="008D2267">
              <w:rPr>
                <w:rFonts w:ascii="Arial" w:hAnsi="Arial" w:cs="Arial"/>
                <w:noProof/>
                <w:webHidden/>
                <w:color w:val="000000" w:themeColor="text1"/>
                <w:sz w:val="22"/>
                <w:szCs w:val="22"/>
              </w:rPr>
            </w:r>
            <w:r w:rsidR="008D2267" w:rsidRPr="008D2267">
              <w:rPr>
                <w:rFonts w:ascii="Arial" w:hAnsi="Arial" w:cs="Arial"/>
                <w:noProof/>
                <w:webHidden/>
                <w:color w:val="000000" w:themeColor="text1"/>
                <w:sz w:val="22"/>
                <w:szCs w:val="22"/>
              </w:rPr>
              <w:fldChar w:fldCharType="separate"/>
            </w:r>
            <w:r w:rsidR="008D2267" w:rsidRPr="008D2267">
              <w:rPr>
                <w:rFonts w:ascii="Arial" w:hAnsi="Arial" w:cs="Arial"/>
                <w:noProof/>
                <w:webHidden/>
                <w:color w:val="000000" w:themeColor="text1"/>
                <w:sz w:val="22"/>
                <w:szCs w:val="22"/>
              </w:rPr>
              <w:t>18</w:t>
            </w:r>
            <w:r w:rsidR="008D2267" w:rsidRPr="008D2267">
              <w:rPr>
                <w:rFonts w:ascii="Arial" w:hAnsi="Arial" w:cs="Arial"/>
                <w:noProof/>
                <w:webHidden/>
                <w:color w:val="000000" w:themeColor="text1"/>
                <w:sz w:val="22"/>
                <w:szCs w:val="22"/>
              </w:rPr>
              <w:fldChar w:fldCharType="end"/>
            </w:r>
          </w:hyperlink>
        </w:p>
        <w:p w14:paraId="0E189239" w14:textId="7EE6ECD6" w:rsidR="008D2267" w:rsidRPr="008D2267" w:rsidRDefault="006D231C" w:rsidP="008D2267">
          <w:pPr>
            <w:pStyle w:val="TOC1"/>
            <w:tabs>
              <w:tab w:val="right" w:leader="dot" w:pos="9350"/>
            </w:tabs>
            <w:spacing w:line="480" w:lineRule="auto"/>
            <w:jc w:val="both"/>
            <w:rPr>
              <w:rFonts w:ascii="Arial" w:eastAsiaTheme="minorEastAsia" w:hAnsi="Arial" w:cs="Arial"/>
              <w:noProof/>
              <w:color w:val="000000" w:themeColor="text1"/>
              <w:sz w:val="22"/>
              <w:szCs w:val="22"/>
              <w:lang w:bidi="ar-SA"/>
            </w:rPr>
          </w:pPr>
          <w:hyperlink w:anchor="_Toc122543601" w:history="1">
            <w:r w:rsidR="008D2267" w:rsidRPr="008D2267">
              <w:rPr>
                <w:rStyle w:val="Hyperlink"/>
                <w:rFonts w:ascii="Arial" w:hAnsi="Arial" w:cs="Arial"/>
                <w:noProof/>
                <w:color w:val="000000" w:themeColor="text1"/>
                <w:sz w:val="22"/>
                <w:szCs w:val="22"/>
              </w:rPr>
              <w:t>References</w:t>
            </w:r>
            <w:r w:rsidR="008D2267" w:rsidRPr="008D2267">
              <w:rPr>
                <w:rFonts w:ascii="Arial" w:hAnsi="Arial" w:cs="Arial"/>
                <w:noProof/>
                <w:webHidden/>
                <w:color w:val="000000" w:themeColor="text1"/>
                <w:sz w:val="22"/>
                <w:szCs w:val="22"/>
              </w:rPr>
              <w:tab/>
            </w:r>
            <w:r w:rsidR="008D2267" w:rsidRPr="008D2267">
              <w:rPr>
                <w:rFonts w:ascii="Arial" w:hAnsi="Arial" w:cs="Arial"/>
                <w:noProof/>
                <w:webHidden/>
                <w:color w:val="000000" w:themeColor="text1"/>
                <w:sz w:val="22"/>
                <w:szCs w:val="22"/>
              </w:rPr>
              <w:fldChar w:fldCharType="begin"/>
            </w:r>
            <w:r w:rsidR="008D2267" w:rsidRPr="008D2267">
              <w:rPr>
                <w:rFonts w:ascii="Arial" w:hAnsi="Arial" w:cs="Arial"/>
                <w:noProof/>
                <w:webHidden/>
                <w:color w:val="000000" w:themeColor="text1"/>
                <w:sz w:val="22"/>
                <w:szCs w:val="22"/>
              </w:rPr>
              <w:instrText xml:space="preserve"> PAGEREF _Toc122543601 \h </w:instrText>
            </w:r>
            <w:r w:rsidR="008D2267" w:rsidRPr="008D2267">
              <w:rPr>
                <w:rFonts w:ascii="Arial" w:hAnsi="Arial" w:cs="Arial"/>
                <w:noProof/>
                <w:webHidden/>
                <w:color w:val="000000" w:themeColor="text1"/>
                <w:sz w:val="22"/>
                <w:szCs w:val="22"/>
              </w:rPr>
            </w:r>
            <w:r w:rsidR="008D2267" w:rsidRPr="008D2267">
              <w:rPr>
                <w:rFonts w:ascii="Arial" w:hAnsi="Arial" w:cs="Arial"/>
                <w:noProof/>
                <w:webHidden/>
                <w:color w:val="000000" w:themeColor="text1"/>
                <w:sz w:val="22"/>
                <w:szCs w:val="22"/>
              </w:rPr>
              <w:fldChar w:fldCharType="separate"/>
            </w:r>
            <w:r w:rsidR="008D2267" w:rsidRPr="008D2267">
              <w:rPr>
                <w:rFonts w:ascii="Arial" w:hAnsi="Arial" w:cs="Arial"/>
                <w:noProof/>
                <w:webHidden/>
                <w:color w:val="000000" w:themeColor="text1"/>
                <w:sz w:val="22"/>
                <w:szCs w:val="22"/>
              </w:rPr>
              <w:t>20</w:t>
            </w:r>
            <w:r w:rsidR="008D2267" w:rsidRPr="008D2267">
              <w:rPr>
                <w:rFonts w:ascii="Arial" w:hAnsi="Arial" w:cs="Arial"/>
                <w:noProof/>
                <w:webHidden/>
                <w:color w:val="000000" w:themeColor="text1"/>
                <w:sz w:val="22"/>
                <w:szCs w:val="22"/>
              </w:rPr>
              <w:fldChar w:fldCharType="end"/>
            </w:r>
          </w:hyperlink>
        </w:p>
        <w:p w14:paraId="5FAE5F69" w14:textId="421B5ED2" w:rsidR="008D2267" w:rsidRPr="008D2267" w:rsidRDefault="006D231C" w:rsidP="008D2267">
          <w:pPr>
            <w:pStyle w:val="TOC1"/>
            <w:tabs>
              <w:tab w:val="right" w:leader="dot" w:pos="9350"/>
            </w:tabs>
            <w:spacing w:line="480" w:lineRule="auto"/>
            <w:jc w:val="both"/>
            <w:rPr>
              <w:rFonts w:ascii="Arial" w:eastAsiaTheme="minorEastAsia" w:hAnsi="Arial" w:cs="Arial"/>
              <w:noProof/>
              <w:color w:val="000000" w:themeColor="text1"/>
              <w:sz w:val="22"/>
              <w:szCs w:val="22"/>
              <w:lang w:bidi="ar-SA"/>
            </w:rPr>
          </w:pPr>
          <w:hyperlink w:anchor="_Toc122543602" w:history="1">
            <w:r w:rsidR="008D2267" w:rsidRPr="008D2267">
              <w:rPr>
                <w:rStyle w:val="Hyperlink"/>
                <w:rFonts w:ascii="Arial" w:hAnsi="Arial" w:cs="Arial"/>
                <w:noProof/>
                <w:color w:val="000000" w:themeColor="text1"/>
                <w:sz w:val="22"/>
                <w:szCs w:val="22"/>
              </w:rPr>
              <w:t>Appendices</w:t>
            </w:r>
            <w:r w:rsidR="008D2267" w:rsidRPr="008D2267">
              <w:rPr>
                <w:rFonts w:ascii="Arial" w:hAnsi="Arial" w:cs="Arial"/>
                <w:noProof/>
                <w:webHidden/>
                <w:color w:val="000000" w:themeColor="text1"/>
                <w:sz w:val="22"/>
                <w:szCs w:val="22"/>
              </w:rPr>
              <w:tab/>
            </w:r>
            <w:r w:rsidR="008D2267" w:rsidRPr="008D2267">
              <w:rPr>
                <w:rFonts w:ascii="Arial" w:hAnsi="Arial" w:cs="Arial"/>
                <w:noProof/>
                <w:webHidden/>
                <w:color w:val="000000" w:themeColor="text1"/>
                <w:sz w:val="22"/>
                <w:szCs w:val="22"/>
              </w:rPr>
              <w:fldChar w:fldCharType="begin"/>
            </w:r>
            <w:r w:rsidR="008D2267" w:rsidRPr="008D2267">
              <w:rPr>
                <w:rFonts w:ascii="Arial" w:hAnsi="Arial" w:cs="Arial"/>
                <w:noProof/>
                <w:webHidden/>
                <w:color w:val="000000" w:themeColor="text1"/>
                <w:sz w:val="22"/>
                <w:szCs w:val="22"/>
              </w:rPr>
              <w:instrText xml:space="preserve"> PAGEREF _Toc122543602 \h </w:instrText>
            </w:r>
            <w:r w:rsidR="008D2267" w:rsidRPr="008D2267">
              <w:rPr>
                <w:rFonts w:ascii="Arial" w:hAnsi="Arial" w:cs="Arial"/>
                <w:noProof/>
                <w:webHidden/>
                <w:color w:val="000000" w:themeColor="text1"/>
                <w:sz w:val="22"/>
                <w:szCs w:val="22"/>
              </w:rPr>
            </w:r>
            <w:r w:rsidR="008D2267" w:rsidRPr="008D2267">
              <w:rPr>
                <w:rFonts w:ascii="Arial" w:hAnsi="Arial" w:cs="Arial"/>
                <w:noProof/>
                <w:webHidden/>
                <w:color w:val="000000" w:themeColor="text1"/>
                <w:sz w:val="22"/>
                <w:szCs w:val="22"/>
              </w:rPr>
              <w:fldChar w:fldCharType="separate"/>
            </w:r>
            <w:r w:rsidR="008D2267" w:rsidRPr="008D2267">
              <w:rPr>
                <w:rFonts w:ascii="Arial" w:hAnsi="Arial" w:cs="Arial"/>
                <w:noProof/>
                <w:webHidden/>
                <w:color w:val="000000" w:themeColor="text1"/>
                <w:sz w:val="22"/>
                <w:szCs w:val="22"/>
              </w:rPr>
              <w:t>24</w:t>
            </w:r>
            <w:r w:rsidR="008D2267" w:rsidRPr="008D2267">
              <w:rPr>
                <w:rFonts w:ascii="Arial" w:hAnsi="Arial" w:cs="Arial"/>
                <w:noProof/>
                <w:webHidden/>
                <w:color w:val="000000" w:themeColor="text1"/>
                <w:sz w:val="22"/>
                <w:szCs w:val="22"/>
              </w:rPr>
              <w:fldChar w:fldCharType="end"/>
            </w:r>
          </w:hyperlink>
        </w:p>
        <w:p w14:paraId="3E63F9B5" w14:textId="3F8F1CA8" w:rsidR="00F36278" w:rsidRPr="008D2267" w:rsidRDefault="00F36278" w:rsidP="008D2267">
          <w:pPr>
            <w:spacing w:line="480" w:lineRule="auto"/>
            <w:jc w:val="both"/>
            <w:rPr>
              <w:rFonts w:ascii="Arial" w:hAnsi="Arial" w:cs="Arial"/>
              <w:color w:val="000000" w:themeColor="text1"/>
              <w:sz w:val="22"/>
              <w:szCs w:val="22"/>
            </w:rPr>
          </w:pPr>
          <w:r w:rsidRPr="008D2267">
            <w:rPr>
              <w:rFonts w:ascii="Arial" w:hAnsi="Arial" w:cs="Arial"/>
              <w:b/>
              <w:bCs/>
              <w:noProof/>
              <w:color w:val="000000" w:themeColor="text1"/>
              <w:sz w:val="22"/>
              <w:szCs w:val="22"/>
            </w:rPr>
            <w:fldChar w:fldCharType="end"/>
          </w:r>
        </w:p>
      </w:sdtContent>
    </w:sdt>
    <w:p w14:paraId="0ECEECF2" w14:textId="12C4F33A" w:rsidR="001D2D07" w:rsidRPr="008D2267" w:rsidRDefault="001D2D07" w:rsidP="008D2267">
      <w:pPr>
        <w:spacing w:line="480" w:lineRule="auto"/>
        <w:jc w:val="both"/>
        <w:rPr>
          <w:rFonts w:ascii="Arial" w:eastAsiaTheme="majorEastAsia" w:hAnsi="Arial" w:cs="Arial"/>
          <w:b/>
          <w:bCs/>
          <w:color w:val="000000" w:themeColor="text1"/>
          <w:sz w:val="22"/>
          <w:szCs w:val="22"/>
        </w:rPr>
      </w:pPr>
      <w:r w:rsidRPr="008D2267">
        <w:rPr>
          <w:rFonts w:ascii="Arial" w:hAnsi="Arial" w:cs="Arial"/>
          <w:b/>
          <w:bCs/>
          <w:color w:val="000000" w:themeColor="text1"/>
          <w:sz w:val="22"/>
          <w:szCs w:val="22"/>
        </w:rPr>
        <w:br w:type="page"/>
      </w:r>
    </w:p>
    <w:p w14:paraId="0F2DCF98" w14:textId="48A220BE" w:rsidR="0051678D" w:rsidRPr="008D2267" w:rsidRDefault="00633AE0" w:rsidP="008D2267">
      <w:pPr>
        <w:pStyle w:val="Heading1"/>
        <w:spacing w:line="480" w:lineRule="auto"/>
        <w:jc w:val="both"/>
        <w:rPr>
          <w:rFonts w:ascii="Arial" w:hAnsi="Arial" w:cs="Arial"/>
          <w:sz w:val="22"/>
          <w:szCs w:val="22"/>
        </w:rPr>
      </w:pPr>
      <w:bookmarkStart w:id="0" w:name="_Toc122543593"/>
      <w:r w:rsidRPr="008D2267">
        <w:rPr>
          <w:rFonts w:ascii="Arial" w:hAnsi="Arial" w:cs="Arial"/>
          <w:sz w:val="22"/>
          <w:szCs w:val="22"/>
        </w:rPr>
        <w:lastRenderedPageBreak/>
        <w:t>1. Introduction</w:t>
      </w:r>
      <w:bookmarkEnd w:id="0"/>
      <w:r w:rsidRPr="008D2267">
        <w:rPr>
          <w:rFonts w:ascii="Arial" w:hAnsi="Arial" w:cs="Arial"/>
          <w:sz w:val="22"/>
          <w:szCs w:val="22"/>
        </w:rPr>
        <w:t xml:space="preserve"> </w:t>
      </w:r>
    </w:p>
    <w:p w14:paraId="5FB4E0FF" w14:textId="7D284F17" w:rsidR="00633AE0" w:rsidRPr="008D2267" w:rsidRDefault="00B820CA" w:rsidP="008D2267">
      <w:pPr>
        <w:spacing w:line="480" w:lineRule="auto"/>
        <w:jc w:val="both"/>
        <w:rPr>
          <w:rFonts w:ascii="Arial" w:hAnsi="Arial" w:cs="Arial"/>
          <w:color w:val="000000" w:themeColor="text1"/>
          <w:sz w:val="22"/>
          <w:szCs w:val="22"/>
          <w:shd w:val="clear" w:color="auto" w:fill="FFFFFF"/>
        </w:rPr>
      </w:pPr>
      <w:r w:rsidRPr="00B820CA">
        <w:rPr>
          <w:rFonts w:ascii="Arial" w:hAnsi="Arial" w:cs="Arial"/>
          <w:color w:val="000000" w:themeColor="text1"/>
          <w:sz w:val="22"/>
          <w:szCs w:val="22"/>
        </w:rPr>
        <w:t xml:space="preserve">The headquarters of the Japanese multinational automaker Toyota are located in Toyota City, </w:t>
      </w:r>
      <w:proofErr w:type="gramStart"/>
      <w:r w:rsidRPr="00B820CA">
        <w:rPr>
          <w:rFonts w:ascii="Arial" w:hAnsi="Arial" w:cs="Arial"/>
          <w:color w:val="000000" w:themeColor="text1"/>
          <w:sz w:val="22"/>
          <w:szCs w:val="22"/>
        </w:rPr>
        <w:t>Typically</w:t>
      </w:r>
      <w:proofErr w:type="gramEnd"/>
      <w:r w:rsidRPr="00B820CA">
        <w:rPr>
          <w:rFonts w:ascii="Arial" w:hAnsi="Arial" w:cs="Arial"/>
          <w:color w:val="000000" w:themeColor="text1"/>
          <w:sz w:val="22"/>
          <w:szCs w:val="22"/>
        </w:rPr>
        <w:t xml:space="preserve"> takes (Wada, 2020). With 364,445 employees around the globe in 2017, Toyota's company governance was the </w:t>
      </w:r>
      <w:proofErr w:type="gramStart"/>
      <w:r w:rsidRPr="00B820CA">
        <w:rPr>
          <w:rFonts w:ascii="Arial" w:hAnsi="Arial" w:cs="Arial"/>
          <w:color w:val="000000" w:themeColor="text1"/>
          <w:sz w:val="22"/>
          <w:szCs w:val="22"/>
        </w:rPr>
        <w:t>sixth-largest</w:t>
      </w:r>
      <w:proofErr w:type="gramEnd"/>
      <w:r w:rsidRPr="00B820CA">
        <w:rPr>
          <w:rFonts w:ascii="Arial" w:hAnsi="Arial" w:cs="Arial"/>
          <w:color w:val="000000" w:themeColor="text1"/>
          <w:sz w:val="22"/>
          <w:szCs w:val="22"/>
        </w:rPr>
        <w:t xml:space="preserve"> by earnings as of September 2018. Toyota is currently the second- largest automaker in the entire globe. Till 2012, when this announced the manufacturing capacity of its 200 millionth motor, Toyota has been the only automaker in the universe to keep producing more than ten million automobiles annually</w:t>
      </w:r>
      <w:r w:rsidR="00164738" w:rsidRPr="008D2267">
        <w:rPr>
          <w:rFonts w:ascii="Arial" w:hAnsi="Arial" w:cs="Arial"/>
          <w:color w:val="000000" w:themeColor="text1"/>
          <w:sz w:val="22"/>
          <w:szCs w:val="22"/>
        </w:rPr>
        <w:t xml:space="preserve"> (Wada, 2020)</w:t>
      </w:r>
      <w:r w:rsidR="00633AE0" w:rsidRPr="008D2267">
        <w:rPr>
          <w:rFonts w:ascii="Arial" w:hAnsi="Arial" w:cs="Arial"/>
          <w:color w:val="000000" w:themeColor="text1"/>
          <w:sz w:val="22"/>
          <w:szCs w:val="22"/>
        </w:rPr>
        <w:t xml:space="preserve">. </w:t>
      </w:r>
      <w:r w:rsidRPr="00B820CA">
        <w:rPr>
          <w:rFonts w:ascii="Arial" w:hAnsi="Arial" w:cs="Arial"/>
          <w:color w:val="000000" w:themeColor="text1"/>
          <w:sz w:val="22"/>
          <w:szCs w:val="22"/>
        </w:rPr>
        <w:t xml:space="preserve">Kiichiro Toyoda established the business in 1937 as a division of his family's Toyoda Automatic loom works to produce cars. It produced its first item, the Category A engine, just three years earlier, in 1934, while still being a division of </w:t>
      </w:r>
      <w:proofErr w:type="spellStart"/>
      <w:r w:rsidRPr="00B820CA">
        <w:rPr>
          <w:rFonts w:ascii="Arial" w:hAnsi="Arial" w:cs="Arial"/>
          <w:color w:val="000000" w:themeColor="text1"/>
          <w:sz w:val="22"/>
          <w:szCs w:val="22"/>
        </w:rPr>
        <w:t>Sakichi</w:t>
      </w:r>
      <w:proofErr w:type="spellEnd"/>
      <w:r w:rsidRPr="00B820CA">
        <w:rPr>
          <w:rFonts w:ascii="Arial" w:hAnsi="Arial" w:cs="Arial"/>
          <w:color w:val="000000" w:themeColor="text1"/>
          <w:sz w:val="22"/>
          <w:szCs w:val="22"/>
        </w:rPr>
        <w:t xml:space="preserve"> Toyoda, and its first commercial vehicle, the Toyota AA, one year later, in 1936. Toyota Motor Corporation manufactures automobiles under the Automobile brand as well as Hino, Lexus, Interchangeably, and Hyundai. It also owns 5.</w:t>
      </w:r>
      <w:r>
        <w:rPr>
          <w:rFonts w:ascii="Arial" w:hAnsi="Arial" w:cs="Arial"/>
          <w:color w:val="000000" w:themeColor="text1"/>
          <w:sz w:val="22"/>
          <w:szCs w:val="22"/>
        </w:rPr>
        <w:t>9 percent</w:t>
      </w:r>
      <w:r w:rsidRPr="00B820CA">
        <w:rPr>
          <w:rFonts w:ascii="Arial" w:hAnsi="Arial" w:cs="Arial"/>
          <w:color w:val="000000" w:themeColor="text1"/>
          <w:sz w:val="22"/>
          <w:szCs w:val="22"/>
        </w:rPr>
        <w:t xml:space="preserve"> of Automobiles and </w:t>
      </w:r>
      <w:r>
        <w:rPr>
          <w:rFonts w:ascii="Arial" w:hAnsi="Arial" w:cs="Arial"/>
          <w:color w:val="000000" w:themeColor="text1"/>
          <w:sz w:val="22"/>
          <w:szCs w:val="22"/>
        </w:rPr>
        <w:t xml:space="preserve">16.66 percent </w:t>
      </w:r>
      <w:r w:rsidRPr="00B820CA">
        <w:rPr>
          <w:rFonts w:ascii="Arial" w:hAnsi="Arial" w:cs="Arial"/>
          <w:color w:val="000000" w:themeColor="text1"/>
          <w:sz w:val="22"/>
          <w:szCs w:val="22"/>
        </w:rPr>
        <w:t>of S</w:t>
      </w:r>
      <w:r>
        <w:rPr>
          <w:rFonts w:ascii="Arial" w:hAnsi="Arial" w:cs="Arial"/>
          <w:color w:val="000000" w:themeColor="text1"/>
          <w:sz w:val="22"/>
          <w:szCs w:val="22"/>
        </w:rPr>
        <w:t>ubaru</w:t>
      </w:r>
      <w:r w:rsidRPr="00B820CA">
        <w:rPr>
          <w:rFonts w:ascii="Arial" w:hAnsi="Arial" w:cs="Arial"/>
          <w:color w:val="000000" w:themeColor="text1"/>
          <w:sz w:val="22"/>
          <w:szCs w:val="22"/>
        </w:rPr>
        <w:t xml:space="preserve"> Corporate entity, as well as strategic partnerships with two Chinese companies (Granular activated carbon Toyota and Tianjin FAW Toyota Drivetrain) and one Indian company</w:t>
      </w:r>
      <w:r>
        <w:rPr>
          <w:rFonts w:ascii="Arial" w:hAnsi="Arial" w:cs="Arial"/>
          <w:color w:val="000000" w:themeColor="text1"/>
          <w:sz w:val="22"/>
          <w:szCs w:val="22"/>
        </w:rPr>
        <w:t xml:space="preserve"> </w:t>
      </w:r>
      <w:r w:rsidR="00164738" w:rsidRPr="008D2267">
        <w:rPr>
          <w:rFonts w:ascii="Arial" w:hAnsi="Arial" w:cs="Arial"/>
          <w:color w:val="000000" w:themeColor="text1"/>
          <w:sz w:val="22"/>
          <w:szCs w:val="22"/>
        </w:rPr>
        <w:t>(Wada, 2020)</w:t>
      </w:r>
      <w:r w:rsidR="00633AE0" w:rsidRPr="008D2267">
        <w:rPr>
          <w:rFonts w:ascii="Arial" w:hAnsi="Arial" w:cs="Arial"/>
          <w:color w:val="000000" w:themeColor="text1"/>
          <w:sz w:val="22"/>
          <w:szCs w:val="22"/>
          <w:shd w:val="clear" w:color="auto" w:fill="FFFFFF"/>
        </w:rPr>
        <w:t>.</w:t>
      </w:r>
    </w:p>
    <w:p w14:paraId="56237F7F" w14:textId="6B0EC162" w:rsidR="00633AE0" w:rsidRPr="008D2267" w:rsidRDefault="00633AE0"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The international business of Toyota is the business conducted by the Toyota Motor Corporation outside of Japan. The company engages in a variety of businesses in countries around the world, including the manufacture and sale of automobiles, engines, and other automotive parts and components; the design and development of vehicles; financial services; and the provision of mobility services. The international business of Toyota can be divided into three main areas: production, sales, and marketing</w:t>
      </w:r>
      <w:r w:rsidR="00164738" w:rsidRPr="008D2267">
        <w:rPr>
          <w:rFonts w:ascii="Arial" w:hAnsi="Arial" w:cs="Arial"/>
          <w:color w:val="000000" w:themeColor="text1"/>
          <w:sz w:val="22"/>
          <w:szCs w:val="22"/>
        </w:rPr>
        <w:t xml:space="preserve"> (</w:t>
      </w:r>
      <w:proofErr w:type="spellStart"/>
      <w:r w:rsidR="00164738" w:rsidRPr="008D2267">
        <w:rPr>
          <w:rFonts w:ascii="Arial" w:hAnsi="Arial" w:cs="Arial"/>
          <w:color w:val="000000" w:themeColor="text1"/>
          <w:sz w:val="22"/>
          <w:szCs w:val="22"/>
        </w:rPr>
        <w:t>Profiroiu</w:t>
      </w:r>
      <w:proofErr w:type="spellEnd"/>
      <w:r w:rsidR="00164738" w:rsidRPr="008D2267">
        <w:rPr>
          <w:rFonts w:ascii="Arial" w:hAnsi="Arial" w:cs="Arial"/>
          <w:color w:val="000000" w:themeColor="text1"/>
          <w:sz w:val="22"/>
          <w:szCs w:val="22"/>
        </w:rPr>
        <w:t xml:space="preserve"> et al., 2020)</w:t>
      </w:r>
      <w:r w:rsidRPr="008D2267">
        <w:rPr>
          <w:rFonts w:ascii="Arial" w:hAnsi="Arial" w:cs="Arial"/>
          <w:color w:val="000000" w:themeColor="text1"/>
          <w:sz w:val="22"/>
          <w:szCs w:val="22"/>
        </w:rPr>
        <w:t xml:space="preserve">. Toyota produces vehicles in 27 countries around the world and has assembly and manufacturing plants in 14 countries. The company also has joint ventures and joint production agreements with companies in numerous other countries. Toyota sells its vehicles in more than 170 countries and regions. The company has a network of over 1,400 dealerships and distributors around the world. Toyota’s global marketing activities are </w:t>
      </w:r>
      <w:r w:rsidRPr="008D2267">
        <w:rPr>
          <w:rFonts w:ascii="Arial" w:hAnsi="Arial" w:cs="Arial"/>
          <w:color w:val="000000" w:themeColor="text1"/>
          <w:sz w:val="22"/>
          <w:szCs w:val="22"/>
        </w:rPr>
        <w:lastRenderedPageBreak/>
        <w:t>coordinated out of its headquarters in Toyota City, Japan. The company’s advertising expenditure is one of the largest of any company in the world</w:t>
      </w:r>
      <w:r w:rsidR="00164738" w:rsidRPr="008D2267">
        <w:rPr>
          <w:rFonts w:ascii="Arial" w:hAnsi="Arial" w:cs="Arial"/>
          <w:color w:val="000000" w:themeColor="text1"/>
          <w:sz w:val="22"/>
          <w:szCs w:val="22"/>
        </w:rPr>
        <w:t xml:space="preserve"> (</w:t>
      </w:r>
      <w:proofErr w:type="spellStart"/>
      <w:r w:rsidR="00164738" w:rsidRPr="008D2267">
        <w:rPr>
          <w:rFonts w:ascii="Arial" w:hAnsi="Arial" w:cs="Arial"/>
          <w:color w:val="000000" w:themeColor="text1"/>
          <w:sz w:val="22"/>
          <w:szCs w:val="22"/>
        </w:rPr>
        <w:t>Profiroiu</w:t>
      </w:r>
      <w:proofErr w:type="spellEnd"/>
      <w:r w:rsidR="00164738" w:rsidRPr="008D2267">
        <w:rPr>
          <w:rFonts w:ascii="Arial" w:hAnsi="Arial" w:cs="Arial"/>
          <w:color w:val="000000" w:themeColor="text1"/>
          <w:sz w:val="22"/>
          <w:szCs w:val="22"/>
        </w:rPr>
        <w:t xml:space="preserve"> et al., 2020)</w:t>
      </w:r>
      <w:r w:rsidRPr="008D2267">
        <w:rPr>
          <w:rFonts w:ascii="Arial" w:hAnsi="Arial" w:cs="Arial"/>
          <w:color w:val="000000" w:themeColor="text1"/>
          <w:sz w:val="22"/>
          <w:szCs w:val="22"/>
        </w:rPr>
        <w:t xml:space="preserve">. </w:t>
      </w:r>
    </w:p>
    <w:p w14:paraId="01032F4D" w14:textId="609C4C46" w:rsidR="00633AE0" w:rsidRPr="008D2267" w:rsidRDefault="00633AE0"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Toyota has been expanding its geographic reach in recent years, with a particular focus on Asia. The company now has production facilities in countries such as China, India, and Thailand, and it is looking to further increase its presence in emerging markets. It has been diversifying its product range in recent years, with a particular focus on alternative fuel vehicles. The company now offers a range of hybrid and electric vehicles, and it is looking to further increase its offerings in this area. The company has been investing heavily in research and development in recent years, with a particular focus on robotics and artificial intelligence</w:t>
      </w:r>
      <w:r w:rsidR="00164738" w:rsidRPr="008D2267">
        <w:rPr>
          <w:rFonts w:ascii="Arial" w:hAnsi="Arial" w:cs="Arial"/>
          <w:color w:val="000000" w:themeColor="text1"/>
          <w:sz w:val="22"/>
          <w:szCs w:val="22"/>
        </w:rPr>
        <w:t xml:space="preserve"> (Agustina, </w:t>
      </w:r>
      <w:proofErr w:type="spellStart"/>
      <w:r w:rsidR="00164738" w:rsidRPr="008D2267">
        <w:rPr>
          <w:rFonts w:ascii="Arial" w:hAnsi="Arial" w:cs="Arial"/>
          <w:color w:val="000000" w:themeColor="text1"/>
          <w:sz w:val="22"/>
          <w:szCs w:val="22"/>
        </w:rPr>
        <w:t>Dalimunthe</w:t>
      </w:r>
      <w:proofErr w:type="spellEnd"/>
      <w:r w:rsidR="00164738" w:rsidRPr="008D2267">
        <w:rPr>
          <w:rFonts w:ascii="Arial" w:hAnsi="Arial" w:cs="Arial"/>
          <w:color w:val="000000" w:themeColor="text1"/>
          <w:sz w:val="22"/>
          <w:szCs w:val="22"/>
        </w:rPr>
        <w:t xml:space="preserve"> and </w:t>
      </w:r>
      <w:proofErr w:type="spellStart"/>
      <w:r w:rsidR="00164738" w:rsidRPr="008D2267">
        <w:rPr>
          <w:rFonts w:ascii="Arial" w:hAnsi="Arial" w:cs="Arial"/>
          <w:color w:val="000000" w:themeColor="text1"/>
          <w:sz w:val="22"/>
          <w:szCs w:val="22"/>
        </w:rPr>
        <w:t>Sinulingga</w:t>
      </w:r>
      <w:proofErr w:type="spellEnd"/>
      <w:r w:rsidR="00164738" w:rsidRPr="008D2267">
        <w:rPr>
          <w:rFonts w:ascii="Arial" w:hAnsi="Arial" w:cs="Arial"/>
          <w:color w:val="000000" w:themeColor="text1"/>
          <w:sz w:val="22"/>
          <w:szCs w:val="22"/>
        </w:rPr>
        <w:t>, 2019)</w:t>
      </w:r>
      <w:r w:rsidRPr="008D2267">
        <w:rPr>
          <w:rFonts w:ascii="Arial" w:hAnsi="Arial" w:cs="Arial"/>
          <w:color w:val="000000" w:themeColor="text1"/>
          <w:sz w:val="22"/>
          <w:szCs w:val="22"/>
        </w:rPr>
        <w:t xml:space="preserve">. The company is looking to develop new technologies that will enable it to further increase its market share. </w:t>
      </w:r>
      <w:r w:rsidR="00C72DB2" w:rsidRPr="008D2267">
        <w:rPr>
          <w:rFonts w:ascii="Arial" w:hAnsi="Arial" w:cs="Arial"/>
          <w:color w:val="000000" w:themeColor="text1"/>
          <w:sz w:val="22"/>
          <w:szCs w:val="22"/>
        </w:rPr>
        <w:t>On the other hand, in Japan, Toyota follows the principle of "kaizen," which means "continuous improvement." This principle is evident in all aspects of the company's operations, from the way it designs and builds its cars to the way it manages its employees. Toyota has a highly decentralized management structure, which allows for quick decision-making and flexibility in the face of change. The company is organized into several divisions, each of which is responsible for a different aspect of the business. Toyota is also known for its strong culture of teamwork and collaboration. This is evident in the way that employees are encouraged to work together to solve problems and improve processes. In general, Toyota's management style is characterized by a focus on quality, efficiency, and continuous improvement</w:t>
      </w:r>
      <w:r w:rsidR="00164738" w:rsidRPr="008D2267">
        <w:rPr>
          <w:rFonts w:ascii="Arial" w:hAnsi="Arial" w:cs="Arial"/>
          <w:color w:val="000000" w:themeColor="text1"/>
          <w:sz w:val="22"/>
          <w:szCs w:val="22"/>
        </w:rPr>
        <w:t xml:space="preserve"> (Agustina, </w:t>
      </w:r>
      <w:proofErr w:type="spellStart"/>
      <w:r w:rsidR="00164738" w:rsidRPr="008D2267">
        <w:rPr>
          <w:rFonts w:ascii="Arial" w:hAnsi="Arial" w:cs="Arial"/>
          <w:color w:val="000000" w:themeColor="text1"/>
          <w:sz w:val="22"/>
          <w:szCs w:val="22"/>
        </w:rPr>
        <w:t>Dalimunthe</w:t>
      </w:r>
      <w:proofErr w:type="spellEnd"/>
      <w:r w:rsidR="00164738" w:rsidRPr="008D2267">
        <w:rPr>
          <w:rFonts w:ascii="Arial" w:hAnsi="Arial" w:cs="Arial"/>
          <w:color w:val="000000" w:themeColor="text1"/>
          <w:sz w:val="22"/>
          <w:szCs w:val="22"/>
        </w:rPr>
        <w:t xml:space="preserve"> and </w:t>
      </w:r>
      <w:proofErr w:type="spellStart"/>
      <w:r w:rsidR="00164738" w:rsidRPr="008D2267">
        <w:rPr>
          <w:rFonts w:ascii="Arial" w:hAnsi="Arial" w:cs="Arial"/>
          <w:color w:val="000000" w:themeColor="text1"/>
          <w:sz w:val="22"/>
          <w:szCs w:val="22"/>
        </w:rPr>
        <w:t>Sinulingga</w:t>
      </w:r>
      <w:proofErr w:type="spellEnd"/>
      <w:r w:rsidR="00164738" w:rsidRPr="008D2267">
        <w:rPr>
          <w:rFonts w:ascii="Arial" w:hAnsi="Arial" w:cs="Arial"/>
          <w:color w:val="000000" w:themeColor="text1"/>
          <w:sz w:val="22"/>
          <w:szCs w:val="22"/>
        </w:rPr>
        <w:t>, 2019)</w:t>
      </w:r>
      <w:r w:rsidR="00C72DB2" w:rsidRPr="008D2267">
        <w:rPr>
          <w:rFonts w:ascii="Arial" w:hAnsi="Arial" w:cs="Arial"/>
          <w:color w:val="000000" w:themeColor="text1"/>
          <w:sz w:val="22"/>
          <w:szCs w:val="22"/>
        </w:rPr>
        <w:t xml:space="preserve">. </w:t>
      </w:r>
    </w:p>
    <w:p w14:paraId="544B9721" w14:textId="268B2EEC" w:rsidR="00C72DB2" w:rsidRPr="008D2267" w:rsidRDefault="00C72DB2"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In the international context, Toyota operates its business according to the principles of the Toyota Way. The Toyota Way is a set of operating principles that Toyota has used since the company was founded. The principles are based on the Japanese values of respect for people and continuous improvement. In the international context, these values are applied to the way Toyota conducts business with its suppliers, customers, and employees. The company has long been </w:t>
      </w:r>
      <w:r w:rsidRPr="008D2267">
        <w:rPr>
          <w:rFonts w:ascii="Arial" w:hAnsi="Arial" w:cs="Arial"/>
          <w:color w:val="000000" w:themeColor="text1"/>
          <w:sz w:val="22"/>
          <w:szCs w:val="22"/>
        </w:rPr>
        <w:lastRenderedPageBreak/>
        <w:t>one of the world’s leading automakers, known for quality, reliability, and efficiency</w:t>
      </w:r>
      <w:r w:rsidR="00164738" w:rsidRPr="008D2267">
        <w:rPr>
          <w:rFonts w:ascii="Arial" w:hAnsi="Arial" w:cs="Arial"/>
          <w:color w:val="000000" w:themeColor="text1"/>
          <w:sz w:val="22"/>
          <w:szCs w:val="22"/>
        </w:rPr>
        <w:t xml:space="preserve"> (Li, 2018)</w:t>
      </w:r>
      <w:r w:rsidRPr="008D2267">
        <w:rPr>
          <w:rFonts w:ascii="Arial" w:hAnsi="Arial" w:cs="Arial"/>
          <w:color w:val="000000" w:themeColor="text1"/>
          <w:sz w:val="22"/>
          <w:szCs w:val="22"/>
        </w:rPr>
        <w:t>. But in recent years, the company has also become a global powerhouse, with operations in more than 170 countries and a stated goal of becoming the world’s most respected company. To achieve this, it has had to adapt its approach to business, tailoring its products and manufacturing processes to local markets while also developing a deep understanding of customer needs and preferences around the world. The company has also worked to build a global supply chain and develop a local presence in key markets. Today, the company is the world’s second-largest automaker, with more than 10 million vehicles sold each year. It has factories on every continent except Antarctica, and its cars are sold in more than 190 countries</w:t>
      </w:r>
      <w:r w:rsidR="00164738" w:rsidRPr="008D2267">
        <w:rPr>
          <w:rFonts w:ascii="Arial" w:hAnsi="Arial" w:cs="Arial"/>
          <w:color w:val="000000" w:themeColor="text1"/>
          <w:sz w:val="22"/>
          <w:szCs w:val="22"/>
        </w:rPr>
        <w:t xml:space="preserve"> (Li, 2018)</w:t>
      </w:r>
      <w:r w:rsidRPr="008D2267">
        <w:rPr>
          <w:rFonts w:ascii="Arial" w:hAnsi="Arial" w:cs="Arial"/>
          <w:color w:val="000000" w:themeColor="text1"/>
          <w:sz w:val="22"/>
          <w:szCs w:val="22"/>
        </w:rPr>
        <w:t xml:space="preserve">. </w:t>
      </w:r>
    </w:p>
    <w:p w14:paraId="6DF569CB" w14:textId="2153FBC4" w:rsidR="00470C30" w:rsidRPr="008D2267" w:rsidRDefault="00470C30" w:rsidP="008D2267">
      <w:pPr>
        <w:spacing w:line="480" w:lineRule="auto"/>
        <w:jc w:val="both"/>
        <w:rPr>
          <w:rFonts w:ascii="Arial" w:hAnsi="Arial" w:cs="Arial"/>
          <w:b/>
          <w:bCs/>
          <w:color w:val="000000" w:themeColor="text1"/>
          <w:sz w:val="22"/>
          <w:szCs w:val="22"/>
          <w:shd w:val="clear" w:color="auto" w:fill="FFFFFF"/>
        </w:rPr>
      </w:pPr>
      <w:r w:rsidRPr="008D2267">
        <w:rPr>
          <w:rFonts w:ascii="Arial" w:hAnsi="Arial" w:cs="Arial"/>
          <w:color w:val="000000" w:themeColor="text1"/>
          <w:sz w:val="22"/>
          <w:szCs w:val="22"/>
        </w:rPr>
        <w:t>First and foremost, it maintains a very strong commitment to quality. This is evident in everything from the design and engineering of Toyota vehicles to the manufacturing process and the way Toyota treats its customers and employees. This commitment to quality has helped Toyota achieve a global reputation for dependability and reliability. Another key ingredient in Toyota’s global success is its focus on continuous improvement</w:t>
      </w:r>
      <w:r w:rsidR="00164738" w:rsidRPr="008D2267">
        <w:rPr>
          <w:rFonts w:ascii="Arial" w:hAnsi="Arial" w:cs="Arial"/>
          <w:color w:val="000000" w:themeColor="text1"/>
          <w:sz w:val="22"/>
          <w:szCs w:val="22"/>
        </w:rPr>
        <w:t xml:space="preserve"> (Aini et al., 2020)</w:t>
      </w:r>
      <w:r w:rsidRPr="008D2267">
        <w:rPr>
          <w:rFonts w:ascii="Arial" w:hAnsi="Arial" w:cs="Arial"/>
          <w:color w:val="000000" w:themeColor="text1"/>
          <w:sz w:val="22"/>
          <w:szCs w:val="22"/>
        </w:rPr>
        <w:t>. The company is constantly seeking ways to improve its products, processes, and services. This culture of continuous improvement extends to all aspects of the business, from the design of vehicles to the way they are manufactured and sold. Finally, Toyota has a very strong corporate culture. The company places a great emphasis on teamwork and collaboration. This helps to ensure that all employees are working towards the same goals and that everyone is aware of the company’s objectives. This strong corporate culture has been a major contributing factor to Toyota’s long-term</w:t>
      </w:r>
      <w:r w:rsidR="00164738" w:rsidRPr="008D2267">
        <w:rPr>
          <w:rFonts w:ascii="Arial" w:hAnsi="Arial" w:cs="Arial"/>
          <w:color w:val="000000" w:themeColor="text1"/>
          <w:sz w:val="22"/>
          <w:szCs w:val="22"/>
        </w:rPr>
        <w:t xml:space="preserve"> (Aini et al., 2020)</w:t>
      </w:r>
      <w:r w:rsidRPr="008D2267">
        <w:rPr>
          <w:rFonts w:ascii="Arial" w:hAnsi="Arial" w:cs="Arial"/>
          <w:b/>
          <w:bCs/>
          <w:color w:val="000000" w:themeColor="text1"/>
          <w:sz w:val="22"/>
          <w:szCs w:val="22"/>
          <w:shd w:val="clear" w:color="auto" w:fill="FFFFFF"/>
        </w:rPr>
        <w:t xml:space="preserve">. </w:t>
      </w:r>
    </w:p>
    <w:p w14:paraId="16842DF0" w14:textId="4388693A" w:rsidR="00470C30" w:rsidRPr="008D2267" w:rsidRDefault="00470C30" w:rsidP="008D2267">
      <w:pPr>
        <w:pStyle w:val="Heading1"/>
        <w:spacing w:line="480" w:lineRule="auto"/>
        <w:jc w:val="both"/>
        <w:rPr>
          <w:rFonts w:ascii="Arial" w:hAnsi="Arial" w:cs="Arial"/>
          <w:sz w:val="22"/>
          <w:szCs w:val="22"/>
        </w:rPr>
      </w:pPr>
      <w:bookmarkStart w:id="1" w:name="_Toc122543594"/>
      <w:r w:rsidRPr="008D2267">
        <w:rPr>
          <w:rFonts w:ascii="Arial" w:hAnsi="Arial" w:cs="Arial"/>
          <w:sz w:val="22"/>
          <w:szCs w:val="22"/>
        </w:rPr>
        <w:t>2. Analysis and Discussion</w:t>
      </w:r>
      <w:bookmarkEnd w:id="1"/>
      <w:r w:rsidRPr="008D2267">
        <w:rPr>
          <w:rFonts w:ascii="Arial" w:hAnsi="Arial" w:cs="Arial"/>
          <w:sz w:val="22"/>
          <w:szCs w:val="22"/>
        </w:rPr>
        <w:t xml:space="preserve"> </w:t>
      </w:r>
    </w:p>
    <w:p w14:paraId="6339A917" w14:textId="252D8138" w:rsidR="00470C30" w:rsidRPr="008D2267" w:rsidRDefault="004D2B6B" w:rsidP="008D2267">
      <w:pPr>
        <w:pStyle w:val="Heading2"/>
        <w:spacing w:line="480" w:lineRule="auto"/>
        <w:jc w:val="both"/>
        <w:rPr>
          <w:rFonts w:ascii="Arial" w:hAnsi="Arial" w:cs="Arial"/>
          <w:sz w:val="22"/>
          <w:szCs w:val="22"/>
        </w:rPr>
      </w:pPr>
      <w:bookmarkStart w:id="2" w:name="_Toc122543595"/>
      <w:r w:rsidRPr="008D2267">
        <w:rPr>
          <w:rFonts w:ascii="Arial" w:hAnsi="Arial" w:cs="Arial"/>
          <w:sz w:val="22"/>
          <w:szCs w:val="22"/>
        </w:rPr>
        <w:t xml:space="preserve">2.1 </w:t>
      </w:r>
      <w:r w:rsidR="00470C30" w:rsidRPr="008D2267">
        <w:rPr>
          <w:rFonts w:ascii="Arial" w:hAnsi="Arial" w:cs="Arial"/>
          <w:sz w:val="22"/>
          <w:szCs w:val="22"/>
        </w:rPr>
        <w:t xml:space="preserve">Internationalization </w:t>
      </w:r>
      <w:r w:rsidRPr="008D2267">
        <w:rPr>
          <w:rFonts w:ascii="Arial" w:hAnsi="Arial" w:cs="Arial"/>
          <w:sz w:val="22"/>
          <w:szCs w:val="22"/>
        </w:rPr>
        <w:t>strategy of Toyota</w:t>
      </w:r>
      <w:bookmarkEnd w:id="2"/>
      <w:r w:rsidRPr="008D2267">
        <w:rPr>
          <w:rFonts w:ascii="Arial" w:hAnsi="Arial" w:cs="Arial"/>
          <w:sz w:val="22"/>
          <w:szCs w:val="22"/>
        </w:rPr>
        <w:t xml:space="preserve"> </w:t>
      </w:r>
    </w:p>
    <w:p w14:paraId="5DC2FFC2" w14:textId="0D1A8234" w:rsidR="001613DA" w:rsidRPr="008D2267" w:rsidRDefault="001613DA"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Toyota's internationalization strategy has been to "go global" by setting up joint ventures with local partners </w:t>
      </w:r>
      <w:proofErr w:type="gramStart"/>
      <w:r w:rsidRPr="008D2267">
        <w:rPr>
          <w:rFonts w:ascii="Arial" w:hAnsi="Arial" w:cs="Arial"/>
          <w:color w:val="000000" w:themeColor="text1"/>
          <w:sz w:val="22"/>
          <w:szCs w:val="22"/>
        </w:rPr>
        <w:t>in order to</w:t>
      </w:r>
      <w:proofErr w:type="gramEnd"/>
      <w:r w:rsidRPr="008D2267">
        <w:rPr>
          <w:rFonts w:ascii="Arial" w:hAnsi="Arial" w:cs="Arial"/>
          <w:color w:val="000000" w:themeColor="text1"/>
          <w:sz w:val="22"/>
          <w:szCs w:val="22"/>
        </w:rPr>
        <w:t xml:space="preserve"> gain a foothold in new markets. This has allowed Toyota to </w:t>
      </w:r>
      <w:proofErr w:type="gramStart"/>
      <w:r w:rsidRPr="008D2267">
        <w:rPr>
          <w:rFonts w:ascii="Arial" w:hAnsi="Arial" w:cs="Arial"/>
          <w:color w:val="000000" w:themeColor="text1"/>
          <w:sz w:val="22"/>
          <w:szCs w:val="22"/>
        </w:rPr>
        <w:t>enter into</w:t>
      </w:r>
      <w:proofErr w:type="gramEnd"/>
      <w:r w:rsidRPr="008D2267">
        <w:rPr>
          <w:rFonts w:ascii="Arial" w:hAnsi="Arial" w:cs="Arial"/>
          <w:color w:val="000000" w:themeColor="text1"/>
          <w:sz w:val="22"/>
          <w:szCs w:val="22"/>
        </w:rPr>
        <w:t xml:space="preserve"> new </w:t>
      </w:r>
      <w:r w:rsidRPr="008D2267">
        <w:rPr>
          <w:rFonts w:ascii="Arial" w:hAnsi="Arial" w:cs="Arial"/>
          <w:color w:val="000000" w:themeColor="text1"/>
          <w:sz w:val="22"/>
          <w:szCs w:val="22"/>
        </w:rPr>
        <w:lastRenderedPageBreak/>
        <w:t>markets quickly and efficiently, while also sharing the risk and costs associated with setting up new production facilities</w:t>
      </w:r>
      <w:r w:rsidR="00164738" w:rsidRPr="008D2267">
        <w:rPr>
          <w:rFonts w:ascii="Arial" w:hAnsi="Arial" w:cs="Arial"/>
          <w:color w:val="000000" w:themeColor="text1"/>
          <w:sz w:val="22"/>
          <w:szCs w:val="22"/>
        </w:rPr>
        <w:t xml:space="preserve"> (</w:t>
      </w:r>
      <w:proofErr w:type="spellStart"/>
      <w:r w:rsidR="00164738" w:rsidRPr="008D2267">
        <w:rPr>
          <w:rFonts w:ascii="Arial" w:hAnsi="Arial" w:cs="Arial"/>
          <w:color w:val="000000" w:themeColor="text1"/>
          <w:sz w:val="22"/>
          <w:szCs w:val="22"/>
        </w:rPr>
        <w:t>Mahdy</w:t>
      </w:r>
      <w:proofErr w:type="spellEnd"/>
      <w:r w:rsidR="00164738" w:rsidRPr="008D2267">
        <w:rPr>
          <w:rFonts w:ascii="Arial" w:hAnsi="Arial" w:cs="Arial"/>
          <w:color w:val="000000" w:themeColor="text1"/>
          <w:sz w:val="22"/>
          <w:szCs w:val="22"/>
        </w:rPr>
        <w:t xml:space="preserve"> and Author, 2020)</w:t>
      </w:r>
      <w:r w:rsidRPr="008D2267">
        <w:rPr>
          <w:rFonts w:ascii="Arial" w:hAnsi="Arial" w:cs="Arial"/>
          <w:color w:val="000000" w:themeColor="text1"/>
          <w:sz w:val="22"/>
          <w:szCs w:val="22"/>
        </w:rPr>
        <w:t xml:space="preserve">. Toyota has also been aggressive in its marketing and advertising campaigns in new markets, which has helped to build the brand's awareness and reputation. Toyota's internationalization strategy has been to establish a presence in as many countries as possible, </w:t>
      </w:r>
      <w:proofErr w:type="gramStart"/>
      <w:r w:rsidRPr="008D2267">
        <w:rPr>
          <w:rFonts w:ascii="Arial" w:hAnsi="Arial" w:cs="Arial"/>
          <w:color w:val="000000" w:themeColor="text1"/>
          <w:sz w:val="22"/>
          <w:szCs w:val="22"/>
        </w:rPr>
        <w:t>in order to</w:t>
      </w:r>
      <w:proofErr w:type="gramEnd"/>
      <w:r w:rsidRPr="008D2267">
        <w:rPr>
          <w:rFonts w:ascii="Arial" w:hAnsi="Arial" w:cs="Arial"/>
          <w:color w:val="000000" w:themeColor="text1"/>
          <w:sz w:val="22"/>
          <w:szCs w:val="22"/>
        </w:rPr>
        <w:t xml:space="preserve"> gain a foothold in the global automotive market. The company has achieved this by setting up joint ventures with local firms, and by investing in research and development (R&amp;D) centers around the world. Toyota has also established production facilities in </w:t>
      </w:r>
      <w:proofErr w:type="gramStart"/>
      <w:r w:rsidRPr="008D2267">
        <w:rPr>
          <w:rFonts w:ascii="Arial" w:hAnsi="Arial" w:cs="Arial"/>
          <w:color w:val="000000" w:themeColor="text1"/>
          <w:sz w:val="22"/>
          <w:szCs w:val="22"/>
        </w:rPr>
        <w:t>a number of</w:t>
      </w:r>
      <w:proofErr w:type="gramEnd"/>
      <w:r w:rsidRPr="008D2267">
        <w:rPr>
          <w:rFonts w:ascii="Arial" w:hAnsi="Arial" w:cs="Arial"/>
          <w:color w:val="000000" w:themeColor="text1"/>
          <w:sz w:val="22"/>
          <w:szCs w:val="22"/>
        </w:rPr>
        <w:t xml:space="preserve"> countries, in order to better serve the local market. The company has also worked to build a strong brand image, through marketing campaigns that emphasize quality, durability, and reliability</w:t>
      </w:r>
      <w:r w:rsidR="00164738" w:rsidRPr="008D2267">
        <w:rPr>
          <w:rFonts w:ascii="Arial" w:hAnsi="Arial" w:cs="Arial"/>
          <w:color w:val="000000" w:themeColor="text1"/>
          <w:sz w:val="22"/>
          <w:szCs w:val="22"/>
        </w:rPr>
        <w:t xml:space="preserve"> (</w:t>
      </w:r>
      <w:proofErr w:type="spellStart"/>
      <w:r w:rsidR="00164738" w:rsidRPr="008D2267">
        <w:rPr>
          <w:rFonts w:ascii="Arial" w:hAnsi="Arial" w:cs="Arial"/>
          <w:color w:val="000000" w:themeColor="text1"/>
          <w:sz w:val="22"/>
          <w:szCs w:val="22"/>
        </w:rPr>
        <w:t>Mahdy</w:t>
      </w:r>
      <w:proofErr w:type="spellEnd"/>
      <w:r w:rsidR="00164738" w:rsidRPr="008D2267">
        <w:rPr>
          <w:rFonts w:ascii="Arial" w:hAnsi="Arial" w:cs="Arial"/>
          <w:color w:val="000000" w:themeColor="text1"/>
          <w:sz w:val="22"/>
          <w:szCs w:val="22"/>
        </w:rPr>
        <w:t xml:space="preserve"> and Author, 2020)</w:t>
      </w:r>
      <w:r w:rsidRPr="008D2267">
        <w:rPr>
          <w:rFonts w:ascii="Arial" w:hAnsi="Arial" w:cs="Arial"/>
          <w:color w:val="000000" w:themeColor="text1"/>
          <w:sz w:val="22"/>
          <w:szCs w:val="22"/>
        </w:rPr>
        <w:t>.</w:t>
      </w:r>
    </w:p>
    <w:p w14:paraId="4D3795A6" w14:textId="4B8856DC" w:rsidR="004D2B6B" w:rsidRPr="008D2267" w:rsidRDefault="004D2B6B" w:rsidP="008D2267">
      <w:pPr>
        <w:spacing w:line="480" w:lineRule="auto"/>
        <w:jc w:val="both"/>
        <w:rPr>
          <w:rFonts w:ascii="Arial" w:hAnsi="Arial" w:cs="Arial"/>
          <w:color w:val="000000" w:themeColor="text1"/>
          <w:sz w:val="22"/>
          <w:szCs w:val="22"/>
        </w:rPr>
      </w:pPr>
      <w:r w:rsidRPr="008D2267">
        <w:rPr>
          <w:rFonts w:ascii="Arial" w:hAnsi="Arial" w:cs="Arial"/>
          <w:noProof/>
          <w:color w:val="000000" w:themeColor="text1"/>
          <w:sz w:val="22"/>
          <w:szCs w:val="22"/>
        </w:rPr>
        <w:drawing>
          <wp:inline distT="0" distB="0" distL="0" distR="0" wp14:anchorId="285DE138" wp14:editId="02388372">
            <wp:extent cx="3274828" cy="2730773"/>
            <wp:effectExtent l="0" t="0" r="1905" b="0"/>
            <wp:docPr id="1" name="Picture 1" descr="Strategies of Internationalization: An Overview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es of Internationalization: An Overview | SpringerLin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9056" cy="2750976"/>
                    </a:xfrm>
                    <a:prstGeom prst="rect">
                      <a:avLst/>
                    </a:prstGeom>
                    <a:noFill/>
                    <a:ln>
                      <a:noFill/>
                    </a:ln>
                  </pic:spPr>
                </pic:pic>
              </a:graphicData>
            </a:graphic>
          </wp:inline>
        </w:drawing>
      </w:r>
    </w:p>
    <w:p w14:paraId="487902B9" w14:textId="3871C8C0" w:rsidR="001613DA" w:rsidRPr="008D2267" w:rsidRDefault="001613DA"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Figure 1. Internationalization Strategy of Toyota </w:t>
      </w:r>
    </w:p>
    <w:p w14:paraId="002F4558" w14:textId="0B143007" w:rsidR="001613DA" w:rsidRPr="008D2267" w:rsidRDefault="001613DA"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Source: </w:t>
      </w:r>
      <w:r w:rsidR="00164738" w:rsidRPr="008D2267">
        <w:rPr>
          <w:rFonts w:ascii="Arial" w:hAnsi="Arial" w:cs="Arial"/>
          <w:color w:val="000000" w:themeColor="text1"/>
          <w:sz w:val="22"/>
          <w:szCs w:val="22"/>
        </w:rPr>
        <w:t>(</w:t>
      </w:r>
      <w:proofErr w:type="spellStart"/>
      <w:r w:rsidR="00164738" w:rsidRPr="008D2267">
        <w:rPr>
          <w:rFonts w:ascii="Arial" w:hAnsi="Arial" w:cs="Arial"/>
          <w:color w:val="000000" w:themeColor="text1"/>
          <w:sz w:val="22"/>
          <w:szCs w:val="22"/>
        </w:rPr>
        <w:t>Mahdy</w:t>
      </w:r>
      <w:proofErr w:type="spellEnd"/>
      <w:r w:rsidR="00164738" w:rsidRPr="008D2267">
        <w:rPr>
          <w:rFonts w:ascii="Arial" w:hAnsi="Arial" w:cs="Arial"/>
          <w:color w:val="000000" w:themeColor="text1"/>
          <w:sz w:val="22"/>
          <w:szCs w:val="22"/>
        </w:rPr>
        <w:t xml:space="preserve"> and Author, 2020)</w:t>
      </w:r>
    </w:p>
    <w:p w14:paraId="0D8B7C49" w14:textId="5EDA51C5" w:rsidR="001613DA" w:rsidRPr="008D2267" w:rsidRDefault="001613DA"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 xml:space="preserve">1. Market Entry Strategy </w:t>
      </w:r>
    </w:p>
    <w:p w14:paraId="787FEA60" w14:textId="6F01701F" w:rsidR="001613DA" w:rsidRPr="008D2267" w:rsidRDefault="001613DA" w:rsidP="008D2267">
      <w:pPr>
        <w:spacing w:line="480" w:lineRule="auto"/>
        <w:jc w:val="both"/>
        <w:rPr>
          <w:rFonts w:ascii="Arial" w:hAnsi="Arial" w:cs="Arial"/>
          <w:b/>
          <w:bCs/>
          <w:color w:val="000000" w:themeColor="text1"/>
          <w:sz w:val="22"/>
          <w:szCs w:val="22"/>
        </w:rPr>
      </w:pPr>
      <w:r w:rsidRPr="008D2267">
        <w:rPr>
          <w:rFonts w:ascii="Arial" w:hAnsi="Arial" w:cs="Arial"/>
          <w:color w:val="000000" w:themeColor="text1"/>
          <w:sz w:val="22"/>
          <w:szCs w:val="22"/>
        </w:rPr>
        <w:t xml:space="preserve">There are </w:t>
      </w:r>
      <w:proofErr w:type="gramStart"/>
      <w:r w:rsidRPr="008D2267">
        <w:rPr>
          <w:rFonts w:ascii="Arial" w:hAnsi="Arial" w:cs="Arial"/>
          <w:color w:val="000000" w:themeColor="text1"/>
          <w:sz w:val="22"/>
          <w:szCs w:val="22"/>
        </w:rPr>
        <w:t>a number of</w:t>
      </w:r>
      <w:proofErr w:type="gramEnd"/>
      <w:r w:rsidRPr="008D2267">
        <w:rPr>
          <w:rFonts w:ascii="Arial" w:hAnsi="Arial" w:cs="Arial"/>
          <w:color w:val="000000" w:themeColor="text1"/>
          <w:sz w:val="22"/>
          <w:szCs w:val="22"/>
        </w:rPr>
        <w:t xml:space="preserve"> reasons why Toyota decided to enter the international market. First, Toyota was seeking to expand its customer base and reach new markets. Additionally, Toyota wanted to </w:t>
      </w:r>
      <w:r w:rsidRPr="008D2267">
        <w:rPr>
          <w:rFonts w:ascii="Arial" w:hAnsi="Arial" w:cs="Arial"/>
          <w:color w:val="000000" w:themeColor="text1"/>
          <w:sz w:val="22"/>
          <w:szCs w:val="22"/>
        </w:rPr>
        <w:lastRenderedPageBreak/>
        <w:t xml:space="preserve">increase its sales and profits, and saw international expansion </w:t>
      </w:r>
      <w:proofErr w:type="gramStart"/>
      <w:r w:rsidRPr="008D2267">
        <w:rPr>
          <w:rFonts w:ascii="Arial" w:hAnsi="Arial" w:cs="Arial"/>
          <w:color w:val="000000" w:themeColor="text1"/>
          <w:sz w:val="22"/>
          <w:szCs w:val="22"/>
        </w:rPr>
        <w:t>as a way to</w:t>
      </w:r>
      <w:proofErr w:type="gramEnd"/>
      <w:r w:rsidRPr="008D2267">
        <w:rPr>
          <w:rFonts w:ascii="Arial" w:hAnsi="Arial" w:cs="Arial"/>
          <w:color w:val="000000" w:themeColor="text1"/>
          <w:sz w:val="22"/>
          <w:szCs w:val="22"/>
        </w:rPr>
        <w:t xml:space="preserve"> achieve this goal. Finally, Toyota was looking to improve its competitive position by gaining a foothold in markets outside of Japan. To achieve its international expansion goals, Toyota employed </w:t>
      </w:r>
      <w:proofErr w:type="gramStart"/>
      <w:r w:rsidRPr="008D2267">
        <w:rPr>
          <w:rFonts w:ascii="Arial" w:hAnsi="Arial" w:cs="Arial"/>
          <w:color w:val="000000" w:themeColor="text1"/>
          <w:sz w:val="22"/>
          <w:szCs w:val="22"/>
        </w:rPr>
        <w:t>a number of</w:t>
      </w:r>
      <w:proofErr w:type="gramEnd"/>
      <w:r w:rsidRPr="008D2267">
        <w:rPr>
          <w:rFonts w:ascii="Arial" w:hAnsi="Arial" w:cs="Arial"/>
          <w:color w:val="000000" w:themeColor="text1"/>
          <w:sz w:val="22"/>
          <w:szCs w:val="22"/>
        </w:rPr>
        <w:t xml:space="preserve"> different market entry strategies. First, Toyota formed joint ventures with </w:t>
      </w:r>
      <w:proofErr w:type="gramStart"/>
      <w:r w:rsidRPr="008D2267">
        <w:rPr>
          <w:rFonts w:ascii="Arial" w:hAnsi="Arial" w:cs="Arial"/>
          <w:color w:val="000000" w:themeColor="text1"/>
          <w:sz w:val="22"/>
          <w:szCs w:val="22"/>
        </w:rPr>
        <w:t>a number of</w:t>
      </w:r>
      <w:proofErr w:type="gramEnd"/>
      <w:r w:rsidRPr="008D2267">
        <w:rPr>
          <w:rFonts w:ascii="Arial" w:hAnsi="Arial" w:cs="Arial"/>
          <w:color w:val="000000" w:themeColor="text1"/>
          <w:sz w:val="22"/>
          <w:szCs w:val="22"/>
        </w:rPr>
        <w:t xml:space="preserve"> different companies, including General Motors and Daihatsu. Additionally, Toyota acquired </w:t>
      </w:r>
      <w:proofErr w:type="gramStart"/>
      <w:r w:rsidRPr="008D2267">
        <w:rPr>
          <w:rFonts w:ascii="Arial" w:hAnsi="Arial" w:cs="Arial"/>
          <w:color w:val="000000" w:themeColor="text1"/>
          <w:sz w:val="22"/>
          <w:szCs w:val="22"/>
        </w:rPr>
        <w:t>a number of</w:t>
      </w:r>
      <w:proofErr w:type="gramEnd"/>
      <w:r w:rsidRPr="008D2267">
        <w:rPr>
          <w:rFonts w:ascii="Arial" w:hAnsi="Arial" w:cs="Arial"/>
          <w:color w:val="000000" w:themeColor="text1"/>
          <w:sz w:val="22"/>
          <w:szCs w:val="22"/>
        </w:rPr>
        <w:t xml:space="preserve"> smaller companies, including Hino Motors and Lexus. Finally, Toyota set up assembly plants and dealerships in </w:t>
      </w:r>
      <w:proofErr w:type="gramStart"/>
      <w:r w:rsidRPr="008D2267">
        <w:rPr>
          <w:rFonts w:ascii="Arial" w:hAnsi="Arial" w:cs="Arial"/>
          <w:color w:val="000000" w:themeColor="text1"/>
          <w:sz w:val="22"/>
          <w:szCs w:val="22"/>
        </w:rPr>
        <w:t>a number of</w:t>
      </w:r>
      <w:proofErr w:type="gramEnd"/>
      <w:r w:rsidRPr="008D2267">
        <w:rPr>
          <w:rFonts w:ascii="Arial" w:hAnsi="Arial" w:cs="Arial"/>
          <w:color w:val="000000" w:themeColor="text1"/>
          <w:sz w:val="22"/>
          <w:szCs w:val="22"/>
        </w:rPr>
        <w:t xml:space="preserve"> different countries</w:t>
      </w:r>
      <w:r w:rsidR="002443E0" w:rsidRPr="008D2267">
        <w:rPr>
          <w:rFonts w:ascii="Arial" w:hAnsi="Arial" w:cs="Arial"/>
          <w:color w:val="000000" w:themeColor="text1"/>
          <w:sz w:val="22"/>
          <w:szCs w:val="22"/>
        </w:rPr>
        <w:t xml:space="preserve"> (</w:t>
      </w:r>
      <w:proofErr w:type="spellStart"/>
      <w:r w:rsidR="002443E0" w:rsidRPr="008D2267">
        <w:rPr>
          <w:rFonts w:ascii="Arial" w:hAnsi="Arial" w:cs="Arial"/>
          <w:color w:val="000000" w:themeColor="text1"/>
          <w:sz w:val="22"/>
          <w:szCs w:val="22"/>
        </w:rPr>
        <w:t>Orero</w:t>
      </w:r>
      <w:proofErr w:type="spellEnd"/>
      <w:r w:rsidR="002443E0" w:rsidRPr="008D2267">
        <w:rPr>
          <w:rFonts w:ascii="Arial" w:hAnsi="Arial" w:cs="Arial"/>
          <w:color w:val="000000" w:themeColor="text1"/>
          <w:sz w:val="22"/>
          <w:szCs w:val="22"/>
        </w:rPr>
        <w:t>-Blat, Palacios-Marqués and Garzón, 2020)</w:t>
      </w:r>
      <w:r w:rsidRPr="008D2267">
        <w:rPr>
          <w:rFonts w:ascii="Arial" w:hAnsi="Arial" w:cs="Arial"/>
          <w:color w:val="000000" w:themeColor="text1"/>
          <w:sz w:val="22"/>
          <w:szCs w:val="22"/>
        </w:rPr>
        <w:t>.</w:t>
      </w:r>
    </w:p>
    <w:p w14:paraId="7C2A39AF" w14:textId="3A5AA146" w:rsidR="001613DA" w:rsidRPr="008D2267" w:rsidRDefault="001613DA"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 xml:space="preserve">2. Target Market Strategy </w:t>
      </w:r>
    </w:p>
    <w:p w14:paraId="41E9BB78" w14:textId="54DCAD0C" w:rsidR="001613DA" w:rsidRPr="008D2267" w:rsidRDefault="001613DA"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There are a few different aspects to Toyota's target market strategy for internationalization. First, the company has a global strategy of targeting emerging markets, which has helped it to become the largest automaker in the world. Second, Toyota has a focus on quality and durability, which has helped it to gain a loyal following among consumers. Finally, Toyota has a strong focus on customer service, which has helped it to build a strong reputation in the automotive industry. The target market strategy of Toyota for internationalization is to focus on developed countries with high incomes and well-established infrastructure. In these countries, Toyota can sell its products at a higher price and can rely on existing transportation and communication networks. Additionally, Toyota can take advantage of economies of scale by producing large quantities of vehicles in these countries</w:t>
      </w:r>
      <w:r w:rsidR="002443E0" w:rsidRPr="008D2267">
        <w:rPr>
          <w:rFonts w:ascii="Arial" w:hAnsi="Arial" w:cs="Arial"/>
          <w:color w:val="000000" w:themeColor="text1"/>
          <w:sz w:val="22"/>
          <w:szCs w:val="22"/>
        </w:rPr>
        <w:t xml:space="preserve"> (</w:t>
      </w:r>
      <w:proofErr w:type="spellStart"/>
      <w:r w:rsidR="002443E0" w:rsidRPr="008D2267">
        <w:rPr>
          <w:rFonts w:ascii="Arial" w:hAnsi="Arial" w:cs="Arial"/>
          <w:color w:val="000000" w:themeColor="text1"/>
          <w:sz w:val="22"/>
          <w:szCs w:val="22"/>
        </w:rPr>
        <w:t>Orero</w:t>
      </w:r>
      <w:proofErr w:type="spellEnd"/>
      <w:r w:rsidR="002443E0" w:rsidRPr="008D2267">
        <w:rPr>
          <w:rFonts w:ascii="Arial" w:hAnsi="Arial" w:cs="Arial"/>
          <w:color w:val="000000" w:themeColor="text1"/>
          <w:sz w:val="22"/>
          <w:szCs w:val="22"/>
        </w:rPr>
        <w:t>-Blat, Palacios-Marqués and Garzón, 2020)</w:t>
      </w:r>
      <w:r w:rsidRPr="008D2267">
        <w:rPr>
          <w:rFonts w:ascii="Arial" w:hAnsi="Arial" w:cs="Arial"/>
          <w:color w:val="000000" w:themeColor="text1"/>
          <w:sz w:val="22"/>
          <w:szCs w:val="22"/>
        </w:rPr>
        <w:t>.</w:t>
      </w:r>
    </w:p>
    <w:p w14:paraId="69535024" w14:textId="2DCB717F" w:rsidR="001613DA" w:rsidRPr="008D2267" w:rsidRDefault="001613DA"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 xml:space="preserve">3. Timing Strategy </w:t>
      </w:r>
    </w:p>
    <w:p w14:paraId="20D5B288" w14:textId="3543E11A" w:rsidR="001613DA" w:rsidRPr="008D2267" w:rsidRDefault="001613DA"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The timing strategy of Toyota for the internationalization of its business can be explained in detail. First, Toyota chooses to </w:t>
      </w:r>
      <w:proofErr w:type="gramStart"/>
      <w:r w:rsidRPr="008D2267">
        <w:rPr>
          <w:rFonts w:ascii="Arial" w:hAnsi="Arial" w:cs="Arial"/>
          <w:color w:val="000000" w:themeColor="text1"/>
          <w:sz w:val="22"/>
          <w:szCs w:val="22"/>
        </w:rPr>
        <w:t>enter into</w:t>
      </w:r>
      <w:proofErr w:type="gramEnd"/>
      <w:r w:rsidRPr="008D2267">
        <w:rPr>
          <w:rFonts w:ascii="Arial" w:hAnsi="Arial" w:cs="Arial"/>
          <w:color w:val="000000" w:themeColor="text1"/>
          <w:sz w:val="22"/>
          <w:szCs w:val="22"/>
        </w:rPr>
        <w:t xml:space="preserve"> new markets when the demand for its products is high. This allows the company to maximize its profits and establish a strong presence in new markets. Second, Toyota timing its entry into new markets carefully </w:t>
      </w:r>
      <w:proofErr w:type="gramStart"/>
      <w:r w:rsidRPr="008D2267">
        <w:rPr>
          <w:rFonts w:ascii="Arial" w:hAnsi="Arial" w:cs="Arial"/>
          <w:color w:val="000000" w:themeColor="text1"/>
          <w:sz w:val="22"/>
          <w:szCs w:val="22"/>
        </w:rPr>
        <w:t>in order to</w:t>
      </w:r>
      <w:proofErr w:type="gramEnd"/>
      <w:r w:rsidRPr="008D2267">
        <w:rPr>
          <w:rFonts w:ascii="Arial" w:hAnsi="Arial" w:cs="Arial"/>
          <w:color w:val="000000" w:themeColor="text1"/>
          <w:sz w:val="22"/>
          <w:szCs w:val="22"/>
        </w:rPr>
        <w:t xml:space="preserve"> avoid clashes with its competitors</w:t>
      </w:r>
      <w:r w:rsidR="002443E0" w:rsidRPr="008D2267">
        <w:rPr>
          <w:rFonts w:ascii="Arial" w:hAnsi="Arial" w:cs="Arial"/>
          <w:color w:val="000000" w:themeColor="text1"/>
          <w:sz w:val="22"/>
          <w:szCs w:val="22"/>
        </w:rPr>
        <w:t xml:space="preserve"> (Cao, Zhang and Antony, 2018)</w:t>
      </w:r>
      <w:r w:rsidRPr="008D2267">
        <w:rPr>
          <w:rFonts w:ascii="Arial" w:hAnsi="Arial" w:cs="Arial"/>
          <w:color w:val="000000" w:themeColor="text1"/>
          <w:sz w:val="22"/>
          <w:szCs w:val="22"/>
        </w:rPr>
        <w:t xml:space="preserve">. This allows the company to avoid costly marketing </w:t>
      </w:r>
      <w:r w:rsidRPr="008D2267">
        <w:rPr>
          <w:rFonts w:ascii="Arial" w:hAnsi="Arial" w:cs="Arial"/>
          <w:color w:val="000000" w:themeColor="text1"/>
          <w:sz w:val="22"/>
          <w:szCs w:val="22"/>
        </w:rPr>
        <w:lastRenderedPageBreak/>
        <w:t xml:space="preserve">wars and to establish a foothold in new markets before its competitors can do so. Third, Toyota uses a phased approach to internationalization, first </w:t>
      </w:r>
      <w:proofErr w:type="gramStart"/>
      <w:r w:rsidRPr="008D2267">
        <w:rPr>
          <w:rFonts w:ascii="Arial" w:hAnsi="Arial" w:cs="Arial"/>
          <w:color w:val="000000" w:themeColor="text1"/>
          <w:sz w:val="22"/>
          <w:szCs w:val="22"/>
        </w:rPr>
        <w:t>entering into</w:t>
      </w:r>
      <w:proofErr w:type="gramEnd"/>
      <w:r w:rsidRPr="008D2267">
        <w:rPr>
          <w:rFonts w:ascii="Arial" w:hAnsi="Arial" w:cs="Arial"/>
          <w:color w:val="000000" w:themeColor="text1"/>
          <w:sz w:val="22"/>
          <w:szCs w:val="22"/>
        </w:rPr>
        <w:t xml:space="preserve"> markets where it has a strong competitive advantage and then gradually expanding into other markets. This allows the company to minimize risks and to strategically position itself in new markets. Fourth, Toyota uses a variety of entry modes to </w:t>
      </w:r>
      <w:proofErr w:type="gramStart"/>
      <w:r w:rsidRPr="008D2267">
        <w:rPr>
          <w:rFonts w:ascii="Arial" w:hAnsi="Arial" w:cs="Arial"/>
          <w:color w:val="000000" w:themeColor="text1"/>
          <w:sz w:val="22"/>
          <w:szCs w:val="22"/>
        </w:rPr>
        <w:t>enter into</w:t>
      </w:r>
      <w:proofErr w:type="gramEnd"/>
      <w:r w:rsidRPr="008D2267">
        <w:rPr>
          <w:rFonts w:ascii="Arial" w:hAnsi="Arial" w:cs="Arial"/>
          <w:color w:val="000000" w:themeColor="text1"/>
          <w:sz w:val="22"/>
          <w:szCs w:val="22"/>
        </w:rPr>
        <w:t xml:space="preserve"> new markets, including licensing, franchising, and joint ventures. This allows the company to tailor its approach to each new market and to adapt to the local business environment</w:t>
      </w:r>
      <w:r w:rsidR="002443E0" w:rsidRPr="008D2267">
        <w:rPr>
          <w:rFonts w:ascii="Arial" w:hAnsi="Arial" w:cs="Arial"/>
          <w:color w:val="000000" w:themeColor="text1"/>
          <w:sz w:val="22"/>
          <w:szCs w:val="22"/>
        </w:rPr>
        <w:t xml:space="preserve"> (Cao, </w:t>
      </w:r>
      <w:proofErr w:type="gramStart"/>
      <w:r w:rsidR="002443E0" w:rsidRPr="008D2267">
        <w:rPr>
          <w:rFonts w:ascii="Arial" w:hAnsi="Arial" w:cs="Arial"/>
          <w:color w:val="000000" w:themeColor="text1"/>
          <w:sz w:val="22"/>
          <w:szCs w:val="22"/>
        </w:rPr>
        <w:t>Zhang</w:t>
      </w:r>
      <w:proofErr w:type="gramEnd"/>
      <w:r w:rsidR="002443E0" w:rsidRPr="008D2267">
        <w:rPr>
          <w:rFonts w:ascii="Arial" w:hAnsi="Arial" w:cs="Arial"/>
          <w:color w:val="000000" w:themeColor="text1"/>
          <w:sz w:val="22"/>
          <w:szCs w:val="22"/>
        </w:rPr>
        <w:t xml:space="preserve"> and Antony, 2018)</w:t>
      </w:r>
      <w:r w:rsidRPr="008D2267">
        <w:rPr>
          <w:rFonts w:ascii="Arial" w:hAnsi="Arial" w:cs="Arial"/>
          <w:color w:val="000000" w:themeColor="text1"/>
          <w:sz w:val="22"/>
          <w:szCs w:val="22"/>
        </w:rPr>
        <w:t xml:space="preserve">. </w:t>
      </w:r>
    </w:p>
    <w:p w14:paraId="70CDCEFB" w14:textId="10A84BB4" w:rsidR="001613DA" w:rsidRPr="008D2267" w:rsidRDefault="001613DA" w:rsidP="008D2267">
      <w:pPr>
        <w:spacing w:line="480" w:lineRule="auto"/>
        <w:jc w:val="both"/>
        <w:rPr>
          <w:rFonts w:ascii="Arial" w:hAnsi="Arial" w:cs="Arial"/>
          <w:b/>
          <w:bCs/>
          <w:color w:val="000000" w:themeColor="text1"/>
          <w:sz w:val="22"/>
          <w:szCs w:val="22"/>
        </w:rPr>
      </w:pPr>
      <w:r w:rsidRPr="008D2267">
        <w:rPr>
          <w:rFonts w:ascii="Arial" w:hAnsi="Arial" w:cs="Arial"/>
          <w:color w:val="000000" w:themeColor="text1"/>
          <w:sz w:val="22"/>
          <w:szCs w:val="22"/>
        </w:rPr>
        <w:t xml:space="preserve">Fifth, Toyota invests heavily in research and development </w:t>
      </w:r>
      <w:proofErr w:type="gramStart"/>
      <w:r w:rsidRPr="008D2267">
        <w:rPr>
          <w:rFonts w:ascii="Arial" w:hAnsi="Arial" w:cs="Arial"/>
          <w:color w:val="000000" w:themeColor="text1"/>
          <w:sz w:val="22"/>
          <w:szCs w:val="22"/>
        </w:rPr>
        <w:t>in order to</w:t>
      </w:r>
      <w:proofErr w:type="gramEnd"/>
      <w:r w:rsidRPr="008D2267">
        <w:rPr>
          <w:rFonts w:ascii="Arial" w:hAnsi="Arial" w:cs="Arial"/>
          <w:color w:val="000000" w:themeColor="text1"/>
          <w:sz w:val="22"/>
          <w:szCs w:val="22"/>
        </w:rPr>
        <w:t xml:space="preserve"> maintain its competitive advantage. This allows the company to continually innovate and to introduce new products and technologies to new markets. Overall, Toyota's timing strategy for the internationalization its business is well-thought-out and carefully executed</w:t>
      </w:r>
      <w:r w:rsidR="002443E0" w:rsidRPr="008D2267">
        <w:rPr>
          <w:rFonts w:ascii="Arial" w:hAnsi="Arial" w:cs="Arial"/>
          <w:color w:val="000000" w:themeColor="text1"/>
          <w:sz w:val="22"/>
          <w:szCs w:val="22"/>
        </w:rPr>
        <w:t xml:space="preserve"> (Cao, Zhang and Antony, 2018)</w:t>
      </w:r>
      <w:r w:rsidRPr="008D2267">
        <w:rPr>
          <w:rFonts w:ascii="Arial" w:hAnsi="Arial" w:cs="Arial"/>
          <w:b/>
          <w:bCs/>
          <w:color w:val="000000" w:themeColor="text1"/>
          <w:sz w:val="22"/>
          <w:szCs w:val="22"/>
          <w:shd w:val="clear" w:color="auto" w:fill="FFFFFF"/>
        </w:rPr>
        <w:t>.</w:t>
      </w:r>
    </w:p>
    <w:p w14:paraId="01E21664" w14:textId="412ED955" w:rsidR="001613DA" w:rsidRPr="008D2267" w:rsidRDefault="001613DA"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 xml:space="preserve">4. Allocation Strategy </w:t>
      </w:r>
    </w:p>
    <w:p w14:paraId="3D54681F" w14:textId="24B5C39F" w:rsidR="001613DA" w:rsidRPr="008D2267" w:rsidRDefault="001613DA" w:rsidP="008D2267">
      <w:pPr>
        <w:spacing w:line="480" w:lineRule="auto"/>
        <w:jc w:val="both"/>
        <w:rPr>
          <w:rFonts w:ascii="Arial" w:hAnsi="Arial" w:cs="Arial"/>
          <w:b/>
          <w:bCs/>
          <w:color w:val="000000" w:themeColor="text1"/>
          <w:sz w:val="22"/>
          <w:szCs w:val="22"/>
        </w:rPr>
      </w:pPr>
      <w:r w:rsidRPr="008D2267">
        <w:rPr>
          <w:rFonts w:ascii="Arial" w:hAnsi="Arial" w:cs="Arial"/>
          <w:color w:val="000000" w:themeColor="text1"/>
          <w:sz w:val="22"/>
          <w:szCs w:val="22"/>
        </w:rPr>
        <w:t>The allocation strategy of Toyota for the internationalization its business is to first focus on the development of its domestic market in Japan. After establishing a strong presence in Japan, Toyota then expanded its operations to other Asian countries such as Thailand and Indonesia. In the late 1990s, Toyota began to expand its operations into Europe and North America. Today, Toyota has a Global Presence in over 170 countries across the world</w:t>
      </w:r>
      <w:r w:rsidR="002443E0" w:rsidRPr="008D2267">
        <w:rPr>
          <w:rFonts w:ascii="Arial" w:hAnsi="Arial" w:cs="Arial"/>
          <w:color w:val="000000" w:themeColor="text1"/>
          <w:sz w:val="22"/>
          <w:szCs w:val="22"/>
        </w:rPr>
        <w:t xml:space="preserve"> (Iwata, 2020)</w:t>
      </w:r>
      <w:r w:rsidRPr="008D2267">
        <w:rPr>
          <w:rFonts w:ascii="Arial" w:hAnsi="Arial" w:cs="Arial"/>
          <w:color w:val="000000" w:themeColor="text1"/>
          <w:sz w:val="22"/>
          <w:szCs w:val="22"/>
        </w:rPr>
        <w:t>. The allocation strategy of Toyota for internationalization is to focus on developing countries with high potential for growth. The company has been particularly successful in Brazil, China, and India. There is no one-size-fits-all answer to this question, as Toyota's allocation strategy for internationalizing its business will vary depending on the specific countries and markets involved. However, some key factors that Toyota will likely consider include the relative size and growth potential of each market, the company's competitive position in each market, and the infrastructure and regulatory environment in each market</w:t>
      </w:r>
      <w:r w:rsidR="002443E0" w:rsidRPr="008D2267">
        <w:rPr>
          <w:rFonts w:ascii="Arial" w:hAnsi="Arial" w:cs="Arial"/>
          <w:color w:val="000000" w:themeColor="text1"/>
          <w:sz w:val="22"/>
          <w:szCs w:val="22"/>
        </w:rPr>
        <w:t xml:space="preserve"> (Iwata, 2020)</w:t>
      </w:r>
      <w:r w:rsidRPr="008D2267">
        <w:rPr>
          <w:rFonts w:ascii="Arial" w:hAnsi="Arial" w:cs="Arial"/>
          <w:color w:val="000000" w:themeColor="text1"/>
          <w:sz w:val="22"/>
          <w:szCs w:val="22"/>
        </w:rPr>
        <w:t>.</w:t>
      </w:r>
    </w:p>
    <w:p w14:paraId="00CD0886" w14:textId="30B47B9F" w:rsidR="001613DA" w:rsidRPr="008D2267" w:rsidRDefault="001613DA"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lastRenderedPageBreak/>
        <w:t xml:space="preserve">5. Coordination Strategy </w:t>
      </w:r>
    </w:p>
    <w:p w14:paraId="26F3B9A8" w14:textId="5AAB4D9D" w:rsidR="001613DA" w:rsidRPr="008D2267" w:rsidRDefault="001613DA"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The Toyota Motor Corporation coordinates its internationalization strategy around a "global matrix" organization. This structure consists of a global headquarters, regional headquarters, and country offices</w:t>
      </w:r>
      <w:r w:rsidR="002443E0" w:rsidRPr="008D2267">
        <w:rPr>
          <w:rFonts w:ascii="Arial" w:hAnsi="Arial" w:cs="Arial"/>
          <w:color w:val="000000" w:themeColor="text1"/>
          <w:sz w:val="22"/>
          <w:szCs w:val="22"/>
        </w:rPr>
        <w:t xml:space="preserve"> (Iwata, 2020)</w:t>
      </w:r>
      <w:r w:rsidRPr="008D2267">
        <w:rPr>
          <w:rFonts w:ascii="Arial" w:hAnsi="Arial" w:cs="Arial"/>
          <w:color w:val="000000" w:themeColor="text1"/>
          <w:sz w:val="22"/>
          <w:szCs w:val="22"/>
        </w:rPr>
        <w:t>. The global headquarters is responsible for setting the overall direction for the company, while the regional headquarters are responsible for managing Toyota's operations in specific geographical areas. The country offices are responsible for Toyota's business in specific countries. There is no one-size-fits-all answer to this question, as the coordination strategy of Toyota for internationalization will vary from country to country depending on the local market conditions and the company's overall business strategy. However, some general themes that may be relevant include developing a deep understanding of the local market, building strong relationships with local partners, and tailoring the company's products and services to meet the specific needs of the local market</w:t>
      </w:r>
      <w:r w:rsidR="002443E0" w:rsidRPr="008D2267">
        <w:rPr>
          <w:rFonts w:ascii="Arial" w:hAnsi="Arial" w:cs="Arial"/>
          <w:color w:val="000000" w:themeColor="text1"/>
          <w:sz w:val="22"/>
          <w:szCs w:val="22"/>
        </w:rPr>
        <w:t xml:space="preserve"> (Iwata, 2020)</w:t>
      </w:r>
      <w:r w:rsidRPr="008D2267">
        <w:rPr>
          <w:rFonts w:ascii="Arial" w:hAnsi="Arial" w:cs="Arial"/>
          <w:color w:val="000000" w:themeColor="text1"/>
          <w:sz w:val="22"/>
          <w:szCs w:val="22"/>
        </w:rPr>
        <w:t>.</w:t>
      </w:r>
    </w:p>
    <w:p w14:paraId="7498E080" w14:textId="5BD2C88D" w:rsidR="00393805" w:rsidRPr="008D2267" w:rsidRDefault="00393805"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 xml:space="preserve">Management </w:t>
      </w:r>
      <w:proofErr w:type="gramStart"/>
      <w:r w:rsidRPr="008D2267">
        <w:rPr>
          <w:rFonts w:ascii="Arial" w:hAnsi="Arial" w:cs="Arial"/>
          <w:b/>
          <w:bCs/>
          <w:color w:val="000000" w:themeColor="text1"/>
          <w:sz w:val="22"/>
          <w:szCs w:val="22"/>
        </w:rPr>
        <w:t>Specific-factors</w:t>
      </w:r>
      <w:proofErr w:type="gramEnd"/>
    </w:p>
    <w:p w14:paraId="4064BB1D" w14:textId="753456D4" w:rsidR="00393805" w:rsidRPr="008D2267" w:rsidRDefault="0039380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Management </w:t>
      </w:r>
      <w:proofErr w:type="gramStart"/>
      <w:r w:rsidRPr="008D2267">
        <w:rPr>
          <w:rFonts w:ascii="Arial" w:hAnsi="Arial" w:cs="Arial"/>
          <w:color w:val="000000" w:themeColor="text1"/>
          <w:sz w:val="22"/>
          <w:szCs w:val="22"/>
        </w:rPr>
        <w:t>Specific-factors</w:t>
      </w:r>
      <w:proofErr w:type="gramEnd"/>
      <w:r w:rsidRPr="008D2267">
        <w:rPr>
          <w:rFonts w:ascii="Arial" w:hAnsi="Arial" w:cs="Arial"/>
          <w:color w:val="000000" w:themeColor="text1"/>
          <w:sz w:val="22"/>
          <w:szCs w:val="22"/>
        </w:rPr>
        <w:t xml:space="preserve"> has identified several key factors that it believes are important to its success in international markets. First, the company has a strong focus on product quality and customer service. Second, it has established a reputation for delivering high-value products and services. Third, it has a deep understanding of local markets and cultures. Finally, it has a commitment to innovation and continuous improvement</w:t>
      </w:r>
      <w:r w:rsidR="002443E0" w:rsidRPr="008D2267">
        <w:rPr>
          <w:rFonts w:ascii="Arial" w:hAnsi="Arial" w:cs="Arial"/>
          <w:color w:val="000000" w:themeColor="text1"/>
          <w:sz w:val="22"/>
          <w:szCs w:val="22"/>
        </w:rPr>
        <w:t xml:space="preserve"> (</w:t>
      </w:r>
      <w:proofErr w:type="spellStart"/>
      <w:r w:rsidR="002443E0" w:rsidRPr="008D2267">
        <w:rPr>
          <w:rFonts w:ascii="Arial" w:hAnsi="Arial" w:cs="Arial"/>
          <w:color w:val="000000" w:themeColor="text1"/>
          <w:sz w:val="22"/>
          <w:szCs w:val="22"/>
        </w:rPr>
        <w:t>Mihov</w:t>
      </w:r>
      <w:proofErr w:type="spellEnd"/>
      <w:r w:rsidR="002443E0" w:rsidRPr="008D2267">
        <w:rPr>
          <w:rFonts w:ascii="Arial" w:hAnsi="Arial" w:cs="Arial"/>
          <w:color w:val="000000" w:themeColor="text1"/>
          <w:sz w:val="22"/>
          <w:szCs w:val="22"/>
        </w:rPr>
        <w:t xml:space="preserve"> and Naranjo, 2019)</w:t>
      </w:r>
      <w:r w:rsidRPr="008D2267">
        <w:rPr>
          <w:rFonts w:ascii="Arial" w:hAnsi="Arial" w:cs="Arial"/>
          <w:color w:val="000000" w:themeColor="text1"/>
          <w:sz w:val="22"/>
          <w:szCs w:val="22"/>
        </w:rPr>
        <w:t>.</w:t>
      </w:r>
    </w:p>
    <w:p w14:paraId="50369EB9" w14:textId="0F7592D8" w:rsidR="00393805" w:rsidRPr="008D2267" w:rsidRDefault="00393805"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 xml:space="preserve">Industry-Specific Factors </w:t>
      </w:r>
    </w:p>
    <w:p w14:paraId="2C8F21DE" w14:textId="58C1F0F9" w:rsidR="00393805" w:rsidRPr="008D2267" w:rsidRDefault="0039380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Industry-specific factors can play a significant role in a company's internationalization strategy. For example, if a company's products are highly specialized or require a high degree of customization, it may be more difficult for that company to enter foreign markets. Additionally, companies in certain industries may be more likely to face barriers to entry in certain countries due to regulations or other factors</w:t>
      </w:r>
      <w:r w:rsidR="002443E0" w:rsidRPr="008D2267">
        <w:rPr>
          <w:rFonts w:ascii="Arial" w:hAnsi="Arial" w:cs="Arial"/>
          <w:color w:val="000000" w:themeColor="text1"/>
          <w:sz w:val="22"/>
          <w:szCs w:val="22"/>
        </w:rPr>
        <w:t xml:space="preserve"> (</w:t>
      </w:r>
      <w:proofErr w:type="spellStart"/>
      <w:r w:rsidR="002443E0" w:rsidRPr="008D2267">
        <w:rPr>
          <w:rFonts w:ascii="Arial" w:hAnsi="Arial" w:cs="Arial"/>
          <w:color w:val="000000" w:themeColor="text1"/>
          <w:sz w:val="22"/>
          <w:szCs w:val="22"/>
        </w:rPr>
        <w:t>Mihov</w:t>
      </w:r>
      <w:proofErr w:type="spellEnd"/>
      <w:r w:rsidR="002443E0" w:rsidRPr="008D2267">
        <w:rPr>
          <w:rFonts w:ascii="Arial" w:hAnsi="Arial" w:cs="Arial"/>
          <w:color w:val="000000" w:themeColor="text1"/>
          <w:sz w:val="22"/>
          <w:szCs w:val="22"/>
        </w:rPr>
        <w:t xml:space="preserve"> and Naranjo, 2019)</w:t>
      </w:r>
      <w:r w:rsidRPr="008D2267">
        <w:rPr>
          <w:rFonts w:ascii="Arial" w:hAnsi="Arial" w:cs="Arial"/>
          <w:color w:val="000000" w:themeColor="text1"/>
          <w:sz w:val="22"/>
          <w:szCs w:val="22"/>
        </w:rPr>
        <w:t>.</w:t>
      </w:r>
    </w:p>
    <w:p w14:paraId="3D6C71A6" w14:textId="4FDB8094" w:rsidR="00393805" w:rsidRPr="008D2267" w:rsidRDefault="00393805"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lastRenderedPageBreak/>
        <w:t xml:space="preserve">Country-Specific Factors </w:t>
      </w:r>
    </w:p>
    <w:p w14:paraId="32E08CC7" w14:textId="7CA5BFF8" w:rsidR="00393805" w:rsidRPr="008D2267" w:rsidRDefault="00393805" w:rsidP="008D2267">
      <w:pPr>
        <w:spacing w:line="480" w:lineRule="auto"/>
        <w:jc w:val="both"/>
        <w:rPr>
          <w:rFonts w:ascii="Arial" w:hAnsi="Arial" w:cs="Arial"/>
          <w:b/>
          <w:bCs/>
          <w:color w:val="000000" w:themeColor="text1"/>
          <w:sz w:val="22"/>
          <w:szCs w:val="22"/>
        </w:rPr>
      </w:pPr>
      <w:r w:rsidRPr="008D2267">
        <w:rPr>
          <w:rFonts w:ascii="Arial" w:hAnsi="Arial" w:cs="Arial"/>
          <w:color w:val="000000" w:themeColor="text1"/>
          <w:sz w:val="22"/>
          <w:szCs w:val="22"/>
        </w:rPr>
        <w:t>Country-Specific Factors refer to the internal and external conditions that affect a company's ability to conduct business in a particular country. This can include things like the political and economic stability of the country, the availability of resources, the level of infrastructure development, and the legal and regulatory environment. When considering international expansion, a company must weigh the potential risks and opportunities associated with each market. Country-Specific Factors can help identify which markets offer the most promise and which ones may pose more challenges. By understanding the unique conditions of each market, a company can develop a more customized approach to doing business in that country. This can increase the chances of success and help avoid potential pitfalls</w:t>
      </w:r>
      <w:r w:rsidR="002443E0" w:rsidRPr="008D2267">
        <w:rPr>
          <w:rFonts w:ascii="Arial" w:hAnsi="Arial" w:cs="Arial"/>
          <w:color w:val="000000" w:themeColor="text1"/>
          <w:sz w:val="22"/>
          <w:szCs w:val="22"/>
        </w:rPr>
        <w:t xml:space="preserve"> (</w:t>
      </w:r>
      <w:proofErr w:type="spellStart"/>
      <w:r w:rsidR="002443E0" w:rsidRPr="008D2267">
        <w:rPr>
          <w:rFonts w:ascii="Arial" w:hAnsi="Arial" w:cs="Arial"/>
          <w:color w:val="000000" w:themeColor="text1"/>
          <w:sz w:val="22"/>
          <w:szCs w:val="22"/>
        </w:rPr>
        <w:t>Mihov</w:t>
      </w:r>
      <w:proofErr w:type="spellEnd"/>
      <w:r w:rsidR="002443E0" w:rsidRPr="008D2267">
        <w:rPr>
          <w:rFonts w:ascii="Arial" w:hAnsi="Arial" w:cs="Arial"/>
          <w:color w:val="000000" w:themeColor="text1"/>
          <w:sz w:val="22"/>
          <w:szCs w:val="22"/>
        </w:rPr>
        <w:t xml:space="preserve"> and Naranjo, 2019)</w:t>
      </w:r>
      <w:r w:rsidRPr="008D2267">
        <w:rPr>
          <w:rFonts w:ascii="Arial" w:hAnsi="Arial" w:cs="Arial"/>
          <w:color w:val="000000" w:themeColor="text1"/>
          <w:sz w:val="22"/>
          <w:szCs w:val="22"/>
        </w:rPr>
        <w:t>.</w:t>
      </w:r>
    </w:p>
    <w:p w14:paraId="066FCCF3" w14:textId="1913AC29" w:rsidR="004D2B6B" w:rsidRPr="008D2267" w:rsidRDefault="004D2B6B" w:rsidP="008D2267">
      <w:pPr>
        <w:pStyle w:val="Heading2"/>
        <w:spacing w:line="480" w:lineRule="auto"/>
        <w:jc w:val="both"/>
        <w:rPr>
          <w:rFonts w:ascii="Arial" w:hAnsi="Arial" w:cs="Arial"/>
          <w:sz w:val="22"/>
          <w:szCs w:val="22"/>
        </w:rPr>
      </w:pPr>
      <w:bookmarkStart w:id="3" w:name="_Toc122543596"/>
      <w:r w:rsidRPr="008D2267">
        <w:rPr>
          <w:rFonts w:ascii="Arial" w:hAnsi="Arial" w:cs="Arial"/>
          <w:sz w:val="22"/>
          <w:szCs w:val="22"/>
        </w:rPr>
        <w:t>2.2 Toyota organizes its Resources and Capabilities</w:t>
      </w:r>
      <w:bookmarkEnd w:id="3"/>
      <w:r w:rsidRPr="008D2267">
        <w:rPr>
          <w:rFonts w:ascii="Arial" w:hAnsi="Arial" w:cs="Arial"/>
          <w:sz w:val="22"/>
          <w:szCs w:val="22"/>
        </w:rPr>
        <w:t xml:space="preserve"> </w:t>
      </w:r>
    </w:p>
    <w:p w14:paraId="22C0648F" w14:textId="0EDB1859" w:rsidR="001613DA" w:rsidRPr="008D2267" w:rsidRDefault="00393805"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Marketing</w:t>
      </w:r>
    </w:p>
    <w:p w14:paraId="0641D119" w14:textId="3EB5AC6D" w:rsidR="00393805" w:rsidRPr="008D2267" w:rsidRDefault="0039380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Toyota has organized its resources and capabilities in marketing in an international context by focusing on regional needs and wants. The company has also established a global marketing organization that is responsible for developing and executing marketing plans and programs in each region. Additionally, Toyota has created regional marketing hubs that are responsible for planning and executing marketing activities in their respective regions</w:t>
      </w:r>
      <w:r w:rsidR="002443E0" w:rsidRPr="008D2267">
        <w:rPr>
          <w:rFonts w:ascii="Arial" w:hAnsi="Arial" w:cs="Arial"/>
          <w:color w:val="000000" w:themeColor="text1"/>
          <w:sz w:val="22"/>
          <w:szCs w:val="22"/>
        </w:rPr>
        <w:t xml:space="preserve"> (</w:t>
      </w:r>
      <w:proofErr w:type="spellStart"/>
      <w:r w:rsidR="002443E0" w:rsidRPr="008D2267">
        <w:rPr>
          <w:rFonts w:ascii="Arial" w:hAnsi="Arial" w:cs="Arial"/>
          <w:color w:val="000000" w:themeColor="text1"/>
          <w:sz w:val="22"/>
          <w:szCs w:val="22"/>
        </w:rPr>
        <w:t>Bağış</w:t>
      </w:r>
      <w:proofErr w:type="spellEnd"/>
      <w:r w:rsidR="002443E0" w:rsidRPr="008D2267">
        <w:rPr>
          <w:rFonts w:ascii="Arial" w:hAnsi="Arial" w:cs="Arial"/>
          <w:color w:val="000000" w:themeColor="text1"/>
          <w:sz w:val="22"/>
          <w:szCs w:val="22"/>
        </w:rPr>
        <w:t xml:space="preserve"> et al., 2022)</w:t>
      </w:r>
      <w:r w:rsidRPr="008D2267">
        <w:rPr>
          <w:rFonts w:ascii="Arial" w:hAnsi="Arial" w:cs="Arial"/>
          <w:color w:val="000000" w:themeColor="text1"/>
          <w:sz w:val="22"/>
          <w:szCs w:val="22"/>
        </w:rPr>
        <w:t>.</w:t>
      </w:r>
    </w:p>
    <w:p w14:paraId="5F0CAC09" w14:textId="1D002916" w:rsidR="00393805" w:rsidRPr="008D2267" w:rsidRDefault="0039380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Toyota has a vast global marketing network that consists of numerous regional marketing subsidiaries. Each of these subsidiaries is responsible for marketing Toyota's vehicles in their respective regions. The subsidiaries are connected to Toyota's global headquarters via a dedicated intranet. This allows for quick and efficient communication between the various marketing teams. In terms of resources and capabilities, Toyota is extremely well-funded and has a large marketing budget. The company also has a large amount of data and information on its customers, which it uses to target its marketing efforts. Additionally, Toyota has </w:t>
      </w:r>
      <w:proofErr w:type="gramStart"/>
      <w:r w:rsidRPr="008D2267">
        <w:rPr>
          <w:rFonts w:ascii="Arial" w:hAnsi="Arial" w:cs="Arial"/>
          <w:color w:val="000000" w:themeColor="text1"/>
          <w:sz w:val="22"/>
          <w:szCs w:val="22"/>
        </w:rPr>
        <w:t xml:space="preserve">a large number </w:t>
      </w:r>
      <w:r w:rsidRPr="008D2267">
        <w:rPr>
          <w:rFonts w:ascii="Arial" w:hAnsi="Arial" w:cs="Arial"/>
          <w:color w:val="000000" w:themeColor="text1"/>
          <w:sz w:val="22"/>
          <w:szCs w:val="22"/>
        </w:rPr>
        <w:lastRenderedPageBreak/>
        <w:t>of</w:t>
      </w:r>
      <w:proofErr w:type="gramEnd"/>
      <w:r w:rsidRPr="008D2267">
        <w:rPr>
          <w:rFonts w:ascii="Arial" w:hAnsi="Arial" w:cs="Arial"/>
          <w:color w:val="000000" w:themeColor="text1"/>
          <w:sz w:val="22"/>
          <w:szCs w:val="22"/>
        </w:rPr>
        <w:t xml:space="preserve"> dealerships and service centers around the world, which gives it a significant presence in many markets. Finally, Toyota has a strong reputation for quality, which gives it a competitive advantage in the marketplace</w:t>
      </w:r>
      <w:r w:rsidR="002443E0" w:rsidRPr="008D2267">
        <w:rPr>
          <w:rFonts w:ascii="Arial" w:hAnsi="Arial" w:cs="Arial"/>
          <w:color w:val="000000" w:themeColor="text1"/>
          <w:sz w:val="22"/>
          <w:szCs w:val="22"/>
        </w:rPr>
        <w:t xml:space="preserve"> (</w:t>
      </w:r>
      <w:proofErr w:type="spellStart"/>
      <w:r w:rsidR="002443E0" w:rsidRPr="008D2267">
        <w:rPr>
          <w:rFonts w:ascii="Arial" w:hAnsi="Arial" w:cs="Arial"/>
          <w:color w:val="000000" w:themeColor="text1"/>
          <w:sz w:val="22"/>
          <w:szCs w:val="22"/>
        </w:rPr>
        <w:t>Bağış</w:t>
      </w:r>
      <w:proofErr w:type="spellEnd"/>
      <w:r w:rsidR="002443E0" w:rsidRPr="008D2267">
        <w:rPr>
          <w:rFonts w:ascii="Arial" w:hAnsi="Arial" w:cs="Arial"/>
          <w:color w:val="000000" w:themeColor="text1"/>
          <w:sz w:val="22"/>
          <w:szCs w:val="22"/>
        </w:rPr>
        <w:t xml:space="preserve"> et al., 2022)</w:t>
      </w:r>
      <w:r w:rsidRPr="008D2267">
        <w:rPr>
          <w:rFonts w:ascii="Arial" w:hAnsi="Arial" w:cs="Arial"/>
          <w:color w:val="000000" w:themeColor="text1"/>
          <w:sz w:val="22"/>
          <w:szCs w:val="22"/>
        </w:rPr>
        <w:t>.</w:t>
      </w:r>
    </w:p>
    <w:p w14:paraId="00DC3D6D" w14:textId="77777777" w:rsidR="00393805" w:rsidRPr="008D2267" w:rsidRDefault="00393805"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Operations</w:t>
      </w:r>
    </w:p>
    <w:p w14:paraId="16D8C6AA" w14:textId="3EB28620" w:rsidR="00393805" w:rsidRPr="008D2267" w:rsidRDefault="00393805" w:rsidP="008D2267">
      <w:pPr>
        <w:spacing w:line="480" w:lineRule="auto"/>
        <w:jc w:val="both"/>
        <w:rPr>
          <w:rFonts w:ascii="Arial" w:hAnsi="Arial" w:cs="Arial"/>
          <w:color w:val="000000" w:themeColor="text1"/>
          <w:sz w:val="22"/>
          <w:szCs w:val="22"/>
        </w:rPr>
      </w:pPr>
      <w:r w:rsidRPr="008D2267">
        <w:rPr>
          <w:rFonts w:ascii="Arial" w:hAnsi="Arial" w:cs="Arial"/>
          <w:b/>
          <w:bCs/>
          <w:color w:val="000000" w:themeColor="text1"/>
          <w:sz w:val="22"/>
          <w:szCs w:val="22"/>
        </w:rPr>
        <w:t xml:space="preserve"> </w:t>
      </w:r>
      <w:r w:rsidRPr="008D2267">
        <w:rPr>
          <w:rFonts w:ascii="Arial" w:hAnsi="Arial" w:cs="Arial"/>
          <w:color w:val="000000" w:themeColor="text1"/>
          <w:sz w:val="22"/>
          <w:szCs w:val="22"/>
        </w:rPr>
        <w:t xml:space="preserve">In order to operate internationally, Toyota organizes its resources and capabilities in a few </w:t>
      </w:r>
      <w:proofErr w:type="gramStart"/>
      <w:r w:rsidRPr="008D2267">
        <w:rPr>
          <w:rFonts w:ascii="Arial" w:hAnsi="Arial" w:cs="Arial"/>
          <w:color w:val="000000" w:themeColor="text1"/>
          <w:sz w:val="22"/>
          <w:szCs w:val="22"/>
        </w:rPr>
        <w:t>key ways</w:t>
      </w:r>
      <w:proofErr w:type="gramEnd"/>
      <w:r w:rsidRPr="008D2267">
        <w:rPr>
          <w:rFonts w:ascii="Arial" w:hAnsi="Arial" w:cs="Arial"/>
          <w:color w:val="000000" w:themeColor="text1"/>
          <w:sz w:val="22"/>
          <w:szCs w:val="22"/>
        </w:rPr>
        <w:t xml:space="preserve">. First, the company has a central headquarters that oversees all international operations. From this central location, Toyota </w:t>
      </w:r>
      <w:proofErr w:type="gramStart"/>
      <w:r w:rsidRPr="008D2267">
        <w:rPr>
          <w:rFonts w:ascii="Arial" w:hAnsi="Arial" w:cs="Arial"/>
          <w:color w:val="000000" w:themeColor="text1"/>
          <w:sz w:val="22"/>
          <w:szCs w:val="22"/>
        </w:rPr>
        <w:t>is able to</w:t>
      </w:r>
      <w:proofErr w:type="gramEnd"/>
      <w:r w:rsidRPr="008D2267">
        <w:rPr>
          <w:rFonts w:ascii="Arial" w:hAnsi="Arial" w:cs="Arial"/>
          <w:color w:val="000000" w:themeColor="text1"/>
          <w:sz w:val="22"/>
          <w:szCs w:val="22"/>
        </w:rPr>
        <w:t xml:space="preserve"> control and coordinate its international activities. Additionally, Toyota has </w:t>
      </w:r>
      <w:proofErr w:type="gramStart"/>
      <w:r w:rsidRPr="008D2267">
        <w:rPr>
          <w:rFonts w:ascii="Arial" w:hAnsi="Arial" w:cs="Arial"/>
          <w:color w:val="000000" w:themeColor="text1"/>
          <w:sz w:val="22"/>
          <w:szCs w:val="22"/>
        </w:rPr>
        <w:t>a number of</w:t>
      </w:r>
      <w:proofErr w:type="gramEnd"/>
      <w:r w:rsidRPr="008D2267">
        <w:rPr>
          <w:rFonts w:ascii="Arial" w:hAnsi="Arial" w:cs="Arial"/>
          <w:color w:val="000000" w:themeColor="text1"/>
          <w:sz w:val="22"/>
          <w:szCs w:val="22"/>
        </w:rPr>
        <w:t xml:space="preserve"> regional offices around the world that are responsible for specific geographical areas. These regional offices are responsible for managing local operations and ensuring that they </w:t>
      </w:r>
      <w:proofErr w:type="gramStart"/>
      <w:r w:rsidRPr="008D2267">
        <w:rPr>
          <w:rFonts w:ascii="Arial" w:hAnsi="Arial" w:cs="Arial"/>
          <w:color w:val="000000" w:themeColor="text1"/>
          <w:sz w:val="22"/>
          <w:szCs w:val="22"/>
        </w:rPr>
        <w:t>are in compliance with</w:t>
      </w:r>
      <w:proofErr w:type="gramEnd"/>
      <w:r w:rsidRPr="008D2267">
        <w:rPr>
          <w:rFonts w:ascii="Arial" w:hAnsi="Arial" w:cs="Arial"/>
          <w:color w:val="000000" w:themeColor="text1"/>
          <w:sz w:val="22"/>
          <w:szCs w:val="22"/>
        </w:rPr>
        <w:t xml:space="preserve"> Toyota’s global standards. Finally, Toyota has a network of suppliers and partners that it works with </w:t>
      </w:r>
      <w:proofErr w:type="gramStart"/>
      <w:r w:rsidRPr="008D2267">
        <w:rPr>
          <w:rFonts w:ascii="Arial" w:hAnsi="Arial" w:cs="Arial"/>
          <w:color w:val="000000" w:themeColor="text1"/>
          <w:sz w:val="22"/>
          <w:szCs w:val="22"/>
        </w:rPr>
        <w:t>in order to</w:t>
      </w:r>
      <w:proofErr w:type="gramEnd"/>
      <w:r w:rsidRPr="008D2267">
        <w:rPr>
          <w:rFonts w:ascii="Arial" w:hAnsi="Arial" w:cs="Arial"/>
          <w:color w:val="000000" w:themeColor="text1"/>
          <w:sz w:val="22"/>
          <w:szCs w:val="22"/>
        </w:rPr>
        <w:t xml:space="preserve"> source materials and components for its vehicles. This supplier network spans the globe and helps Toyota to source the best possible materials for its vehicles</w:t>
      </w:r>
      <w:r w:rsidR="002443E0" w:rsidRPr="008D2267">
        <w:rPr>
          <w:rFonts w:ascii="Arial" w:hAnsi="Arial" w:cs="Arial"/>
          <w:color w:val="000000" w:themeColor="text1"/>
          <w:sz w:val="22"/>
          <w:szCs w:val="22"/>
        </w:rPr>
        <w:t xml:space="preserve"> (Krishna, 2018)</w:t>
      </w:r>
      <w:r w:rsidRPr="008D2267">
        <w:rPr>
          <w:rFonts w:ascii="Arial" w:hAnsi="Arial" w:cs="Arial"/>
          <w:color w:val="000000" w:themeColor="text1"/>
          <w:sz w:val="22"/>
          <w:szCs w:val="22"/>
        </w:rPr>
        <w:t>.</w:t>
      </w:r>
    </w:p>
    <w:p w14:paraId="1FD8073F" w14:textId="77777777" w:rsidR="00393805" w:rsidRPr="008D2267" w:rsidRDefault="00393805"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Human Resource Management</w:t>
      </w:r>
    </w:p>
    <w:p w14:paraId="2EA1F025" w14:textId="34BDB3AC" w:rsidR="00393805" w:rsidRPr="008D2267" w:rsidRDefault="0039380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In an internationalization context, Toyota organizes its resources and capabilities in human resource management by ensuring that its employees are properly trained and have the necessary skills to work in a global environment. Additionally, Toyota provides support to its employees when they are transferred to another country. This includes providing financial assistance and helping them to find housing and schools for their children</w:t>
      </w:r>
      <w:r w:rsidR="002443E0" w:rsidRPr="008D2267">
        <w:rPr>
          <w:rFonts w:ascii="Arial" w:hAnsi="Arial" w:cs="Arial"/>
          <w:color w:val="000000" w:themeColor="text1"/>
          <w:sz w:val="22"/>
          <w:szCs w:val="22"/>
        </w:rPr>
        <w:t xml:space="preserve"> (Schmidt, 2021)</w:t>
      </w:r>
      <w:r w:rsidRPr="008D2267">
        <w:rPr>
          <w:rFonts w:ascii="Arial" w:hAnsi="Arial" w:cs="Arial"/>
          <w:color w:val="000000" w:themeColor="text1"/>
          <w:sz w:val="22"/>
          <w:szCs w:val="22"/>
        </w:rPr>
        <w:t xml:space="preserve">. </w:t>
      </w:r>
    </w:p>
    <w:p w14:paraId="620A9978" w14:textId="2EAE1557" w:rsidR="00393805" w:rsidRPr="008D2267" w:rsidRDefault="0039380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It recognizes the importance of local talent and invests in developing its workforce in each country where it operates. This includes providing training and educational opportunities to employees so that they have the skills and knowledge necessary to excel in their roles. It also recognizes the importance of diversity and inclusion in its workforce. </w:t>
      </w:r>
      <w:proofErr w:type="gramStart"/>
      <w:r w:rsidRPr="008D2267">
        <w:rPr>
          <w:rFonts w:ascii="Arial" w:hAnsi="Arial" w:cs="Arial"/>
          <w:color w:val="000000" w:themeColor="text1"/>
          <w:sz w:val="22"/>
          <w:szCs w:val="22"/>
        </w:rPr>
        <w:t>In order to</w:t>
      </w:r>
      <w:proofErr w:type="gramEnd"/>
      <w:r w:rsidRPr="008D2267">
        <w:rPr>
          <w:rFonts w:ascii="Arial" w:hAnsi="Arial" w:cs="Arial"/>
          <w:color w:val="000000" w:themeColor="text1"/>
          <w:sz w:val="22"/>
          <w:szCs w:val="22"/>
        </w:rPr>
        <w:t xml:space="preserve"> foster a culture of inclusion, the company recruits employees from a variety of backgrounds and cultures. This helps to ensure </w:t>
      </w:r>
      <w:r w:rsidRPr="008D2267">
        <w:rPr>
          <w:rFonts w:ascii="Arial" w:hAnsi="Arial" w:cs="Arial"/>
          <w:color w:val="000000" w:themeColor="text1"/>
          <w:sz w:val="22"/>
          <w:szCs w:val="22"/>
        </w:rPr>
        <w:lastRenderedPageBreak/>
        <w:t>that Toyota’s workforce is representative of the markets it serves. The company also invests in employee retention initiatives. This includes offering competitive salaries and benefits, as well as creating a supportive and collaborative work environment</w:t>
      </w:r>
      <w:r w:rsidR="002443E0" w:rsidRPr="008D2267">
        <w:rPr>
          <w:rFonts w:ascii="Arial" w:hAnsi="Arial" w:cs="Arial"/>
          <w:color w:val="000000" w:themeColor="text1"/>
          <w:sz w:val="22"/>
          <w:szCs w:val="22"/>
        </w:rPr>
        <w:t xml:space="preserve"> (Schmidt, 2021)</w:t>
      </w:r>
      <w:r w:rsidRPr="008D2267">
        <w:rPr>
          <w:rFonts w:ascii="Arial" w:hAnsi="Arial" w:cs="Arial"/>
          <w:color w:val="000000" w:themeColor="text1"/>
          <w:sz w:val="22"/>
          <w:szCs w:val="22"/>
        </w:rPr>
        <w:t>.</w:t>
      </w:r>
    </w:p>
    <w:p w14:paraId="606E70D4" w14:textId="25E6535F" w:rsidR="004D2B6B" w:rsidRPr="008D2267" w:rsidRDefault="004D2B6B" w:rsidP="008D2267">
      <w:pPr>
        <w:pStyle w:val="Heading2"/>
        <w:spacing w:line="480" w:lineRule="auto"/>
        <w:jc w:val="both"/>
        <w:rPr>
          <w:rFonts w:ascii="Arial" w:hAnsi="Arial" w:cs="Arial"/>
          <w:sz w:val="22"/>
          <w:szCs w:val="22"/>
        </w:rPr>
      </w:pPr>
      <w:bookmarkStart w:id="4" w:name="_Toc122543597"/>
      <w:r w:rsidRPr="008D2267">
        <w:rPr>
          <w:rFonts w:ascii="Arial" w:hAnsi="Arial" w:cs="Arial"/>
          <w:sz w:val="22"/>
          <w:szCs w:val="22"/>
        </w:rPr>
        <w:t>2.3 Style of Entry into Countries</w:t>
      </w:r>
      <w:bookmarkEnd w:id="4"/>
      <w:r w:rsidRPr="008D2267">
        <w:rPr>
          <w:rFonts w:ascii="Arial" w:hAnsi="Arial" w:cs="Arial"/>
          <w:sz w:val="22"/>
          <w:szCs w:val="22"/>
        </w:rPr>
        <w:t xml:space="preserve"> </w:t>
      </w:r>
    </w:p>
    <w:p w14:paraId="101936AF" w14:textId="6BEEAEDE" w:rsidR="00393805" w:rsidRPr="008D2267" w:rsidRDefault="00A20FC0" w:rsidP="008D2267">
      <w:pPr>
        <w:spacing w:line="480" w:lineRule="auto"/>
        <w:jc w:val="both"/>
        <w:rPr>
          <w:rFonts w:ascii="Arial" w:hAnsi="Arial" w:cs="Arial"/>
          <w:color w:val="000000" w:themeColor="text1"/>
          <w:sz w:val="22"/>
          <w:szCs w:val="22"/>
        </w:rPr>
      </w:pPr>
      <w:r w:rsidRPr="008D2267">
        <w:rPr>
          <w:rFonts w:ascii="Arial" w:hAnsi="Arial" w:cs="Arial"/>
          <w:noProof/>
          <w:color w:val="000000" w:themeColor="text1"/>
          <w:sz w:val="22"/>
          <w:szCs w:val="22"/>
        </w:rPr>
        <w:drawing>
          <wp:inline distT="0" distB="0" distL="0" distR="0" wp14:anchorId="5EC5B219" wp14:editId="5F1A90D7">
            <wp:extent cx="5082363" cy="2930191"/>
            <wp:effectExtent l="0" t="0" r="4445" b="3810"/>
            <wp:docPr id="2" name="Picture 2" descr="MODE OF ENTRY INTO INTERNATIONAL BUSINESS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E OF ENTRY INTO INTERNATIONAL BUSINESS 1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3415" cy="2936563"/>
                    </a:xfrm>
                    <a:prstGeom prst="rect">
                      <a:avLst/>
                    </a:prstGeom>
                    <a:noFill/>
                    <a:ln>
                      <a:noFill/>
                    </a:ln>
                  </pic:spPr>
                </pic:pic>
              </a:graphicData>
            </a:graphic>
          </wp:inline>
        </w:drawing>
      </w:r>
    </w:p>
    <w:p w14:paraId="3EB762F3" w14:textId="4819A2B9" w:rsidR="00A20FC0" w:rsidRPr="008D2267" w:rsidRDefault="00A20FC0"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Figure 2. Style of Entry into countries </w:t>
      </w:r>
    </w:p>
    <w:p w14:paraId="1A847464" w14:textId="00924E1B" w:rsidR="00A20FC0" w:rsidRPr="008D2267" w:rsidRDefault="00A20FC0"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Source: </w:t>
      </w:r>
      <w:r w:rsidR="00A10167" w:rsidRPr="008D2267">
        <w:rPr>
          <w:rFonts w:ascii="Arial" w:hAnsi="Arial" w:cs="Arial"/>
          <w:color w:val="000000" w:themeColor="text1"/>
          <w:sz w:val="22"/>
          <w:szCs w:val="22"/>
        </w:rPr>
        <w:t xml:space="preserve">(Luo, </w:t>
      </w:r>
      <w:proofErr w:type="gramStart"/>
      <w:r w:rsidR="00A10167" w:rsidRPr="008D2267">
        <w:rPr>
          <w:rFonts w:ascii="Arial" w:hAnsi="Arial" w:cs="Arial"/>
          <w:color w:val="000000" w:themeColor="text1"/>
          <w:sz w:val="22"/>
          <w:szCs w:val="22"/>
        </w:rPr>
        <w:t>Zhang</w:t>
      </w:r>
      <w:proofErr w:type="gramEnd"/>
      <w:r w:rsidR="00A10167" w:rsidRPr="008D2267">
        <w:rPr>
          <w:rFonts w:ascii="Arial" w:hAnsi="Arial" w:cs="Arial"/>
          <w:color w:val="000000" w:themeColor="text1"/>
          <w:sz w:val="22"/>
          <w:szCs w:val="22"/>
        </w:rPr>
        <w:t xml:space="preserve"> and Bu, 2019)</w:t>
      </w:r>
    </w:p>
    <w:p w14:paraId="3DAC973B" w14:textId="7788AA31" w:rsidR="00A20FC0" w:rsidRPr="008D2267" w:rsidRDefault="00A20FC0"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Here are certain styles of entry into different countries for its internationalization business. </w:t>
      </w:r>
    </w:p>
    <w:p w14:paraId="453E7B5C" w14:textId="50F6217F" w:rsidR="00A20FC0" w:rsidRPr="008D2267" w:rsidRDefault="00A20FC0"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 xml:space="preserve">1. Exporting </w:t>
      </w:r>
    </w:p>
    <w:p w14:paraId="0D6FDD2E" w14:textId="7E7A38B7" w:rsidR="00A20FC0" w:rsidRPr="008D2267" w:rsidRDefault="003A04FF"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Exporting is one of the most common entry modes for firms seeking to expand their business internationally. It involves selling products or services produced in the home country to customers in another country. Exporting can be a very good option for firms seeking to internationalize their business because it requires relatively low levels of investment and can be a quick way to enter new markets. However, it can also be risky because firms can be reliant on a single market or a small number of markets for their sales</w:t>
      </w:r>
      <w:r w:rsidR="00A10167" w:rsidRPr="008D2267">
        <w:rPr>
          <w:rFonts w:ascii="Arial" w:hAnsi="Arial" w:cs="Arial"/>
          <w:color w:val="000000" w:themeColor="text1"/>
          <w:sz w:val="22"/>
          <w:szCs w:val="22"/>
        </w:rPr>
        <w:t xml:space="preserve"> (Luo, </w:t>
      </w:r>
      <w:proofErr w:type="gramStart"/>
      <w:r w:rsidR="00A10167" w:rsidRPr="008D2267">
        <w:rPr>
          <w:rFonts w:ascii="Arial" w:hAnsi="Arial" w:cs="Arial"/>
          <w:color w:val="000000" w:themeColor="text1"/>
          <w:sz w:val="22"/>
          <w:szCs w:val="22"/>
        </w:rPr>
        <w:t>Zhang</w:t>
      </w:r>
      <w:proofErr w:type="gramEnd"/>
      <w:r w:rsidR="00A10167" w:rsidRPr="008D2267">
        <w:rPr>
          <w:rFonts w:ascii="Arial" w:hAnsi="Arial" w:cs="Arial"/>
          <w:color w:val="000000" w:themeColor="text1"/>
          <w:sz w:val="22"/>
          <w:szCs w:val="22"/>
        </w:rPr>
        <w:t xml:space="preserve"> and Bu, 2019)</w:t>
      </w:r>
      <w:r w:rsidRPr="008D2267">
        <w:rPr>
          <w:rFonts w:ascii="Arial" w:hAnsi="Arial" w:cs="Arial"/>
          <w:color w:val="000000" w:themeColor="text1"/>
          <w:sz w:val="22"/>
          <w:szCs w:val="22"/>
        </w:rPr>
        <w:t>.</w:t>
      </w:r>
    </w:p>
    <w:p w14:paraId="3B5FDA11" w14:textId="58BAA2C7" w:rsidR="00A20FC0" w:rsidRPr="008D2267" w:rsidRDefault="00A20FC0"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lastRenderedPageBreak/>
        <w:t xml:space="preserve">2. Licensing </w:t>
      </w:r>
    </w:p>
    <w:p w14:paraId="0B03A322" w14:textId="3E04522B" w:rsidR="003A04FF" w:rsidRPr="008D2267" w:rsidRDefault="003A04FF"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There are a few different ways that Toyota could license its products </w:t>
      </w:r>
      <w:proofErr w:type="gramStart"/>
      <w:r w:rsidRPr="008D2267">
        <w:rPr>
          <w:rFonts w:ascii="Arial" w:hAnsi="Arial" w:cs="Arial"/>
          <w:color w:val="000000" w:themeColor="text1"/>
          <w:sz w:val="22"/>
          <w:szCs w:val="22"/>
        </w:rPr>
        <w:t>in order to</w:t>
      </w:r>
      <w:proofErr w:type="gramEnd"/>
      <w:r w:rsidRPr="008D2267">
        <w:rPr>
          <w:rFonts w:ascii="Arial" w:hAnsi="Arial" w:cs="Arial"/>
          <w:color w:val="000000" w:themeColor="text1"/>
          <w:sz w:val="22"/>
          <w:szCs w:val="22"/>
        </w:rPr>
        <w:t xml:space="preserve"> expand its internationalization business. The first way would be to license its products to another company in a foreign market. This would allow Toyota to still have a presence in that market without having to set up its own manufacturing or sales operations. The second way would be to license its technology to another company in a foreign market. This would allow Toyota to generate revenue from its technology without having to expend the resources to manufacture and sell the products </w:t>
      </w:r>
      <w:r w:rsidR="00164738" w:rsidRPr="008D2267">
        <w:rPr>
          <w:rFonts w:ascii="Arial" w:hAnsi="Arial" w:cs="Arial"/>
          <w:color w:val="000000" w:themeColor="text1"/>
          <w:sz w:val="22"/>
          <w:szCs w:val="22"/>
        </w:rPr>
        <w:t>themselves</w:t>
      </w:r>
      <w:r w:rsidRPr="008D2267">
        <w:rPr>
          <w:rFonts w:ascii="Arial" w:hAnsi="Arial" w:cs="Arial"/>
          <w:color w:val="000000" w:themeColor="text1"/>
          <w:sz w:val="22"/>
          <w:szCs w:val="22"/>
        </w:rPr>
        <w:t>. The third way would be to establish a licensing agreement with a foreign government. This would allow Toyota to sell its products in that country without having to set up its own operations</w:t>
      </w:r>
      <w:r w:rsidR="00A10167" w:rsidRPr="008D2267">
        <w:rPr>
          <w:rFonts w:ascii="Arial" w:hAnsi="Arial" w:cs="Arial"/>
          <w:color w:val="000000" w:themeColor="text1"/>
          <w:sz w:val="22"/>
          <w:szCs w:val="22"/>
        </w:rPr>
        <w:t xml:space="preserve"> (Luo, </w:t>
      </w:r>
      <w:proofErr w:type="gramStart"/>
      <w:r w:rsidR="00A10167" w:rsidRPr="008D2267">
        <w:rPr>
          <w:rFonts w:ascii="Arial" w:hAnsi="Arial" w:cs="Arial"/>
          <w:color w:val="000000" w:themeColor="text1"/>
          <w:sz w:val="22"/>
          <w:szCs w:val="22"/>
        </w:rPr>
        <w:t>Zhang</w:t>
      </w:r>
      <w:proofErr w:type="gramEnd"/>
      <w:r w:rsidR="00A10167" w:rsidRPr="008D2267">
        <w:rPr>
          <w:rFonts w:ascii="Arial" w:hAnsi="Arial" w:cs="Arial"/>
          <w:color w:val="000000" w:themeColor="text1"/>
          <w:sz w:val="22"/>
          <w:szCs w:val="22"/>
        </w:rPr>
        <w:t xml:space="preserve"> and Bu, 2019)</w:t>
      </w:r>
      <w:r w:rsidRPr="008D2267">
        <w:rPr>
          <w:rFonts w:ascii="Arial" w:hAnsi="Arial" w:cs="Arial"/>
          <w:color w:val="000000" w:themeColor="text1"/>
          <w:sz w:val="22"/>
          <w:szCs w:val="22"/>
        </w:rPr>
        <w:t>.</w:t>
      </w:r>
    </w:p>
    <w:p w14:paraId="399F3B97" w14:textId="78B3C0AE" w:rsidR="00A20FC0" w:rsidRPr="008D2267" w:rsidRDefault="00A20FC0"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 xml:space="preserve">3. Franchising </w:t>
      </w:r>
    </w:p>
    <w:p w14:paraId="22F3C029" w14:textId="2EE74930" w:rsidR="003A04FF" w:rsidRPr="008D2267" w:rsidRDefault="003A04FF"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Franchising is a popular entry mode for businesses looking to expand into new markets. It is a relatively low-cost and low-risk way to enter a new market, and it allows businesses to benefit from the brand recognition and goodwill that comes with an established brand name. Toyota has used franchising as an entry mode into several markets, including the United States, Europe, and China. In each market, Toyota has partnered with a local franchising company to help it establish a presence. Franchising has proved to be a successful entry mode for Toyota, helping it to quickly expand its international business. Franchising has allowed Toyota to benefit from the brand recognition and goodwill of its partners, while also minimizing its own risk and investment</w:t>
      </w:r>
      <w:r w:rsidR="00A10167" w:rsidRPr="008D2267">
        <w:rPr>
          <w:rFonts w:ascii="Arial" w:hAnsi="Arial" w:cs="Arial"/>
          <w:color w:val="000000" w:themeColor="text1"/>
          <w:sz w:val="22"/>
          <w:szCs w:val="22"/>
        </w:rPr>
        <w:t xml:space="preserve"> (Qi et al., 2020)</w:t>
      </w:r>
      <w:r w:rsidRPr="008D2267">
        <w:rPr>
          <w:rFonts w:ascii="Arial" w:hAnsi="Arial" w:cs="Arial"/>
          <w:color w:val="000000" w:themeColor="text1"/>
          <w:sz w:val="22"/>
          <w:szCs w:val="22"/>
        </w:rPr>
        <w:t>.</w:t>
      </w:r>
    </w:p>
    <w:p w14:paraId="62662946" w14:textId="2B4757B5" w:rsidR="00A20FC0" w:rsidRPr="008D2267" w:rsidRDefault="00A20FC0"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 xml:space="preserve">4. Joint Venture </w:t>
      </w:r>
    </w:p>
    <w:p w14:paraId="6AFC8528" w14:textId="6A317E53" w:rsidR="003A04FF" w:rsidRPr="008D2267" w:rsidRDefault="003A04FF"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A joint venture is an international business agreement between two parties in which both parties agree to share the risks and rewards of the business venture. The parties can be individuals, companies, or governments. Joint ventures are a popular entry mode for companies looking to </w:t>
      </w:r>
      <w:r w:rsidRPr="008D2267">
        <w:rPr>
          <w:rFonts w:ascii="Arial" w:hAnsi="Arial" w:cs="Arial"/>
          <w:color w:val="000000" w:themeColor="text1"/>
          <w:sz w:val="22"/>
          <w:szCs w:val="22"/>
        </w:rPr>
        <w:lastRenderedPageBreak/>
        <w:t xml:space="preserve">enter new markets, as they provide a way to share the risk and cost of entering a new market. For Toyota, joint ventures provide a way to gain a foothold in new markets without incurring </w:t>
      </w:r>
      <w:proofErr w:type="gramStart"/>
      <w:r w:rsidRPr="008D2267">
        <w:rPr>
          <w:rFonts w:ascii="Arial" w:hAnsi="Arial" w:cs="Arial"/>
          <w:color w:val="000000" w:themeColor="text1"/>
          <w:sz w:val="22"/>
          <w:szCs w:val="22"/>
        </w:rPr>
        <w:t>all of</w:t>
      </w:r>
      <w:proofErr w:type="gramEnd"/>
      <w:r w:rsidRPr="008D2267">
        <w:rPr>
          <w:rFonts w:ascii="Arial" w:hAnsi="Arial" w:cs="Arial"/>
          <w:color w:val="000000" w:themeColor="text1"/>
          <w:sz w:val="22"/>
          <w:szCs w:val="22"/>
        </w:rPr>
        <w:t xml:space="preserve"> the costs and risks of entering the market on its own. Joint ventures also provide a way for Toyota to access the resources and expertise of its partner company in the new market</w:t>
      </w:r>
      <w:r w:rsidR="00A10167" w:rsidRPr="008D2267">
        <w:rPr>
          <w:rFonts w:ascii="Arial" w:hAnsi="Arial" w:cs="Arial"/>
          <w:color w:val="000000" w:themeColor="text1"/>
          <w:sz w:val="22"/>
          <w:szCs w:val="22"/>
        </w:rPr>
        <w:t xml:space="preserve"> (</w:t>
      </w:r>
      <w:proofErr w:type="spellStart"/>
      <w:r w:rsidR="00A10167" w:rsidRPr="008D2267">
        <w:rPr>
          <w:rFonts w:ascii="Arial" w:hAnsi="Arial" w:cs="Arial"/>
          <w:color w:val="000000" w:themeColor="text1"/>
          <w:sz w:val="22"/>
          <w:szCs w:val="22"/>
        </w:rPr>
        <w:t>Sestu</w:t>
      </w:r>
      <w:proofErr w:type="spellEnd"/>
      <w:r w:rsidR="00A10167" w:rsidRPr="008D2267">
        <w:rPr>
          <w:rFonts w:ascii="Arial" w:hAnsi="Arial" w:cs="Arial"/>
          <w:color w:val="000000" w:themeColor="text1"/>
          <w:sz w:val="22"/>
          <w:szCs w:val="22"/>
        </w:rPr>
        <w:t xml:space="preserve"> and </w:t>
      </w:r>
      <w:proofErr w:type="spellStart"/>
      <w:r w:rsidR="00A10167" w:rsidRPr="008D2267">
        <w:rPr>
          <w:rFonts w:ascii="Arial" w:hAnsi="Arial" w:cs="Arial"/>
          <w:color w:val="000000" w:themeColor="text1"/>
          <w:sz w:val="22"/>
          <w:szCs w:val="22"/>
        </w:rPr>
        <w:t>Majocchi</w:t>
      </w:r>
      <w:proofErr w:type="spellEnd"/>
      <w:r w:rsidR="00A10167" w:rsidRPr="008D2267">
        <w:rPr>
          <w:rFonts w:ascii="Arial" w:hAnsi="Arial" w:cs="Arial"/>
          <w:color w:val="000000" w:themeColor="text1"/>
          <w:sz w:val="22"/>
          <w:szCs w:val="22"/>
        </w:rPr>
        <w:t>, 2018)</w:t>
      </w:r>
      <w:r w:rsidRPr="008D2267">
        <w:rPr>
          <w:rFonts w:ascii="Arial" w:hAnsi="Arial" w:cs="Arial"/>
          <w:color w:val="000000" w:themeColor="text1"/>
          <w:sz w:val="22"/>
          <w:szCs w:val="22"/>
        </w:rPr>
        <w:t xml:space="preserve">. </w:t>
      </w:r>
    </w:p>
    <w:p w14:paraId="214692D7" w14:textId="5145923A" w:rsidR="003A04FF" w:rsidRPr="008D2267" w:rsidRDefault="003A04FF"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A joint venture is an equity-based mode of entry into a foreign market where the foreign market is entered into by two or more companies. The venture is usually set up as a new company in which each company owns an equal stake. The joint venture company is then responsible for carrying out all the business activities in the foreign market. This mode of entry is often used by companies who are looking to enter a market quickly and with minimal risk. It is also a good way to build relationships with local companies and to learn about the local market</w:t>
      </w:r>
      <w:r w:rsidR="00A10167" w:rsidRPr="008D2267">
        <w:rPr>
          <w:rFonts w:ascii="Arial" w:hAnsi="Arial" w:cs="Arial"/>
          <w:color w:val="000000" w:themeColor="text1"/>
          <w:sz w:val="22"/>
          <w:szCs w:val="22"/>
        </w:rPr>
        <w:t xml:space="preserve"> (</w:t>
      </w:r>
      <w:proofErr w:type="spellStart"/>
      <w:r w:rsidR="00A10167" w:rsidRPr="008D2267">
        <w:rPr>
          <w:rFonts w:ascii="Arial" w:hAnsi="Arial" w:cs="Arial"/>
          <w:color w:val="000000" w:themeColor="text1"/>
          <w:sz w:val="22"/>
          <w:szCs w:val="22"/>
        </w:rPr>
        <w:t>Sestu</w:t>
      </w:r>
      <w:proofErr w:type="spellEnd"/>
      <w:r w:rsidR="00A10167" w:rsidRPr="008D2267">
        <w:rPr>
          <w:rFonts w:ascii="Arial" w:hAnsi="Arial" w:cs="Arial"/>
          <w:color w:val="000000" w:themeColor="text1"/>
          <w:sz w:val="22"/>
          <w:szCs w:val="22"/>
        </w:rPr>
        <w:t xml:space="preserve"> and </w:t>
      </w:r>
      <w:proofErr w:type="spellStart"/>
      <w:r w:rsidR="00A10167" w:rsidRPr="008D2267">
        <w:rPr>
          <w:rFonts w:ascii="Arial" w:hAnsi="Arial" w:cs="Arial"/>
          <w:color w:val="000000" w:themeColor="text1"/>
          <w:sz w:val="22"/>
          <w:szCs w:val="22"/>
        </w:rPr>
        <w:t>Majocchi</w:t>
      </w:r>
      <w:proofErr w:type="spellEnd"/>
      <w:r w:rsidR="00A10167" w:rsidRPr="008D2267">
        <w:rPr>
          <w:rFonts w:ascii="Arial" w:hAnsi="Arial" w:cs="Arial"/>
          <w:color w:val="000000" w:themeColor="text1"/>
          <w:sz w:val="22"/>
          <w:szCs w:val="22"/>
        </w:rPr>
        <w:t>, 2018)</w:t>
      </w:r>
      <w:r w:rsidRPr="008D2267">
        <w:rPr>
          <w:rFonts w:ascii="Arial" w:hAnsi="Arial" w:cs="Arial"/>
          <w:color w:val="000000" w:themeColor="text1"/>
          <w:sz w:val="22"/>
          <w:szCs w:val="22"/>
        </w:rPr>
        <w:t>.</w:t>
      </w:r>
    </w:p>
    <w:p w14:paraId="3B05339F" w14:textId="77777777" w:rsidR="003A04FF" w:rsidRPr="008D2267" w:rsidRDefault="00A20FC0"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5. Portfolio Investments</w:t>
      </w:r>
    </w:p>
    <w:p w14:paraId="37D7B5DC" w14:textId="4EAF9061" w:rsidR="00F33793" w:rsidRPr="008D2267" w:rsidRDefault="00F33793"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A portfolio investment is an investment in a group of assets, usually including stocks, bonds, and real estate. The portfolio may be managed by the investor, or it may be managed by a professional fund manager. Toyota may use a portfolio investment strategy as an entry mode for international business in different countries. This strategy can provide the company with a diversified investment, which can mitigate risk. Additionally, Toyota can choose to </w:t>
      </w:r>
      <w:proofErr w:type="gramStart"/>
      <w:r w:rsidRPr="008D2267">
        <w:rPr>
          <w:rFonts w:ascii="Arial" w:hAnsi="Arial" w:cs="Arial"/>
          <w:color w:val="000000" w:themeColor="text1"/>
          <w:sz w:val="22"/>
          <w:szCs w:val="22"/>
        </w:rPr>
        <w:t>actively or passively manage the portfolio</w:t>
      </w:r>
      <w:proofErr w:type="gramEnd"/>
      <w:r w:rsidRPr="008D2267">
        <w:rPr>
          <w:rFonts w:ascii="Arial" w:hAnsi="Arial" w:cs="Arial"/>
          <w:color w:val="000000" w:themeColor="text1"/>
          <w:sz w:val="22"/>
          <w:szCs w:val="22"/>
        </w:rPr>
        <w:t>. If the company chooses to actively manage the portfolio, it can use its knowledge of the automotive industry to select individual investments. If Toyota chooses to passively manage the portfolio, it can index the portfolio to a specific market or index</w:t>
      </w:r>
      <w:r w:rsidR="00A10167" w:rsidRPr="008D2267">
        <w:rPr>
          <w:rFonts w:ascii="Arial" w:hAnsi="Arial" w:cs="Arial"/>
          <w:color w:val="000000" w:themeColor="text1"/>
          <w:sz w:val="22"/>
          <w:szCs w:val="22"/>
        </w:rPr>
        <w:t xml:space="preserve"> (Qi et al., 2020)</w:t>
      </w:r>
      <w:r w:rsidRPr="008D2267">
        <w:rPr>
          <w:rFonts w:ascii="Arial" w:hAnsi="Arial" w:cs="Arial"/>
          <w:color w:val="000000" w:themeColor="text1"/>
          <w:sz w:val="22"/>
          <w:szCs w:val="22"/>
        </w:rPr>
        <w:t xml:space="preserve">. </w:t>
      </w:r>
    </w:p>
    <w:p w14:paraId="153CAD95" w14:textId="337AED3A" w:rsidR="00A20FC0" w:rsidRPr="008D2267" w:rsidRDefault="00F33793" w:rsidP="008D2267">
      <w:pPr>
        <w:spacing w:line="480" w:lineRule="auto"/>
        <w:jc w:val="both"/>
        <w:rPr>
          <w:rFonts w:ascii="Arial" w:hAnsi="Arial" w:cs="Arial"/>
          <w:b/>
          <w:bCs/>
          <w:color w:val="000000" w:themeColor="text1"/>
          <w:sz w:val="22"/>
          <w:szCs w:val="22"/>
        </w:rPr>
      </w:pPr>
      <w:r w:rsidRPr="008D2267">
        <w:rPr>
          <w:rFonts w:ascii="Arial" w:hAnsi="Arial" w:cs="Arial"/>
          <w:b/>
          <w:bCs/>
          <w:color w:val="000000" w:themeColor="text1"/>
          <w:sz w:val="22"/>
          <w:szCs w:val="22"/>
        </w:rPr>
        <w:t xml:space="preserve">One best styles of entry for Toyota for its internationalization business </w:t>
      </w:r>
      <w:r w:rsidR="00A20FC0" w:rsidRPr="008D2267">
        <w:rPr>
          <w:rFonts w:ascii="Arial" w:hAnsi="Arial" w:cs="Arial"/>
          <w:b/>
          <w:bCs/>
          <w:color w:val="000000" w:themeColor="text1"/>
          <w:sz w:val="22"/>
          <w:szCs w:val="22"/>
        </w:rPr>
        <w:t xml:space="preserve"> </w:t>
      </w:r>
    </w:p>
    <w:p w14:paraId="0DEB9321" w14:textId="396F7048" w:rsidR="00F33793" w:rsidRPr="008D2267" w:rsidRDefault="00B7170B"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lastRenderedPageBreak/>
        <w:t xml:space="preserve">A joint venture is a best mode of entry for Toyota for its </w:t>
      </w:r>
      <w:r w:rsidR="008808EB" w:rsidRPr="008D2267">
        <w:rPr>
          <w:rFonts w:ascii="Arial" w:hAnsi="Arial" w:cs="Arial"/>
          <w:color w:val="000000" w:themeColor="text1"/>
          <w:sz w:val="22"/>
          <w:szCs w:val="22"/>
        </w:rPr>
        <w:t>target market or host country that is China</w:t>
      </w:r>
      <w:r w:rsidRPr="008D2267">
        <w:rPr>
          <w:rFonts w:ascii="Arial" w:hAnsi="Arial" w:cs="Arial"/>
          <w:color w:val="000000" w:themeColor="text1"/>
          <w:sz w:val="22"/>
          <w:szCs w:val="22"/>
        </w:rPr>
        <w:t xml:space="preserve"> because it allows the company to share the risk and cost of entering a new market with another company. This mode of entry also allows Toyota to benefit from the other company's knowledge of the local market and its existing relationships with suppliers and customers. In a joint venture, each company retains control over its own operations, but they agree to cooperate </w:t>
      </w:r>
      <w:proofErr w:type="gramStart"/>
      <w:r w:rsidRPr="008D2267">
        <w:rPr>
          <w:rFonts w:ascii="Arial" w:hAnsi="Arial" w:cs="Arial"/>
          <w:color w:val="000000" w:themeColor="text1"/>
          <w:sz w:val="22"/>
          <w:szCs w:val="22"/>
        </w:rPr>
        <w:t>in order to</w:t>
      </w:r>
      <w:proofErr w:type="gramEnd"/>
      <w:r w:rsidRPr="008D2267">
        <w:rPr>
          <w:rFonts w:ascii="Arial" w:hAnsi="Arial" w:cs="Arial"/>
          <w:color w:val="000000" w:themeColor="text1"/>
          <w:sz w:val="22"/>
          <w:szCs w:val="22"/>
        </w:rPr>
        <w:t xml:space="preserve"> achieve a common goal. This type of arrangement is often used </w:t>
      </w:r>
      <w:proofErr w:type="gramStart"/>
      <w:r w:rsidRPr="008D2267">
        <w:rPr>
          <w:rFonts w:ascii="Arial" w:hAnsi="Arial" w:cs="Arial"/>
          <w:color w:val="000000" w:themeColor="text1"/>
          <w:sz w:val="22"/>
          <w:szCs w:val="22"/>
        </w:rPr>
        <w:t>in order to</w:t>
      </w:r>
      <w:proofErr w:type="gramEnd"/>
      <w:r w:rsidRPr="008D2267">
        <w:rPr>
          <w:rFonts w:ascii="Arial" w:hAnsi="Arial" w:cs="Arial"/>
          <w:color w:val="000000" w:themeColor="text1"/>
          <w:sz w:val="22"/>
          <w:szCs w:val="22"/>
        </w:rPr>
        <w:t xml:space="preserve"> avoid the costly and time-consuming process of setting up a new company from scratch</w:t>
      </w:r>
      <w:r w:rsidR="00A10167" w:rsidRPr="008D2267">
        <w:rPr>
          <w:rFonts w:ascii="Arial" w:hAnsi="Arial" w:cs="Arial"/>
          <w:color w:val="000000" w:themeColor="text1"/>
          <w:sz w:val="22"/>
          <w:szCs w:val="22"/>
        </w:rPr>
        <w:t xml:space="preserve"> (</w:t>
      </w:r>
      <w:proofErr w:type="spellStart"/>
      <w:r w:rsidR="00A10167" w:rsidRPr="008D2267">
        <w:rPr>
          <w:rFonts w:ascii="Arial" w:hAnsi="Arial" w:cs="Arial"/>
          <w:color w:val="000000" w:themeColor="text1"/>
          <w:sz w:val="22"/>
          <w:szCs w:val="22"/>
        </w:rPr>
        <w:t>Allera</w:t>
      </w:r>
      <w:proofErr w:type="spellEnd"/>
      <w:r w:rsidR="00A10167" w:rsidRPr="008D2267">
        <w:rPr>
          <w:rFonts w:ascii="Arial" w:hAnsi="Arial" w:cs="Arial"/>
          <w:color w:val="000000" w:themeColor="text1"/>
          <w:sz w:val="22"/>
          <w:szCs w:val="22"/>
        </w:rPr>
        <w:t>, 2022)</w:t>
      </w:r>
      <w:r w:rsidRPr="008D2267">
        <w:rPr>
          <w:rFonts w:ascii="Arial" w:hAnsi="Arial" w:cs="Arial"/>
          <w:color w:val="000000" w:themeColor="text1"/>
          <w:sz w:val="22"/>
          <w:szCs w:val="22"/>
        </w:rPr>
        <w:t xml:space="preserve">. </w:t>
      </w:r>
    </w:p>
    <w:p w14:paraId="722B9BC3" w14:textId="4D81A4A9" w:rsidR="00B7170B" w:rsidRPr="008D2267" w:rsidRDefault="008808EB"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It is the best mode of entry for the company and its target market in China (the Host Country) because it allows Toyota to </w:t>
      </w:r>
      <w:proofErr w:type="gramStart"/>
      <w:r w:rsidRPr="008D2267">
        <w:rPr>
          <w:rFonts w:ascii="Arial" w:hAnsi="Arial" w:cs="Arial"/>
          <w:color w:val="000000" w:themeColor="text1"/>
          <w:sz w:val="22"/>
          <w:szCs w:val="22"/>
        </w:rPr>
        <w:t>enter into</w:t>
      </w:r>
      <w:proofErr w:type="gramEnd"/>
      <w:r w:rsidRPr="008D2267">
        <w:rPr>
          <w:rFonts w:ascii="Arial" w:hAnsi="Arial" w:cs="Arial"/>
          <w:color w:val="000000" w:themeColor="text1"/>
          <w:sz w:val="22"/>
          <w:szCs w:val="22"/>
        </w:rPr>
        <w:t xml:space="preserve"> a strategic alliance with another company in order to share the risks and rewards of doing business in a new country</w:t>
      </w:r>
      <w:r w:rsidR="00A10167" w:rsidRPr="008D2267">
        <w:rPr>
          <w:rFonts w:ascii="Arial" w:hAnsi="Arial" w:cs="Arial"/>
          <w:color w:val="000000" w:themeColor="text1"/>
          <w:sz w:val="22"/>
          <w:szCs w:val="22"/>
        </w:rPr>
        <w:t xml:space="preserve"> (Kawai, 2022)</w:t>
      </w:r>
      <w:r w:rsidRPr="008D2267">
        <w:rPr>
          <w:rFonts w:ascii="Arial" w:hAnsi="Arial" w:cs="Arial"/>
          <w:color w:val="000000" w:themeColor="text1"/>
          <w:sz w:val="22"/>
          <w:szCs w:val="22"/>
        </w:rPr>
        <w:t>. This type of arrangement allows</w:t>
      </w:r>
      <w:r w:rsidR="00531DE3" w:rsidRPr="008D2267">
        <w:rPr>
          <w:rFonts w:ascii="Arial" w:hAnsi="Arial" w:cs="Arial"/>
          <w:color w:val="000000" w:themeColor="text1"/>
          <w:sz w:val="22"/>
          <w:szCs w:val="22"/>
        </w:rPr>
        <w:t xml:space="preserve"> the company</w:t>
      </w:r>
      <w:r w:rsidRPr="008D2267">
        <w:rPr>
          <w:rFonts w:ascii="Arial" w:hAnsi="Arial" w:cs="Arial"/>
          <w:color w:val="000000" w:themeColor="text1"/>
          <w:sz w:val="22"/>
          <w:szCs w:val="22"/>
        </w:rPr>
        <w:t xml:space="preserve"> to benefit from the local partner's knowledge of the market and to avoid the high costs of setting up a new operation in a foreign country. A joint venture is an agreement between two or more parties to cooperate on a project, activity, or venture. The parties agree to share resources, risks, and rewards. This type of arrangement is often used when companies want to enter new markets or develop new products. </w:t>
      </w:r>
      <w:r w:rsidR="00531DE3" w:rsidRPr="008D2267">
        <w:rPr>
          <w:rFonts w:ascii="Arial" w:hAnsi="Arial" w:cs="Arial"/>
          <w:color w:val="000000" w:themeColor="text1"/>
          <w:sz w:val="22"/>
          <w:szCs w:val="22"/>
        </w:rPr>
        <w:t>The company</w:t>
      </w:r>
      <w:r w:rsidRPr="008D2267">
        <w:rPr>
          <w:rFonts w:ascii="Arial" w:hAnsi="Arial" w:cs="Arial"/>
          <w:color w:val="000000" w:themeColor="text1"/>
          <w:sz w:val="22"/>
          <w:szCs w:val="22"/>
        </w:rPr>
        <w:t xml:space="preserve"> has used joint ventures to enter the Chinese and Indian markets</w:t>
      </w:r>
      <w:r w:rsidR="00A10167" w:rsidRPr="008D2267">
        <w:rPr>
          <w:rFonts w:ascii="Arial" w:hAnsi="Arial" w:cs="Arial"/>
          <w:color w:val="000000" w:themeColor="text1"/>
          <w:sz w:val="22"/>
          <w:szCs w:val="22"/>
        </w:rPr>
        <w:t xml:space="preserve"> (Kawai, 2022)</w:t>
      </w:r>
      <w:r w:rsidRPr="008D2267">
        <w:rPr>
          <w:rFonts w:ascii="Arial" w:hAnsi="Arial" w:cs="Arial"/>
          <w:color w:val="000000" w:themeColor="text1"/>
          <w:sz w:val="22"/>
          <w:szCs w:val="22"/>
        </w:rPr>
        <w:t xml:space="preserve">. </w:t>
      </w:r>
    </w:p>
    <w:p w14:paraId="4DFFDEA3" w14:textId="7D45DD31" w:rsidR="004D2B6B" w:rsidRPr="008D2267" w:rsidRDefault="004D2B6B" w:rsidP="008D2267">
      <w:pPr>
        <w:pStyle w:val="Heading2"/>
        <w:spacing w:line="480" w:lineRule="auto"/>
        <w:jc w:val="both"/>
        <w:rPr>
          <w:rFonts w:ascii="Arial" w:hAnsi="Arial" w:cs="Arial"/>
          <w:sz w:val="22"/>
          <w:szCs w:val="22"/>
        </w:rPr>
      </w:pPr>
      <w:bookmarkStart w:id="5" w:name="_Toc122543598"/>
      <w:r w:rsidRPr="008D2267">
        <w:rPr>
          <w:rFonts w:ascii="Arial" w:hAnsi="Arial" w:cs="Arial"/>
          <w:sz w:val="22"/>
          <w:szCs w:val="22"/>
        </w:rPr>
        <w:t xml:space="preserve">2.4 </w:t>
      </w:r>
      <w:r w:rsidR="00461FCF" w:rsidRPr="008D2267">
        <w:rPr>
          <w:rFonts w:ascii="Arial" w:hAnsi="Arial" w:cs="Arial"/>
          <w:sz w:val="22"/>
          <w:szCs w:val="22"/>
        </w:rPr>
        <w:t>Goals of the Business</w:t>
      </w:r>
      <w:bookmarkEnd w:id="5"/>
      <w:r w:rsidR="00461FCF" w:rsidRPr="008D2267">
        <w:rPr>
          <w:rFonts w:ascii="Arial" w:hAnsi="Arial" w:cs="Arial"/>
          <w:sz w:val="22"/>
          <w:szCs w:val="22"/>
        </w:rPr>
        <w:t xml:space="preserve"> </w:t>
      </w:r>
    </w:p>
    <w:p w14:paraId="7C438ECB" w14:textId="16700C49" w:rsidR="00461FCF" w:rsidRPr="008D2267" w:rsidRDefault="00461FCF"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There are four broad patterns for interpreting the goals of Toyota for its market and industry factors for its internationalization business. The first is that Toyota aims to be the global leader in the automotive industry</w:t>
      </w:r>
      <w:r w:rsidR="001D2D07" w:rsidRPr="008D2267">
        <w:rPr>
          <w:rFonts w:ascii="Arial" w:hAnsi="Arial" w:cs="Arial"/>
          <w:color w:val="000000" w:themeColor="text1"/>
          <w:sz w:val="22"/>
          <w:szCs w:val="22"/>
        </w:rPr>
        <w:t xml:space="preserve"> (Soliman, 2020)</w:t>
      </w:r>
      <w:r w:rsidRPr="008D2267">
        <w:rPr>
          <w:rFonts w:ascii="Arial" w:hAnsi="Arial" w:cs="Arial"/>
          <w:color w:val="000000" w:themeColor="text1"/>
          <w:sz w:val="22"/>
          <w:szCs w:val="22"/>
        </w:rPr>
        <w:t xml:space="preserve">. This means that the company seeks to maintain its position as the world’s largest automaker and to continue to grow its market share in key markets around the world. The second goal is to continue to grow and expand its business in emerging markets. This is a key part of Toyota’s strategy for future growth, as it seeks to tap into the growing demand for automobiles in these regions. The third goal is to provide care for its customers and employees. This includes providing high-quality products and services and maintaining a safe </w:t>
      </w:r>
      <w:r w:rsidRPr="008D2267">
        <w:rPr>
          <w:rFonts w:ascii="Arial" w:hAnsi="Arial" w:cs="Arial"/>
          <w:color w:val="000000" w:themeColor="text1"/>
          <w:sz w:val="22"/>
          <w:szCs w:val="22"/>
        </w:rPr>
        <w:lastRenderedPageBreak/>
        <w:t xml:space="preserve">and healthy work environment. Finally, Toyota seeks to be a good corporate citizen. This means behaving ethically and </w:t>
      </w:r>
      <w:proofErr w:type="gramStart"/>
      <w:r w:rsidRPr="008D2267">
        <w:rPr>
          <w:rFonts w:ascii="Arial" w:hAnsi="Arial" w:cs="Arial"/>
          <w:color w:val="000000" w:themeColor="text1"/>
          <w:sz w:val="22"/>
          <w:szCs w:val="22"/>
        </w:rPr>
        <w:t>responsibly, and</w:t>
      </w:r>
      <w:proofErr w:type="gramEnd"/>
      <w:r w:rsidRPr="008D2267">
        <w:rPr>
          <w:rFonts w:ascii="Arial" w:hAnsi="Arial" w:cs="Arial"/>
          <w:color w:val="000000" w:themeColor="text1"/>
          <w:sz w:val="22"/>
          <w:szCs w:val="22"/>
        </w:rPr>
        <w:t xml:space="preserve"> contributing to the communities in which it operates</w:t>
      </w:r>
      <w:r w:rsidR="001D2D07" w:rsidRPr="008D2267">
        <w:rPr>
          <w:rFonts w:ascii="Arial" w:hAnsi="Arial" w:cs="Arial"/>
          <w:color w:val="000000" w:themeColor="text1"/>
          <w:sz w:val="22"/>
          <w:szCs w:val="22"/>
        </w:rPr>
        <w:t xml:space="preserve"> (Soliman, 2020)</w:t>
      </w:r>
      <w:r w:rsidRPr="008D2267">
        <w:rPr>
          <w:rFonts w:ascii="Arial" w:hAnsi="Arial" w:cs="Arial"/>
          <w:color w:val="000000" w:themeColor="text1"/>
          <w:sz w:val="22"/>
          <w:szCs w:val="22"/>
        </w:rPr>
        <w:t>.</w:t>
      </w:r>
    </w:p>
    <w:p w14:paraId="28F41F90" w14:textId="3972A688" w:rsidR="00461FCF" w:rsidRPr="008D2267" w:rsidRDefault="00461FCF"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There are a few key factors that influenced Toyota's decision to expand its business internationally. First, the company was looking to gain a larger market share in the global automotive market. Second, Toyota was seeking to diversify its customer base and reduce its dependence on the Japanese market. Finally, the company was looking to expand its production capacity to meet the growing demand for its vehicles</w:t>
      </w:r>
      <w:r w:rsidR="001D2D07" w:rsidRPr="008D2267">
        <w:rPr>
          <w:rFonts w:ascii="Arial" w:hAnsi="Arial" w:cs="Arial"/>
          <w:color w:val="000000" w:themeColor="text1"/>
          <w:sz w:val="22"/>
          <w:szCs w:val="22"/>
        </w:rPr>
        <w:t xml:space="preserve"> (Kawai, 2020)</w:t>
      </w:r>
      <w:r w:rsidRPr="008D2267">
        <w:rPr>
          <w:rFonts w:ascii="Arial" w:hAnsi="Arial" w:cs="Arial"/>
          <w:color w:val="000000" w:themeColor="text1"/>
          <w:sz w:val="22"/>
          <w:szCs w:val="22"/>
        </w:rPr>
        <w:t>. In terms of market factors, Toyota was focused on the growing demand for vehicles in Asia and other emerging markets. The company was also looking to take advantage of the relatively low labor costs in these regions. Additionally, Toyota was seeking to benefit from the growing trend of consumers buying smaller, more fuel-efficient vehicles. In terms of industry factors, Toyota was looking to capitalize on its strong reputation for quality and reliability. Additionally, the company was looking to expand its production capacity to meet the growing demand for its vehicles</w:t>
      </w:r>
      <w:r w:rsidR="001D2D07" w:rsidRPr="008D2267">
        <w:rPr>
          <w:rFonts w:ascii="Arial" w:hAnsi="Arial" w:cs="Arial"/>
          <w:color w:val="000000" w:themeColor="text1"/>
          <w:sz w:val="22"/>
          <w:szCs w:val="22"/>
        </w:rPr>
        <w:t xml:space="preserve"> (Kawai, 2020)</w:t>
      </w:r>
      <w:r w:rsidRPr="008D2267">
        <w:rPr>
          <w:rFonts w:ascii="Arial" w:hAnsi="Arial" w:cs="Arial"/>
          <w:color w:val="000000" w:themeColor="text1"/>
          <w:sz w:val="22"/>
          <w:szCs w:val="22"/>
        </w:rPr>
        <w:t xml:space="preserve">. </w:t>
      </w:r>
    </w:p>
    <w:p w14:paraId="3A505873" w14:textId="4F44CCCD" w:rsidR="00461FCF" w:rsidRPr="008D2267" w:rsidRDefault="00461FCF"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Firstly, Toyota has a very strong focus on quality. This is evident in everything </w:t>
      </w:r>
      <w:proofErr w:type="gramStart"/>
      <w:r w:rsidRPr="008D2267">
        <w:rPr>
          <w:rFonts w:ascii="Arial" w:hAnsi="Arial" w:cs="Arial"/>
          <w:color w:val="000000" w:themeColor="text1"/>
          <w:sz w:val="22"/>
          <w:szCs w:val="22"/>
        </w:rPr>
        <w:t>from the design and engineering of their vehicles,</w:t>
      </w:r>
      <w:proofErr w:type="gramEnd"/>
      <w:r w:rsidRPr="008D2267">
        <w:rPr>
          <w:rFonts w:ascii="Arial" w:hAnsi="Arial" w:cs="Arial"/>
          <w:color w:val="000000" w:themeColor="text1"/>
          <w:sz w:val="22"/>
          <w:szCs w:val="22"/>
        </w:rPr>
        <w:t xml:space="preserve"> to the way they manufacture and assemble them. Toyota is constantly striving to improve the quality of </w:t>
      </w:r>
      <w:r w:rsidR="001D2D07" w:rsidRPr="008D2267">
        <w:rPr>
          <w:rFonts w:ascii="Arial" w:hAnsi="Arial" w:cs="Arial"/>
          <w:color w:val="000000" w:themeColor="text1"/>
          <w:sz w:val="22"/>
          <w:szCs w:val="22"/>
        </w:rPr>
        <w:t>its</w:t>
      </w:r>
      <w:r w:rsidRPr="008D2267">
        <w:rPr>
          <w:rFonts w:ascii="Arial" w:hAnsi="Arial" w:cs="Arial"/>
          <w:color w:val="000000" w:themeColor="text1"/>
          <w:sz w:val="22"/>
          <w:szCs w:val="22"/>
        </w:rPr>
        <w:t xml:space="preserve"> products, and this is one of the main reasons why they have been so successful over the years</w:t>
      </w:r>
      <w:r w:rsidR="001D2D07" w:rsidRPr="008D2267">
        <w:rPr>
          <w:rFonts w:ascii="Arial" w:hAnsi="Arial" w:cs="Arial"/>
          <w:color w:val="000000" w:themeColor="text1"/>
          <w:sz w:val="22"/>
          <w:szCs w:val="22"/>
        </w:rPr>
        <w:t xml:space="preserve"> (</w:t>
      </w:r>
      <w:proofErr w:type="spellStart"/>
      <w:r w:rsidR="001D2D07" w:rsidRPr="008D2267">
        <w:rPr>
          <w:rFonts w:ascii="Arial" w:hAnsi="Arial" w:cs="Arial"/>
          <w:color w:val="000000" w:themeColor="text1"/>
          <w:sz w:val="22"/>
          <w:szCs w:val="22"/>
        </w:rPr>
        <w:t>Prasetyo</w:t>
      </w:r>
      <w:proofErr w:type="spellEnd"/>
      <w:r w:rsidR="001D2D07" w:rsidRPr="008D2267">
        <w:rPr>
          <w:rFonts w:ascii="Arial" w:hAnsi="Arial" w:cs="Arial"/>
          <w:color w:val="000000" w:themeColor="text1"/>
          <w:sz w:val="22"/>
          <w:szCs w:val="22"/>
        </w:rPr>
        <w:t xml:space="preserve"> et al., 2019)</w:t>
      </w:r>
      <w:r w:rsidRPr="008D2267">
        <w:rPr>
          <w:rFonts w:ascii="Arial" w:hAnsi="Arial" w:cs="Arial"/>
          <w:color w:val="000000" w:themeColor="text1"/>
          <w:sz w:val="22"/>
          <w:szCs w:val="22"/>
        </w:rPr>
        <w:t xml:space="preserve">. Secondly, Toyota has a very strong brand. This is something that has been carefully cultivated over many years, and it is one of the main reasons why people continue to buy Toyota products. The company has a very strong reputation for reliability and durability, and this is something that resonates with consumers around the world. Finally, Toyota is very good at adapting to local markets. They have a deep understanding of the needs and wants of consumers in different countries, and they </w:t>
      </w:r>
      <w:proofErr w:type="gramStart"/>
      <w:r w:rsidRPr="008D2267">
        <w:rPr>
          <w:rFonts w:ascii="Arial" w:hAnsi="Arial" w:cs="Arial"/>
          <w:color w:val="000000" w:themeColor="text1"/>
          <w:sz w:val="22"/>
          <w:szCs w:val="22"/>
        </w:rPr>
        <w:t>are able to</w:t>
      </w:r>
      <w:proofErr w:type="gramEnd"/>
      <w:r w:rsidRPr="008D2267">
        <w:rPr>
          <w:rFonts w:ascii="Arial" w:hAnsi="Arial" w:cs="Arial"/>
          <w:color w:val="000000" w:themeColor="text1"/>
          <w:sz w:val="22"/>
          <w:szCs w:val="22"/>
        </w:rPr>
        <w:t xml:space="preserve"> tailor their products and marketing to appeal to these different audiences. This has been a key </w:t>
      </w:r>
      <w:r w:rsidRPr="008D2267">
        <w:rPr>
          <w:rFonts w:ascii="Arial" w:hAnsi="Arial" w:cs="Arial"/>
          <w:color w:val="000000" w:themeColor="text1"/>
          <w:sz w:val="22"/>
          <w:szCs w:val="22"/>
        </w:rPr>
        <w:lastRenderedPageBreak/>
        <w:t>driver of their success in markets like China and India, where they have been able to capture a large share of the market</w:t>
      </w:r>
      <w:r w:rsidR="001D2D07" w:rsidRPr="008D2267">
        <w:rPr>
          <w:rFonts w:ascii="Arial" w:hAnsi="Arial" w:cs="Arial"/>
          <w:color w:val="000000" w:themeColor="text1"/>
          <w:sz w:val="22"/>
          <w:szCs w:val="22"/>
        </w:rPr>
        <w:t xml:space="preserve"> (</w:t>
      </w:r>
      <w:proofErr w:type="spellStart"/>
      <w:r w:rsidR="001D2D07" w:rsidRPr="008D2267">
        <w:rPr>
          <w:rFonts w:ascii="Arial" w:hAnsi="Arial" w:cs="Arial"/>
          <w:color w:val="000000" w:themeColor="text1"/>
          <w:sz w:val="22"/>
          <w:szCs w:val="22"/>
        </w:rPr>
        <w:t>Prasetyo</w:t>
      </w:r>
      <w:proofErr w:type="spellEnd"/>
      <w:r w:rsidR="001D2D07" w:rsidRPr="008D2267">
        <w:rPr>
          <w:rFonts w:ascii="Arial" w:hAnsi="Arial" w:cs="Arial"/>
          <w:color w:val="000000" w:themeColor="text1"/>
          <w:sz w:val="22"/>
          <w:szCs w:val="22"/>
        </w:rPr>
        <w:t xml:space="preserve"> et al., 2019)</w:t>
      </w:r>
      <w:r w:rsidRPr="008D2267">
        <w:rPr>
          <w:rFonts w:ascii="Arial" w:hAnsi="Arial" w:cs="Arial"/>
          <w:color w:val="000000" w:themeColor="text1"/>
          <w:sz w:val="22"/>
          <w:szCs w:val="22"/>
        </w:rPr>
        <w:t xml:space="preserve">. </w:t>
      </w:r>
    </w:p>
    <w:p w14:paraId="18D9FCBB" w14:textId="2E81CAF0" w:rsidR="00461FCF" w:rsidRPr="008D2267" w:rsidRDefault="002108F3" w:rsidP="008D2267">
      <w:pPr>
        <w:pStyle w:val="Heading2"/>
        <w:spacing w:line="480" w:lineRule="auto"/>
        <w:jc w:val="both"/>
        <w:rPr>
          <w:rFonts w:ascii="Arial" w:hAnsi="Arial" w:cs="Arial"/>
          <w:sz w:val="22"/>
          <w:szCs w:val="22"/>
        </w:rPr>
      </w:pPr>
      <w:bookmarkStart w:id="6" w:name="_Toc122543599"/>
      <w:r w:rsidRPr="008D2267">
        <w:rPr>
          <w:rFonts w:ascii="Arial" w:hAnsi="Arial" w:cs="Arial"/>
          <w:sz w:val="22"/>
          <w:szCs w:val="22"/>
        </w:rPr>
        <w:t>2.5 Moves made by Toyota in terms of Country Risk</w:t>
      </w:r>
      <w:bookmarkEnd w:id="6"/>
    </w:p>
    <w:p w14:paraId="44531714" w14:textId="26713646" w:rsidR="002108F3" w:rsidRPr="008D2267" w:rsidRDefault="00333A4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In response to the country risk in Japan, Toyota management has made various moves to justify its response. First, Toyota has established a joint venture with Mazda to produce vehicles in Hiroshima, which will help to diversify its production base and reduce its reliance on Japan. Second, Toyota has also announced plans to build a new factory in the Philippines, which will allow it to better serve its Southeast Asian markets. Finally, Toyota has also announced plans to invest more heavily in research and development </w:t>
      </w:r>
      <w:proofErr w:type="gramStart"/>
      <w:r w:rsidRPr="008D2267">
        <w:rPr>
          <w:rFonts w:ascii="Arial" w:hAnsi="Arial" w:cs="Arial"/>
          <w:color w:val="000000" w:themeColor="text1"/>
          <w:sz w:val="22"/>
          <w:szCs w:val="22"/>
        </w:rPr>
        <w:t>in order to</w:t>
      </w:r>
      <w:proofErr w:type="gramEnd"/>
      <w:r w:rsidRPr="008D2267">
        <w:rPr>
          <w:rFonts w:ascii="Arial" w:hAnsi="Arial" w:cs="Arial"/>
          <w:color w:val="000000" w:themeColor="text1"/>
          <w:sz w:val="22"/>
          <w:szCs w:val="22"/>
        </w:rPr>
        <w:t xml:space="preserve"> maintain its technological edge. These moves by Toyota management are aimed at mitigating the risks associated with country risk in Japan and position the company for long-term success</w:t>
      </w:r>
      <w:r w:rsidR="001D2D07" w:rsidRPr="008D2267">
        <w:rPr>
          <w:rFonts w:ascii="Arial" w:hAnsi="Arial" w:cs="Arial"/>
          <w:color w:val="000000" w:themeColor="text1"/>
          <w:sz w:val="22"/>
          <w:szCs w:val="22"/>
        </w:rPr>
        <w:t xml:space="preserve"> (Blake, </w:t>
      </w:r>
      <w:proofErr w:type="gramStart"/>
      <w:r w:rsidR="001D2D07" w:rsidRPr="008D2267">
        <w:rPr>
          <w:rFonts w:ascii="Arial" w:hAnsi="Arial" w:cs="Arial"/>
          <w:color w:val="000000" w:themeColor="text1"/>
          <w:sz w:val="22"/>
          <w:szCs w:val="22"/>
        </w:rPr>
        <w:t>Markus</w:t>
      </w:r>
      <w:proofErr w:type="gramEnd"/>
      <w:r w:rsidR="001D2D07" w:rsidRPr="008D2267">
        <w:rPr>
          <w:rFonts w:ascii="Arial" w:hAnsi="Arial" w:cs="Arial"/>
          <w:color w:val="000000" w:themeColor="text1"/>
          <w:sz w:val="22"/>
          <w:szCs w:val="22"/>
        </w:rPr>
        <w:t xml:space="preserve"> and Martinez</w:t>
      </w:r>
      <w:r w:rsidR="001D2D07" w:rsidRPr="008D2267">
        <w:rPr>
          <w:rFonts w:ascii="Cambria Math" w:hAnsi="Cambria Math" w:cs="Cambria Math"/>
          <w:color w:val="000000" w:themeColor="text1"/>
          <w:sz w:val="22"/>
          <w:szCs w:val="22"/>
        </w:rPr>
        <w:t>‐</w:t>
      </w:r>
      <w:r w:rsidR="001D2D07" w:rsidRPr="008D2267">
        <w:rPr>
          <w:rFonts w:ascii="Arial" w:hAnsi="Arial" w:cs="Arial"/>
          <w:color w:val="000000" w:themeColor="text1"/>
          <w:sz w:val="22"/>
          <w:szCs w:val="22"/>
        </w:rPr>
        <w:t>Suarez, 2022)</w:t>
      </w:r>
      <w:r w:rsidRPr="008D2267">
        <w:rPr>
          <w:rFonts w:ascii="Arial" w:hAnsi="Arial" w:cs="Arial"/>
          <w:color w:val="000000" w:themeColor="text1"/>
          <w:sz w:val="22"/>
          <w:szCs w:val="22"/>
        </w:rPr>
        <w:t xml:space="preserve">. </w:t>
      </w:r>
    </w:p>
    <w:p w14:paraId="114F53E5" w14:textId="087D54B7" w:rsidR="00333A45" w:rsidRPr="008D2267" w:rsidRDefault="00333A4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In response to the global financial crisis of 2008, Toyota management took </w:t>
      </w:r>
      <w:proofErr w:type="gramStart"/>
      <w:r w:rsidRPr="008D2267">
        <w:rPr>
          <w:rFonts w:ascii="Arial" w:hAnsi="Arial" w:cs="Arial"/>
          <w:color w:val="000000" w:themeColor="text1"/>
          <w:sz w:val="22"/>
          <w:szCs w:val="22"/>
        </w:rPr>
        <w:t>a number of</w:t>
      </w:r>
      <w:proofErr w:type="gramEnd"/>
      <w:r w:rsidRPr="008D2267">
        <w:rPr>
          <w:rFonts w:ascii="Arial" w:hAnsi="Arial" w:cs="Arial"/>
          <w:color w:val="000000" w:themeColor="text1"/>
          <w:sz w:val="22"/>
          <w:szCs w:val="22"/>
        </w:rPr>
        <w:t xml:space="preserve"> steps to mitigate the company's exposure to country risk. These included diversifying its production base away from Japan, reducing its reliance on exports, and increasing its focus on emerging markets. While these moves may have been justified in terms of country risk at the time, they have also contributed to the company's current problems in regions like North America and Europe. One move is to </w:t>
      </w:r>
      <w:r w:rsidR="00607C2B" w:rsidRPr="008D2267">
        <w:rPr>
          <w:rFonts w:ascii="Arial" w:hAnsi="Arial" w:cs="Arial"/>
          <w:color w:val="000000" w:themeColor="text1"/>
          <w:sz w:val="22"/>
          <w:szCs w:val="22"/>
        </w:rPr>
        <w:t>increase</w:t>
      </w:r>
      <w:r w:rsidRPr="008D2267">
        <w:rPr>
          <w:rFonts w:ascii="Arial" w:hAnsi="Arial" w:cs="Arial"/>
          <w:color w:val="000000" w:themeColor="text1"/>
          <w:sz w:val="22"/>
          <w:szCs w:val="22"/>
        </w:rPr>
        <w:t xml:space="preserve"> its investment in robots. This helps to reduce the company's dependence on human labor, which can be affected by political instability or other factors in a country. Another move is to build more plants in countries outside of Japan. This helps to reduce the company's reliance on a single country for production, which can be disrupted by political or economic conditions</w:t>
      </w:r>
      <w:r w:rsidR="001D2D07" w:rsidRPr="008D2267">
        <w:rPr>
          <w:rFonts w:ascii="Arial" w:hAnsi="Arial" w:cs="Arial"/>
          <w:color w:val="000000" w:themeColor="text1"/>
          <w:sz w:val="22"/>
          <w:szCs w:val="22"/>
        </w:rPr>
        <w:t xml:space="preserve"> (Sun et al., 2021)</w:t>
      </w:r>
      <w:r w:rsidRPr="008D2267">
        <w:rPr>
          <w:rFonts w:ascii="Arial" w:hAnsi="Arial" w:cs="Arial"/>
          <w:color w:val="000000" w:themeColor="text1"/>
          <w:sz w:val="22"/>
          <w:szCs w:val="22"/>
        </w:rPr>
        <w:t xml:space="preserve">. </w:t>
      </w:r>
    </w:p>
    <w:p w14:paraId="6F357BD5" w14:textId="77777777" w:rsidR="00333A45" w:rsidRPr="008D2267" w:rsidRDefault="00333A4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The various moves made by Toyota management to be justified in terms of country risk can be explained as follows:</w:t>
      </w:r>
    </w:p>
    <w:p w14:paraId="32D3498A" w14:textId="50648599" w:rsidR="00333A45" w:rsidRPr="008D2267" w:rsidRDefault="00333A4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lastRenderedPageBreak/>
        <w:t xml:space="preserve">1. Toyota management decided to move production of its Corolla model to a plant in Turkey. This was done </w:t>
      </w:r>
      <w:proofErr w:type="gramStart"/>
      <w:r w:rsidRPr="008D2267">
        <w:rPr>
          <w:rFonts w:ascii="Arial" w:hAnsi="Arial" w:cs="Arial"/>
          <w:color w:val="000000" w:themeColor="text1"/>
          <w:sz w:val="22"/>
          <w:szCs w:val="22"/>
        </w:rPr>
        <w:t>in order to</w:t>
      </w:r>
      <w:proofErr w:type="gramEnd"/>
      <w:r w:rsidRPr="008D2267">
        <w:rPr>
          <w:rFonts w:ascii="Arial" w:hAnsi="Arial" w:cs="Arial"/>
          <w:color w:val="000000" w:themeColor="text1"/>
          <w:sz w:val="22"/>
          <w:szCs w:val="22"/>
        </w:rPr>
        <w:t xml:space="preserve"> take advantage of lower production costs in Turkey, as well as to reduce exposure to currency risk</w:t>
      </w:r>
      <w:r w:rsidR="001D2D07" w:rsidRPr="008D2267">
        <w:rPr>
          <w:rFonts w:ascii="Arial" w:hAnsi="Arial" w:cs="Arial"/>
          <w:color w:val="000000" w:themeColor="text1"/>
          <w:sz w:val="22"/>
          <w:szCs w:val="22"/>
        </w:rPr>
        <w:t xml:space="preserve"> (</w:t>
      </w:r>
      <w:proofErr w:type="spellStart"/>
      <w:r w:rsidR="001D2D07" w:rsidRPr="008D2267">
        <w:rPr>
          <w:rFonts w:ascii="Arial" w:hAnsi="Arial" w:cs="Arial"/>
          <w:color w:val="000000" w:themeColor="text1"/>
          <w:sz w:val="22"/>
          <w:szCs w:val="22"/>
        </w:rPr>
        <w:t>Emeagwali</w:t>
      </w:r>
      <w:proofErr w:type="spellEnd"/>
      <w:r w:rsidR="001D2D07" w:rsidRPr="008D2267">
        <w:rPr>
          <w:rFonts w:ascii="Arial" w:hAnsi="Arial" w:cs="Arial"/>
          <w:color w:val="000000" w:themeColor="text1"/>
          <w:sz w:val="22"/>
          <w:szCs w:val="22"/>
        </w:rPr>
        <w:t xml:space="preserve"> and </w:t>
      </w:r>
      <w:proofErr w:type="spellStart"/>
      <w:r w:rsidR="001D2D07" w:rsidRPr="008D2267">
        <w:rPr>
          <w:rFonts w:ascii="Arial" w:hAnsi="Arial" w:cs="Arial"/>
          <w:color w:val="000000" w:themeColor="text1"/>
          <w:sz w:val="22"/>
          <w:szCs w:val="22"/>
        </w:rPr>
        <w:t>Aljuhamni</w:t>
      </w:r>
      <w:proofErr w:type="spellEnd"/>
      <w:r w:rsidR="001D2D07" w:rsidRPr="008D2267">
        <w:rPr>
          <w:rFonts w:ascii="Arial" w:hAnsi="Arial" w:cs="Arial"/>
          <w:color w:val="000000" w:themeColor="text1"/>
          <w:sz w:val="22"/>
          <w:szCs w:val="22"/>
        </w:rPr>
        <w:t>, 2019)</w:t>
      </w:r>
      <w:r w:rsidRPr="008D2267">
        <w:rPr>
          <w:rFonts w:ascii="Arial" w:hAnsi="Arial" w:cs="Arial"/>
          <w:color w:val="000000" w:themeColor="text1"/>
          <w:sz w:val="22"/>
          <w:szCs w:val="22"/>
        </w:rPr>
        <w:t>.</w:t>
      </w:r>
    </w:p>
    <w:p w14:paraId="48E0A469" w14:textId="77777777" w:rsidR="00333A45" w:rsidRPr="008D2267" w:rsidRDefault="00333A4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2. Toyota also decided to build a new manufacturing plant in Mexico. This was done </w:t>
      </w:r>
      <w:proofErr w:type="gramStart"/>
      <w:r w:rsidRPr="008D2267">
        <w:rPr>
          <w:rFonts w:ascii="Arial" w:hAnsi="Arial" w:cs="Arial"/>
          <w:color w:val="000000" w:themeColor="text1"/>
          <w:sz w:val="22"/>
          <w:szCs w:val="22"/>
        </w:rPr>
        <w:t>in order to</w:t>
      </w:r>
      <w:proofErr w:type="gramEnd"/>
      <w:r w:rsidRPr="008D2267">
        <w:rPr>
          <w:rFonts w:ascii="Arial" w:hAnsi="Arial" w:cs="Arial"/>
          <w:color w:val="000000" w:themeColor="text1"/>
          <w:sz w:val="22"/>
          <w:szCs w:val="22"/>
        </w:rPr>
        <w:t xml:space="preserve"> gain access to the Mexican market, as well as to reduce exposure to country risk.</w:t>
      </w:r>
    </w:p>
    <w:p w14:paraId="6B669DFE" w14:textId="2768E10C" w:rsidR="00333A45" w:rsidRPr="008D2267" w:rsidRDefault="00333A4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3. In addition, Toyota management has hedged its currency exposure by </w:t>
      </w:r>
      <w:proofErr w:type="gramStart"/>
      <w:r w:rsidRPr="008D2267">
        <w:rPr>
          <w:rFonts w:ascii="Arial" w:hAnsi="Arial" w:cs="Arial"/>
          <w:color w:val="000000" w:themeColor="text1"/>
          <w:sz w:val="22"/>
          <w:szCs w:val="22"/>
        </w:rPr>
        <w:t>entering into</w:t>
      </w:r>
      <w:proofErr w:type="gramEnd"/>
      <w:r w:rsidRPr="008D2267">
        <w:rPr>
          <w:rFonts w:ascii="Arial" w:hAnsi="Arial" w:cs="Arial"/>
          <w:color w:val="000000" w:themeColor="text1"/>
          <w:sz w:val="22"/>
          <w:szCs w:val="22"/>
        </w:rPr>
        <w:t xml:space="preserve"> forward contracts. This has allowed the company to protect itself from adverse movements in exchange rates</w:t>
      </w:r>
      <w:r w:rsidR="001D2D07" w:rsidRPr="008D2267">
        <w:rPr>
          <w:rFonts w:ascii="Arial" w:hAnsi="Arial" w:cs="Arial"/>
          <w:color w:val="000000" w:themeColor="text1"/>
          <w:sz w:val="22"/>
          <w:szCs w:val="22"/>
        </w:rPr>
        <w:t xml:space="preserve"> (</w:t>
      </w:r>
      <w:proofErr w:type="spellStart"/>
      <w:r w:rsidR="001D2D07" w:rsidRPr="008D2267">
        <w:rPr>
          <w:rFonts w:ascii="Arial" w:hAnsi="Arial" w:cs="Arial"/>
          <w:color w:val="000000" w:themeColor="text1"/>
          <w:sz w:val="22"/>
          <w:szCs w:val="22"/>
        </w:rPr>
        <w:t>Emeagwali</w:t>
      </w:r>
      <w:proofErr w:type="spellEnd"/>
      <w:r w:rsidR="001D2D07" w:rsidRPr="008D2267">
        <w:rPr>
          <w:rFonts w:ascii="Arial" w:hAnsi="Arial" w:cs="Arial"/>
          <w:color w:val="000000" w:themeColor="text1"/>
          <w:sz w:val="22"/>
          <w:szCs w:val="22"/>
        </w:rPr>
        <w:t xml:space="preserve"> and </w:t>
      </w:r>
      <w:proofErr w:type="spellStart"/>
      <w:r w:rsidR="001D2D07" w:rsidRPr="008D2267">
        <w:rPr>
          <w:rFonts w:ascii="Arial" w:hAnsi="Arial" w:cs="Arial"/>
          <w:color w:val="000000" w:themeColor="text1"/>
          <w:sz w:val="22"/>
          <w:szCs w:val="22"/>
        </w:rPr>
        <w:t>Aljuhamni</w:t>
      </w:r>
      <w:proofErr w:type="spellEnd"/>
      <w:r w:rsidR="001D2D07" w:rsidRPr="008D2267">
        <w:rPr>
          <w:rFonts w:ascii="Arial" w:hAnsi="Arial" w:cs="Arial"/>
          <w:color w:val="000000" w:themeColor="text1"/>
          <w:sz w:val="22"/>
          <w:szCs w:val="22"/>
        </w:rPr>
        <w:t>, 2019)</w:t>
      </w:r>
      <w:r w:rsidRPr="008D2267">
        <w:rPr>
          <w:rFonts w:ascii="Arial" w:hAnsi="Arial" w:cs="Arial"/>
          <w:color w:val="000000" w:themeColor="text1"/>
          <w:sz w:val="22"/>
          <w:szCs w:val="22"/>
        </w:rPr>
        <w:t>.</w:t>
      </w:r>
    </w:p>
    <w:p w14:paraId="1ED2D75E" w14:textId="61D5599A" w:rsidR="00333A45" w:rsidRPr="008D2267" w:rsidRDefault="00333A45" w:rsidP="008D2267">
      <w:pPr>
        <w:pStyle w:val="Heading1"/>
        <w:spacing w:line="480" w:lineRule="auto"/>
        <w:jc w:val="both"/>
        <w:rPr>
          <w:rFonts w:ascii="Arial" w:hAnsi="Arial" w:cs="Arial"/>
          <w:sz w:val="22"/>
          <w:szCs w:val="22"/>
        </w:rPr>
      </w:pPr>
      <w:bookmarkStart w:id="7" w:name="_Toc122543600"/>
      <w:r w:rsidRPr="008D2267">
        <w:rPr>
          <w:rFonts w:ascii="Arial" w:hAnsi="Arial" w:cs="Arial"/>
          <w:sz w:val="22"/>
          <w:szCs w:val="22"/>
        </w:rPr>
        <w:t>3. Conclusion</w:t>
      </w:r>
      <w:bookmarkEnd w:id="7"/>
      <w:r w:rsidRPr="008D2267">
        <w:rPr>
          <w:rFonts w:ascii="Arial" w:hAnsi="Arial" w:cs="Arial"/>
          <w:sz w:val="22"/>
          <w:szCs w:val="22"/>
        </w:rPr>
        <w:t xml:space="preserve"> </w:t>
      </w:r>
    </w:p>
    <w:p w14:paraId="2F60751D" w14:textId="37CA3C5F" w:rsidR="00333A45" w:rsidRPr="008D2267" w:rsidRDefault="00333A4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Toyota's internationalization strategy has been very successful, and the company has managed to become one of the most powerful and profitable automakers in the world. However, there are some risks involved in the company's international business, including the potential for political instability in some of its markets, the possibility of a global recession, and the competitive threat from other automakers. The internationalization of business is the process of expanding the operations of a company beyond its home country. The decision to expand internationally can be a risky one, as it entails moving into unfamiliar territory and managing a complex supply chain. However, it can also be a highly lucrative move, as it </w:t>
      </w:r>
      <w:proofErr w:type="gramStart"/>
      <w:r w:rsidRPr="008D2267">
        <w:rPr>
          <w:rFonts w:ascii="Arial" w:hAnsi="Arial" w:cs="Arial"/>
          <w:color w:val="000000" w:themeColor="text1"/>
          <w:sz w:val="22"/>
          <w:szCs w:val="22"/>
        </w:rPr>
        <w:t>opens up</w:t>
      </w:r>
      <w:proofErr w:type="gramEnd"/>
      <w:r w:rsidRPr="008D2267">
        <w:rPr>
          <w:rFonts w:ascii="Arial" w:hAnsi="Arial" w:cs="Arial"/>
          <w:color w:val="000000" w:themeColor="text1"/>
          <w:sz w:val="22"/>
          <w:szCs w:val="22"/>
        </w:rPr>
        <w:t xml:space="preserve"> new markets and allows a company to tap into a global pool of talent. The company, one of the world's largest automakers, has been successful in internationalizing its business. </w:t>
      </w:r>
    </w:p>
    <w:p w14:paraId="50DB5DE8" w14:textId="67166DB4" w:rsidR="00333A45" w:rsidRPr="008D2267" w:rsidRDefault="00333A45" w:rsidP="008D2267">
      <w:pPr>
        <w:spacing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The company has manufacturing plants in over 30 countries and sells its vehicles in over 170 markets. It has achieved this level of success by carefully managing its entry into new markets and by developing a strong global supply chain. The company has also been able to benefit from a global pool of talent, as it has attracted top engineers from around the world to work in its research and development centers. While the company has been successful in internationalizing </w:t>
      </w:r>
      <w:r w:rsidRPr="008D2267">
        <w:rPr>
          <w:rFonts w:ascii="Arial" w:hAnsi="Arial" w:cs="Arial"/>
          <w:color w:val="000000" w:themeColor="text1"/>
          <w:sz w:val="22"/>
          <w:szCs w:val="22"/>
        </w:rPr>
        <w:lastRenderedPageBreak/>
        <w:t>its business, it faces a number of risks going forward. These include the risk of a trade war between the United States and China, as well as the risk of a global economic slowdown.</w:t>
      </w:r>
    </w:p>
    <w:p w14:paraId="0F117740" w14:textId="77777777" w:rsidR="001D2D07" w:rsidRPr="008D2267" w:rsidRDefault="001D2D07" w:rsidP="008D2267">
      <w:pPr>
        <w:spacing w:line="480" w:lineRule="auto"/>
        <w:jc w:val="both"/>
        <w:rPr>
          <w:rFonts w:ascii="Arial" w:eastAsiaTheme="majorEastAsia" w:hAnsi="Arial" w:cs="Arial"/>
          <w:b/>
          <w:color w:val="000000" w:themeColor="text1"/>
          <w:sz w:val="22"/>
          <w:szCs w:val="22"/>
        </w:rPr>
      </w:pPr>
      <w:r w:rsidRPr="008D2267">
        <w:rPr>
          <w:rFonts w:ascii="Arial" w:hAnsi="Arial" w:cs="Arial"/>
          <w:color w:val="000000" w:themeColor="text1"/>
          <w:sz w:val="22"/>
          <w:szCs w:val="22"/>
        </w:rPr>
        <w:br w:type="page"/>
      </w:r>
    </w:p>
    <w:p w14:paraId="627B900B" w14:textId="3D62B6F4" w:rsidR="00164738" w:rsidRPr="008D2267" w:rsidRDefault="00164738" w:rsidP="008D2267">
      <w:pPr>
        <w:pStyle w:val="Heading1"/>
        <w:spacing w:line="480" w:lineRule="auto"/>
        <w:jc w:val="both"/>
        <w:rPr>
          <w:rFonts w:ascii="Arial" w:hAnsi="Arial" w:cs="Arial"/>
          <w:sz w:val="22"/>
          <w:szCs w:val="22"/>
        </w:rPr>
      </w:pPr>
      <w:bookmarkStart w:id="8" w:name="_Toc122543601"/>
      <w:r w:rsidRPr="008D2267">
        <w:rPr>
          <w:rFonts w:ascii="Arial" w:hAnsi="Arial" w:cs="Arial"/>
          <w:sz w:val="22"/>
          <w:szCs w:val="22"/>
        </w:rPr>
        <w:lastRenderedPageBreak/>
        <w:t>References</w:t>
      </w:r>
      <w:bookmarkEnd w:id="8"/>
      <w:r w:rsidRPr="008D2267">
        <w:rPr>
          <w:rFonts w:ascii="Arial" w:hAnsi="Arial" w:cs="Arial"/>
          <w:sz w:val="22"/>
          <w:szCs w:val="22"/>
        </w:rPr>
        <w:t xml:space="preserve"> </w:t>
      </w:r>
    </w:p>
    <w:p w14:paraId="44D43A36" w14:textId="77777777" w:rsidR="00164738" w:rsidRPr="008D2267" w:rsidRDefault="00164738"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Wada, K. (2020). The Emergence of Flow Production at Toyota. </w:t>
      </w:r>
      <w:r w:rsidRPr="008D2267">
        <w:rPr>
          <w:rFonts w:ascii="Arial" w:hAnsi="Arial" w:cs="Arial"/>
          <w:i/>
          <w:iCs/>
          <w:color w:val="000000" w:themeColor="text1"/>
          <w:sz w:val="22"/>
          <w:szCs w:val="22"/>
        </w:rPr>
        <w:t>The Evolution of the Toyota Production System</w:t>
      </w:r>
      <w:r w:rsidRPr="008D2267">
        <w:rPr>
          <w:rFonts w:ascii="Arial" w:hAnsi="Arial" w:cs="Arial"/>
          <w:color w:val="000000" w:themeColor="text1"/>
          <w:sz w:val="22"/>
          <w:szCs w:val="22"/>
        </w:rPr>
        <w:t>, pp.115–132. doi:10.1007/978-981-15-4928-1_6.</w:t>
      </w:r>
    </w:p>
    <w:p w14:paraId="27E48D4F" w14:textId="77777777" w:rsidR="00164738" w:rsidRPr="008D2267" w:rsidRDefault="00164738" w:rsidP="008D2267">
      <w:pPr>
        <w:pStyle w:val="NormalWeb"/>
        <w:spacing w:before="0" w:beforeAutospacing="0" w:after="240" w:afterAutospacing="0" w:line="480" w:lineRule="auto"/>
        <w:jc w:val="both"/>
        <w:rPr>
          <w:rFonts w:ascii="Arial" w:hAnsi="Arial" w:cs="Arial"/>
          <w:color w:val="000000" w:themeColor="text1"/>
          <w:sz w:val="22"/>
          <w:szCs w:val="22"/>
        </w:rPr>
      </w:pPr>
      <w:proofErr w:type="spellStart"/>
      <w:r w:rsidRPr="008D2267">
        <w:rPr>
          <w:rFonts w:ascii="Arial" w:hAnsi="Arial" w:cs="Arial"/>
          <w:color w:val="000000" w:themeColor="text1"/>
          <w:sz w:val="22"/>
          <w:szCs w:val="22"/>
        </w:rPr>
        <w:t>Profiroiu</w:t>
      </w:r>
      <w:proofErr w:type="spellEnd"/>
      <w:r w:rsidRPr="008D2267">
        <w:rPr>
          <w:rFonts w:ascii="Arial" w:hAnsi="Arial" w:cs="Arial"/>
          <w:color w:val="000000" w:themeColor="text1"/>
          <w:sz w:val="22"/>
          <w:szCs w:val="22"/>
        </w:rPr>
        <w:t xml:space="preserve">, M., Kaneko, H., Vlad, C., </w:t>
      </w:r>
      <w:proofErr w:type="spellStart"/>
      <w:r w:rsidRPr="008D2267">
        <w:rPr>
          <w:rFonts w:ascii="Arial" w:hAnsi="Arial" w:cs="Arial"/>
          <w:color w:val="000000" w:themeColor="text1"/>
          <w:sz w:val="22"/>
          <w:szCs w:val="22"/>
        </w:rPr>
        <w:t>Dutescu</w:t>
      </w:r>
      <w:proofErr w:type="spellEnd"/>
      <w:r w:rsidRPr="008D2267">
        <w:rPr>
          <w:rFonts w:ascii="Arial" w:hAnsi="Arial" w:cs="Arial"/>
          <w:color w:val="000000" w:themeColor="text1"/>
          <w:sz w:val="22"/>
          <w:szCs w:val="22"/>
        </w:rPr>
        <w:t xml:space="preserve">, A. and Ishida, H. (2020). Toyota Motor Corporation’s Culture Strategy. </w:t>
      </w:r>
      <w:r w:rsidRPr="008D2267">
        <w:rPr>
          <w:rFonts w:ascii="Arial" w:hAnsi="Arial" w:cs="Arial"/>
          <w:i/>
          <w:iCs/>
          <w:color w:val="000000" w:themeColor="text1"/>
          <w:sz w:val="22"/>
          <w:szCs w:val="22"/>
        </w:rPr>
        <w:t>Review of International Comparative Management</w:t>
      </w:r>
      <w:r w:rsidRPr="008D2267">
        <w:rPr>
          <w:rFonts w:ascii="Arial" w:hAnsi="Arial" w:cs="Arial"/>
          <w:color w:val="000000" w:themeColor="text1"/>
          <w:sz w:val="22"/>
          <w:szCs w:val="22"/>
        </w:rPr>
        <w:t>, [online] 21(4). doi:10.24818/RMCI.2020.4.458.</w:t>
      </w:r>
    </w:p>
    <w:p w14:paraId="4C83D763" w14:textId="77777777" w:rsidR="00164738" w:rsidRPr="008D2267" w:rsidRDefault="00164738"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Agustina, A., </w:t>
      </w:r>
      <w:proofErr w:type="spellStart"/>
      <w:r w:rsidRPr="008D2267">
        <w:rPr>
          <w:rFonts w:ascii="Arial" w:hAnsi="Arial" w:cs="Arial"/>
          <w:color w:val="000000" w:themeColor="text1"/>
          <w:sz w:val="22"/>
          <w:szCs w:val="22"/>
        </w:rPr>
        <w:t>Dalimunthe</w:t>
      </w:r>
      <w:proofErr w:type="spellEnd"/>
      <w:r w:rsidRPr="008D2267">
        <w:rPr>
          <w:rFonts w:ascii="Arial" w:hAnsi="Arial" w:cs="Arial"/>
          <w:color w:val="000000" w:themeColor="text1"/>
          <w:sz w:val="22"/>
          <w:szCs w:val="22"/>
        </w:rPr>
        <w:t xml:space="preserve">, R.F. and </w:t>
      </w:r>
      <w:proofErr w:type="spellStart"/>
      <w:r w:rsidRPr="008D2267">
        <w:rPr>
          <w:rFonts w:ascii="Arial" w:hAnsi="Arial" w:cs="Arial"/>
          <w:color w:val="000000" w:themeColor="text1"/>
          <w:sz w:val="22"/>
          <w:szCs w:val="22"/>
        </w:rPr>
        <w:t>Sinulingga</w:t>
      </w:r>
      <w:proofErr w:type="spellEnd"/>
      <w:r w:rsidRPr="008D2267">
        <w:rPr>
          <w:rFonts w:ascii="Arial" w:hAnsi="Arial" w:cs="Arial"/>
          <w:color w:val="000000" w:themeColor="text1"/>
          <w:sz w:val="22"/>
          <w:szCs w:val="22"/>
        </w:rPr>
        <w:t xml:space="preserve">, S. (2019). THE EFFECT OF RECRUITMENT, TRAINING AND PLACEMENT ON THE PERFORMANCE OF EMPLOYEES IN P.T ASTRA INTERNATIONAL TBK, TOYOTA AUTO 2000 SM. RAJA MEDAN. </w:t>
      </w:r>
      <w:r w:rsidRPr="008D2267">
        <w:rPr>
          <w:rFonts w:ascii="Arial" w:hAnsi="Arial" w:cs="Arial"/>
          <w:i/>
          <w:iCs/>
          <w:color w:val="000000" w:themeColor="text1"/>
          <w:sz w:val="22"/>
          <w:szCs w:val="22"/>
        </w:rPr>
        <w:t>European Journal of Human Resource Management Studies</w:t>
      </w:r>
      <w:r w:rsidRPr="008D2267">
        <w:rPr>
          <w:rFonts w:ascii="Arial" w:hAnsi="Arial" w:cs="Arial"/>
          <w:color w:val="000000" w:themeColor="text1"/>
          <w:sz w:val="22"/>
          <w:szCs w:val="22"/>
        </w:rPr>
        <w:t>, [online] (0). doi:10.46827/</w:t>
      </w:r>
      <w:proofErr w:type="gramStart"/>
      <w:r w:rsidRPr="008D2267">
        <w:rPr>
          <w:rFonts w:ascii="Arial" w:hAnsi="Arial" w:cs="Arial"/>
          <w:color w:val="000000" w:themeColor="text1"/>
          <w:sz w:val="22"/>
          <w:szCs w:val="22"/>
        </w:rPr>
        <w:t>ejhrms.v</w:t>
      </w:r>
      <w:proofErr w:type="gramEnd"/>
      <w:r w:rsidRPr="008D2267">
        <w:rPr>
          <w:rFonts w:ascii="Arial" w:hAnsi="Arial" w:cs="Arial"/>
          <w:color w:val="000000" w:themeColor="text1"/>
          <w:sz w:val="22"/>
          <w:szCs w:val="22"/>
        </w:rPr>
        <w:t>0i0.583.</w:t>
      </w:r>
    </w:p>
    <w:p w14:paraId="4188F1F3" w14:textId="77777777" w:rsidR="00164738" w:rsidRPr="008D2267" w:rsidRDefault="00164738"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Li, Z. (2018). Business Network Positioning Analysis of Toyota. </w:t>
      </w:r>
      <w:r w:rsidRPr="008D2267">
        <w:rPr>
          <w:rFonts w:ascii="Arial" w:hAnsi="Arial" w:cs="Arial"/>
          <w:i/>
          <w:iCs/>
          <w:color w:val="000000" w:themeColor="text1"/>
          <w:sz w:val="22"/>
          <w:szCs w:val="22"/>
        </w:rPr>
        <w:t>American Journal of Industrial and Business Management</w:t>
      </w:r>
      <w:r w:rsidRPr="008D2267">
        <w:rPr>
          <w:rFonts w:ascii="Arial" w:hAnsi="Arial" w:cs="Arial"/>
          <w:color w:val="000000" w:themeColor="text1"/>
          <w:sz w:val="22"/>
          <w:szCs w:val="22"/>
        </w:rPr>
        <w:t>, 08(07), pp.1693–1699. doi:10.4236/ajibm.2018.87113.</w:t>
      </w:r>
    </w:p>
    <w:p w14:paraId="1A10C675" w14:textId="77777777" w:rsidR="00164738" w:rsidRPr="008D2267" w:rsidRDefault="00164738"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Aini, S., </w:t>
      </w:r>
      <w:proofErr w:type="spellStart"/>
      <w:r w:rsidRPr="008D2267">
        <w:rPr>
          <w:rFonts w:ascii="Arial" w:hAnsi="Arial" w:cs="Arial"/>
          <w:color w:val="000000" w:themeColor="text1"/>
          <w:sz w:val="22"/>
          <w:szCs w:val="22"/>
        </w:rPr>
        <w:t>Lubis</w:t>
      </w:r>
      <w:proofErr w:type="spellEnd"/>
      <w:r w:rsidRPr="008D2267">
        <w:rPr>
          <w:rFonts w:ascii="Arial" w:hAnsi="Arial" w:cs="Arial"/>
          <w:color w:val="000000" w:themeColor="text1"/>
          <w:sz w:val="22"/>
          <w:szCs w:val="22"/>
        </w:rPr>
        <w:t xml:space="preserve">, M., </w:t>
      </w:r>
      <w:proofErr w:type="spellStart"/>
      <w:r w:rsidRPr="008D2267">
        <w:rPr>
          <w:rFonts w:ascii="Arial" w:hAnsi="Arial" w:cs="Arial"/>
          <w:color w:val="000000" w:themeColor="text1"/>
          <w:sz w:val="22"/>
          <w:szCs w:val="22"/>
        </w:rPr>
        <w:t>Witjaksono</w:t>
      </w:r>
      <w:proofErr w:type="spellEnd"/>
      <w:r w:rsidRPr="008D2267">
        <w:rPr>
          <w:rFonts w:ascii="Arial" w:hAnsi="Arial" w:cs="Arial"/>
          <w:color w:val="000000" w:themeColor="text1"/>
          <w:sz w:val="22"/>
          <w:szCs w:val="22"/>
        </w:rPr>
        <w:t xml:space="preserve">, R.W. and </w:t>
      </w:r>
      <w:proofErr w:type="spellStart"/>
      <w:r w:rsidRPr="008D2267">
        <w:rPr>
          <w:rFonts w:ascii="Arial" w:hAnsi="Arial" w:cs="Arial"/>
          <w:color w:val="000000" w:themeColor="text1"/>
          <w:sz w:val="22"/>
          <w:szCs w:val="22"/>
        </w:rPr>
        <w:t>Hanifatul</w:t>
      </w:r>
      <w:proofErr w:type="spellEnd"/>
      <w:r w:rsidRPr="008D2267">
        <w:rPr>
          <w:rFonts w:ascii="Arial" w:hAnsi="Arial" w:cs="Arial"/>
          <w:color w:val="000000" w:themeColor="text1"/>
          <w:sz w:val="22"/>
          <w:szCs w:val="22"/>
        </w:rPr>
        <w:t xml:space="preserve"> </w:t>
      </w:r>
      <w:proofErr w:type="spellStart"/>
      <w:r w:rsidRPr="008D2267">
        <w:rPr>
          <w:rFonts w:ascii="Arial" w:hAnsi="Arial" w:cs="Arial"/>
          <w:color w:val="000000" w:themeColor="text1"/>
          <w:sz w:val="22"/>
          <w:szCs w:val="22"/>
        </w:rPr>
        <w:t>Azizah</w:t>
      </w:r>
      <w:proofErr w:type="spellEnd"/>
      <w:r w:rsidRPr="008D2267">
        <w:rPr>
          <w:rFonts w:ascii="Arial" w:hAnsi="Arial" w:cs="Arial"/>
          <w:color w:val="000000" w:themeColor="text1"/>
          <w:sz w:val="22"/>
          <w:szCs w:val="22"/>
        </w:rPr>
        <w:t xml:space="preserve">, A. (2020). Analysis of Critical Success Factors on ERP Implementation in PT. Toyota Astra Motor Using Extended Information System Success Model. </w:t>
      </w:r>
      <w:r w:rsidRPr="008D2267">
        <w:rPr>
          <w:rFonts w:ascii="Arial" w:hAnsi="Arial" w:cs="Arial"/>
          <w:i/>
          <w:iCs/>
          <w:color w:val="000000" w:themeColor="text1"/>
          <w:sz w:val="22"/>
          <w:szCs w:val="22"/>
        </w:rPr>
        <w:t>2020 3rd International Conference on Mechanical, Electronics, Computer, and Industrial Technology (</w:t>
      </w:r>
      <w:proofErr w:type="spellStart"/>
      <w:r w:rsidRPr="008D2267">
        <w:rPr>
          <w:rFonts w:ascii="Arial" w:hAnsi="Arial" w:cs="Arial"/>
          <w:i/>
          <w:iCs/>
          <w:color w:val="000000" w:themeColor="text1"/>
          <w:sz w:val="22"/>
          <w:szCs w:val="22"/>
        </w:rPr>
        <w:t>MECnIT</w:t>
      </w:r>
      <w:proofErr w:type="spellEnd"/>
      <w:r w:rsidRPr="008D2267">
        <w:rPr>
          <w:rFonts w:ascii="Arial" w:hAnsi="Arial" w:cs="Arial"/>
          <w:i/>
          <w:iCs/>
          <w:color w:val="000000" w:themeColor="text1"/>
          <w:sz w:val="22"/>
          <w:szCs w:val="22"/>
        </w:rPr>
        <w:t>)</w:t>
      </w:r>
      <w:r w:rsidRPr="008D2267">
        <w:rPr>
          <w:rFonts w:ascii="Arial" w:hAnsi="Arial" w:cs="Arial"/>
          <w:color w:val="000000" w:themeColor="text1"/>
          <w:sz w:val="22"/>
          <w:szCs w:val="22"/>
        </w:rPr>
        <w:t>. doi:10.1109/mecnit48290.2020.9166653.</w:t>
      </w:r>
    </w:p>
    <w:p w14:paraId="7870FAD6" w14:textId="77777777" w:rsidR="00164738" w:rsidRPr="008D2267" w:rsidRDefault="00164738" w:rsidP="008D2267">
      <w:pPr>
        <w:pStyle w:val="NormalWeb"/>
        <w:spacing w:before="0" w:beforeAutospacing="0" w:after="240" w:afterAutospacing="0" w:line="480" w:lineRule="auto"/>
        <w:jc w:val="both"/>
        <w:rPr>
          <w:rFonts w:ascii="Arial" w:hAnsi="Arial" w:cs="Arial"/>
          <w:color w:val="000000" w:themeColor="text1"/>
          <w:sz w:val="22"/>
          <w:szCs w:val="22"/>
        </w:rPr>
      </w:pPr>
      <w:proofErr w:type="spellStart"/>
      <w:r w:rsidRPr="008D2267">
        <w:rPr>
          <w:rFonts w:ascii="Arial" w:hAnsi="Arial" w:cs="Arial"/>
          <w:color w:val="000000" w:themeColor="text1"/>
          <w:sz w:val="22"/>
          <w:szCs w:val="22"/>
        </w:rPr>
        <w:t>Mahdy</w:t>
      </w:r>
      <w:proofErr w:type="spellEnd"/>
      <w:r w:rsidRPr="008D2267">
        <w:rPr>
          <w:rFonts w:ascii="Arial" w:hAnsi="Arial" w:cs="Arial"/>
          <w:color w:val="000000" w:themeColor="text1"/>
          <w:sz w:val="22"/>
          <w:szCs w:val="22"/>
        </w:rPr>
        <w:t xml:space="preserve">, F. and Author, C. (2020). </w:t>
      </w:r>
      <w:r w:rsidRPr="008D2267">
        <w:rPr>
          <w:rFonts w:ascii="Arial" w:hAnsi="Arial" w:cs="Arial"/>
          <w:i/>
          <w:iCs/>
          <w:color w:val="000000" w:themeColor="text1"/>
          <w:sz w:val="22"/>
          <w:szCs w:val="22"/>
        </w:rPr>
        <w:t>Virtual Teams and Its Impact on The Competitive Advantage of Companies An analytical study on the research and development department of some international companies</w:t>
      </w:r>
      <w:r w:rsidRPr="008D2267">
        <w:rPr>
          <w:rFonts w:ascii="Arial" w:hAnsi="Arial" w:cs="Arial"/>
          <w:color w:val="000000" w:themeColor="text1"/>
          <w:sz w:val="22"/>
          <w:szCs w:val="22"/>
        </w:rPr>
        <w:t>. [online] Available at: https://www.aijbm.com/wp-content/uploads/2020/09/F393139.pdf.</w:t>
      </w:r>
    </w:p>
    <w:p w14:paraId="1EF39DD0" w14:textId="77777777" w:rsidR="002443E0" w:rsidRPr="008D2267" w:rsidRDefault="002443E0" w:rsidP="008D2267">
      <w:pPr>
        <w:pStyle w:val="NormalWeb"/>
        <w:spacing w:before="0" w:beforeAutospacing="0" w:after="240" w:afterAutospacing="0" w:line="480" w:lineRule="auto"/>
        <w:jc w:val="both"/>
        <w:rPr>
          <w:rFonts w:ascii="Arial" w:hAnsi="Arial" w:cs="Arial"/>
          <w:color w:val="000000" w:themeColor="text1"/>
          <w:sz w:val="22"/>
          <w:szCs w:val="22"/>
        </w:rPr>
      </w:pPr>
      <w:proofErr w:type="spellStart"/>
      <w:r w:rsidRPr="008D2267">
        <w:rPr>
          <w:rFonts w:ascii="Arial" w:hAnsi="Arial" w:cs="Arial"/>
          <w:color w:val="000000" w:themeColor="text1"/>
          <w:sz w:val="22"/>
          <w:szCs w:val="22"/>
        </w:rPr>
        <w:t>Orero</w:t>
      </w:r>
      <w:proofErr w:type="spellEnd"/>
      <w:r w:rsidRPr="008D2267">
        <w:rPr>
          <w:rFonts w:ascii="Arial" w:hAnsi="Arial" w:cs="Arial"/>
          <w:color w:val="000000" w:themeColor="text1"/>
          <w:sz w:val="22"/>
          <w:szCs w:val="22"/>
        </w:rPr>
        <w:t xml:space="preserve">-Blat, M., Palacios-Marqués, D. and Garzón, D. (2020). Knowledge assets for internationalization strategy proposal. </w:t>
      </w:r>
      <w:r w:rsidRPr="008D2267">
        <w:rPr>
          <w:rFonts w:ascii="Arial" w:hAnsi="Arial" w:cs="Arial"/>
          <w:i/>
          <w:iCs/>
          <w:color w:val="000000" w:themeColor="text1"/>
          <w:sz w:val="22"/>
          <w:szCs w:val="22"/>
        </w:rPr>
        <w:t>Journal of Innovation &amp; Knowledge</w:t>
      </w:r>
      <w:r w:rsidRPr="008D2267">
        <w:rPr>
          <w:rFonts w:ascii="Arial" w:hAnsi="Arial" w:cs="Arial"/>
          <w:color w:val="000000" w:themeColor="text1"/>
          <w:sz w:val="22"/>
          <w:szCs w:val="22"/>
        </w:rPr>
        <w:t xml:space="preserve">. </w:t>
      </w:r>
      <w:proofErr w:type="gramStart"/>
      <w:r w:rsidRPr="008D2267">
        <w:rPr>
          <w:rFonts w:ascii="Arial" w:hAnsi="Arial" w:cs="Arial"/>
          <w:color w:val="000000" w:themeColor="text1"/>
          <w:sz w:val="22"/>
          <w:szCs w:val="22"/>
        </w:rPr>
        <w:t>doi:10.1016/j.jik</w:t>
      </w:r>
      <w:proofErr w:type="gramEnd"/>
      <w:r w:rsidRPr="008D2267">
        <w:rPr>
          <w:rFonts w:ascii="Arial" w:hAnsi="Arial" w:cs="Arial"/>
          <w:color w:val="000000" w:themeColor="text1"/>
          <w:sz w:val="22"/>
          <w:szCs w:val="22"/>
        </w:rPr>
        <w:t>.2020.08.002.</w:t>
      </w:r>
    </w:p>
    <w:p w14:paraId="0D01304B" w14:textId="77777777" w:rsidR="002443E0" w:rsidRPr="008D2267" w:rsidRDefault="002443E0"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lastRenderedPageBreak/>
        <w:t xml:space="preserve">Cao, W., Zhang, Y. and Antony, B. (2018). Belt and Road: A New Journey for Foreign Investment -A Case Study of the Internationalization Strategy of BYD. </w:t>
      </w:r>
      <w:r w:rsidRPr="008D2267">
        <w:rPr>
          <w:rFonts w:ascii="Arial" w:hAnsi="Arial" w:cs="Arial"/>
          <w:i/>
          <w:iCs/>
          <w:color w:val="000000" w:themeColor="text1"/>
          <w:sz w:val="22"/>
          <w:szCs w:val="22"/>
        </w:rPr>
        <w:t>Proceedings of the 3rd International Symposium on Asian B&amp;R Conference on International Business Cooperation (ISBCD 2018)</w:t>
      </w:r>
      <w:r w:rsidRPr="008D2267">
        <w:rPr>
          <w:rFonts w:ascii="Arial" w:hAnsi="Arial" w:cs="Arial"/>
          <w:color w:val="000000" w:themeColor="text1"/>
          <w:sz w:val="22"/>
          <w:szCs w:val="22"/>
        </w:rPr>
        <w:t>. [online] doi:10.2991/isbcd-18.2018.18.</w:t>
      </w:r>
    </w:p>
    <w:p w14:paraId="5FFF0481" w14:textId="77777777" w:rsidR="002443E0" w:rsidRPr="008D2267" w:rsidRDefault="002443E0"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Iwata, T. (2020). </w:t>
      </w:r>
      <w:r w:rsidRPr="008D2267">
        <w:rPr>
          <w:rFonts w:ascii="Arial" w:hAnsi="Arial" w:cs="Arial"/>
          <w:i/>
          <w:iCs/>
          <w:color w:val="000000" w:themeColor="text1"/>
          <w:sz w:val="22"/>
          <w:szCs w:val="22"/>
        </w:rPr>
        <w:t>New Asian Approaches to Africa: Rivalries and Collaborations</w:t>
      </w:r>
      <w:r w:rsidRPr="008D2267">
        <w:rPr>
          <w:rFonts w:ascii="Arial" w:hAnsi="Arial" w:cs="Arial"/>
          <w:color w:val="000000" w:themeColor="text1"/>
          <w:sz w:val="22"/>
          <w:szCs w:val="22"/>
        </w:rPr>
        <w:t xml:space="preserve">. [online] </w:t>
      </w:r>
      <w:r w:rsidRPr="008D2267">
        <w:rPr>
          <w:rFonts w:ascii="Arial" w:hAnsi="Arial" w:cs="Arial"/>
          <w:i/>
          <w:iCs/>
          <w:color w:val="000000" w:themeColor="text1"/>
          <w:sz w:val="22"/>
          <w:szCs w:val="22"/>
        </w:rPr>
        <w:t>Google Books</w:t>
      </w:r>
      <w:r w:rsidRPr="008D2267">
        <w:rPr>
          <w:rFonts w:ascii="Arial" w:hAnsi="Arial" w:cs="Arial"/>
          <w:color w:val="000000" w:themeColor="text1"/>
          <w:sz w:val="22"/>
          <w:szCs w:val="22"/>
        </w:rPr>
        <w:t>. Vernon Press. Available at: https://books.google.com/books?hl=en&amp;lr=&amp;id=__-3DwAAQBAJ&amp;oi=fnd&amp;pg=PA211&amp;dq=Internationalization [Accessed 21 Dec. 2022].</w:t>
      </w:r>
    </w:p>
    <w:p w14:paraId="6E4910E7" w14:textId="10F440B4" w:rsidR="002443E0" w:rsidRPr="008D2267" w:rsidRDefault="002443E0" w:rsidP="008D2267">
      <w:pPr>
        <w:pStyle w:val="NormalWeb"/>
        <w:spacing w:before="0" w:beforeAutospacing="0" w:after="240" w:afterAutospacing="0" w:line="480" w:lineRule="auto"/>
        <w:jc w:val="both"/>
        <w:rPr>
          <w:rFonts w:ascii="Arial" w:hAnsi="Arial" w:cs="Arial"/>
          <w:color w:val="000000" w:themeColor="text1"/>
          <w:sz w:val="22"/>
          <w:szCs w:val="22"/>
        </w:rPr>
      </w:pPr>
      <w:proofErr w:type="spellStart"/>
      <w:r w:rsidRPr="008D2267">
        <w:rPr>
          <w:rFonts w:ascii="Arial" w:hAnsi="Arial" w:cs="Arial"/>
          <w:color w:val="000000" w:themeColor="text1"/>
          <w:sz w:val="22"/>
          <w:szCs w:val="22"/>
        </w:rPr>
        <w:t>Mihov</w:t>
      </w:r>
      <w:proofErr w:type="spellEnd"/>
      <w:r w:rsidRPr="008D2267">
        <w:rPr>
          <w:rFonts w:ascii="Arial" w:hAnsi="Arial" w:cs="Arial"/>
          <w:color w:val="000000" w:themeColor="text1"/>
          <w:sz w:val="22"/>
          <w:szCs w:val="22"/>
        </w:rPr>
        <w:t xml:space="preserve">, A. and Naranjo, A. (2019). Corporate internationalization, subsidiary locations, and the cost of equity capital. </w:t>
      </w:r>
      <w:r w:rsidRPr="008D2267">
        <w:rPr>
          <w:rFonts w:ascii="Arial" w:hAnsi="Arial" w:cs="Arial"/>
          <w:i/>
          <w:iCs/>
          <w:color w:val="000000" w:themeColor="text1"/>
          <w:sz w:val="22"/>
          <w:szCs w:val="22"/>
        </w:rPr>
        <w:t>Journal of International Business Studies</w:t>
      </w:r>
      <w:r w:rsidRPr="008D2267">
        <w:rPr>
          <w:rFonts w:ascii="Arial" w:hAnsi="Arial" w:cs="Arial"/>
          <w:color w:val="000000" w:themeColor="text1"/>
          <w:sz w:val="22"/>
          <w:szCs w:val="22"/>
        </w:rPr>
        <w:t>, 50(9), pp.1544–1565. doi:10.1057/s41267-018-00207-3.</w:t>
      </w:r>
    </w:p>
    <w:p w14:paraId="5D2C2911" w14:textId="77777777" w:rsidR="002443E0" w:rsidRPr="008D2267" w:rsidRDefault="002443E0" w:rsidP="008D2267">
      <w:pPr>
        <w:pStyle w:val="NormalWeb"/>
        <w:spacing w:before="0" w:beforeAutospacing="0" w:after="240" w:afterAutospacing="0" w:line="480" w:lineRule="auto"/>
        <w:jc w:val="both"/>
        <w:rPr>
          <w:rFonts w:ascii="Arial" w:hAnsi="Arial" w:cs="Arial"/>
          <w:color w:val="000000" w:themeColor="text1"/>
          <w:sz w:val="22"/>
          <w:szCs w:val="22"/>
        </w:rPr>
      </w:pPr>
      <w:proofErr w:type="spellStart"/>
      <w:r w:rsidRPr="008D2267">
        <w:rPr>
          <w:rFonts w:ascii="Arial" w:hAnsi="Arial" w:cs="Arial"/>
          <w:color w:val="000000" w:themeColor="text1"/>
          <w:sz w:val="22"/>
          <w:szCs w:val="22"/>
        </w:rPr>
        <w:t>Bağış</w:t>
      </w:r>
      <w:proofErr w:type="spellEnd"/>
      <w:r w:rsidRPr="008D2267">
        <w:rPr>
          <w:rFonts w:ascii="Arial" w:hAnsi="Arial" w:cs="Arial"/>
          <w:color w:val="000000" w:themeColor="text1"/>
          <w:sz w:val="22"/>
          <w:szCs w:val="22"/>
        </w:rPr>
        <w:t xml:space="preserve">, M., </w:t>
      </w:r>
      <w:proofErr w:type="spellStart"/>
      <w:r w:rsidRPr="008D2267">
        <w:rPr>
          <w:rFonts w:ascii="Arial" w:hAnsi="Arial" w:cs="Arial"/>
          <w:color w:val="000000" w:themeColor="text1"/>
          <w:sz w:val="22"/>
          <w:szCs w:val="22"/>
        </w:rPr>
        <w:t>Kryeziu</w:t>
      </w:r>
      <w:proofErr w:type="spellEnd"/>
      <w:r w:rsidRPr="008D2267">
        <w:rPr>
          <w:rFonts w:ascii="Arial" w:hAnsi="Arial" w:cs="Arial"/>
          <w:color w:val="000000" w:themeColor="text1"/>
          <w:sz w:val="22"/>
          <w:szCs w:val="22"/>
        </w:rPr>
        <w:t xml:space="preserve">, L., </w:t>
      </w:r>
      <w:proofErr w:type="spellStart"/>
      <w:r w:rsidRPr="008D2267">
        <w:rPr>
          <w:rFonts w:ascii="Arial" w:hAnsi="Arial" w:cs="Arial"/>
          <w:color w:val="000000" w:themeColor="text1"/>
          <w:sz w:val="22"/>
          <w:szCs w:val="22"/>
        </w:rPr>
        <w:t>Akbaba</w:t>
      </w:r>
      <w:proofErr w:type="spellEnd"/>
      <w:r w:rsidRPr="008D2267">
        <w:rPr>
          <w:rFonts w:ascii="Arial" w:hAnsi="Arial" w:cs="Arial"/>
          <w:color w:val="000000" w:themeColor="text1"/>
          <w:sz w:val="22"/>
          <w:szCs w:val="22"/>
        </w:rPr>
        <w:t xml:space="preserve">, Y., </w:t>
      </w:r>
      <w:proofErr w:type="spellStart"/>
      <w:r w:rsidRPr="008D2267">
        <w:rPr>
          <w:rFonts w:ascii="Arial" w:hAnsi="Arial" w:cs="Arial"/>
          <w:color w:val="000000" w:themeColor="text1"/>
          <w:sz w:val="22"/>
          <w:szCs w:val="22"/>
        </w:rPr>
        <w:t>Ramadani</w:t>
      </w:r>
      <w:proofErr w:type="spellEnd"/>
      <w:r w:rsidRPr="008D2267">
        <w:rPr>
          <w:rFonts w:ascii="Arial" w:hAnsi="Arial" w:cs="Arial"/>
          <w:color w:val="000000" w:themeColor="text1"/>
          <w:sz w:val="22"/>
          <w:szCs w:val="22"/>
        </w:rPr>
        <w:t xml:space="preserve">, V., </w:t>
      </w:r>
      <w:proofErr w:type="spellStart"/>
      <w:r w:rsidRPr="008D2267">
        <w:rPr>
          <w:rFonts w:ascii="Arial" w:hAnsi="Arial" w:cs="Arial"/>
          <w:color w:val="000000" w:themeColor="text1"/>
          <w:sz w:val="22"/>
          <w:szCs w:val="22"/>
        </w:rPr>
        <w:t>Karagüzel</w:t>
      </w:r>
      <w:proofErr w:type="spellEnd"/>
      <w:r w:rsidRPr="008D2267">
        <w:rPr>
          <w:rFonts w:ascii="Arial" w:hAnsi="Arial" w:cs="Arial"/>
          <w:color w:val="000000" w:themeColor="text1"/>
          <w:sz w:val="22"/>
          <w:szCs w:val="22"/>
        </w:rPr>
        <w:t xml:space="preserve">, E.S. and </w:t>
      </w:r>
      <w:proofErr w:type="spellStart"/>
      <w:r w:rsidRPr="008D2267">
        <w:rPr>
          <w:rFonts w:ascii="Arial" w:hAnsi="Arial" w:cs="Arial"/>
          <w:color w:val="000000" w:themeColor="text1"/>
          <w:sz w:val="22"/>
          <w:szCs w:val="22"/>
        </w:rPr>
        <w:t>Krasniqi</w:t>
      </w:r>
      <w:proofErr w:type="spellEnd"/>
      <w:r w:rsidRPr="008D2267">
        <w:rPr>
          <w:rFonts w:ascii="Arial" w:hAnsi="Arial" w:cs="Arial"/>
          <w:color w:val="000000" w:themeColor="text1"/>
          <w:sz w:val="22"/>
          <w:szCs w:val="22"/>
        </w:rPr>
        <w:t xml:space="preserve">, B.A. (2022). The micro-foundations of a dynamic technological capability in the automotive industry. </w:t>
      </w:r>
      <w:r w:rsidRPr="008D2267">
        <w:rPr>
          <w:rFonts w:ascii="Arial" w:hAnsi="Arial" w:cs="Arial"/>
          <w:i/>
          <w:iCs/>
          <w:color w:val="000000" w:themeColor="text1"/>
          <w:sz w:val="22"/>
          <w:szCs w:val="22"/>
        </w:rPr>
        <w:t>Technology in Society</w:t>
      </w:r>
      <w:r w:rsidRPr="008D2267">
        <w:rPr>
          <w:rFonts w:ascii="Arial" w:hAnsi="Arial" w:cs="Arial"/>
          <w:color w:val="000000" w:themeColor="text1"/>
          <w:sz w:val="22"/>
          <w:szCs w:val="22"/>
        </w:rPr>
        <w:t xml:space="preserve">, 70, p.102060. </w:t>
      </w:r>
      <w:proofErr w:type="gramStart"/>
      <w:r w:rsidRPr="008D2267">
        <w:rPr>
          <w:rFonts w:ascii="Arial" w:hAnsi="Arial" w:cs="Arial"/>
          <w:color w:val="000000" w:themeColor="text1"/>
          <w:sz w:val="22"/>
          <w:szCs w:val="22"/>
        </w:rPr>
        <w:t>doi:10.1016/j.techsoc</w:t>
      </w:r>
      <w:proofErr w:type="gramEnd"/>
      <w:r w:rsidRPr="008D2267">
        <w:rPr>
          <w:rFonts w:ascii="Arial" w:hAnsi="Arial" w:cs="Arial"/>
          <w:color w:val="000000" w:themeColor="text1"/>
          <w:sz w:val="22"/>
          <w:szCs w:val="22"/>
        </w:rPr>
        <w:t>.2022.102060.</w:t>
      </w:r>
    </w:p>
    <w:p w14:paraId="599DA7D3" w14:textId="77777777" w:rsidR="002443E0" w:rsidRPr="008D2267" w:rsidRDefault="002443E0"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Krishna, A. (2018). Toyota Production System as a Benchmark to Improve Business Productivity. </w:t>
      </w:r>
      <w:r w:rsidRPr="008D2267">
        <w:rPr>
          <w:rFonts w:ascii="Arial" w:hAnsi="Arial" w:cs="Arial"/>
          <w:i/>
          <w:iCs/>
          <w:color w:val="000000" w:themeColor="text1"/>
          <w:sz w:val="22"/>
          <w:szCs w:val="22"/>
        </w:rPr>
        <w:t>International Journal of Innovative Science and Research Technology</w:t>
      </w:r>
      <w:r w:rsidRPr="008D2267">
        <w:rPr>
          <w:rFonts w:ascii="Arial" w:hAnsi="Arial" w:cs="Arial"/>
          <w:color w:val="000000" w:themeColor="text1"/>
          <w:sz w:val="22"/>
          <w:szCs w:val="22"/>
        </w:rPr>
        <w:t>, [online] 3(1). Available at: https://ijisrt.com/wp-content/uploads/2018/01/Toyota-Production-System-As-A-Benchmark-To-Improve-Business-Productivity.pdf.</w:t>
      </w:r>
    </w:p>
    <w:p w14:paraId="30A76947" w14:textId="77777777" w:rsidR="002443E0" w:rsidRPr="008D2267" w:rsidRDefault="002443E0"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Schmidt, G. (2021). Using the Film ‘American Factory’ in the Human Resource Management Skills Classroom. </w:t>
      </w:r>
      <w:r w:rsidRPr="008D2267">
        <w:rPr>
          <w:rFonts w:ascii="Arial" w:hAnsi="Arial" w:cs="Arial"/>
          <w:i/>
          <w:iCs/>
          <w:color w:val="000000" w:themeColor="text1"/>
          <w:sz w:val="22"/>
          <w:szCs w:val="22"/>
        </w:rPr>
        <w:t>Journal of Human Resources Education</w:t>
      </w:r>
      <w:r w:rsidRPr="008D2267">
        <w:rPr>
          <w:rFonts w:ascii="Arial" w:hAnsi="Arial" w:cs="Arial"/>
          <w:color w:val="000000" w:themeColor="text1"/>
          <w:sz w:val="22"/>
          <w:szCs w:val="22"/>
        </w:rPr>
        <w:t>, [online] 15(3/4), pp.21–33. Available at: https://journals.troy.edu/index.php/JHRE/article/view/288.</w:t>
      </w:r>
    </w:p>
    <w:p w14:paraId="7C25028B" w14:textId="77777777" w:rsidR="00A10167" w:rsidRPr="008D2267" w:rsidRDefault="00A10167"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Luo, Y., Zhang, H. and Bu, J. (2019). Developed country MNEs investing in developing economies: Progress and prospect. </w:t>
      </w:r>
      <w:r w:rsidRPr="008D2267">
        <w:rPr>
          <w:rFonts w:ascii="Arial" w:hAnsi="Arial" w:cs="Arial"/>
          <w:i/>
          <w:iCs/>
          <w:color w:val="000000" w:themeColor="text1"/>
          <w:sz w:val="22"/>
          <w:szCs w:val="22"/>
        </w:rPr>
        <w:t>Journal of International Business Studies</w:t>
      </w:r>
      <w:r w:rsidRPr="008D2267">
        <w:rPr>
          <w:rFonts w:ascii="Arial" w:hAnsi="Arial" w:cs="Arial"/>
          <w:color w:val="000000" w:themeColor="text1"/>
          <w:sz w:val="22"/>
          <w:szCs w:val="22"/>
        </w:rPr>
        <w:t>, 50(4), pp.633–667. doi:10.1057/s41267-019-00230-y.</w:t>
      </w:r>
    </w:p>
    <w:p w14:paraId="760FF39A" w14:textId="77777777" w:rsidR="00A10167" w:rsidRPr="008D2267" w:rsidRDefault="00A10167"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lastRenderedPageBreak/>
        <w:t xml:space="preserve">Qi, X., Chan, J.H., Hu, J. and Li, Y. (2020). Motivations for selecting cross-border e-commerce as a foreign market entry mode. </w:t>
      </w:r>
      <w:r w:rsidRPr="008D2267">
        <w:rPr>
          <w:rFonts w:ascii="Arial" w:hAnsi="Arial" w:cs="Arial"/>
          <w:i/>
          <w:iCs/>
          <w:color w:val="000000" w:themeColor="text1"/>
          <w:sz w:val="22"/>
          <w:szCs w:val="22"/>
        </w:rPr>
        <w:t>Industrial Marketing Management</w:t>
      </w:r>
      <w:r w:rsidRPr="008D2267">
        <w:rPr>
          <w:rFonts w:ascii="Arial" w:hAnsi="Arial" w:cs="Arial"/>
          <w:color w:val="000000" w:themeColor="text1"/>
          <w:sz w:val="22"/>
          <w:szCs w:val="22"/>
        </w:rPr>
        <w:t xml:space="preserve">, 89, pp.50–60. </w:t>
      </w:r>
      <w:proofErr w:type="gramStart"/>
      <w:r w:rsidRPr="008D2267">
        <w:rPr>
          <w:rFonts w:ascii="Arial" w:hAnsi="Arial" w:cs="Arial"/>
          <w:color w:val="000000" w:themeColor="text1"/>
          <w:sz w:val="22"/>
          <w:szCs w:val="22"/>
        </w:rPr>
        <w:t>doi:10.1016/j.indmarman</w:t>
      </w:r>
      <w:proofErr w:type="gramEnd"/>
      <w:r w:rsidRPr="008D2267">
        <w:rPr>
          <w:rFonts w:ascii="Arial" w:hAnsi="Arial" w:cs="Arial"/>
          <w:color w:val="000000" w:themeColor="text1"/>
          <w:sz w:val="22"/>
          <w:szCs w:val="22"/>
        </w:rPr>
        <w:t>.2020.01.009.</w:t>
      </w:r>
    </w:p>
    <w:p w14:paraId="331D1CED" w14:textId="77777777" w:rsidR="00A10167" w:rsidRPr="008D2267" w:rsidRDefault="00A10167" w:rsidP="008D2267">
      <w:pPr>
        <w:pStyle w:val="NormalWeb"/>
        <w:spacing w:before="0" w:beforeAutospacing="0" w:after="240" w:afterAutospacing="0" w:line="480" w:lineRule="auto"/>
        <w:jc w:val="both"/>
        <w:rPr>
          <w:rFonts w:ascii="Arial" w:hAnsi="Arial" w:cs="Arial"/>
          <w:color w:val="000000" w:themeColor="text1"/>
          <w:sz w:val="22"/>
          <w:szCs w:val="22"/>
        </w:rPr>
      </w:pPr>
      <w:proofErr w:type="spellStart"/>
      <w:r w:rsidRPr="008D2267">
        <w:rPr>
          <w:rFonts w:ascii="Arial" w:hAnsi="Arial" w:cs="Arial"/>
          <w:color w:val="000000" w:themeColor="text1"/>
          <w:sz w:val="22"/>
          <w:szCs w:val="22"/>
        </w:rPr>
        <w:t>Sestu</w:t>
      </w:r>
      <w:proofErr w:type="spellEnd"/>
      <w:r w:rsidRPr="008D2267">
        <w:rPr>
          <w:rFonts w:ascii="Arial" w:hAnsi="Arial" w:cs="Arial"/>
          <w:color w:val="000000" w:themeColor="text1"/>
          <w:sz w:val="22"/>
          <w:szCs w:val="22"/>
        </w:rPr>
        <w:t xml:space="preserve">, M.C. and </w:t>
      </w:r>
      <w:proofErr w:type="spellStart"/>
      <w:r w:rsidRPr="008D2267">
        <w:rPr>
          <w:rFonts w:ascii="Arial" w:hAnsi="Arial" w:cs="Arial"/>
          <w:color w:val="000000" w:themeColor="text1"/>
          <w:sz w:val="22"/>
          <w:szCs w:val="22"/>
        </w:rPr>
        <w:t>Majocchi</w:t>
      </w:r>
      <w:proofErr w:type="spellEnd"/>
      <w:r w:rsidRPr="008D2267">
        <w:rPr>
          <w:rFonts w:ascii="Arial" w:hAnsi="Arial" w:cs="Arial"/>
          <w:color w:val="000000" w:themeColor="text1"/>
          <w:sz w:val="22"/>
          <w:szCs w:val="22"/>
        </w:rPr>
        <w:t xml:space="preserve">, A. (2018). Family Firms and the Choice Between Wholly Owned Subsidiaries and Joint Ventures: A Transaction Costs Perspective. </w:t>
      </w:r>
      <w:r w:rsidRPr="008D2267">
        <w:rPr>
          <w:rFonts w:ascii="Arial" w:hAnsi="Arial" w:cs="Arial"/>
          <w:i/>
          <w:iCs/>
          <w:color w:val="000000" w:themeColor="text1"/>
          <w:sz w:val="22"/>
          <w:szCs w:val="22"/>
        </w:rPr>
        <w:t>Entrepreneurship Theory and Practice</w:t>
      </w:r>
      <w:r w:rsidRPr="008D2267">
        <w:rPr>
          <w:rFonts w:ascii="Arial" w:hAnsi="Arial" w:cs="Arial"/>
          <w:color w:val="000000" w:themeColor="text1"/>
          <w:sz w:val="22"/>
          <w:szCs w:val="22"/>
        </w:rPr>
        <w:t>, p.104225871879792. doi:10.1177/1042258718797925.</w:t>
      </w:r>
    </w:p>
    <w:p w14:paraId="3BEF4455" w14:textId="77777777" w:rsidR="00A10167" w:rsidRPr="008D2267" w:rsidRDefault="00A10167" w:rsidP="008D2267">
      <w:pPr>
        <w:pStyle w:val="NormalWeb"/>
        <w:spacing w:before="0" w:beforeAutospacing="0" w:after="240" w:afterAutospacing="0" w:line="480" w:lineRule="auto"/>
        <w:jc w:val="both"/>
        <w:rPr>
          <w:rFonts w:ascii="Arial" w:hAnsi="Arial" w:cs="Arial"/>
          <w:color w:val="000000" w:themeColor="text1"/>
          <w:sz w:val="22"/>
          <w:szCs w:val="22"/>
        </w:rPr>
      </w:pPr>
      <w:proofErr w:type="spellStart"/>
      <w:r w:rsidRPr="008D2267">
        <w:rPr>
          <w:rFonts w:ascii="Arial" w:hAnsi="Arial" w:cs="Arial"/>
          <w:color w:val="000000" w:themeColor="text1"/>
          <w:sz w:val="22"/>
          <w:szCs w:val="22"/>
        </w:rPr>
        <w:t>Allera</w:t>
      </w:r>
      <w:proofErr w:type="spellEnd"/>
      <w:r w:rsidRPr="008D2267">
        <w:rPr>
          <w:rFonts w:ascii="Arial" w:hAnsi="Arial" w:cs="Arial"/>
          <w:color w:val="000000" w:themeColor="text1"/>
          <w:sz w:val="22"/>
          <w:szCs w:val="22"/>
        </w:rPr>
        <w:t xml:space="preserve">, G. (2022). </w:t>
      </w:r>
      <w:r w:rsidRPr="008D2267">
        <w:rPr>
          <w:rFonts w:ascii="Arial" w:hAnsi="Arial" w:cs="Arial"/>
          <w:i/>
          <w:iCs/>
          <w:color w:val="000000" w:themeColor="text1"/>
          <w:sz w:val="22"/>
          <w:szCs w:val="22"/>
        </w:rPr>
        <w:t>Similarities and differences of entry strategies of international automotive companies in host developed and developing countries: the case of Toyota in USA, the UK, Indonesia, and China</w:t>
      </w:r>
      <w:r w:rsidRPr="008D2267">
        <w:rPr>
          <w:rFonts w:ascii="Arial" w:hAnsi="Arial" w:cs="Arial"/>
          <w:color w:val="000000" w:themeColor="text1"/>
          <w:sz w:val="22"/>
          <w:szCs w:val="22"/>
        </w:rPr>
        <w:t>. [online] tesi.luiss.it. Available at: https://tesi.luiss.it/id/eprint/34129.</w:t>
      </w:r>
    </w:p>
    <w:p w14:paraId="3F728378" w14:textId="77777777" w:rsidR="00A10167" w:rsidRPr="008D2267" w:rsidRDefault="00A10167"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Kawai, T. (2022). Evaluation of Toyota’s Strategy for Electric Vehicles in Counteracting Platformers —Based on the Theories of Dynamic Managerial Capabilities and Dynamic Platform Strategy—. </w:t>
      </w:r>
      <w:r w:rsidRPr="008D2267">
        <w:rPr>
          <w:rFonts w:ascii="Arial" w:hAnsi="Arial" w:cs="Arial"/>
          <w:i/>
          <w:iCs/>
          <w:color w:val="000000" w:themeColor="text1"/>
          <w:sz w:val="22"/>
          <w:szCs w:val="22"/>
        </w:rPr>
        <w:t>Journal of Strategic Management Studies</w:t>
      </w:r>
      <w:r w:rsidRPr="008D2267">
        <w:rPr>
          <w:rFonts w:ascii="Arial" w:hAnsi="Arial" w:cs="Arial"/>
          <w:color w:val="000000" w:themeColor="text1"/>
          <w:sz w:val="22"/>
          <w:szCs w:val="22"/>
        </w:rPr>
        <w:t>, [online] 14(1), pp.67–87. doi:10.24760/iasme.14.1_67.</w:t>
      </w:r>
    </w:p>
    <w:p w14:paraId="3C5C953B" w14:textId="77777777" w:rsidR="001D2D07" w:rsidRPr="008D2267" w:rsidRDefault="001D2D07"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Soliman, M.H.A. (2020). The Toyota Way to Effective Strategy Deployment: How Organizations Can Focus Energy on Key Priorities Through Hoshin </w:t>
      </w:r>
      <w:proofErr w:type="spellStart"/>
      <w:r w:rsidRPr="008D2267">
        <w:rPr>
          <w:rFonts w:ascii="Arial" w:hAnsi="Arial" w:cs="Arial"/>
          <w:color w:val="000000" w:themeColor="text1"/>
          <w:sz w:val="22"/>
          <w:szCs w:val="22"/>
        </w:rPr>
        <w:t>Kanri</w:t>
      </w:r>
      <w:proofErr w:type="spellEnd"/>
      <w:r w:rsidRPr="008D2267">
        <w:rPr>
          <w:rFonts w:ascii="Arial" w:hAnsi="Arial" w:cs="Arial"/>
          <w:color w:val="000000" w:themeColor="text1"/>
          <w:sz w:val="22"/>
          <w:szCs w:val="22"/>
        </w:rPr>
        <w:t xml:space="preserve"> to Achieve the Business Goals. </w:t>
      </w:r>
      <w:r w:rsidRPr="008D2267">
        <w:rPr>
          <w:rFonts w:ascii="Arial" w:hAnsi="Arial" w:cs="Arial"/>
          <w:i/>
          <w:iCs/>
          <w:color w:val="000000" w:themeColor="text1"/>
          <w:sz w:val="22"/>
          <w:szCs w:val="22"/>
        </w:rPr>
        <w:t>Journal of Operations and Strategic Planning</w:t>
      </w:r>
      <w:r w:rsidRPr="008D2267">
        <w:rPr>
          <w:rFonts w:ascii="Arial" w:hAnsi="Arial" w:cs="Arial"/>
          <w:color w:val="000000" w:themeColor="text1"/>
          <w:sz w:val="22"/>
          <w:szCs w:val="22"/>
        </w:rPr>
        <w:t>, p.2516600X2094654. doi:10.1177/2516600x20946542.</w:t>
      </w:r>
    </w:p>
    <w:p w14:paraId="3512B4EA" w14:textId="77777777" w:rsidR="001D2D07" w:rsidRPr="008D2267" w:rsidRDefault="001D2D07"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Kawai, T. (2020). Evaluation of Toyota’s Strategy for Connected Cars—Based on the Theory of Dynamic Managerial Capabilities—. </w:t>
      </w:r>
      <w:r w:rsidRPr="008D2267">
        <w:rPr>
          <w:rFonts w:ascii="Arial" w:hAnsi="Arial" w:cs="Arial"/>
          <w:i/>
          <w:iCs/>
          <w:color w:val="000000" w:themeColor="text1"/>
          <w:sz w:val="22"/>
          <w:szCs w:val="22"/>
        </w:rPr>
        <w:t>Journal of Strategic Management Studies</w:t>
      </w:r>
      <w:r w:rsidRPr="008D2267">
        <w:rPr>
          <w:rFonts w:ascii="Arial" w:hAnsi="Arial" w:cs="Arial"/>
          <w:color w:val="000000" w:themeColor="text1"/>
          <w:sz w:val="22"/>
          <w:szCs w:val="22"/>
        </w:rPr>
        <w:t>, [online] 12(1), pp.41–57. doi:10.24760/iasme.12.1_41.</w:t>
      </w:r>
    </w:p>
    <w:p w14:paraId="36C2E133" w14:textId="77777777" w:rsidR="001D2D07" w:rsidRPr="008D2267" w:rsidRDefault="001D2D07" w:rsidP="008D2267">
      <w:pPr>
        <w:pStyle w:val="NormalWeb"/>
        <w:spacing w:before="0" w:beforeAutospacing="0" w:after="240" w:afterAutospacing="0" w:line="480" w:lineRule="auto"/>
        <w:jc w:val="both"/>
        <w:rPr>
          <w:rFonts w:ascii="Arial" w:hAnsi="Arial" w:cs="Arial"/>
          <w:color w:val="000000" w:themeColor="text1"/>
          <w:sz w:val="22"/>
          <w:szCs w:val="22"/>
        </w:rPr>
      </w:pPr>
      <w:proofErr w:type="spellStart"/>
      <w:r w:rsidRPr="008D2267">
        <w:rPr>
          <w:rFonts w:ascii="Arial" w:hAnsi="Arial" w:cs="Arial"/>
          <w:color w:val="000000" w:themeColor="text1"/>
          <w:sz w:val="22"/>
          <w:szCs w:val="22"/>
        </w:rPr>
        <w:t>Prasetyo</w:t>
      </w:r>
      <w:proofErr w:type="spellEnd"/>
      <w:r w:rsidRPr="008D2267">
        <w:rPr>
          <w:rFonts w:ascii="Arial" w:hAnsi="Arial" w:cs="Arial"/>
          <w:color w:val="000000" w:themeColor="text1"/>
          <w:sz w:val="22"/>
          <w:szCs w:val="22"/>
        </w:rPr>
        <w:t xml:space="preserve">, S.J., </w:t>
      </w:r>
      <w:proofErr w:type="spellStart"/>
      <w:r w:rsidRPr="008D2267">
        <w:rPr>
          <w:rFonts w:ascii="Arial" w:hAnsi="Arial" w:cs="Arial"/>
          <w:color w:val="000000" w:themeColor="text1"/>
          <w:sz w:val="22"/>
          <w:szCs w:val="22"/>
        </w:rPr>
        <w:t>Lubis</w:t>
      </w:r>
      <w:proofErr w:type="spellEnd"/>
      <w:r w:rsidRPr="008D2267">
        <w:rPr>
          <w:rFonts w:ascii="Arial" w:hAnsi="Arial" w:cs="Arial"/>
          <w:color w:val="000000" w:themeColor="text1"/>
          <w:sz w:val="22"/>
          <w:szCs w:val="22"/>
        </w:rPr>
        <w:t xml:space="preserve">, M., </w:t>
      </w:r>
      <w:proofErr w:type="spellStart"/>
      <w:r w:rsidRPr="008D2267">
        <w:rPr>
          <w:rFonts w:ascii="Arial" w:hAnsi="Arial" w:cs="Arial"/>
          <w:color w:val="000000" w:themeColor="text1"/>
          <w:sz w:val="22"/>
          <w:szCs w:val="22"/>
        </w:rPr>
        <w:t>Witjaksono</w:t>
      </w:r>
      <w:proofErr w:type="spellEnd"/>
      <w:r w:rsidRPr="008D2267">
        <w:rPr>
          <w:rFonts w:ascii="Arial" w:hAnsi="Arial" w:cs="Arial"/>
          <w:color w:val="000000" w:themeColor="text1"/>
          <w:sz w:val="22"/>
          <w:szCs w:val="22"/>
        </w:rPr>
        <w:t xml:space="preserve">, R.W. and </w:t>
      </w:r>
      <w:proofErr w:type="spellStart"/>
      <w:r w:rsidRPr="008D2267">
        <w:rPr>
          <w:rFonts w:ascii="Arial" w:hAnsi="Arial" w:cs="Arial"/>
          <w:color w:val="000000" w:themeColor="text1"/>
          <w:sz w:val="22"/>
          <w:szCs w:val="22"/>
        </w:rPr>
        <w:t>Azizah</w:t>
      </w:r>
      <w:proofErr w:type="spellEnd"/>
      <w:r w:rsidRPr="008D2267">
        <w:rPr>
          <w:rFonts w:ascii="Arial" w:hAnsi="Arial" w:cs="Arial"/>
          <w:color w:val="000000" w:themeColor="text1"/>
          <w:sz w:val="22"/>
          <w:szCs w:val="22"/>
        </w:rPr>
        <w:t xml:space="preserve">, A.H. (2019). </w:t>
      </w:r>
      <w:r w:rsidRPr="008D2267">
        <w:rPr>
          <w:rFonts w:ascii="Arial" w:hAnsi="Arial" w:cs="Arial"/>
          <w:i/>
          <w:iCs/>
          <w:color w:val="000000" w:themeColor="text1"/>
          <w:sz w:val="22"/>
          <w:szCs w:val="22"/>
        </w:rPr>
        <w:t xml:space="preserve">Critical Failure Factors in Enterprise Resource Planning (ERP) Implementation: Case Study of </w:t>
      </w:r>
      <w:proofErr w:type="spellStart"/>
      <w:proofErr w:type="gramStart"/>
      <w:r w:rsidRPr="008D2267">
        <w:rPr>
          <w:rFonts w:ascii="Arial" w:hAnsi="Arial" w:cs="Arial"/>
          <w:i/>
          <w:iCs/>
          <w:color w:val="000000" w:themeColor="text1"/>
          <w:sz w:val="22"/>
          <w:szCs w:val="22"/>
        </w:rPr>
        <w:t>PT.Toyota</w:t>
      </w:r>
      <w:proofErr w:type="spellEnd"/>
      <w:proofErr w:type="gramEnd"/>
      <w:r w:rsidRPr="008D2267">
        <w:rPr>
          <w:rFonts w:ascii="Arial" w:hAnsi="Arial" w:cs="Arial"/>
          <w:i/>
          <w:iCs/>
          <w:color w:val="000000" w:themeColor="text1"/>
          <w:sz w:val="22"/>
          <w:szCs w:val="22"/>
        </w:rPr>
        <w:t xml:space="preserve"> Astra Motor Indonesia</w:t>
      </w:r>
      <w:r w:rsidRPr="008D2267">
        <w:rPr>
          <w:rFonts w:ascii="Arial" w:hAnsi="Arial" w:cs="Arial"/>
          <w:color w:val="000000" w:themeColor="text1"/>
          <w:sz w:val="22"/>
          <w:szCs w:val="22"/>
        </w:rPr>
        <w:t>. [online] IEEE Xplore. doi:10.1109/ICIC47613.2019.8985720.</w:t>
      </w:r>
    </w:p>
    <w:p w14:paraId="0FF25694" w14:textId="77777777" w:rsidR="001D2D07" w:rsidRPr="008D2267" w:rsidRDefault="001D2D07"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lastRenderedPageBreak/>
        <w:t>Blake, D.J., Markus, S. and Martinez</w:t>
      </w:r>
      <w:r w:rsidRPr="008D2267">
        <w:rPr>
          <w:rFonts w:ascii="Cambria Math" w:hAnsi="Cambria Math" w:cs="Cambria Math"/>
          <w:color w:val="000000" w:themeColor="text1"/>
          <w:sz w:val="22"/>
          <w:szCs w:val="22"/>
        </w:rPr>
        <w:t>‐</w:t>
      </w:r>
      <w:r w:rsidRPr="008D2267">
        <w:rPr>
          <w:rFonts w:ascii="Arial" w:hAnsi="Arial" w:cs="Arial"/>
          <w:color w:val="000000" w:themeColor="text1"/>
          <w:sz w:val="22"/>
          <w:szCs w:val="22"/>
        </w:rPr>
        <w:t xml:space="preserve">Suarez, J. (2022). Populist Syndrome and Nonmarket Strategy. </w:t>
      </w:r>
      <w:r w:rsidRPr="008D2267">
        <w:rPr>
          <w:rFonts w:ascii="Arial" w:hAnsi="Arial" w:cs="Arial"/>
          <w:i/>
          <w:iCs/>
          <w:color w:val="000000" w:themeColor="text1"/>
          <w:sz w:val="22"/>
          <w:szCs w:val="22"/>
        </w:rPr>
        <w:t>Journal of Management Studies</w:t>
      </w:r>
      <w:r w:rsidRPr="008D2267">
        <w:rPr>
          <w:rFonts w:ascii="Arial" w:hAnsi="Arial" w:cs="Arial"/>
          <w:color w:val="000000" w:themeColor="text1"/>
          <w:sz w:val="22"/>
          <w:szCs w:val="22"/>
        </w:rPr>
        <w:t>. doi:10.1111/joms.12859.</w:t>
      </w:r>
    </w:p>
    <w:p w14:paraId="40D5F122" w14:textId="77777777" w:rsidR="001D2D07" w:rsidRPr="008D2267" w:rsidRDefault="001D2D07" w:rsidP="008D2267">
      <w:pPr>
        <w:pStyle w:val="NormalWeb"/>
        <w:spacing w:before="0" w:beforeAutospacing="0" w:after="240" w:afterAutospacing="0" w:line="480" w:lineRule="auto"/>
        <w:jc w:val="both"/>
        <w:rPr>
          <w:rFonts w:ascii="Arial" w:hAnsi="Arial" w:cs="Arial"/>
          <w:color w:val="000000" w:themeColor="text1"/>
          <w:sz w:val="22"/>
          <w:szCs w:val="22"/>
        </w:rPr>
      </w:pPr>
      <w:r w:rsidRPr="008D2267">
        <w:rPr>
          <w:rFonts w:ascii="Arial" w:hAnsi="Arial" w:cs="Arial"/>
          <w:color w:val="000000" w:themeColor="text1"/>
          <w:sz w:val="22"/>
          <w:szCs w:val="22"/>
        </w:rPr>
        <w:t xml:space="preserve">Sun, P., Doh, J.P., </w:t>
      </w:r>
      <w:proofErr w:type="spellStart"/>
      <w:r w:rsidRPr="008D2267">
        <w:rPr>
          <w:rFonts w:ascii="Arial" w:hAnsi="Arial" w:cs="Arial"/>
          <w:color w:val="000000" w:themeColor="text1"/>
          <w:sz w:val="22"/>
          <w:szCs w:val="22"/>
        </w:rPr>
        <w:t>Rajwani</w:t>
      </w:r>
      <w:proofErr w:type="spellEnd"/>
      <w:r w:rsidRPr="008D2267">
        <w:rPr>
          <w:rFonts w:ascii="Arial" w:hAnsi="Arial" w:cs="Arial"/>
          <w:color w:val="000000" w:themeColor="text1"/>
          <w:sz w:val="22"/>
          <w:szCs w:val="22"/>
        </w:rPr>
        <w:t xml:space="preserve">, T. and Siegel, D. (2021). Navigating cross-border institutional complexity: A review and assessment of multinational nonmarket strategy research. </w:t>
      </w:r>
      <w:r w:rsidRPr="008D2267">
        <w:rPr>
          <w:rFonts w:ascii="Arial" w:hAnsi="Arial" w:cs="Arial"/>
          <w:i/>
          <w:iCs/>
          <w:color w:val="000000" w:themeColor="text1"/>
          <w:sz w:val="22"/>
          <w:szCs w:val="22"/>
        </w:rPr>
        <w:t>Journal of International Business Studies</w:t>
      </w:r>
      <w:r w:rsidRPr="008D2267">
        <w:rPr>
          <w:rFonts w:ascii="Arial" w:hAnsi="Arial" w:cs="Arial"/>
          <w:color w:val="000000" w:themeColor="text1"/>
          <w:sz w:val="22"/>
          <w:szCs w:val="22"/>
        </w:rPr>
        <w:t>, 52(9), pp.1818–1853. doi:10.1057/s41267-021-00438-x.</w:t>
      </w:r>
    </w:p>
    <w:p w14:paraId="38DCB3CE" w14:textId="6BDC39FB" w:rsidR="008D2267" w:rsidRPr="008D2267" w:rsidRDefault="001D2D07" w:rsidP="008D2267">
      <w:pPr>
        <w:pStyle w:val="NormalWeb"/>
        <w:spacing w:before="0" w:beforeAutospacing="0" w:after="240" w:afterAutospacing="0" w:line="480" w:lineRule="auto"/>
        <w:jc w:val="both"/>
        <w:rPr>
          <w:rFonts w:ascii="Arial" w:hAnsi="Arial" w:cs="Arial"/>
          <w:color w:val="000000" w:themeColor="text1"/>
          <w:sz w:val="22"/>
          <w:szCs w:val="22"/>
        </w:rPr>
      </w:pPr>
      <w:proofErr w:type="spellStart"/>
      <w:r w:rsidRPr="008D2267">
        <w:rPr>
          <w:rFonts w:ascii="Arial" w:hAnsi="Arial" w:cs="Arial"/>
          <w:color w:val="000000" w:themeColor="text1"/>
          <w:sz w:val="22"/>
          <w:szCs w:val="22"/>
        </w:rPr>
        <w:t>Emeagwali</w:t>
      </w:r>
      <w:proofErr w:type="spellEnd"/>
      <w:r w:rsidRPr="008D2267">
        <w:rPr>
          <w:rFonts w:ascii="Arial" w:hAnsi="Arial" w:cs="Arial"/>
          <w:color w:val="000000" w:themeColor="text1"/>
          <w:sz w:val="22"/>
          <w:szCs w:val="22"/>
        </w:rPr>
        <w:t xml:space="preserve">, O.L. and </w:t>
      </w:r>
      <w:proofErr w:type="spellStart"/>
      <w:r w:rsidRPr="008D2267">
        <w:rPr>
          <w:rFonts w:ascii="Arial" w:hAnsi="Arial" w:cs="Arial"/>
          <w:color w:val="000000" w:themeColor="text1"/>
          <w:sz w:val="22"/>
          <w:szCs w:val="22"/>
        </w:rPr>
        <w:t>Aljuhamni</w:t>
      </w:r>
      <w:proofErr w:type="spellEnd"/>
      <w:r w:rsidRPr="008D2267">
        <w:rPr>
          <w:rFonts w:ascii="Arial" w:hAnsi="Arial" w:cs="Arial"/>
          <w:color w:val="000000" w:themeColor="text1"/>
          <w:sz w:val="22"/>
          <w:szCs w:val="22"/>
        </w:rPr>
        <w:t xml:space="preserve">, H.Y. (2019). </w:t>
      </w:r>
      <w:r w:rsidRPr="008D2267">
        <w:rPr>
          <w:rFonts w:ascii="Arial" w:hAnsi="Arial" w:cs="Arial"/>
          <w:i/>
          <w:iCs/>
          <w:color w:val="000000" w:themeColor="text1"/>
          <w:sz w:val="22"/>
          <w:szCs w:val="22"/>
        </w:rPr>
        <w:t xml:space="preserve">Strategic Management: </w:t>
      </w:r>
      <w:proofErr w:type="gramStart"/>
      <w:r w:rsidRPr="008D2267">
        <w:rPr>
          <w:rFonts w:ascii="Arial" w:hAnsi="Arial" w:cs="Arial"/>
          <w:i/>
          <w:iCs/>
          <w:color w:val="000000" w:themeColor="text1"/>
          <w:sz w:val="22"/>
          <w:szCs w:val="22"/>
        </w:rPr>
        <w:t>a</w:t>
      </w:r>
      <w:proofErr w:type="gramEnd"/>
      <w:r w:rsidRPr="008D2267">
        <w:rPr>
          <w:rFonts w:ascii="Arial" w:hAnsi="Arial" w:cs="Arial"/>
          <w:i/>
          <w:iCs/>
          <w:color w:val="000000" w:themeColor="text1"/>
          <w:sz w:val="22"/>
          <w:szCs w:val="22"/>
        </w:rPr>
        <w:t xml:space="preserve"> Dynamic View</w:t>
      </w:r>
      <w:r w:rsidRPr="008D2267">
        <w:rPr>
          <w:rFonts w:ascii="Arial" w:hAnsi="Arial" w:cs="Arial"/>
          <w:color w:val="000000" w:themeColor="text1"/>
          <w:sz w:val="22"/>
          <w:szCs w:val="22"/>
        </w:rPr>
        <w:t xml:space="preserve">. [online] </w:t>
      </w:r>
      <w:r w:rsidRPr="008D2267">
        <w:rPr>
          <w:rFonts w:ascii="Arial" w:hAnsi="Arial" w:cs="Arial"/>
          <w:i/>
          <w:iCs/>
          <w:color w:val="000000" w:themeColor="text1"/>
          <w:sz w:val="22"/>
          <w:szCs w:val="22"/>
        </w:rPr>
        <w:t>Google Books</w:t>
      </w:r>
      <w:r w:rsidRPr="008D2267">
        <w:rPr>
          <w:rFonts w:ascii="Arial" w:hAnsi="Arial" w:cs="Arial"/>
          <w:color w:val="000000" w:themeColor="text1"/>
          <w:sz w:val="22"/>
          <w:szCs w:val="22"/>
        </w:rPr>
        <w:t xml:space="preserve">. </w:t>
      </w:r>
      <w:proofErr w:type="spellStart"/>
      <w:r w:rsidRPr="008D2267">
        <w:rPr>
          <w:rFonts w:ascii="Arial" w:hAnsi="Arial" w:cs="Arial"/>
          <w:color w:val="000000" w:themeColor="text1"/>
          <w:sz w:val="22"/>
          <w:szCs w:val="22"/>
        </w:rPr>
        <w:t>BoD</w:t>
      </w:r>
      <w:proofErr w:type="spellEnd"/>
      <w:r w:rsidRPr="008D2267">
        <w:rPr>
          <w:rFonts w:ascii="Arial" w:hAnsi="Arial" w:cs="Arial"/>
          <w:color w:val="000000" w:themeColor="text1"/>
          <w:sz w:val="22"/>
          <w:szCs w:val="22"/>
        </w:rPr>
        <w:t xml:space="preserve"> – Books on Demand. Available at: https://books.google.com/books?hl=en&amp;lr=&amp;id=_zj8DwAAQBAJ&amp;oi=fnd&amp;pg=PA61&amp;dq=Moves+and+strategy+made+by+Toyota+in+terms+of+Country+Risk&amp;ots=H7DPUMEbYy&amp;sig=CVy6CksREE2So3eUqqFLS7CUSzU [Accessed 21 Dec. 2022].</w:t>
      </w:r>
    </w:p>
    <w:p w14:paraId="7AA955FB" w14:textId="77777777" w:rsidR="008D2267" w:rsidRPr="008D2267" w:rsidRDefault="008D2267" w:rsidP="008D2267">
      <w:pPr>
        <w:spacing w:line="480" w:lineRule="auto"/>
        <w:jc w:val="both"/>
        <w:rPr>
          <w:rFonts w:ascii="Arial" w:eastAsia="Times New Roman" w:hAnsi="Arial" w:cs="Arial"/>
          <w:color w:val="000000" w:themeColor="text1"/>
          <w:sz w:val="22"/>
          <w:szCs w:val="22"/>
          <w:lang w:bidi="ar-SA"/>
        </w:rPr>
      </w:pPr>
      <w:r w:rsidRPr="008D2267">
        <w:rPr>
          <w:rFonts w:ascii="Arial" w:hAnsi="Arial" w:cs="Arial"/>
          <w:color w:val="000000" w:themeColor="text1"/>
          <w:sz w:val="22"/>
          <w:szCs w:val="22"/>
        </w:rPr>
        <w:br w:type="page"/>
      </w:r>
    </w:p>
    <w:p w14:paraId="6CB4B6F8" w14:textId="255B495F" w:rsidR="001D2D07" w:rsidRPr="008D2267" w:rsidRDefault="008D2267" w:rsidP="008D2267">
      <w:pPr>
        <w:pStyle w:val="Heading1"/>
        <w:spacing w:line="480" w:lineRule="auto"/>
        <w:jc w:val="both"/>
        <w:rPr>
          <w:rFonts w:ascii="Arial" w:hAnsi="Arial" w:cs="Arial"/>
          <w:sz w:val="22"/>
          <w:szCs w:val="22"/>
        </w:rPr>
      </w:pPr>
      <w:bookmarkStart w:id="9" w:name="_Toc122543602"/>
      <w:r w:rsidRPr="008D2267">
        <w:rPr>
          <w:rFonts w:ascii="Arial" w:hAnsi="Arial" w:cs="Arial"/>
          <w:sz w:val="22"/>
          <w:szCs w:val="22"/>
        </w:rPr>
        <w:lastRenderedPageBreak/>
        <w:t>Appendices</w:t>
      </w:r>
      <w:bookmarkEnd w:id="9"/>
      <w:r w:rsidRPr="008D2267">
        <w:rPr>
          <w:rFonts w:ascii="Arial" w:hAnsi="Arial" w:cs="Arial"/>
          <w:sz w:val="22"/>
          <w:szCs w:val="22"/>
        </w:rPr>
        <w:t xml:space="preserve"> </w:t>
      </w:r>
    </w:p>
    <w:p w14:paraId="6D078D2E" w14:textId="6F4E2EB2" w:rsidR="00164738" w:rsidRPr="008D2267" w:rsidRDefault="008D2267" w:rsidP="008D2267">
      <w:pPr>
        <w:spacing w:line="480" w:lineRule="auto"/>
        <w:jc w:val="both"/>
        <w:rPr>
          <w:rFonts w:ascii="Arial" w:hAnsi="Arial" w:cs="Arial"/>
          <w:color w:val="000000" w:themeColor="text1"/>
          <w:sz w:val="22"/>
          <w:szCs w:val="22"/>
        </w:rPr>
      </w:pPr>
      <w:r w:rsidRPr="008D2267">
        <w:rPr>
          <w:rFonts w:ascii="Arial" w:hAnsi="Arial" w:cs="Arial"/>
          <w:noProof/>
          <w:color w:val="000000" w:themeColor="text1"/>
          <w:sz w:val="22"/>
          <w:szCs w:val="22"/>
        </w:rPr>
        <w:drawing>
          <wp:inline distT="0" distB="0" distL="0" distR="0" wp14:anchorId="10341C9F" wp14:editId="3A3AC166">
            <wp:extent cx="3274828" cy="2730773"/>
            <wp:effectExtent l="0" t="0" r="1905" b="0"/>
            <wp:docPr id="3" name="Picture 3" descr="Strategies of Internationalization: An Overview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es of Internationalization: An Overview | SpringerLin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9056" cy="2750976"/>
                    </a:xfrm>
                    <a:prstGeom prst="rect">
                      <a:avLst/>
                    </a:prstGeom>
                    <a:noFill/>
                    <a:ln>
                      <a:noFill/>
                    </a:ln>
                  </pic:spPr>
                </pic:pic>
              </a:graphicData>
            </a:graphic>
          </wp:inline>
        </w:drawing>
      </w:r>
    </w:p>
    <w:p w14:paraId="1C020930" w14:textId="1527487D" w:rsidR="008D2267" w:rsidRPr="008D2267" w:rsidRDefault="008D2267" w:rsidP="008D2267">
      <w:pPr>
        <w:spacing w:line="480" w:lineRule="auto"/>
        <w:jc w:val="both"/>
        <w:rPr>
          <w:rFonts w:ascii="Arial" w:hAnsi="Arial" w:cs="Arial"/>
          <w:color w:val="000000" w:themeColor="text1"/>
          <w:sz w:val="22"/>
          <w:szCs w:val="22"/>
        </w:rPr>
      </w:pPr>
      <w:r w:rsidRPr="008D2267">
        <w:rPr>
          <w:rFonts w:ascii="Arial" w:hAnsi="Arial" w:cs="Arial"/>
          <w:noProof/>
          <w:color w:val="000000" w:themeColor="text1"/>
          <w:sz w:val="22"/>
          <w:szCs w:val="22"/>
        </w:rPr>
        <w:drawing>
          <wp:inline distT="0" distB="0" distL="0" distR="0" wp14:anchorId="1F1492EB" wp14:editId="7354FAFD">
            <wp:extent cx="5082363" cy="2930191"/>
            <wp:effectExtent l="0" t="0" r="4445" b="3810"/>
            <wp:docPr id="4" name="Picture 4" descr="MODE OF ENTRY INTO INTERNATIONAL BUSINESS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E OF ENTRY INTO INTERNATIONAL BUSINESS 1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3415" cy="2936563"/>
                    </a:xfrm>
                    <a:prstGeom prst="rect">
                      <a:avLst/>
                    </a:prstGeom>
                    <a:noFill/>
                    <a:ln>
                      <a:noFill/>
                    </a:ln>
                  </pic:spPr>
                </pic:pic>
              </a:graphicData>
            </a:graphic>
          </wp:inline>
        </w:drawing>
      </w:r>
    </w:p>
    <w:sectPr w:rsidR="008D2267" w:rsidRPr="008D2267" w:rsidSect="00F3627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ADFAF" w14:textId="77777777" w:rsidR="002304B4" w:rsidRDefault="002304B4" w:rsidP="00F36278">
      <w:pPr>
        <w:spacing w:after="0" w:line="240" w:lineRule="auto"/>
      </w:pPr>
      <w:r>
        <w:separator/>
      </w:r>
    </w:p>
  </w:endnote>
  <w:endnote w:type="continuationSeparator" w:id="0">
    <w:p w14:paraId="04519E87" w14:textId="77777777" w:rsidR="002304B4" w:rsidRDefault="002304B4" w:rsidP="00F36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altName w:val="Leelawadee UI"/>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477465"/>
      <w:docPartObj>
        <w:docPartGallery w:val="Page Numbers (Bottom of Page)"/>
        <w:docPartUnique/>
      </w:docPartObj>
    </w:sdtPr>
    <w:sdtEndPr>
      <w:rPr>
        <w:noProof/>
      </w:rPr>
    </w:sdtEndPr>
    <w:sdtContent>
      <w:p w14:paraId="19B7A362" w14:textId="67B631DD" w:rsidR="00F36278" w:rsidRDefault="00F362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654AF2" w14:textId="77777777" w:rsidR="00F36278" w:rsidRDefault="00F36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A6DB6" w14:textId="77777777" w:rsidR="002304B4" w:rsidRDefault="002304B4" w:rsidP="00F36278">
      <w:pPr>
        <w:spacing w:after="0" w:line="240" w:lineRule="auto"/>
      </w:pPr>
      <w:r>
        <w:separator/>
      </w:r>
    </w:p>
  </w:footnote>
  <w:footnote w:type="continuationSeparator" w:id="0">
    <w:p w14:paraId="7A2F1E3B" w14:textId="77777777" w:rsidR="002304B4" w:rsidRDefault="002304B4" w:rsidP="00F362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AE0"/>
    <w:rsid w:val="00135C9E"/>
    <w:rsid w:val="001613DA"/>
    <w:rsid w:val="00164738"/>
    <w:rsid w:val="0019498A"/>
    <w:rsid w:val="001D2D07"/>
    <w:rsid w:val="002108F3"/>
    <w:rsid w:val="002304B4"/>
    <w:rsid w:val="002443E0"/>
    <w:rsid w:val="00333A45"/>
    <w:rsid w:val="00393805"/>
    <w:rsid w:val="003A04FF"/>
    <w:rsid w:val="00461FCF"/>
    <w:rsid w:val="00470C30"/>
    <w:rsid w:val="004D2B6B"/>
    <w:rsid w:val="0051678D"/>
    <w:rsid w:val="00531DE3"/>
    <w:rsid w:val="00607C2B"/>
    <w:rsid w:val="00633AE0"/>
    <w:rsid w:val="00683F61"/>
    <w:rsid w:val="006D231C"/>
    <w:rsid w:val="0070329D"/>
    <w:rsid w:val="008808EB"/>
    <w:rsid w:val="008D2267"/>
    <w:rsid w:val="00967753"/>
    <w:rsid w:val="009D58BB"/>
    <w:rsid w:val="00A10167"/>
    <w:rsid w:val="00A20FC0"/>
    <w:rsid w:val="00B7170B"/>
    <w:rsid w:val="00B820CA"/>
    <w:rsid w:val="00BB6526"/>
    <w:rsid w:val="00C72DB2"/>
    <w:rsid w:val="00EA4C04"/>
    <w:rsid w:val="00EB6143"/>
    <w:rsid w:val="00F12E95"/>
    <w:rsid w:val="00F33793"/>
    <w:rsid w:val="00F36278"/>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4A92E"/>
  <w15:chartTrackingRefBased/>
  <w15:docId w15:val="{4720D037-CFF7-4A36-84F0-2DC760F33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C04"/>
    <w:rPr>
      <w:rFonts w:ascii="Times New Roman" w:hAnsi="Times New Roman"/>
      <w:sz w:val="24"/>
    </w:rPr>
  </w:style>
  <w:style w:type="paragraph" w:styleId="Heading1">
    <w:name w:val="heading 1"/>
    <w:basedOn w:val="Normal"/>
    <w:next w:val="Normal"/>
    <w:link w:val="Heading1Char"/>
    <w:uiPriority w:val="9"/>
    <w:qFormat/>
    <w:rsid w:val="0070329D"/>
    <w:pPr>
      <w:keepNext/>
      <w:keepLines/>
      <w:spacing w:before="240" w:after="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683F61"/>
    <w:pPr>
      <w:keepNext/>
      <w:keepLines/>
      <w:spacing w:before="40" w:after="0"/>
      <w:outlineLvl w:val="1"/>
    </w:pPr>
    <w:rPr>
      <w:rFonts w:eastAsiaTheme="majorEastAsia" w:cstheme="majorBidi"/>
      <w:b/>
      <w:color w:val="000000" w:themeColor="text1"/>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29D"/>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683F61"/>
    <w:rPr>
      <w:rFonts w:ascii="Times New Roman" w:eastAsiaTheme="majorEastAsia" w:hAnsi="Times New Roman" w:cstheme="majorBidi"/>
      <w:b/>
      <w:color w:val="000000" w:themeColor="text1"/>
      <w:sz w:val="24"/>
      <w:szCs w:val="33"/>
    </w:rPr>
  </w:style>
  <w:style w:type="paragraph" w:styleId="ListParagraph">
    <w:name w:val="List Paragraph"/>
    <w:basedOn w:val="Normal"/>
    <w:uiPriority w:val="34"/>
    <w:qFormat/>
    <w:rsid w:val="001613DA"/>
    <w:pPr>
      <w:ind w:left="720"/>
      <w:contextualSpacing/>
    </w:pPr>
  </w:style>
  <w:style w:type="paragraph" w:styleId="NormalWeb">
    <w:name w:val="Normal (Web)"/>
    <w:basedOn w:val="Normal"/>
    <w:uiPriority w:val="99"/>
    <w:semiHidden/>
    <w:unhideWhenUsed/>
    <w:rsid w:val="00164738"/>
    <w:pPr>
      <w:spacing w:before="100" w:beforeAutospacing="1" w:after="100" w:afterAutospacing="1" w:line="240" w:lineRule="auto"/>
    </w:pPr>
    <w:rPr>
      <w:rFonts w:eastAsia="Times New Roman" w:cs="Times New Roman"/>
      <w:szCs w:val="24"/>
      <w:lang w:bidi="ar-SA"/>
    </w:rPr>
  </w:style>
  <w:style w:type="paragraph" w:styleId="Header">
    <w:name w:val="header"/>
    <w:basedOn w:val="Normal"/>
    <w:link w:val="HeaderChar"/>
    <w:uiPriority w:val="99"/>
    <w:unhideWhenUsed/>
    <w:rsid w:val="00F362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6278"/>
    <w:rPr>
      <w:rFonts w:ascii="Times New Roman" w:hAnsi="Times New Roman"/>
      <w:sz w:val="24"/>
    </w:rPr>
  </w:style>
  <w:style w:type="paragraph" w:styleId="Footer">
    <w:name w:val="footer"/>
    <w:basedOn w:val="Normal"/>
    <w:link w:val="FooterChar"/>
    <w:uiPriority w:val="99"/>
    <w:unhideWhenUsed/>
    <w:rsid w:val="00F362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278"/>
    <w:rPr>
      <w:rFonts w:ascii="Times New Roman" w:hAnsi="Times New Roman"/>
      <w:sz w:val="24"/>
    </w:rPr>
  </w:style>
  <w:style w:type="paragraph" w:styleId="TOCHeading">
    <w:name w:val="TOC Heading"/>
    <w:basedOn w:val="Heading1"/>
    <w:next w:val="Normal"/>
    <w:uiPriority w:val="39"/>
    <w:unhideWhenUsed/>
    <w:qFormat/>
    <w:rsid w:val="00F36278"/>
    <w:pPr>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F36278"/>
    <w:pPr>
      <w:spacing w:after="100"/>
    </w:pPr>
  </w:style>
  <w:style w:type="paragraph" w:styleId="TOC2">
    <w:name w:val="toc 2"/>
    <w:basedOn w:val="Normal"/>
    <w:next w:val="Normal"/>
    <w:autoRedefine/>
    <w:uiPriority w:val="39"/>
    <w:unhideWhenUsed/>
    <w:rsid w:val="00F36278"/>
    <w:pPr>
      <w:spacing w:after="100"/>
      <w:ind w:left="240"/>
    </w:pPr>
  </w:style>
  <w:style w:type="character" w:styleId="Hyperlink">
    <w:name w:val="Hyperlink"/>
    <w:basedOn w:val="DefaultParagraphFont"/>
    <w:uiPriority w:val="99"/>
    <w:unhideWhenUsed/>
    <w:rsid w:val="00F362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9418">
      <w:bodyDiv w:val="1"/>
      <w:marLeft w:val="0"/>
      <w:marRight w:val="0"/>
      <w:marTop w:val="0"/>
      <w:marBottom w:val="0"/>
      <w:divBdr>
        <w:top w:val="none" w:sz="0" w:space="0" w:color="auto"/>
        <w:left w:val="none" w:sz="0" w:space="0" w:color="auto"/>
        <w:bottom w:val="none" w:sz="0" w:space="0" w:color="auto"/>
        <w:right w:val="none" w:sz="0" w:space="0" w:color="auto"/>
      </w:divBdr>
      <w:divsChild>
        <w:div w:id="1375076405">
          <w:marLeft w:val="0"/>
          <w:marRight w:val="0"/>
          <w:marTop w:val="0"/>
          <w:marBottom w:val="0"/>
          <w:divBdr>
            <w:top w:val="none" w:sz="0" w:space="0" w:color="auto"/>
            <w:left w:val="none" w:sz="0" w:space="0" w:color="auto"/>
            <w:bottom w:val="none" w:sz="0" w:space="0" w:color="auto"/>
            <w:right w:val="none" w:sz="0" w:space="0" w:color="auto"/>
          </w:divBdr>
        </w:div>
      </w:divsChild>
    </w:div>
    <w:div w:id="33625742">
      <w:bodyDiv w:val="1"/>
      <w:marLeft w:val="0"/>
      <w:marRight w:val="0"/>
      <w:marTop w:val="0"/>
      <w:marBottom w:val="0"/>
      <w:divBdr>
        <w:top w:val="none" w:sz="0" w:space="0" w:color="auto"/>
        <w:left w:val="none" w:sz="0" w:space="0" w:color="auto"/>
        <w:bottom w:val="none" w:sz="0" w:space="0" w:color="auto"/>
        <w:right w:val="none" w:sz="0" w:space="0" w:color="auto"/>
      </w:divBdr>
      <w:divsChild>
        <w:div w:id="1928152639">
          <w:marLeft w:val="0"/>
          <w:marRight w:val="0"/>
          <w:marTop w:val="0"/>
          <w:marBottom w:val="0"/>
          <w:divBdr>
            <w:top w:val="none" w:sz="0" w:space="0" w:color="auto"/>
            <w:left w:val="none" w:sz="0" w:space="0" w:color="auto"/>
            <w:bottom w:val="none" w:sz="0" w:space="0" w:color="auto"/>
            <w:right w:val="none" w:sz="0" w:space="0" w:color="auto"/>
          </w:divBdr>
        </w:div>
      </w:divsChild>
    </w:div>
    <w:div w:id="215314740">
      <w:bodyDiv w:val="1"/>
      <w:marLeft w:val="0"/>
      <w:marRight w:val="0"/>
      <w:marTop w:val="0"/>
      <w:marBottom w:val="0"/>
      <w:divBdr>
        <w:top w:val="none" w:sz="0" w:space="0" w:color="auto"/>
        <w:left w:val="none" w:sz="0" w:space="0" w:color="auto"/>
        <w:bottom w:val="none" w:sz="0" w:space="0" w:color="auto"/>
        <w:right w:val="none" w:sz="0" w:space="0" w:color="auto"/>
      </w:divBdr>
      <w:divsChild>
        <w:div w:id="1087194457">
          <w:marLeft w:val="0"/>
          <w:marRight w:val="0"/>
          <w:marTop w:val="0"/>
          <w:marBottom w:val="0"/>
          <w:divBdr>
            <w:top w:val="none" w:sz="0" w:space="0" w:color="auto"/>
            <w:left w:val="none" w:sz="0" w:space="0" w:color="auto"/>
            <w:bottom w:val="none" w:sz="0" w:space="0" w:color="auto"/>
            <w:right w:val="none" w:sz="0" w:space="0" w:color="auto"/>
          </w:divBdr>
        </w:div>
      </w:divsChild>
    </w:div>
    <w:div w:id="286544693">
      <w:bodyDiv w:val="1"/>
      <w:marLeft w:val="0"/>
      <w:marRight w:val="0"/>
      <w:marTop w:val="0"/>
      <w:marBottom w:val="0"/>
      <w:divBdr>
        <w:top w:val="none" w:sz="0" w:space="0" w:color="auto"/>
        <w:left w:val="none" w:sz="0" w:space="0" w:color="auto"/>
        <w:bottom w:val="none" w:sz="0" w:space="0" w:color="auto"/>
        <w:right w:val="none" w:sz="0" w:space="0" w:color="auto"/>
      </w:divBdr>
      <w:divsChild>
        <w:div w:id="1672639560">
          <w:marLeft w:val="0"/>
          <w:marRight w:val="0"/>
          <w:marTop w:val="0"/>
          <w:marBottom w:val="0"/>
          <w:divBdr>
            <w:top w:val="none" w:sz="0" w:space="0" w:color="auto"/>
            <w:left w:val="none" w:sz="0" w:space="0" w:color="auto"/>
            <w:bottom w:val="none" w:sz="0" w:space="0" w:color="auto"/>
            <w:right w:val="none" w:sz="0" w:space="0" w:color="auto"/>
          </w:divBdr>
        </w:div>
      </w:divsChild>
    </w:div>
    <w:div w:id="321202897">
      <w:bodyDiv w:val="1"/>
      <w:marLeft w:val="0"/>
      <w:marRight w:val="0"/>
      <w:marTop w:val="0"/>
      <w:marBottom w:val="0"/>
      <w:divBdr>
        <w:top w:val="none" w:sz="0" w:space="0" w:color="auto"/>
        <w:left w:val="none" w:sz="0" w:space="0" w:color="auto"/>
        <w:bottom w:val="none" w:sz="0" w:space="0" w:color="auto"/>
        <w:right w:val="none" w:sz="0" w:space="0" w:color="auto"/>
      </w:divBdr>
      <w:divsChild>
        <w:div w:id="837041744">
          <w:marLeft w:val="0"/>
          <w:marRight w:val="0"/>
          <w:marTop w:val="0"/>
          <w:marBottom w:val="0"/>
          <w:divBdr>
            <w:top w:val="none" w:sz="0" w:space="0" w:color="auto"/>
            <w:left w:val="none" w:sz="0" w:space="0" w:color="auto"/>
            <w:bottom w:val="none" w:sz="0" w:space="0" w:color="auto"/>
            <w:right w:val="none" w:sz="0" w:space="0" w:color="auto"/>
          </w:divBdr>
        </w:div>
      </w:divsChild>
    </w:div>
    <w:div w:id="344022672">
      <w:bodyDiv w:val="1"/>
      <w:marLeft w:val="0"/>
      <w:marRight w:val="0"/>
      <w:marTop w:val="0"/>
      <w:marBottom w:val="0"/>
      <w:divBdr>
        <w:top w:val="none" w:sz="0" w:space="0" w:color="auto"/>
        <w:left w:val="none" w:sz="0" w:space="0" w:color="auto"/>
        <w:bottom w:val="none" w:sz="0" w:space="0" w:color="auto"/>
        <w:right w:val="none" w:sz="0" w:space="0" w:color="auto"/>
      </w:divBdr>
      <w:divsChild>
        <w:div w:id="995911935">
          <w:marLeft w:val="0"/>
          <w:marRight w:val="0"/>
          <w:marTop w:val="0"/>
          <w:marBottom w:val="0"/>
          <w:divBdr>
            <w:top w:val="none" w:sz="0" w:space="0" w:color="auto"/>
            <w:left w:val="none" w:sz="0" w:space="0" w:color="auto"/>
            <w:bottom w:val="none" w:sz="0" w:space="0" w:color="auto"/>
            <w:right w:val="none" w:sz="0" w:space="0" w:color="auto"/>
          </w:divBdr>
        </w:div>
      </w:divsChild>
    </w:div>
    <w:div w:id="510337687">
      <w:bodyDiv w:val="1"/>
      <w:marLeft w:val="0"/>
      <w:marRight w:val="0"/>
      <w:marTop w:val="0"/>
      <w:marBottom w:val="0"/>
      <w:divBdr>
        <w:top w:val="none" w:sz="0" w:space="0" w:color="auto"/>
        <w:left w:val="none" w:sz="0" w:space="0" w:color="auto"/>
        <w:bottom w:val="none" w:sz="0" w:space="0" w:color="auto"/>
        <w:right w:val="none" w:sz="0" w:space="0" w:color="auto"/>
      </w:divBdr>
      <w:divsChild>
        <w:div w:id="1258094853">
          <w:marLeft w:val="0"/>
          <w:marRight w:val="0"/>
          <w:marTop w:val="0"/>
          <w:marBottom w:val="0"/>
          <w:divBdr>
            <w:top w:val="none" w:sz="0" w:space="0" w:color="auto"/>
            <w:left w:val="none" w:sz="0" w:space="0" w:color="auto"/>
            <w:bottom w:val="none" w:sz="0" w:space="0" w:color="auto"/>
            <w:right w:val="none" w:sz="0" w:space="0" w:color="auto"/>
          </w:divBdr>
        </w:div>
      </w:divsChild>
    </w:div>
    <w:div w:id="530992989">
      <w:bodyDiv w:val="1"/>
      <w:marLeft w:val="0"/>
      <w:marRight w:val="0"/>
      <w:marTop w:val="0"/>
      <w:marBottom w:val="0"/>
      <w:divBdr>
        <w:top w:val="none" w:sz="0" w:space="0" w:color="auto"/>
        <w:left w:val="none" w:sz="0" w:space="0" w:color="auto"/>
        <w:bottom w:val="none" w:sz="0" w:space="0" w:color="auto"/>
        <w:right w:val="none" w:sz="0" w:space="0" w:color="auto"/>
      </w:divBdr>
      <w:divsChild>
        <w:div w:id="1467774021">
          <w:marLeft w:val="0"/>
          <w:marRight w:val="0"/>
          <w:marTop w:val="0"/>
          <w:marBottom w:val="0"/>
          <w:divBdr>
            <w:top w:val="none" w:sz="0" w:space="0" w:color="auto"/>
            <w:left w:val="none" w:sz="0" w:space="0" w:color="auto"/>
            <w:bottom w:val="none" w:sz="0" w:space="0" w:color="auto"/>
            <w:right w:val="none" w:sz="0" w:space="0" w:color="auto"/>
          </w:divBdr>
        </w:div>
      </w:divsChild>
    </w:div>
    <w:div w:id="535117970">
      <w:bodyDiv w:val="1"/>
      <w:marLeft w:val="0"/>
      <w:marRight w:val="0"/>
      <w:marTop w:val="0"/>
      <w:marBottom w:val="0"/>
      <w:divBdr>
        <w:top w:val="none" w:sz="0" w:space="0" w:color="auto"/>
        <w:left w:val="none" w:sz="0" w:space="0" w:color="auto"/>
        <w:bottom w:val="none" w:sz="0" w:space="0" w:color="auto"/>
        <w:right w:val="none" w:sz="0" w:space="0" w:color="auto"/>
      </w:divBdr>
      <w:divsChild>
        <w:div w:id="1394616630">
          <w:marLeft w:val="0"/>
          <w:marRight w:val="0"/>
          <w:marTop w:val="0"/>
          <w:marBottom w:val="0"/>
          <w:divBdr>
            <w:top w:val="none" w:sz="0" w:space="0" w:color="auto"/>
            <w:left w:val="none" w:sz="0" w:space="0" w:color="auto"/>
            <w:bottom w:val="none" w:sz="0" w:space="0" w:color="auto"/>
            <w:right w:val="none" w:sz="0" w:space="0" w:color="auto"/>
          </w:divBdr>
        </w:div>
      </w:divsChild>
    </w:div>
    <w:div w:id="628782794">
      <w:bodyDiv w:val="1"/>
      <w:marLeft w:val="0"/>
      <w:marRight w:val="0"/>
      <w:marTop w:val="0"/>
      <w:marBottom w:val="0"/>
      <w:divBdr>
        <w:top w:val="none" w:sz="0" w:space="0" w:color="auto"/>
        <w:left w:val="none" w:sz="0" w:space="0" w:color="auto"/>
        <w:bottom w:val="none" w:sz="0" w:space="0" w:color="auto"/>
        <w:right w:val="none" w:sz="0" w:space="0" w:color="auto"/>
      </w:divBdr>
      <w:divsChild>
        <w:div w:id="2123332634">
          <w:marLeft w:val="0"/>
          <w:marRight w:val="0"/>
          <w:marTop w:val="0"/>
          <w:marBottom w:val="0"/>
          <w:divBdr>
            <w:top w:val="none" w:sz="0" w:space="0" w:color="auto"/>
            <w:left w:val="none" w:sz="0" w:space="0" w:color="auto"/>
            <w:bottom w:val="none" w:sz="0" w:space="0" w:color="auto"/>
            <w:right w:val="none" w:sz="0" w:space="0" w:color="auto"/>
          </w:divBdr>
        </w:div>
      </w:divsChild>
    </w:div>
    <w:div w:id="653485839">
      <w:bodyDiv w:val="1"/>
      <w:marLeft w:val="0"/>
      <w:marRight w:val="0"/>
      <w:marTop w:val="0"/>
      <w:marBottom w:val="0"/>
      <w:divBdr>
        <w:top w:val="none" w:sz="0" w:space="0" w:color="auto"/>
        <w:left w:val="none" w:sz="0" w:space="0" w:color="auto"/>
        <w:bottom w:val="none" w:sz="0" w:space="0" w:color="auto"/>
        <w:right w:val="none" w:sz="0" w:space="0" w:color="auto"/>
      </w:divBdr>
      <w:divsChild>
        <w:div w:id="513884823">
          <w:marLeft w:val="0"/>
          <w:marRight w:val="0"/>
          <w:marTop w:val="0"/>
          <w:marBottom w:val="0"/>
          <w:divBdr>
            <w:top w:val="none" w:sz="0" w:space="0" w:color="auto"/>
            <w:left w:val="none" w:sz="0" w:space="0" w:color="auto"/>
            <w:bottom w:val="none" w:sz="0" w:space="0" w:color="auto"/>
            <w:right w:val="none" w:sz="0" w:space="0" w:color="auto"/>
          </w:divBdr>
        </w:div>
      </w:divsChild>
    </w:div>
    <w:div w:id="729311307">
      <w:bodyDiv w:val="1"/>
      <w:marLeft w:val="0"/>
      <w:marRight w:val="0"/>
      <w:marTop w:val="0"/>
      <w:marBottom w:val="0"/>
      <w:divBdr>
        <w:top w:val="none" w:sz="0" w:space="0" w:color="auto"/>
        <w:left w:val="none" w:sz="0" w:space="0" w:color="auto"/>
        <w:bottom w:val="none" w:sz="0" w:space="0" w:color="auto"/>
        <w:right w:val="none" w:sz="0" w:space="0" w:color="auto"/>
      </w:divBdr>
      <w:divsChild>
        <w:div w:id="2015452501">
          <w:marLeft w:val="0"/>
          <w:marRight w:val="0"/>
          <w:marTop w:val="0"/>
          <w:marBottom w:val="0"/>
          <w:divBdr>
            <w:top w:val="none" w:sz="0" w:space="0" w:color="auto"/>
            <w:left w:val="none" w:sz="0" w:space="0" w:color="auto"/>
            <w:bottom w:val="none" w:sz="0" w:space="0" w:color="auto"/>
            <w:right w:val="none" w:sz="0" w:space="0" w:color="auto"/>
          </w:divBdr>
        </w:div>
      </w:divsChild>
    </w:div>
    <w:div w:id="844520586">
      <w:bodyDiv w:val="1"/>
      <w:marLeft w:val="0"/>
      <w:marRight w:val="0"/>
      <w:marTop w:val="0"/>
      <w:marBottom w:val="0"/>
      <w:divBdr>
        <w:top w:val="none" w:sz="0" w:space="0" w:color="auto"/>
        <w:left w:val="none" w:sz="0" w:space="0" w:color="auto"/>
        <w:bottom w:val="none" w:sz="0" w:space="0" w:color="auto"/>
        <w:right w:val="none" w:sz="0" w:space="0" w:color="auto"/>
      </w:divBdr>
      <w:divsChild>
        <w:div w:id="1268853277">
          <w:marLeft w:val="0"/>
          <w:marRight w:val="0"/>
          <w:marTop w:val="0"/>
          <w:marBottom w:val="0"/>
          <w:divBdr>
            <w:top w:val="none" w:sz="0" w:space="0" w:color="auto"/>
            <w:left w:val="none" w:sz="0" w:space="0" w:color="auto"/>
            <w:bottom w:val="none" w:sz="0" w:space="0" w:color="auto"/>
            <w:right w:val="none" w:sz="0" w:space="0" w:color="auto"/>
          </w:divBdr>
        </w:div>
      </w:divsChild>
    </w:div>
    <w:div w:id="863251044">
      <w:bodyDiv w:val="1"/>
      <w:marLeft w:val="0"/>
      <w:marRight w:val="0"/>
      <w:marTop w:val="0"/>
      <w:marBottom w:val="0"/>
      <w:divBdr>
        <w:top w:val="none" w:sz="0" w:space="0" w:color="auto"/>
        <w:left w:val="none" w:sz="0" w:space="0" w:color="auto"/>
        <w:bottom w:val="none" w:sz="0" w:space="0" w:color="auto"/>
        <w:right w:val="none" w:sz="0" w:space="0" w:color="auto"/>
      </w:divBdr>
      <w:divsChild>
        <w:div w:id="862135093">
          <w:marLeft w:val="0"/>
          <w:marRight w:val="0"/>
          <w:marTop w:val="0"/>
          <w:marBottom w:val="0"/>
          <w:divBdr>
            <w:top w:val="none" w:sz="0" w:space="0" w:color="auto"/>
            <w:left w:val="none" w:sz="0" w:space="0" w:color="auto"/>
            <w:bottom w:val="none" w:sz="0" w:space="0" w:color="auto"/>
            <w:right w:val="none" w:sz="0" w:space="0" w:color="auto"/>
          </w:divBdr>
        </w:div>
      </w:divsChild>
    </w:div>
    <w:div w:id="972255710">
      <w:bodyDiv w:val="1"/>
      <w:marLeft w:val="0"/>
      <w:marRight w:val="0"/>
      <w:marTop w:val="0"/>
      <w:marBottom w:val="0"/>
      <w:divBdr>
        <w:top w:val="none" w:sz="0" w:space="0" w:color="auto"/>
        <w:left w:val="none" w:sz="0" w:space="0" w:color="auto"/>
        <w:bottom w:val="none" w:sz="0" w:space="0" w:color="auto"/>
        <w:right w:val="none" w:sz="0" w:space="0" w:color="auto"/>
      </w:divBdr>
      <w:divsChild>
        <w:div w:id="1404913477">
          <w:marLeft w:val="0"/>
          <w:marRight w:val="0"/>
          <w:marTop w:val="0"/>
          <w:marBottom w:val="0"/>
          <w:divBdr>
            <w:top w:val="none" w:sz="0" w:space="0" w:color="auto"/>
            <w:left w:val="none" w:sz="0" w:space="0" w:color="auto"/>
            <w:bottom w:val="none" w:sz="0" w:space="0" w:color="auto"/>
            <w:right w:val="none" w:sz="0" w:space="0" w:color="auto"/>
          </w:divBdr>
        </w:div>
      </w:divsChild>
    </w:div>
    <w:div w:id="1028915626">
      <w:bodyDiv w:val="1"/>
      <w:marLeft w:val="0"/>
      <w:marRight w:val="0"/>
      <w:marTop w:val="0"/>
      <w:marBottom w:val="0"/>
      <w:divBdr>
        <w:top w:val="none" w:sz="0" w:space="0" w:color="auto"/>
        <w:left w:val="none" w:sz="0" w:space="0" w:color="auto"/>
        <w:bottom w:val="none" w:sz="0" w:space="0" w:color="auto"/>
        <w:right w:val="none" w:sz="0" w:space="0" w:color="auto"/>
      </w:divBdr>
      <w:divsChild>
        <w:div w:id="501317235">
          <w:marLeft w:val="0"/>
          <w:marRight w:val="0"/>
          <w:marTop w:val="0"/>
          <w:marBottom w:val="0"/>
          <w:divBdr>
            <w:top w:val="none" w:sz="0" w:space="0" w:color="auto"/>
            <w:left w:val="none" w:sz="0" w:space="0" w:color="auto"/>
            <w:bottom w:val="none" w:sz="0" w:space="0" w:color="auto"/>
            <w:right w:val="none" w:sz="0" w:space="0" w:color="auto"/>
          </w:divBdr>
        </w:div>
      </w:divsChild>
    </w:div>
    <w:div w:id="1086999570">
      <w:bodyDiv w:val="1"/>
      <w:marLeft w:val="0"/>
      <w:marRight w:val="0"/>
      <w:marTop w:val="0"/>
      <w:marBottom w:val="0"/>
      <w:divBdr>
        <w:top w:val="none" w:sz="0" w:space="0" w:color="auto"/>
        <w:left w:val="none" w:sz="0" w:space="0" w:color="auto"/>
        <w:bottom w:val="none" w:sz="0" w:space="0" w:color="auto"/>
        <w:right w:val="none" w:sz="0" w:space="0" w:color="auto"/>
      </w:divBdr>
    </w:div>
    <w:div w:id="1104837565">
      <w:bodyDiv w:val="1"/>
      <w:marLeft w:val="0"/>
      <w:marRight w:val="0"/>
      <w:marTop w:val="0"/>
      <w:marBottom w:val="0"/>
      <w:divBdr>
        <w:top w:val="none" w:sz="0" w:space="0" w:color="auto"/>
        <w:left w:val="none" w:sz="0" w:space="0" w:color="auto"/>
        <w:bottom w:val="none" w:sz="0" w:space="0" w:color="auto"/>
        <w:right w:val="none" w:sz="0" w:space="0" w:color="auto"/>
      </w:divBdr>
      <w:divsChild>
        <w:div w:id="1940334580">
          <w:marLeft w:val="0"/>
          <w:marRight w:val="0"/>
          <w:marTop w:val="0"/>
          <w:marBottom w:val="0"/>
          <w:divBdr>
            <w:top w:val="none" w:sz="0" w:space="0" w:color="auto"/>
            <w:left w:val="none" w:sz="0" w:space="0" w:color="auto"/>
            <w:bottom w:val="none" w:sz="0" w:space="0" w:color="auto"/>
            <w:right w:val="none" w:sz="0" w:space="0" w:color="auto"/>
          </w:divBdr>
        </w:div>
      </w:divsChild>
    </w:div>
    <w:div w:id="1112868276">
      <w:bodyDiv w:val="1"/>
      <w:marLeft w:val="0"/>
      <w:marRight w:val="0"/>
      <w:marTop w:val="0"/>
      <w:marBottom w:val="0"/>
      <w:divBdr>
        <w:top w:val="none" w:sz="0" w:space="0" w:color="auto"/>
        <w:left w:val="none" w:sz="0" w:space="0" w:color="auto"/>
        <w:bottom w:val="none" w:sz="0" w:space="0" w:color="auto"/>
        <w:right w:val="none" w:sz="0" w:space="0" w:color="auto"/>
      </w:divBdr>
      <w:divsChild>
        <w:div w:id="1972394065">
          <w:marLeft w:val="0"/>
          <w:marRight w:val="0"/>
          <w:marTop w:val="0"/>
          <w:marBottom w:val="0"/>
          <w:divBdr>
            <w:top w:val="none" w:sz="0" w:space="0" w:color="auto"/>
            <w:left w:val="none" w:sz="0" w:space="0" w:color="auto"/>
            <w:bottom w:val="none" w:sz="0" w:space="0" w:color="auto"/>
            <w:right w:val="none" w:sz="0" w:space="0" w:color="auto"/>
          </w:divBdr>
        </w:div>
      </w:divsChild>
    </w:div>
    <w:div w:id="1152679200">
      <w:bodyDiv w:val="1"/>
      <w:marLeft w:val="0"/>
      <w:marRight w:val="0"/>
      <w:marTop w:val="0"/>
      <w:marBottom w:val="0"/>
      <w:divBdr>
        <w:top w:val="none" w:sz="0" w:space="0" w:color="auto"/>
        <w:left w:val="none" w:sz="0" w:space="0" w:color="auto"/>
        <w:bottom w:val="none" w:sz="0" w:space="0" w:color="auto"/>
        <w:right w:val="none" w:sz="0" w:space="0" w:color="auto"/>
      </w:divBdr>
    </w:div>
    <w:div w:id="1393649687">
      <w:bodyDiv w:val="1"/>
      <w:marLeft w:val="0"/>
      <w:marRight w:val="0"/>
      <w:marTop w:val="0"/>
      <w:marBottom w:val="0"/>
      <w:divBdr>
        <w:top w:val="none" w:sz="0" w:space="0" w:color="auto"/>
        <w:left w:val="none" w:sz="0" w:space="0" w:color="auto"/>
        <w:bottom w:val="none" w:sz="0" w:space="0" w:color="auto"/>
        <w:right w:val="none" w:sz="0" w:space="0" w:color="auto"/>
      </w:divBdr>
      <w:divsChild>
        <w:div w:id="119880717">
          <w:marLeft w:val="0"/>
          <w:marRight w:val="0"/>
          <w:marTop w:val="0"/>
          <w:marBottom w:val="0"/>
          <w:divBdr>
            <w:top w:val="none" w:sz="0" w:space="0" w:color="auto"/>
            <w:left w:val="none" w:sz="0" w:space="0" w:color="auto"/>
            <w:bottom w:val="none" w:sz="0" w:space="0" w:color="auto"/>
            <w:right w:val="none" w:sz="0" w:space="0" w:color="auto"/>
          </w:divBdr>
        </w:div>
      </w:divsChild>
    </w:div>
    <w:div w:id="1633634216">
      <w:bodyDiv w:val="1"/>
      <w:marLeft w:val="0"/>
      <w:marRight w:val="0"/>
      <w:marTop w:val="0"/>
      <w:marBottom w:val="0"/>
      <w:divBdr>
        <w:top w:val="none" w:sz="0" w:space="0" w:color="auto"/>
        <w:left w:val="none" w:sz="0" w:space="0" w:color="auto"/>
        <w:bottom w:val="none" w:sz="0" w:space="0" w:color="auto"/>
        <w:right w:val="none" w:sz="0" w:space="0" w:color="auto"/>
      </w:divBdr>
    </w:div>
    <w:div w:id="1640645775">
      <w:bodyDiv w:val="1"/>
      <w:marLeft w:val="0"/>
      <w:marRight w:val="0"/>
      <w:marTop w:val="0"/>
      <w:marBottom w:val="0"/>
      <w:divBdr>
        <w:top w:val="none" w:sz="0" w:space="0" w:color="auto"/>
        <w:left w:val="none" w:sz="0" w:space="0" w:color="auto"/>
        <w:bottom w:val="none" w:sz="0" w:space="0" w:color="auto"/>
        <w:right w:val="none" w:sz="0" w:space="0" w:color="auto"/>
      </w:divBdr>
      <w:divsChild>
        <w:div w:id="1662125829">
          <w:marLeft w:val="0"/>
          <w:marRight w:val="0"/>
          <w:marTop w:val="0"/>
          <w:marBottom w:val="0"/>
          <w:divBdr>
            <w:top w:val="none" w:sz="0" w:space="0" w:color="auto"/>
            <w:left w:val="none" w:sz="0" w:space="0" w:color="auto"/>
            <w:bottom w:val="none" w:sz="0" w:space="0" w:color="auto"/>
            <w:right w:val="none" w:sz="0" w:space="0" w:color="auto"/>
          </w:divBdr>
        </w:div>
      </w:divsChild>
    </w:div>
    <w:div w:id="1801724163">
      <w:bodyDiv w:val="1"/>
      <w:marLeft w:val="0"/>
      <w:marRight w:val="0"/>
      <w:marTop w:val="0"/>
      <w:marBottom w:val="0"/>
      <w:divBdr>
        <w:top w:val="none" w:sz="0" w:space="0" w:color="auto"/>
        <w:left w:val="none" w:sz="0" w:space="0" w:color="auto"/>
        <w:bottom w:val="none" w:sz="0" w:space="0" w:color="auto"/>
        <w:right w:val="none" w:sz="0" w:space="0" w:color="auto"/>
      </w:divBdr>
      <w:divsChild>
        <w:div w:id="1586526376">
          <w:marLeft w:val="0"/>
          <w:marRight w:val="0"/>
          <w:marTop w:val="0"/>
          <w:marBottom w:val="0"/>
          <w:divBdr>
            <w:top w:val="none" w:sz="0" w:space="0" w:color="auto"/>
            <w:left w:val="none" w:sz="0" w:space="0" w:color="auto"/>
            <w:bottom w:val="none" w:sz="0" w:space="0" w:color="auto"/>
            <w:right w:val="none" w:sz="0" w:space="0" w:color="auto"/>
          </w:divBdr>
        </w:div>
      </w:divsChild>
    </w:div>
    <w:div w:id="1807433762">
      <w:bodyDiv w:val="1"/>
      <w:marLeft w:val="0"/>
      <w:marRight w:val="0"/>
      <w:marTop w:val="0"/>
      <w:marBottom w:val="0"/>
      <w:divBdr>
        <w:top w:val="none" w:sz="0" w:space="0" w:color="auto"/>
        <w:left w:val="none" w:sz="0" w:space="0" w:color="auto"/>
        <w:bottom w:val="none" w:sz="0" w:space="0" w:color="auto"/>
        <w:right w:val="none" w:sz="0" w:space="0" w:color="auto"/>
      </w:divBdr>
      <w:divsChild>
        <w:div w:id="1832136590">
          <w:marLeft w:val="0"/>
          <w:marRight w:val="0"/>
          <w:marTop w:val="0"/>
          <w:marBottom w:val="0"/>
          <w:divBdr>
            <w:top w:val="none" w:sz="0" w:space="0" w:color="auto"/>
            <w:left w:val="none" w:sz="0" w:space="0" w:color="auto"/>
            <w:bottom w:val="none" w:sz="0" w:space="0" w:color="auto"/>
            <w:right w:val="none" w:sz="0" w:space="0" w:color="auto"/>
          </w:divBdr>
        </w:div>
      </w:divsChild>
    </w:div>
    <w:div w:id="1989822004">
      <w:bodyDiv w:val="1"/>
      <w:marLeft w:val="0"/>
      <w:marRight w:val="0"/>
      <w:marTop w:val="0"/>
      <w:marBottom w:val="0"/>
      <w:divBdr>
        <w:top w:val="none" w:sz="0" w:space="0" w:color="auto"/>
        <w:left w:val="none" w:sz="0" w:space="0" w:color="auto"/>
        <w:bottom w:val="none" w:sz="0" w:space="0" w:color="auto"/>
        <w:right w:val="none" w:sz="0" w:space="0" w:color="auto"/>
      </w:divBdr>
      <w:divsChild>
        <w:div w:id="847990509">
          <w:marLeft w:val="0"/>
          <w:marRight w:val="0"/>
          <w:marTop w:val="0"/>
          <w:marBottom w:val="0"/>
          <w:divBdr>
            <w:top w:val="none" w:sz="0" w:space="0" w:color="auto"/>
            <w:left w:val="none" w:sz="0" w:space="0" w:color="auto"/>
            <w:bottom w:val="none" w:sz="0" w:space="0" w:color="auto"/>
            <w:right w:val="none" w:sz="0" w:space="0" w:color="auto"/>
          </w:divBdr>
        </w:div>
      </w:divsChild>
    </w:div>
    <w:div w:id="2104719315">
      <w:bodyDiv w:val="1"/>
      <w:marLeft w:val="0"/>
      <w:marRight w:val="0"/>
      <w:marTop w:val="0"/>
      <w:marBottom w:val="0"/>
      <w:divBdr>
        <w:top w:val="none" w:sz="0" w:space="0" w:color="auto"/>
        <w:left w:val="none" w:sz="0" w:space="0" w:color="auto"/>
        <w:bottom w:val="none" w:sz="0" w:space="0" w:color="auto"/>
        <w:right w:val="none" w:sz="0" w:space="0" w:color="auto"/>
      </w:divBdr>
      <w:divsChild>
        <w:div w:id="5752112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071E93-A667-45E5-AEF7-01329D122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24</Pages>
  <Words>5837</Words>
  <Characters>33276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sharmakirti0602@gmail.com</dc:creator>
  <cp:keywords/>
  <dc:description/>
  <cp:lastModifiedBy>Geetanjali Singh</cp:lastModifiedBy>
  <cp:revision>27</cp:revision>
  <dcterms:created xsi:type="dcterms:W3CDTF">2022-12-21T05:53:00Z</dcterms:created>
  <dcterms:modified xsi:type="dcterms:W3CDTF">2023-01-12T21:31:00Z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4e0f63d6-cdb9-4e1b-94fd-6a709e1017a8</vt:lpwstr>
  </property>
</Properties>
</file>