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38DC6FC4" w14:textId="77777777" w:rsidR="00312C90" w:rsidRPr="00EA1807" w:rsidRDefault="00312C90" w:rsidP="00312C90">
            <w:pPr>
              <w:ind w:right="-957"/>
              <w:rPr>
                <w:rFonts w:ascii="Times New Roman" w:hAnsi="Times New Roman" w:cs="Times New Roman"/>
                <w:b/>
                <w:sz w:val="46"/>
                <w:szCs w:val="22"/>
              </w:rPr>
            </w:pPr>
            <w:r w:rsidRPr="00EA1807">
              <w:rPr>
                <w:rFonts w:ascii="Times New Roman" w:hAnsi="Times New Roman" w:cs="Times New Roman"/>
                <w:b/>
                <w:sz w:val="46"/>
                <w:szCs w:val="22"/>
              </w:rPr>
              <w:t>Learner’s name: Jeffrey Dale</w:t>
            </w:r>
          </w:p>
          <w:p w14:paraId="7BB88E10" w14:textId="77777777" w:rsidR="00312C90" w:rsidRPr="00EA1807" w:rsidRDefault="00312C90" w:rsidP="00312C90">
            <w:pPr>
              <w:ind w:right="-957"/>
              <w:rPr>
                <w:rFonts w:ascii="Times New Roman" w:hAnsi="Times New Roman" w:cs="Times New Roman"/>
                <w:b/>
                <w:sz w:val="46"/>
                <w:szCs w:val="22"/>
              </w:rPr>
            </w:pPr>
          </w:p>
          <w:p w14:paraId="722EF02C" w14:textId="77777777" w:rsidR="00312C90" w:rsidRPr="00EA1807" w:rsidRDefault="00312C90" w:rsidP="00312C90">
            <w:pPr>
              <w:ind w:right="-957"/>
              <w:rPr>
                <w:rFonts w:ascii="Times New Roman" w:hAnsi="Times New Roman" w:cs="Times New Roman"/>
                <w:b/>
                <w:sz w:val="46"/>
                <w:szCs w:val="22"/>
              </w:rPr>
            </w:pPr>
            <w:r w:rsidRPr="00EA1807">
              <w:rPr>
                <w:rFonts w:ascii="Times New Roman" w:hAnsi="Times New Roman" w:cs="Times New Roman"/>
                <w:b/>
                <w:sz w:val="46"/>
                <w:szCs w:val="22"/>
              </w:rPr>
              <w:t xml:space="preserve">Email address: </w:t>
            </w:r>
            <w:hyperlink r:id="rId11" w:history="1">
              <w:r w:rsidRPr="00EA1807">
                <w:rPr>
                  <w:rStyle w:val="Hyperlink"/>
                  <w:rFonts w:ascii="Times New Roman" w:hAnsi="Times New Roman" w:cs="Times New Roman"/>
                  <w:b/>
                  <w:sz w:val="46"/>
                  <w:szCs w:val="22"/>
                </w:rPr>
                <w:t>2517592@student.uwtsd.ac.uk</w:t>
              </w:r>
            </w:hyperlink>
            <w:r w:rsidRPr="00EA1807">
              <w:rPr>
                <w:rFonts w:ascii="Times New Roman" w:hAnsi="Times New Roman" w:cs="Times New Roman"/>
                <w:b/>
                <w:sz w:val="46"/>
                <w:szCs w:val="22"/>
              </w:rPr>
              <w:t xml:space="preserve"> </w:t>
            </w:r>
          </w:p>
          <w:p w14:paraId="0DC0CBA3" w14:textId="77777777" w:rsidR="00312C90" w:rsidRPr="00EA1807" w:rsidRDefault="00312C90" w:rsidP="00312C90">
            <w:pPr>
              <w:ind w:right="-957"/>
              <w:rPr>
                <w:rFonts w:ascii="Times New Roman" w:hAnsi="Times New Roman" w:cs="Times New Roman"/>
                <w:b/>
                <w:sz w:val="46"/>
                <w:szCs w:val="22"/>
              </w:rPr>
            </w:pPr>
          </w:p>
          <w:p w14:paraId="3850E53C" w14:textId="77777777" w:rsidR="00312C90" w:rsidRPr="00EA1807" w:rsidRDefault="00312C90" w:rsidP="00312C90">
            <w:pPr>
              <w:ind w:right="-957"/>
              <w:rPr>
                <w:rFonts w:ascii="Times New Roman" w:hAnsi="Times New Roman" w:cs="Times New Roman"/>
                <w:b/>
                <w:sz w:val="46"/>
                <w:szCs w:val="22"/>
              </w:rPr>
            </w:pPr>
            <w:r w:rsidRPr="00EA1807">
              <w:rPr>
                <w:rFonts w:ascii="Times New Roman" w:hAnsi="Times New Roman" w:cs="Times New Roman"/>
                <w:b/>
                <w:sz w:val="46"/>
                <w:szCs w:val="22"/>
              </w:rPr>
              <w:t>Learner’s University Registration Number:</w:t>
            </w:r>
          </w:p>
          <w:p w14:paraId="12771168" w14:textId="77777777" w:rsidR="00312C90" w:rsidRPr="00EA1807" w:rsidRDefault="00312C90" w:rsidP="00312C90">
            <w:pPr>
              <w:ind w:right="-957"/>
              <w:rPr>
                <w:rFonts w:ascii="Times New Roman" w:hAnsi="Times New Roman" w:cs="Times New Roman"/>
                <w:b/>
                <w:sz w:val="46"/>
                <w:szCs w:val="22"/>
              </w:rPr>
            </w:pPr>
            <w:r w:rsidRPr="00EA1807">
              <w:rPr>
                <w:rFonts w:ascii="Times New Roman" w:hAnsi="Times New Roman" w:cs="Times New Roman"/>
                <w:b/>
                <w:sz w:val="46"/>
                <w:szCs w:val="22"/>
              </w:rPr>
              <w:t>2517592</w:t>
            </w:r>
          </w:p>
          <w:p w14:paraId="7CE377C1" w14:textId="77777777" w:rsidR="00312C90" w:rsidRPr="00EA1807" w:rsidRDefault="00312C90" w:rsidP="00312C90">
            <w:pPr>
              <w:ind w:right="-957"/>
              <w:rPr>
                <w:rFonts w:ascii="Times New Roman" w:hAnsi="Times New Roman" w:cs="Times New Roman"/>
                <w:b/>
                <w:sz w:val="46"/>
                <w:szCs w:val="22"/>
              </w:rPr>
            </w:pPr>
          </w:p>
          <w:p w14:paraId="5F84129B" w14:textId="3D761110" w:rsidR="0085230E" w:rsidRPr="005D3F07" w:rsidRDefault="00312C90" w:rsidP="00312C90">
            <w:pPr>
              <w:overflowPunct/>
              <w:autoSpaceDE/>
              <w:autoSpaceDN/>
              <w:adjustRightInd/>
              <w:ind w:right="-957"/>
              <w:textAlignment w:val="auto"/>
              <w:rPr>
                <w:rFonts w:ascii="Times New Roman" w:hAnsi="Times New Roman" w:cs="Times New Roman"/>
                <w:b/>
                <w:color w:val="auto"/>
                <w:sz w:val="48"/>
              </w:rPr>
            </w:pPr>
            <w:r w:rsidRPr="00EA1807">
              <w:rPr>
                <w:rFonts w:ascii="Times New Roman" w:hAnsi="Times New Roman" w:cs="Times New Roman"/>
                <w:b/>
                <w:sz w:val="46"/>
                <w:szCs w:val="22"/>
              </w:rPr>
              <w:t>Cohort: 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3B21F1B6" w14:textId="77777777" w:rsidR="004A4685" w:rsidRDefault="004A4685" w:rsidP="00FF7EBB">
            <w:pPr>
              <w:jc w:val="both"/>
              <w:rPr>
                <w:i/>
                <w:sz w:val="24"/>
                <w:szCs w:val="24"/>
              </w:rPr>
            </w:pPr>
          </w:p>
          <w:p w14:paraId="38680AE2" w14:textId="77777777" w:rsidR="004A4685" w:rsidRDefault="004A4685" w:rsidP="00FF7EBB">
            <w:pPr>
              <w:jc w:val="both"/>
              <w:rPr>
                <w:i/>
                <w:sz w:val="24"/>
                <w:szCs w:val="24"/>
              </w:rPr>
            </w:pPr>
          </w:p>
          <w:p w14:paraId="1D51B402" w14:textId="77777777" w:rsidR="004A4685" w:rsidRPr="004A4685" w:rsidRDefault="004A4685" w:rsidP="004A4685">
            <w:pPr>
              <w:spacing w:line="360" w:lineRule="auto"/>
              <w:jc w:val="both"/>
              <w:rPr>
                <w:sz w:val="24"/>
                <w:szCs w:val="24"/>
              </w:rPr>
            </w:pPr>
            <w:r w:rsidRPr="004A4685">
              <w:rPr>
                <w:sz w:val="24"/>
                <w:szCs w:val="24"/>
              </w:rPr>
              <w:t>Protection is a right, not a privilege (United Nations, 1989). While safeguarding is everyone’s responsibility (Part 7, SSW(W)A14), it is a fundamental pillar of social work, ensuring people’s right to live free from harm (Public Health Wales, 2023), and underpinning all meaningful change. After all, how can any meaningful change happen when people are living in fear (Maslow, 1968). In this essay, I will critically reflect on a safeguarding referral in my work, with a particular emphasis on legislative procedures, ethical considerations, collaborative working, analysis, and professional judgement.</w:t>
            </w:r>
          </w:p>
          <w:p w14:paraId="62737463" w14:textId="77777777" w:rsidR="004A4685" w:rsidRPr="004A4685" w:rsidRDefault="004A4685" w:rsidP="004A4685">
            <w:pPr>
              <w:spacing w:line="360" w:lineRule="auto"/>
              <w:jc w:val="both"/>
              <w:rPr>
                <w:sz w:val="24"/>
                <w:szCs w:val="24"/>
              </w:rPr>
            </w:pPr>
          </w:p>
          <w:p w14:paraId="0244D4A2" w14:textId="77777777" w:rsidR="004A4685" w:rsidRPr="004A4685" w:rsidRDefault="004A4685" w:rsidP="004A4685">
            <w:pPr>
              <w:spacing w:line="360" w:lineRule="auto"/>
              <w:jc w:val="both"/>
              <w:rPr>
                <w:sz w:val="24"/>
                <w:szCs w:val="24"/>
              </w:rPr>
            </w:pPr>
            <w:r w:rsidRPr="004A4685">
              <w:rPr>
                <w:sz w:val="24"/>
                <w:szCs w:val="24"/>
              </w:rPr>
              <w:t xml:space="preserve">6 receives care from the Community Mental Health Team (CMHT) under Part 2 of the Mental Health (Wales) Measure (2010), due to his more complex and higher-risk mental health needs. 6 disclosed to his therapist that he was going to ‘take the law into his own hands’ and kill his neighbour. This was in response to a lengthy history of perceived harassment from his neighbour and his local community, in addition to a perceived lack of action from the police. His therapist then reported this concern to me. Although safeguarding is everyone’s </w:t>
            </w:r>
            <w:r w:rsidRPr="004A4685">
              <w:rPr>
                <w:sz w:val="24"/>
                <w:szCs w:val="24"/>
              </w:rPr>
              <w:lastRenderedPageBreak/>
              <w:t xml:space="preserve">responsibility (SSW(W)A14), social workers have a greater level of responsibility due to the statutory duty to assess risk and act (s.126 SSW(W)A14). While it seems straightforward that a response is required given the legal duty, moral imperative, and potential for catastrophic consequences, there remains the ethical considerations and real-world consequences. While the law sets out the powers, responsibilities, and accountabilities necessary to protect people (Brammer, 2020), it must be applied in real-world scenarios where consideration is given to contextual factors, individual circumstances, professional resources, and social work values (Dickens, 2016). It was clear that I needed to act, the next question is how? </w:t>
            </w:r>
          </w:p>
          <w:p w14:paraId="259DF616" w14:textId="77777777" w:rsidR="004A4685" w:rsidRPr="004A4685" w:rsidRDefault="004A4685" w:rsidP="004A4685">
            <w:pPr>
              <w:spacing w:line="360" w:lineRule="auto"/>
              <w:jc w:val="both"/>
              <w:rPr>
                <w:sz w:val="24"/>
                <w:szCs w:val="24"/>
              </w:rPr>
            </w:pPr>
          </w:p>
          <w:p w14:paraId="37F67C6B" w14:textId="77777777" w:rsidR="004A4685" w:rsidRPr="004A4685" w:rsidRDefault="004A4685" w:rsidP="004A4685">
            <w:pPr>
              <w:spacing w:line="360" w:lineRule="auto"/>
              <w:jc w:val="both"/>
              <w:rPr>
                <w:sz w:val="24"/>
                <w:szCs w:val="24"/>
              </w:rPr>
            </w:pPr>
            <w:r w:rsidRPr="004A4685">
              <w:rPr>
                <w:sz w:val="24"/>
                <w:szCs w:val="24"/>
              </w:rPr>
              <w:t xml:space="preserve">The first consideration here is the balancing of fundamental human rights. While Wales has its own safeguarding legislation, it is also guided by the European Convention on Human Rights after it was incorporated into UK law with the implementation of the Human Rights Act (1998). Under this Act, 6 has the right to go about his life with liberty and autonomy (Article 5) with privacy in his family life (Article 8), but this must be weighed against his neighbour’s right to life (Article 2). In this instance, it is straightforward that Article 2 (right to life) supersedes Articles 5 (liberty) and 8 (privacy) – without life you cannot have a free or private life. Indeed, Article 2 can be considered the ‘supreme’ right. The safeguarding concern here gives us the jurisdiction to intervene with Article 8 (right to private life) to protect life (EHRC, 2021). In this situation there is a risk to health and life for both 6 and the neighbour. This general principle of life being more important can be seen played out in safeguarding processes where protection from harm often lawfully overrides confidentiality where there is a real risk of harm and the disclosure is necessary and proportionate. This is a lesson hard learned following many tragedies where information was not shared (e.g., Victoria Climbie, Winterbourne View, Baby P, Fiona Pilkington). While threats to kill can be seen as a simple criminal matter that should go directly to the Police, there are other factors to be considered. Importantly, 6 is also at risk of harm from his neighbour as well, and had already reported a lengthy history of harassment, verbal abuse, and physical harm. </w:t>
            </w:r>
          </w:p>
          <w:p w14:paraId="060FD7DC" w14:textId="77777777" w:rsidR="004A4685" w:rsidRPr="004A4685" w:rsidRDefault="004A4685" w:rsidP="004A4685">
            <w:pPr>
              <w:spacing w:line="360" w:lineRule="auto"/>
              <w:jc w:val="both"/>
              <w:rPr>
                <w:sz w:val="24"/>
                <w:szCs w:val="24"/>
              </w:rPr>
            </w:pPr>
          </w:p>
          <w:p w14:paraId="28D8D53C" w14:textId="77777777" w:rsidR="004A4685" w:rsidRPr="004A4685" w:rsidRDefault="004A4685" w:rsidP="004A4685">
            <w:pPr>
              <w:spacing w:line="360" w:lineRule="auto"/>
              <w:jc w:val="both"/>
              <w:rPr>
                <w:sz w:val="24"/>
                <w:szCs w:val="24"/>
              </w:rPr>
            </w:pPr>
            <w:r w:rsidRPr="004A4685">
              <w:rPr>
                <w:sz w:val="24"/>
                <w:szCs w:val="24"/>
              </w:rPr>
              <w:t xml:space="preserve">I phoned 6 and asked him directly about his statements. He told me that he was not about to imminently harm his neighbour as he was holding himself back but queried how long he could do this. 6 had reported to the therapist that he would shoot the neighbour with a gun. However, </w:t>
            </w:r>
            <w:r w:rsidRPr="004A4685">
              <w:rPr>
                <w:sz w:val="24"/>
                <w:szCs w:val="24"/>
              </w:rPr>
              <w:lastRenderedPageBreak/>
              <w:t>he told me he would not do this, he was just venting his feelings, and that he does not even own a gun. He also said that if he ever did feel he would really act on his feelings he would first call me as a trusted professional, which was a significant statement for him to make given his usual distrust of authority figures. I then spoke with other colleagues who know 6 and it became apparent that he has said similar things before, and it was my professional judgement that this time was riskier as this was in response to an alleged physical assault from his neighbour and 6 was clearly more worked up than usual. It was my professional opinion that 6 did present some potential risk of harm to his neighbour but that he also met the criteria for a Section 126 (SSW(W)A14) adult safeguarding enquiry as he was (i) at risk of abuse and harm - from harassment and assault from his neighbour, (ii) has care and support needs - as he has comorbid mental health diagnoses and is receiving secondary care, and (iii) because of those care and support needs cannot protect himself - as he will not phone the police due to a distrust of authority stemming from his personal experiences and mental health diagnoses. In line with National Occupational Standards (NOS) for assessing risk and maintaining professional accountability (SCW, 2026), statutory duties (SSW(W)A14), procedural requirements (Wales Safeguarding Procedures, 2019), professional accountability, and a basic moral duty, I instigated the safeguarding process and submitted a Multi-Agency Referral Form (MARF) to the adult safeguarding team. This information was shared in line with the Wales Accord on the Sharing of Personal Information (WASPI) as it is lawful, necessary, proportionate, accurate, and timely, in order to protect people, Deciding whether to report this directly to the Police or to be shared ASAP via the adult safeguarding team for a multi-agency response was a decision also influenced by my professional judgment on the urgency of this risk. This decision was based on my consideration of the wider context, historical background, and individual differences, especially his relationship with authority figures.</w:t>
            </w:r>
          </w:p>
          <w:p w14:paraId="21792F1F" w14:textId="77777777" w:rsidR="004A4685" w:rsidRPr="004A4685" w:rsidRDefault="004A4685" w:rsidP="004A4685">
            <w:pPr>
              <w:spacing w:line="360" w:lineRule="auto"/>
              <w:jc w:val="both"/>
              <w:rPr>
                <w:sz w:val="24"/>
                <w:szCs w:val="24"/>
              </w:rPr>
            </w:pPr>
          </w:p>
          <w:p w14:paraId="41118750" w14:textId="42600327" w:rsidR="004A4685" w:rsidRPr="004A4685" w:rsidRDefault="004A4685" w:rsidP="004A4685">
            <w:pPr>
              <w:spacing w:line="360" w:lineRule="auto"/>
              <w:jc w:val="both"/>
              <w:rPr>
                <w:sz w:val="24"/>
                <w:szCs w:val="24"/>
              </w:rPr>
            </w:pPr>
            <w:r w:rsidRPr="004A4685">
              <w:rPr>
                <w:sz w:val="24"/>
                <w:szCs w:val="24"/>
              </w:rPr>
              <w:t xml:space="preserve">Saying that he would contact me if he ever felt he would act on these thoughts, and saying so in a believable way, was a considerable statement for 6 to make as he has a history of distrust with professionals and authority figures, especially in his local community, due to a long history of experiencing discrimination and his perception of corruption and inaction from local professionals. 6’s perception of corruption and inaction was influenced by the Welsh context. </w:t>
            </w:r>
            <w:r w:rsidRPr="004A4685">
              <w:rPr>
                <w:sz w:val="24"/>
                <w:szCs w:val="24"/>
              </w:rPr>
              <w:lastRenderedPageBreak/>
              <w:t>He has moved to Wales from another country where the actions and culture of Police are vastly different. He expected a vastly different and more immediate and threatening response from the Police. Additionally, 6 lives in a small rural town in Wales which contributes to his sense of perceived corruption. While members of small rural communities are, generally speaking, less likely than members of larger cities to engage in unethical practices due to reputational concerns (Danielson et al., 2023), there remains a greater perception and risk of unfairness and corruption due to in-group loyalty (Wachs et al., 2019), especially where key decisions remain in the hands of a select few individuals, leading to the common perception of unfairness, corruption, and power imbalance across many small towns in rural Wales (Wales Institute of Social and Economic Research and Data, 2021). 6’s perception of this Welsh small-town corruption is compounded by his sense of being an outsider due to his experience of xenophobic discrimination in his small town. Attitudes towards people from other countries are broadly similar in different areas of the UK (NatCen, 2024). However, due to the smaller and more dispersed migrant and ethnic minority population in Wales, it is more common for people in Wales to experience a more profound sense of difference and othering which contributes to a greater intensity to their experience of xenophobia (Edwards et al., 2025). It seems likely that 6’s vastly different cultural expectations of authority and his perception of himself an outsider</w:t>
            </w:r>
            <w:r w:rsidR="00FB225C">
              <w:rPr>
                <w:sz w:val="24"/>
                <w:szCs w:val="24"/>
              </w:rPr>
              <w:t xml:space="preserve"> </w:t>
            </w:r>
            <w:r w:rsidRPr="004A4685">
              <w:rPr>
                <w:sz w:val="24"/>
                <w:szCs w:val="24"/>
              </w:rPr>
              <w:t>in a corrupt small town contributed to his belief that it was more necessary or legitimate to take matters ‘into his own hands’.</w:t>
            </w:r>
          </w:p>
          <w:p w14:paraId="5880D3BD" w14:textId="77777777" w:rsidR="004A4685" w:rsidRPr="004A4685" w:rsidRDefault="004A4685" w:rsidP="004A4685">
            <w:pPr>
              <w:spacing w:line="360" w:lineRule="auto"/>
              <w:jc w:val="both"/>
              <w:rPr>
                <w:sz w:val="24"/>
                <w:szCs w:val="24"/>
              </w:rPr>
            </w:pPr>
          </w:p>
          <w:p w14:paraId="6147E508" w14:textId="61FB81D7" w:rsidR="004A4685" w:rsidRPr="004A4685" w:rsidRDefault="004A4685" w:rsidP="004A4685">
            <w:pPr>
              <w:spacing w:line="360" w:lineRule="auto"/>
              <w:jc w:val="both"/>
              <w:rPr>
                <w:sz w:val="24"/>
                <w:szCs w:val="24"/>
              </w:rPr>
            </w:pPr>
            <w:r w:rsidRPr="004A4685">
              <w:rPr>
                <w:sz w:val="24"/>
                <w:szCs w:val="24"/>
              </w:rPr>
              <w:t>I considered 6’s personal history</w:t>
            </w:r>
            <w:r w:rsidR="00AD1887">
              <w:rPr>
                <w:sz w:val="24"/>
                <w:szCs w:val="24"/>
              </w:rPr>
              <w:t xml:space="preserve"> </w:t>
            </w:r>
            <w:r w:rsidRPr="004A4685">
              <w:rPr>
                <w:sz w:val="24"/>
                <w:szCs w:val="24"/>
              </w:rPr>
              <w:t xml:space="preserve">and mental health. Consultation with other professionals who know 6 informed me that he has made similar statements before on many occasions. He appears to have a reduced ‘social filter’ and will speak his thoughts more bluntly and directly than would be considered typical, meaning he is more likely to say things he will not actually do. However, I believed the risk was greater in this instance as his statements were in response to being allegedly assaulted and he seemed fixated on this event and the impact on his identity as a man and a protector. Further, he has a greater risk of acting impulsively, and has a heightened sense of threat perception due to his mental health difficulties. With these details above, it could still seem like a person who is mentally unwell and just speaking his thoughts and so the risk could be seen as relatively low, especially when considering that 6 appears to have not responded with any violence when he was assaulted by the neighbour. </w:t>
            </w:r>
            <w:r w:rsidRPr="004A4685">
              <w:rPr>
                <w:sz w:val="24"/>
                <w:szCs w:val="24"/>
              </w:rPr>
              <w:lastRenderedPageBreak/>
              <w:t>However, a key factor in my assessment of risk is that 6 is a trained soldier with a lengthy history of participation in armed combat with the necessary training and experience to kill people. On one hand, 6 was saying he is simply expressing his feelings and has a habit of doing so without intent, he was saying he would not imminently harm anyone and did not have access to a gun. On the other hand, he is a trained and experienced soldier with poor mental health, a tendency to think in ‘black and white' terms with an overt sense of justice, a greater likelihood for misunderstanding, continual state of hypervigilance, significant distrust of authority, and a difficulty with emotional regulation and impulse control, meaning he could be considered more likely to perceive threats and injustice and to respond in an aggressive or hostile manner. On balance, after analysis of this situation, I used my professional judgement, in line with N</w:t>
            </w:r>
            <w:r w:rsidR="00F641B0">
              <w:rPr>
                <w:sz w:val="24"/>
                <w:szCs w:val="24"/>
              </w:rPr>
              <w:t xml:space="preserve">ational </w:t>
            </w:r>
            <w:r w:rsidRPr="004A4685">
              <w:rPr>
                <w:sz w:val="24"/>
                <w:szCs w:val="24"/>
              </w:rPr>
              <w:t>O</w:t>
            </w:r>
            <w:r w:rsidR="00F641B0">
              <w:rPr>
                <w:sz w:val="24"/>
                <w:szCs w:val="24"/>
              </w:rPr>
              <w:t xml:space="preserve">ccupational </w:t>
            </w:r>
            <w:r w:rsidRPr="004A4685">
              <w:rPr>
                <w:sz w:val="24"/>
                <w:szCs w:val="24"/>
              </w:rPr>
              <w:t>S</w:t>
            </w:r>
            <w:r w:rsidR="00F641B0">
              <w:rPr>
                <w:sz w:val="24"/>
                <w:szCs w:val="24"/>
              </w:rPr>
              <w:t>tandards</w:t>
            </w:r>
            <w:r w:rsidRPr="004A4685">
              <w:rPr>
                <w:sz w:val="24"/>
                <w:szCs w:val="24"/>
              </w:rPr>
              <w:t xml:space="preserve"> for social work (SCW, 2026), to decide that there was a risk of harm to and from his neighbour, that this needed multi-agency awareness and involvement, and needed swift but not immediate action. Hence, I followed the safeguarding procedure, discussed this with my line manager, and submitted the MARF. The duty to report this concern is stated in both Part 7 SSW(W)A14 and the local authority policy (XXX County Council Safeguarding Policy, 2022). I received a swift reply however there was disagreement about whether 6 met the criteria laid out in Section 126 of the SSW(W)A14 for an adult at risk.</w:t>
            </w:r>
          </w:p>
          <w:p w14:paraId="1E2A48E9" w14:textId="77777777" w:rsidR="004A4685" w:rsidRPr="004A4685" w:rsidRDefault="004A4685" w:rsidP="004A4685">
            <w:pPr>
              <w:spacing w:line="360" w:lineRule="auto"/>
              <w:jc w:val="both"/>
              <w:rPr>
                <w:sz w:val="24"/>
                <w:szCs w:val="24"/>
              </w:rPr>
            </w:pPr>
          </w:p>
          <w:p w14:paraId="573BE6CA" w14:textId="77777777" w:rsidR="004A4685" w:rsidRPr="004A4685" w:rsidRDefault="004A4685" w:rsidP="004A4685">
            <w:pPr>
              <w:spacing w:line="360" w:lineRule="auto"/>
              <w:jc w:val="both"/>
              <w:rPr>
                <w:sz w:val="24"/>
                <w:szCs w:val="24"/>
              </w:rPr>
            </w:pPr>
            <w:r w:rsidRPr="004A4685">
              <w:rPr>
                <w:sz w:val="24"/>
                <w:szCs w:val="24"/>
              </w:rPr>
              <w:t xml:space="preserve">The implementation of the SSW(W)A14 was a landmark change in social care in Wales, laying out the criteria for adult safeguarding, bringing together social care law, and changing the emphasis from protection to wellbeing, with an emphasis on autonomy and person-centred care (Davies et al., 2016). It is hard to comprehend, looking back, that legislation for adult safeguarding only came into existence in 2014, in England with the Care Act (2014) and in Wales with the SSW(W)A14. Prior to this, in Wales, there was a reliance on professionals following guidance (In Safe Hands, 2000) and, despite good intentions, the limited resources often meant that adults only eventually had support by the time they were in crisis </w:t>
            </w:r>
            <w:r w:rsidRPr="004A4685">
              <w:rPr>
                <w:color w:val="0E101A"/>
                <w:sz w:val="24"/>
                <w:szCs w:val="24"/>
              </w:rPr>
              <w:t xml:space="preserve">(Douglas and Barlow, 2023). The SSW(W)A14 sets out a strong and clear framework for safeguarding when compared internationally. For example, countries, such as the USA or Australia, do not have a single unified adult safeguarding duty. The SSW(W)A14 sets out the statutory safeguarding duty and the three criteria test (S.126 SSW(W)A14) for an adult at risk. The need to meet all three parts of the test limits state intervention into people’s lives unless there </w:t>
            </w:r>
            <w:r w:rsidRPr="004A4685">
              <w:rPr>
                <w:color w:val="0E101A"/>
                <w:sz w:val="24"/>
                <w:szCs w:val="24"/>
              </w:rPr>
              <w:lastRenderedPageBreak/>
              <w:t xml:space="preserve">is sufficient reason, supporting the legislative aim of moving from paternalism to participation (Douglas and Barlow, 2023). The standardised language of the safeguarding threshold supports an equity of intervention across the nation which is further aided by the introduction of the Single Unified Safeguarding Review (SUSR) in Wales (NISBWales, 2025). However, </w:t>
            </w:r>
            <w:r w:rsidRPr="004A4685">
              <w:rPr>
                <w:sz w:val="24"/>
                <w:szCs w:val="24"/>
              </w:rPr>
              <w:t>Welsh Adult Practice Reviews have stated that uncertainty and subjectivity around interpretation of these three criteria have been found to lead to disagreements and delays in action which have resulted in harm and death (National Independent Safeguarding Board Wales, 2025). I felt that 6 was at risk of harm, had care and support needs, and because of those needs could not protect himself, meeting the definition of an ‘adult at risk’ under the criteria set out in section 126 of the SSW(W)A14. However, the adult safeguarding team disagreed, feeling that he was not an adult at risk. If the safeguarding team had agreed that 6 met the criteria for a Section 126 enquiry then a strategy meeting would have been held to share information, including the views and wishes of 6, and to assess and manage risk, with actions that could include the implementation of care plans or multi-agency protection plans, or referrals to other processes, services, or criminal investigations. Ultimately, despite this disagreement, it did not make any meaningful difference or increase any risk, as appropriate action could still be taken - the safeguarding team shared the MARF with the police and referred me to an information sharing protocol with the Police and advised me on how to initiate this. I would still attend a multi-agency meeting to assess and manage this risk, but it would be through the police.</w:t>
            </w:r>
          </w:p>
          <w:p w14:paraId="3011AC8C" w14:textId="77777777" w:rsidR="004A4685" w:rsidRPr="004A4685" w:rsidRDefault="004A4685" w:rsidP="004A4685">
            <w:pPr>
              <w:spacing w:line="360" w:lineRule="auto"/>
              <w:jc w:val="both"/>
              <w:rPr>
                <w:sz w:val="24"/>
                <w:szCs w:val="24"/>
              </w:rPr>
            </w:pPr>
          </w:p>
          <w:p w14:paraId="3115568B" w14:textId="77777777" w:rsidR="004A4685" w:rsidRPr="004A4685" w:rsidRDefault="004A4685" w:rsidP="004A4685">
            <w:pPr>
              <w:spacing w:line="360" w:lineRule="auto"/>
              <w:jc w:val="both"/>
              <w:rPr>
                <w:sz w:val="24"/>
                <w:szCs w:val="24"/>
              </w:rPr>
            </w:pPr>
            <w:r w:rsidRPr="004A4685">
              <w:rPr>
                <w:sz w:val="24"/>
                <w:szCs w:val="24"/>
              </w:rPr>
              <w:t>In safeguarding, it is now abundantly clear that information sharing is a fundamental necessity to protect people in safeguarding scenarios. While there are numerous examples, the torture and death of Victoria Climbie in 2000, the suffering and death of Baby P in 2007, and the systemic abuse of adults in Winterbourne View in 2011 all laid out in awful clarity how the failure of professionals to communicate contributed to ongoing abuse, suffering, torture, and death (Laming, 2003; 2009; Davidson, 2012). Clearly, I was going to follow the procedure, and I did initiate this multi-agency meeting with the police, but I faced another ethical dilemma. Do I tell 6 that there is a multi-agency meeting in response to his statements about killing his neighbour or not?</w:t>
            </w:r>
          </w:p>
          <w:p w14:paraId="1AA5EA9D" w14:textId="77777777" w:rsidR="004A4685" w:rsidRPr="004A4685" w:rsidRDefault="004A4685" w:rsidP="004A4685">
            <w:pPr>
              <w:spacing w:line="360" w:lineRule="auto"/>
              <w:jc w:val="both"/>
              <w:rPr>
                <w:sz w:val="24"/>
                <w:szCs w:val="24"/>
              </w:rPr>
            </w:pPr>
          </w:p>
          <w:p w14:paraId="6A2653E3" w14:textId="471490D9" w:rsidR="004A4685" w:rsidRPr="004A4685" w:rsidRDefault="004A4685" w:rsidP="004A4685">
            <w:pPr>
              <w:spacing w:line="360" w:lineRule="auto"/>
              <w:jc w:val="both"/>
              <w:rPr>
                <w:sz w:val="24"/>
                <w:szCs w:val="24"/>
              </w:rPr>
            </w:pPr>
            <w:r w:rsidRPr="004A4685">
              <w:rPr>
                <w:sz w:val="24"/>
                <w:szCs w:val="24"/>
              </w:rPr>
              <w:lastRenderedPageBreak/>
              <w:t xml:space="preserve">During this year of practice, I have become aware of a tension between transparency and risk. In both my personal and professional view, I believe that transparency and working openly and honestly is of significant importance, as this underpins trust and confidence, integrity, relationships, collaboration, and co-production, through which the most meaningful change can happen, all of which are central to the social work Code of Practice (SCW, 2017). However, I have become aware of times when this needs to be balanced against the possibility of increasing risk. For example, if a person says they are suicidal, they have a plan to act, refuse any support or safety plan, and you believe their intent, then you may need to call for emergency services or a Mental Health Act (1983) (MHA83) assessment. If you tell them that you are calling for this intervention there is a chance they could respond in two ways, either by (i) feeling relieved someone will help - reducing the risk, or (ii) seeing this as a need to act before they get here – essentially putting a deadline on their actions and increasing the risk. The multi-agency police meeting was not an emergency response and did not involve 6 directly. I could simply have not mentioned this to him, but if this led to action and he found out later about the meeting, then this could hinder his trust in me, which would profoundly hinder his mental health recovery. Additionally, gathering his views and wishes with full awareness of what is happening enables me to advocate for his voice and control and a person-centred approach to safeguarding in this multi-agency meeting, in line with the principles of the SSW(W)A14 and National Occupational Standards for social work. </w:t>
            </w:r>
          </w:p>
          <w:p w14:paraId="5B6D16E9" w14:textId="77777777" w:rsidR="004A4685" w:rsidRPr="004A4685" w:rsidRDefault="004A4685" w:rsidP="004A4685">
            <w:pPr>
              <w:spacing w:line="360" w:lineRule="auto"/>
              <w:jc w:val="both"/>
              <w:rPr>
                <w:sz w:val="24"/>
                <w:szCs w:val="24"/>
              </w:rPr>
            </w:pPr>
          </w:p>
          <w:p w14:paraId="0314D49F" w14:textId="77777777" w:rsidR="004A4685" w:rsidRPr="004A4685" w:rsidRDefault="004A4685" w:rsidP="004A4685">
            <w:pPr>
              <w:spacing w:line="360" w:lineRule="auto"/>
              <w:jc w:val="both"/>
              <w:rPr>
                <w:sz w:val="24"/>
                <w:szCs w:val="24"/>
              </w:rPr>
            </w:pPr>
            <w:r w:rsidRPr="004A4685">
              <w:rPr>
                <w:sz w:val="24"/>
                <w:szCs w:val="24"/>
              </w:rPr>
              <w:t xml:space="preserve">The positive relationship and trust I have built with 6 has been hard-earned and he has strong opinions on loyalty and trust – he has a tendency to draw hard lines between ‘allies’ and ‘enemies’, and him feeling that I have done things ‘behind his back’ would almost certainly lead to him no longer working with me. However, if I chose to tell him about this meeting, there is the chance this could increase his anxiety about the potential outcome of this meeting, and it could increase the likelihood of him feeling like he needs to act on his impulses before the police are able to stop him and therefore increase the risk of harm to the neighbour. After careful consideration, I felt that openness was important to maintain the relationship and that it was unlikely that this would cause him to harm to his neighbour. I also felt that I could use my communication skills to tell him about the meeting in a way that would help him understand why this was not only necessary but actually helpful for him, expressing his views and wishes, </w:t>
            </w:r>
            <w:r w:rsidRPr="004A4685">
              <w:rPr>
                <w:sz w:val="24"/>
                <w:szCs w:val="24"/>
              </w:rPr>
              <w:lastRenderedPageBreak/>
              <w:t xml:space="preserve">and maintaining our relationship while not increasing the risk. To promote engagement and participation (NOS, SCW 2026), I planned how I would explain this in advance and thought about this in great detail. I was able to agree with him that, despite him saying he won’t act on his thoughts, there is a level of risk to both him and the neighbour and that we have a duty to respond to these type of statements, and that my presence in this meeting means that the police would have a more nuanced understanding of him and the context which would be in his interest. He agreed with me and was in fact pleased about the multi-agency information sharing. </w:t>
            </w:r>
          </w:p>
          <w:p w14:paraId="512D816C" w14:textId="77777777" w:rsidR="004A4685" w:rsidRPr="004A4685" w:rsidRDefault="004A4685" w:rsidP="004A4685">
            <w:pPr>
              <w:spacing w:line="360" w:lineRule="auto"/>
              <w:jc w:val="both"/>
              <w:rPr>
                <w:sz w:val="24"/>
                <w:szCs w:val="24"/>
              </w:rPr>
            </w:pPr>
          </w:p>
          <w:p w14:paraId="59CAE5C6" w14:textId="77777777" w:rsidR="004A4685" w:rsidRPr="004A4685" w:rsidRDefault="004A4685" w:rsidP="004A4685">
            <w:pPr>
              <w:spacing w:line="360" w:lineRule="auto"/>
              <w:jc w:val="both"/>
              <w:rPr>
                <w:sz w:val="24"/>
                <w:szCs w:val="24"/>
              </w:rPr>
            </w:pPr>
            <w:r w:rsidRPr="004A4685">
              <w:rPr>
                <w:sz w:val="24"/>
                <w:szCs w:val="24"/>
              </w:rPr>
              <w:t xml:space="preserve">Multi-agency working is necessary to gain the full picture of risk and to use all available knowledge, skills, and legal powers to protect people. This necessity, hard learned, is set out strongly in Welsh legislation as a core principle of the SSW(W)A14, a shared responsibility, and a statutory requirement, with oversight through multi-agency safeguarding boards (NISBWales, 2025). There have been numerous high-profile examples where a lack of effective multi-agency working around people with mental illness contributed to tragic outcomes (e.g., Christopher Clunis, Andrew Robinson, Valdo Calocane). The shocking, catastrophic, and high-profile nature of these examples have contributed to a pervasive stereotype that people with mental illness pose a greater risk of violence and should be feared (Stuart, 2003; Warner et al., 2017), this is despite the fact that people with mental illness are far more likely to be victims of violence rather than perpetrators (Thornicroft, 2020). Multi-agency working not only allows for greater sharing of responsibility, but also for greater understanding. A greater understanding can lead to the challenging of preconceived notions and stereotypes, supporting more compassionate, person-centred, anti-discriminatory, and anti-oppressive practice. The potential here, is that this stereotype would colour the perception from police and lead to a disproportionately heavy-handed approach for 6, especially as the police did not have the same detailed and nuanced understanding of the situation as me. Indeed, one of the first questions from the police was whether 6 should be detained under the Mental Health Act (1983). </w:t>
            </w:r>
          </w:p>
          <w:p w14:paraId="57DDD018" w14:textId="77777777" w:rsidR="004A4685" w:rsidRPr="004A4685" w:rsidRDefault="004A4685" w:rsidP="004A4685">
            <w:pPr>
              <w:spacing w:line="360" w:lineRule="auto"/>
              <w:jc w:val="both"/>
              <w:rPr>
                <w:sz w:val="24"/>
                <w:szCs w:val="24"/>
              </w:rPr>
            </w:pPr>
          </w:p>
          <w:p w14:paraId="73850986" w14:textId="152303FF" w:rsidR="004A4685" w:rsidRPr="004A4685" w:rsidRDefault="004A4685" w:rsidP="004A4685">
            <w:pPr>
              <w:spacing w:line="360" w:lineRule="auto"/>
              <w:jc w:val="both"/>
              <w:rPr>
                <w:sz w:val="24"/>
                <w:szCs w:val="24"/>
              </w:rPr>
            </w:pPr>
            <w:r w:rsidRPr="004A4685">
              <w:rPr>
                <w:sz w:val="24"/>
                <w:szCs w:val="24"/>
              </w:rPr>
              <w:t xml:space="preserve">While the detention of 6 could certainly be a method of ensuring that the neighbour did not come to any harm, this decision again involved the balancing of fundamental human rights, </w:t>
            </w:r>
            <w:r w:rsidRPr="004A4685">
              <w:rPr>
                <w:sz w:val="24"/>
                <w:szCs w:val="24"/>
              </w:rPr>
              <w:lastRenderedPageBreak/>
              <w:t>balancing Articles 5 and 8 (liberty and private life) against Article 2 (life). Given the circumstances, this was an understandable and necessary question to ask, but there was the potential that the proportionality and balancing of human rights could be affected by pervasive stereotypes about mental illness. My detailed knowledge facilitated an anti-discriminatory, proportionate, and considered approach to 6, and the challenging of stereotypes through greater understanding of the individual (Allport, 1954). This was especially important as I felt 6 was also a victim of abuse from the neighbour and could further become a victim of misrepresentation and misunderstanding. I had already anticipated the question about possible detention under the MHA83 and had discussed this with the Approved Mental Health Practitioner (AMHP) in advance.</w:t>
            </w:r>
            <w:r w:rsidR="00065F31">
              <w:rPr>
                <w:sz w:val="24"/>
                <w:szCs w:val="24"/>
              </w:rPr>
              <w:t xml:space="preserve"> T</w:t>
            </w:r>
            <w:r w:rsidRPr="004A4685">
              <w:rPr>
                <w:sz w:val="24"/>
                <w:szCs w:val="24"/>
              </w:rPr>
              <w:t xml:space="preserve">he AMHP </w:t>
            </w:r>
            <w:r w:rsidR="00065F31">
              <w:rPr>
                <w:sz w:val="24"/>
                <w:szCs w:val="24"/>
              </w:rPr>
              <w:t xml:space="preserve">also </w:t>
            </w:r>
            <w:r w:rsidR="008D6E62">
              <w:rPr>
                <w:sz w:val="24"/>
                <w:szCs w:val="24"/>
              </w:rPr>
              <w:t>offered to attend the meeting and confirmed a MHA83 assessment would not be appropriate at this time</w:t>
            </w:r>
            <w:r w:rsidRPr="004A4685">
              <w:rPr>
                <w:sz w:val="24"/>
                <w:szCs w:val="24"/>
              </w:rPr>
              <w:t>.</w:t>
            </w:r>
          </w:p>
          <w:p w14:paraId="51CB4D98" w14:textId="77777777" w:rsidR="004A4685" w:rsidRPr="004A4685" w:rsidRDefault="004A4685" w:rsidP="004A4685">
            <w:pPr>
              <w:spacing w:line="360" w:lineRule="auto"/>
              <w:jc w:val="both"/>
              <w:rPr>
                <w:sz w:val="24"/>
                <w:szCs w:val="24"/>
              </w:rPr>
            </w:pPr>
          </w:p>
          <w:p w14:paraId="7F6C9A0E" w14:textId="1281BBBA" w:rsidR="004A4685" w:rsidRPr="004A4685" w:rsidRDefault="004A4685" w:rsidP="004A4685">
            <w:pPr>
              <w:spacing w:line="360" w:lineRule="auto"/>
              <w:jc w:val="both"/>
              <w:rPr>
                <w:sz w:val="24"/>
                <w:szCs w:val="24"/>
              </w:rPr>
            </w:pPr>
            <w:r w:rsidRPr="004A4685">
              <w:rPr>
                <w:sz w:val="24"/>
                <w:szCs w:val="24"/>
              </w:rPr>
              <w:t>We agreed that 6 did need psychiatric assessment, but he did not currently need a MHA83 assessment. We felt we needed to better understand his insight and mental stability to establish whether this situation would be managed through a mental health or a police protection route. The balancing of rights and the need to promote wellbeing and not be overly restrictive, means that the response needs to be proportionate. Detaining 6 under the MHA83 felt too heavy-handed and could have a significant deleterious impact on his wellbeing and sense of trust with authority (Blakley et al., 2022). Meanwhile, disregarding the statements altogether felt insufficient and potentially left people at risk of harm. We agreed for 6 to be offered and encouraged to attend an assessment with a psychiatrist, and for us to collectively maintain oversight and communication through this multi-agency platform. I also offered to share my detailed risk assessment which was in the form of a third-generation structured professional judgement tool, called a WARRN (Wales Applied Risk Research Network).</w:t>
            </w:r>
          </w:p>
          <w:p w14:paraId="045F0320" w14:textId="77777777" w:rsidR="004A4685" w:rsidRPr="004A4685" w:rsidRDefault="004A4685" w:rsidP="004A4685">
            <w:pPr>
              <w:spacing w:line="360" w:lineRule="auto"/>
              <w:jc w:val="both"/>
              <w:rPr>
                <w:sz w:val="24"/>
                <w:szCs w:val="24"/>
              </w:rPr>
            </w:pPr>
          </w:p>
          <w:p w14:paraId="4C0795CD" w14:textId="77777777" w:rsidR="004A4685" w:rsidRPr="004A4685" w:rsidRDefault="004A4685" w:rsidP="004A4685">
            <w:pPr>
              <w:spacing w:line="360" w:lineRule="auto"/>
              <w:jc w:val="both"/>
              <w:rPr>
                <w:sz w:val="24"/>
                <w:szCs w:val="24"/>
              </w:rPr>
            </w:pPr>
            <w:r w:rsidRPr="004A4685">
              <w:rPr>
                <w:sz w:val="24"/>
                <w:szCs w:val="24"/>
              </w:rPr>
              <w:t xml:space="preserve">Contemporary society can be seen to be dominated by a nervous anxiety about risk, with structures built around control and the prevention of harm (Warner et al., 2017) that can be at odds with anti-oppressive social work values (Hardy, 2017) and the principles of wellbeing and autonomy. Models of risk assessment (Maclean, 2020), can help explain the advantages and limitations of types of risk assessment: actuarial, clinical, and holistic assessment. Following high-profile tragedies, in a managerialist climate, underpinned by a neoliberal </w:t>
            </w:r>
            <w:r w:rsidRPr="004A4685">
              <w:rPr>
                <w:sz w:val="24"/>
                <w:szCs w:val="24"/>
              </w:rPr>
              <w:lastRenderedPageBreak/>
              <w:t>ideology, actuarial risk assessment tools were developed to try to identify, predict, and manage risk. (Hardy, 2017; Lee, 2017). However, it remains the case that is not possible to fully predict risk, and such actuarial tools can even be criticised for supporting an accepted fiction that may calm social anxiety but lead to inaction (Coffey et al., 2017). Clinical assessment allows for professional wisdom but has the limitations of subjective and value-based judgement (Maclean, 2020). The WARRN tool is a third-generation holistic risk assessment that utilises structured professional judgement. While it is not a crystal ball, this type of risk assessment tool makes use of both objective measures and subjective professional wisdom and has now been adopted across all of Wales (Snowden et al., 2019). I used my knowledge and professional judgement in the creation of this WARRN and shared the information with relevant people to promote a more detailed understanding of 6, helping to manage the risk in a person-centred and anti-discriminatory manner. I also completed this process openly with 6, and in hindsight, it was an excellent decision to work honestly and openly with him as this kept our strong relationship, which was eventually how we managed this safeguarding risk.</w:t>
            </w:r>
          </w:p>
          <w:p w14:paraId="5A0AB5A2" w14:textId="77777777" w:rsidR="004A4685" w:rsidRPr="004A4685" w:rsidRDefault="004A4685" w:rsidP="004A4685">
            <w:pPr>
              <w:spacing w:line="360" w:lineRule="auto"/>
              <w:jc w:val="both"/>
              <w:rPr>
                <w:sz w:val="24"/>
                <w:szCs w:val="24"/>
              </w:rPr>
            </w:pPr>
          </w:p>
          <w:p w14:paraId="67E6F1B9" w14:textId="77777777" w:rsidR="004A4685" w:rsidRPr="004A4685" w:rsidRDefault="004A4685" w:rsidP="004A4685">
            <w:pPr>
              <w:spacing w:line="360" w:lineRule="auto"/>
              <w:jc w:val="both"/>
              <w:rPr>
                <w:sz w:val="24"/>
                <w:szCs w:val="24"/>
              </w:rPr>
            </w:pPr>
            <w:r w:rsidRPr="004A4685">
              <w:rPr>
                <w:sz w:val="24"/>
                <w:szCs w:val="24"/>
              </w:rPr>
              <w:t xml:space="preserve">I consider myself a relationship-based social worker (Ruch et al., 2018), embracing the idea that meaningful change can be brought about through partnership and human connection. 6 was assessed by the psychiatrist, who found that he did understand the situation and ramifications and so this should be considered under a criminal rather than psychiatric route. However, the police did not wish to criminalise him for this behaviour at this time, and we felt this risk could be managed through my interaction and oversight with him. I maintained a good relationship with 6, and he was able to be open and honest with his feelings about his neighbour and was able to participate effectively in conversations about why he felt this way and to understand how his personal history, diagnoses, and family circumstances contributed to his feelings. I was able to use Rogerian principles of empathy, congruence, and unconditional positive regard (Rogers, 1957) and the creation of a safe emotional space (Biestek, 1961) to allow for meaningful conversations about his situation and his feelings. This allowed me to incorporate principes from Karpman’s (1968) drama triangle to help him to move from a </w:t>
            </w:r>
            <w:r w:rsidRPr="004A4685">
              <w:rPr>
                <w:i/>
                <w:iCs/>
                <w:sz w:val="24"/>
                <w:szCs w:val="24"/>
              </w:rPr>
              <w:t>victim</w:t>
            </w:r>
            <w:r w:rsidRPr="004A4685">
              <w:rPr>
                <w:sz w:val="24"/>
                <w:szCs w:val="24"/>
              </w:rPr>
              <w:t xml:space="preserve"> to a </w:t>
            </w:r>
            <w:r w:rsidRPr="004A4685">
              <w:rPr>
                <w:i/>
                <w:iCs/>
                <w:sz w:val="24"/>
                <w:szCs w:val="24"/>
              </w:rPr>
              <w:t>thriver</w:t>
            </w:r>
            <w:r w:rsidRPr="004A4685">
              <w:rPr>
                <w:sz w:val="24"/>
                <w:szCs w:val="24"/>
              </w:rPr>
              <w:t xml:space="preserve"> through acknowledging his strengths and helping him to get what he wants in a healthy way. We resolved a lot of his feelings about his identity as a man </w:t>
            </w:r>
            <w:r w:rsidRPr="004A4685">
              <w:rPr>
                <w:sz w:val="24"/>
                <w:szCs w:val="24"/>
              </w:rPr>
              <w:lastRenderedPageBreak/>
              <w:t>and protector, through recognition that he did not respond physically when he was previously a victim of assault in order to prevent being arrested so he could continue to be there for his family, and how this is the action of a strong provider. We resolved some of his feelings of helplessness through establishing a means of moving house (which was always one of his long-term goals). This internal change in mindset, from a helpless victim to a strong provider with hope for the future was the key reason the risk reduced and his antipathy towards his neighbour subsided. Meanwhile, we continued to monitor the situation with subsequent police meetings until the point that it was deemed this could be stopped. The statutory duties and procedures were followed but, in my professional opinion, it was the social work values of working together in partnership and meaningful human connection that enabled us to promote safety, and wellbeing, uphold human rights, and maintain dignity and trust.</w:t>
            </w:r>
          </w:p>
          <w:p w14:paraId="21D4394D" w14:textId="77777777" w:rsidR="004A4685" w:rsidRPr="004A4685" w:rsidRDefault="004A4685" w:rsidP="004A4685">
            <w:pPr>
              <w:spacing w:line="360" w:lineRule="auto"/>
              <w:jc w:val="both"/>
              <w:rPr>
                <w:sz w:val="24"/>
                <w:szCs w:val="24"/>
              </w:rPr>
            </w:pPr>
          </w:p>
          <w:p w14:paraId="0E7BBCC9" w14:textId="7C0A0B20" w:rsidR="00D3203C" w:rsidRDefault="004A4685" w:rsidP="00AC16D0">
            <w:pPr>
              <w:spacing w:line="360" w:lineRule="auto"/>
              <w:jc w:val="both"/>
              <w:rPr>
                <w:i/>
                <w:sz w:val="24"/>
                <w:szCs w:val="24"/>
              </w:rPr>
            </w:pPr>
            <w:r w:rsidRPr="004A4685">
              <w:rPr>
                <w:sz w:val="24"/>
                <w:szCs w:val="24"/>
              </w:rPr>
              <w:t>Word count: 4</w:t>
            </w:r>
            <w:r w:rsidR="006B766C">
              <w:rPr>
                <w:sz w:val="24"/>
                <w:szCs w:val="24"/>
              </w:rPr>
              <w:t>20</w:t>
            </w:r>
            <w:r w:rsidR="00025D1B">
              <w:rPr>
                <w:sz w:val="24"/>
                <w:szCs w:val="24"/>
              </w:rPr>
              <w:t>8</w:t>
            </w: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40C41" w14:textId="77777777" w:rsidR="003A17F7" w:rsidRDefault="003A17F7">
      <w:r>
        <w:separator/>
      </w:r>
    </w:p>
  </w:endnote>
  <w:endnote w:type="continuationSeparator" w:id="0">
    <w:p w14:paraId="426C1532" w14:textId="77777777" w:rsidR="003A17F7" w:rsidRDefault="003A1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D96AB" w14:textId="77777777" w:rsidR="003A17F7" w:rsidRDefault="003A17F7">
      <w:r>
        <w:separator/>
      </w:r>
    </w:p>
  </w:footnote>
  <w:footnote w:type="continuationSeparator" w:id="0">
    <w:p w14:paraId="169C8D38" w14:textId="77777777" w:rsidR="003A17F7" w:rsidRDefault="003A1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5D1B"/>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65F31"/>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6ABA"/>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2C90"/>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7F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4685"/>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D5F0C"/>
    <w:rsid w:val="005E13EA"/>
    <w:rsid w:val="005E17F1"/>
    <w:rsid w:val="005F64AA"/>
    <w:rsid w:val="005F7851"/>
    <w:rsid w:val="00606E27"/>
    <w:rsid w:val="006108C9"/>
    <w:rsid w:val="00614DF7"/>
    <w:rsid w:val="006179BB"/>
    <w:rsid w:val="0062158D"/>
    <w:rsid w:val="006223FD"/>
    <w:rsid w:val="006326D1"/>
    <w:rsid w:val="00632E0A"/>
    <w:rsid w:val="00633165"/>
    <w:rsid w:val="006353D3"/>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B766C"/>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649A"/>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6E62"/>
    <w:rsid w:val="008D778A"/>
    <w:rsid w:val="008D78C9"/>
    <w:rsid w:val="008E3195"/>
    <w:rsid w:val="008E5A35"/>
    <w:rsid w:val="008F127E"/>
    <w:rsid w:val="008F32D9"/>
    <w:rsid w:val="0090049B"/>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4CAC"/>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16D0"/>
    <w:rsid w:val="00AC3A0E"/>
    <w:rsid w:val="00AC4A04"/>
    <w:rsid w:val="00AC5679"/>
    <w:rsid w:val="00AD1887"/>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AE0"/>
    <w:rsid w:val="00B42E76"/>
    <w:rsid w:val="00B43194"/>
    <w:rsid w:val="00B436BF"/>
    <w:rsid w:val="00B47734"/>
    <w:rsid w:val="00B50FBA"/>
    <w:rsid w:val="00B544B9"/>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377F"/>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41B0"/>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25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517592@student.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22</TotalTime>
  <Pages>12</Pages>
  <Words>4102</Words>
  <Characters>23386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Jeffrey Dale</cp:lastModifiedBy>
  <cp:revision>15</cp:revision>
  <cp:lastPrinted>2020-02-11T19:20:00Z</cp:lastPrinted>
  <dcterms:created xsi:type="dcterms:W3CDTF">2026-09-11T13:08:00Z</dcterms:created>
  <dcterms:modified xsi:type="dcterms:W3CDTF">2026-09-24T12:41:00Z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