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B0D" w:rsidRPr="008821BB" w:rsidRDefault="00B07B0D" w:rsidP="00B07B0D">
      <w:pPr>
        <w:jc w:val="center"/>
      </w:pPr>
      <w:r>
        <w:rPr>
          <w:noProof/>
          <w:lang w:val="en-US" w:eastAsia="en-US"/>
        </w:rPr>
        <w:drawing>
          <wp:inline distT="0" distB="0" distL="0" distR="0" wp14:anchorId="468630A6" wp14:editId="250531DD">
            <wp:extent cx="2028825" cy="712343"/>
            <wp:effectExtent l="19050" t="19050" r="9525" b="12065"/>
            <wp:docPr id="4" name="Picture 4"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MATLAB Access for Everyone - MATLAB &amp; Simulin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0525" cy="716451"/>
                    </a:xfrm>
                    <a:prstGeom prst="rect">
                      <a:avLst/>
                    </a:prstGeom>
                    <a:noFill/>
                    <a:ln>
                      <a:solidFill>
                        <a:schemeClr val="tx1"/>
                      </a:solidFill>
                    </a:ln>
                  </pic:spPr>
                </pic:pic>
              </a:graphicData>
            </a:graphic>
          </wp:inline>
        </w:drawing>
      </w:r>
    </w:p>
    <w:p w:rsidR="00B07B0D" w:rsidRPr="00233039" w:rsidRDefault="00B07B0D" w:rsidP="00B07B0D">
      <w:pPr>
        <w:jc w:val="center"/>
        <w:rPr>
          <w:sz w:val="28"/>
          <w:szCs w:val="28"/>
        </w:rPr>
      </w:pPr>
      <w:r w:rsidRPr="00233039">
        <w:rPr>
          <w:sz w:val="28"/>
          <w:szCs w:val="28"/>
        </w:rPr>
        <w:t>Programme: Master of Business Administration</w:t>
      </w:r>
    </w:p>
    <w:p w:rsidR="00B07B0D" w:rsidRPr="00233039" w:rsidRDefault="00B07B0D" w:rsidP="00B07B0D">
      <w:pPr>
        <w:jc w:val="center"/>
        <w:rPr>
          <w:sz w:val="28"/>
          <w:szCs w:val="28"/>
        </w:rPr>
      </w:pPr>
      <w:r w:rsidRPr="00233039">
        <w:rPr>
          <w:sz w:val="28"/>
          <w:szCs w:val="28"/>
        </w:rPr>
        <w:t>Module code: LCMB7035</w:t>
      </w:r>
    </w:p>
    <w:p w:rsidR="00B07B0D" w:rsidRDefault="00B07B0D" w:rsidP="00B07B0D">
      <w:pPr>
        <w:jc w:val="center"/>
        <w:rPr>
          <w:sz w:val="28"/>
          <w:szCs w:val="28"/>
        </w:rPr>
      </w:pPr>
      <w:r w:rsidRPr="00233039">
        <w:rPr>
          <w:sz w:val="28"/>
          <w:szCs w:val="28"/>
        </w:rPr>
        <w:t xml:space="preserve">Proposal Topic: </w:t>
      </w:r>
      <w:r w:rsidR="00924257" w:rsidRPr="00924257">
        <w:rPr>
          <w:i/>
          <w:iCs/>
          <w:sz w:val="28"/>
          <w:szCs w:val="28"/>
        </w:rPr>
        <w:t>An Investigation into Trade Barriers of SME's obtaining Import Licenses for Drugs in Bangladesh</w:t>
      </w:r>
    </w:p>
    <w:p w:rsidR="00B07B0D" w:rsidRDefault="00B07B0D" w:rsidP="00B07B0D">
      <w:pPr>
        <w:jc w:val="center"/>
        <w:rPr>
          <w:sz w:val="28"/>
          <w:szCs w:val="28"/>
        </w:rPr>
      </w:pPr>
    </w:p>
    <w:p w:rsidR="00B07B0D" w:rsidRPr="006E4100" w:rsidRDefault="00B07B0D" w:rsidP="00B07B0D">
      <w:pPr>
        <w:jc w:val="center"/>
        <w:rPr>
          <w:sz w:val="28"/>
          <w:szCs w:val="24"/>
        </w:rPr>
      </w:pPr>
      <w:r w:rsidRPr="006E4100">
        <w:rPr>
          <w:sz w:val="28"/>
          <w:szCs w:val="24"/>
        </w:rPr>
        <w:t>Submitted by</w:t>
      </w:r>
    </w:p>
    <w:p w:rsidR="00B07B0D" w:rsidRDefault="00B07B0D" w:rsidP="00B07B0D">
      <w:pPr>
        <w:jc w:val="center"/>
      </w:pPr>
      <w:r>
        <w:t>Name:</w:t>
      </w:r>
      <w:r w:rsidR="00EE7C10" w:rsidRPr="00EE7C10">
        <w:t xml:space="preserve"> Ismail </w:t>
      </w:r>
      <w:proofErr w:type="spellStart"/>
      <w:r w:rsidR="00EE7C10" w:rsidRPr="00EE7C10">
        <w:t>Hossan</w:t>
      </w:r>
      <w:proofErr w:type="spellEnd"/>
    </w:p>
    <w:p w:rsidR="00B07B0D" w:rsidRDefault="00B07B0D" w:rsidP="00B07B0D">
      <w:pPr>
        <w:jc w:val="center"/>
      </w:pPr>
      <w:r w:rsidRPr="008821BB">
        <w:t>ID:</w:t>
      </w:r>
      <w:r w:rsidR="00EE7C10" w:rsidRPr="00EE7C10">
        <w:t xml:space="preserve"> 2424577</w:t>
      </w:r>
    </w:p>
    <w:p w:rsidR="006E4100" w:rsidRDefault="006E4100" w:rsidP="00B07B0D">
      <w:pPr>
        <w:jc w:val="center"/>
        <w:rPr>
          <w:sz w:val="28"/>
          <w:szCs w:val="24"/>
        </w:rPr>
      </w:pPr>
    </w:p>
    <w:p w:rsidR="00B07B0D" w:rsidRPr="006E4100" w:rsidRDefault="00B07B0D" w:rsidP="00B07B0D">
      <w:pPr>
        <w:jc w:val="center"/>
        <w:rPr>
          <w:sz w:val="28"/>
          <w:szCs w:val="24"/>
        </w:rPr>
      </w:pPr>
      <w:r w:rsidRPr="006E4100">
        <w:rPr>
          <w:sz w:val="28"/>
          <w:szCs w:val="24"/>
        </w:rPr>
        <w:t>Submitted to</w:t>
      </w:r>
    </w:p>
    <w:p w:rsidR="00B07B0D" w:rsidRDefault="00EE7C10" w:rsidP="00EE7C10">
      <w:pPr>
        <w:jc w:val="center"/>
      </w:pPr>
      <w:r w:rsidRPr="00EE7C10">
        <w:t xml:space="preserve">Dr Charles A.C. </w:t>
      </w:r>
      <w:proofErr w:type="spellStart"/>
      <w:r w:rsidRPr="00EE7C10">
        <w:t>Oham</w:t>
      </w:r>
      <w:proofErr w:type="spellEnd"/>
    </w:p>
    <w:p w:rsidR="007D038E" w:rsidRDefault="007D038E" w:rsidP="007D038E">
      <w:pPr>
        <w:jc w:val="center"/>
      </w:pPr>
      <w:r>
        <w:t>Lecturer</w:t>
      </w:r>
    </w:p>
    <w:p w:rsidR="007D038E" w:rsidRDefault="007D038E" w:rsidP="007D038E">
      <w:pPr>
        <w:jc w:val="center"/>
      </w:pPr>
      <w:r>
        <w:t>Institute of Inner City Learning</w:t>
      </w:r>
    </w:p>
    <w:p w:rsidR="007D038E" w:rsidRDefault="007D038E" w:rsidP="007D038E">
      <w:pPr>
        <w:jc w:val="center"/>
      </w:pPr>
      <w:r>
        <w:t>University of Wales Trinity St David</w:t>
      </w:r>
    </w:p>
    <w:p w:rsidR="00B07B0D" w:rsidRDefault="00B07B0D" w:rsidP="006E4100">
      <w:pPr>
        <w:rPr>
          <w:sz w:val="28"/>
          <w:szCs w:val="28"/>
        </w:rPr>
      </w:pPr>
    </w:p>
    <w:p w:rsidR="00B07B0D" w:rsidRDefault="00B07B0D" w:rsidP="00B07B0D">
      <w:r>
        <w:t xml:space="preserve">Number of Words: </w:t>
      </w:r>
      <w:r w:rsidR="008D5C92">
        <w:t>16540</w:t>
      </w:r>
    </w:p>
    <w:p w:rsidR="00B07B0D" w:rsidRDefault="00B07B0D" w:rsidP="00B07B0D">
      <w:r>
        <w:t>Date of Submission:</w:t>
      </w:r>
      <w:r w:rsidR="003C1926">
        <w:t xml:space="preserve"> 03 Feb 2026</w:t>
      </w:r>
    </w:p>
    <w:p w:rsidR="00B07B0D" w:rsidRDefault="00B07B0D" w:rsidP="00B07B0D"/>
    <w:p w:rsidR="00B07B0D" w:rsidRPr="00233039" w:rsidRDefault="00B07B0D" w:rsidP="00B07B0D"/>
    <w:p w:rsidR="00B07B0D" w:rsidRDefault="00B07B0D">
      <w:pPr>
        <w:spacing w:before="0" w:after="160" w:line="259" w:lineRule="auto"/>
        <w:jc w:val="left"/>
      </w:pPr>
      <w:r>
        <w:br w:type="page"/>
      </w:r>
      <w:bookmarkStart w:id="0" w:name="_GoBack"/>
      <w:bookmarkEnd w:id="0"/>
    </w:p>
    <w:p w:rsidR="003744DF" w:rsidRDefault="00B07B0D" w:rsidP="00B07B0D">
      <w:pPr>
        <w:pStyle w:val="Heading1"/>
        <w:jc w:val="center"/>
      </w:pPr>
      <w:bookmarkStart w:id="1" w:name="_Toc220873880"/>
      <w:r w:rsidRPr="00B07B0D">
        <w:lastRenderedPageBreak/>
        <w:t>Declaration</w:t>
      </w:r>
      <w:bookmarkEnd w:id="1"/>
    </w:p>
    <w:p w:rsidR="00D46F97" w:rsidRPr="009356C2" w:rsidRDefault="00D46F97" w:rsidP="00D46F97">
      <w:pPr>
        <w:pBdr>
          <w:top w:val="single" w:sz="4" w:space="1" w:color="auto"/>
          <w:left w:val="single" w:sz="4" w:space="4" w:color="auto"/>
          <w:bottom w:val="single" w:sz="4" w:space="1" w:color="auto"/>
          <w:right w:val="single" w:sz="4" w:space="4" w:color="auto"/>
        </w:pBdr>
        <w:jc w:val="center"/>
        <w:rPr>
          <w:rFonts w:cs="Arial"/>
        </w:rPr>
      </w:pPr>
      <w:r w:rsidRPr="009356C2">
        <w:rPr>
          <w:rFonts w:cs="Arial"/>
          <w:noProof/>
          <w:lang w:val="en-US" w:eastAsia="en-US"/>
        </w:rPr>
        <w:drawing>
          <wp:inline distT="0" distB="0" distL="0" distR="0" wp14:anchorId="4DE19817" wp14:editId="629484F1">
            <wp:extent cx="2847975" cy="1162050"/>
            <wp:effectExtent l="0" t="0" r="0" b="0"/>
            <wp:docPr id="7" name="Picture 7"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7975" cy="1162050"/>
                    </a:xfrm>
                    <a:prstGeom prst="rect">
                      <a:avLst/>
                    </a:prstGeom>
                    <a:noFill/>
                    <a:ln>
                      <a:noFill/>
                    </a:ln>
                  </pic:spPr>
                </pic:pic>
              </a:graphicData>
            </a:graphic>
          </wp:inline>
        </w:drawing>
      </w:r>
    </w:p>
    <w:p w:rsidR="00D46F97" w:rsidRDefault="00D46F97" w:rsidP="00D46F97">
      <w:pPr>
        <w:pBdr>
          <w:top w:val="single" w:sz="4" w:space="1" w:color="auto"/>
          <w:left w:val="single" w:sz="4" w:space="4" w:color="auto"/>
          <w:bottom w:val="single" w:sz="4" w:space="1" w:color="auto"/>
          <w:right w:val="single" w:sz="4" w:space="4" w:color="auto"/>
        </w:pBdr>
        <w:jc w:val="center"/>
        <w:rPr>
          <w:rFonts w:cs="Arial"/>
          <w:b/>
          <w:sz w:val="28"/>
          <w:szCs w:val="28"/>
        </w:rPr>
      </w:pPr>
    </w:p>
    <w:p w:rsidR="00D46F97" w:rsidRPr="004A32A7" w:rsidRDefault="00D46F97" w:rsidP="00D46F97">
      <w:pPr>
        <w:pBdr>
          <w:top w:val="single" w:sz="4" w:space="1" w:color="auto"/>
          <w:left w:val="single" w:sz="4" w:space="4" w:color="auto"/>
          <w:bottom w:val="single" w:sz="4" w:space="1" w:color="auto"/>
          <w:right w:val="single" w:sz="4" w:space="4" w:color="auto"/>
        </w:pBdr>
        <w:jc w:val="center"/>
        <w:rPr>
          <w:rFonts w:cs="Arial"/>
          <w:sz w:val="28"/>
          <w:szCs w:val="28"/>
        </w:rPr>
      </w:pPr>
      <w:r w:rsidRPr="004A32A7">
        <w:rPr>
          <w:rFonts w:cs="Arial"/>
          <w:b/>
          <w:sz w:val="28"/>
          <w:szCs w:val="28"/>
        </w:rPr>
        <w:t>Master’s Degrees by Examination and Dissertation</w:t>
      </w:r>
    </w:p>
    <w:p w:rsidR="00D46F97" w:rsidRPr="004A32A7" w:rsidRDefault="00D46F97" w:rsidP="00D46F97">
      <w:pPr>
        <w:pBdr>
          <w:top w:val="single" w:sz="4" w:space="1" w:color="auto"/>
          <w:left w:val="single" w:sz="4" w:space="4" w:color="auto"/>
          <w:bottom w:val="single" w:sz="4" w:space="1" w:color="auto"/>
          <w:right w:val="single" w:sz="4" w:space="4" w:color="auto"/>
        </w:pBdr>
        <w:jc w:val="center"/>
        <w:rPr>
          <w:rFonts w:cs="Arial"/>
          <w:sz w:val="28"/>
          <w:szCs w:val="28"/>
        </w:rPr>
      </w:pPr>
      <w:r w:rsidRPr="004A32A7">
        <w:rPr>
          <w:rFonts w:cs="Arial"/>
          <w:b/>
          <w:sz w:val="28"/>
          <w:szCs w:val="28"/>
        </w:rPr>
        <w:t>Declaration Form</w:t>
      </w:r>
      <w:r w:rsidRPr="004A32A7">
        <w:rPr>
          <w:rFonts w:cs="Arial"/>
          <w:sz w:val="28"/>
          <w:szCs w:val="28"/>
        </w:rPr>
        <w:t>.</w:t>
      </w:r>
    </w:p>
    <w:p w:rsidR="00D46F97" w:rsidRDefault="00D46F97" w:rsidP="00D46F97">
      <w:pPr>
        <w:pBdr>
          <w:top w:val="single" w:sz="4" w:space="1" w:color="auto"/>
          <w:left w:val="single" w:sz="4" w:space="4" w:color="auto"/>
          <w:bottom w:val="single" w:sz="4" w:space="1" w:color="auto"/>
          <w:right w:val="single" w:sz="4" w:space="4" w:color="auto"/>
        </w:pBdr>
        <w:spacing w:line="480" w:lineRule="auto"/>
        <w:rPr>
          <w:rFonts w:cs="Arial"/>
        </w:rPr>
      </w:pPr>
    </w:p>
    <w:p w:rsidR="00D46F97" w:rsidRPr="004A32A7" w:rsidRDefault="00D46F97" w:rsidP="00D46F97">
      <w:pPr>
        <w:pBdr>
          <w:top w:val="single" w:sz="4" w:space="1" w:color="auto"/>
          <w:left w:val="single" w:sz="4" w:space="4" w:color="auto"/>
          <w:bottom w:val="single" w:sz="4" w:space="1" w:color="auto"/>
          <w:right w:val="single" w:sz="4" w:space="4" w:color="auto"/>
        </w:pBdr>
        <w:spacing w:line="480" w:lineRule="auto"/>
        <w:rPr>
          <w:rFonts w:cs="Arial"/>
        </w:rPr>
      </w:pPr>
      <w:r w:rsidRPr="004A32A7">
        <w:rPr>
          <w:rFonts w:cs="Arial"/>
        </w:rPr>
        <w:t xml:space="preserve">I, </w:t>
      </w:r>
      <w:r w:rsidRPr="001A11A5">
        <w:rPr>
          <w:rFonts w:cs="Arial"/>
        </w:rPr>
        <w:t xml:space="preserve">Ismail </w:t>
      </w:r>
      <w:proofErr w:type="spellStart"/>
      <w:r w:rsidRPr="001A11A5">
        <w:rPr>
          <w:rFonts w:cs="Arial"/>
        </w:rPr>
        <w:t>Hossan</w:t>
      </w:r>
      <w:proofErr w:type="spellEnd"/>
      <w:r>
        <w:rPr>
          <w:rFonts w:cs="Arial"/>
        </w:rPr>
        <w:t>,</w:t>
      </w:r>
      <w:r w:rsidRPr="004A32A7">
        <w:rPr>
          <w:rFonts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rsidR="00D46F97" w:rsidRPr="004A32A7" w:rsidRDefault="00D46F97" w:rsidP="00D46F97">
      <w:pPr>
        <w:pBdr>
          <w:top w:val="single" w:sz="4" w:space="1" w:color="auto"/>
          <w:left w:val="single" w:sz="4" w:space="4" w:color="auto"/>
          <w:bottom w:val="single" w:sz="4" w:space="1" w:color="auto"/>
          <w:right w:val="single" w:sz="4" w:space="4" w:color="auto"/>
        </w:pBdr>
        <w:spacing w:line="480" w:lineRule="auto"/>
        <w:rPr>
          <w:rFonts w:cs="Arial"/>
        </w:rPr>
      </w:pPr>
      <w:r w:rsidRPr="004A32A7">
        <w:rPr>
          <w:rFonts w:cs="Arial"/>
        </w:rPr>
        <w:t xml:space="preserve"> </w:t>
      </w:r>
    </w:p>
    <w:p w:rsidR="00D46F97" w:rsidRDefault="00D46F97" w:rsidP="00D46F97">
      <w:pPr>
        <w:pBdr>
          <w:top w:val="single" w:sz="4" w:space="1" w:color="auto"/>
          <w:left w:val="single" w:sz="4" w:space="4" w:color="auto"/>
          <w:bottom w:val="single" w:sz="4" w:space="1" w:color="auto"/>
          <w:right w:val="single" w:sz="4" w:space="4" w:color="auto"/>
        </w:pBdr>
        <w:spacing w:line="480" w:lineRule="auto"/>
        <w:rPr>
          <w:rFonts w:cs="Arial"/>
        </w:rPr>
      </w:pPr>
      <w:r w:rsidRPr="004A32A7">
        <w:rPr>
          <w:rFonts w:cs="Arial"/>
        </w:rPr>
        <w:t xml:space="preserve">Signature: </w:t>
      </w:r>
      <w:r w:rsidRPr="001A11A5">
        <w:rPr>
          <w:rFonts w:cs="Arial"/>
          <w:u w:val="dotted"/>
        </w:rPr>
        <w:t xml:space="preserve">Ismail </w:t>
      </w:r>
      <w:proofErr w:type="spellStart"/>
      <w:r w:rsidRPr="001A11A5">
        <w:rPr>
          <w:rFonts w:cs="Arial"/>
          <w:u w:val="dotted"/>
        </w:rPr>
        <w:t>Hossan</w:t>
      </w:r>
      <w:proofErr w:type="spellEnd"/>
    </w:p>
    <w:p w:rsidR="00D46F97" w:rsidRPr="004A32A7" w:rsidRDefault="00D46F97" w:rsidP="00D46F97">
      <w:pPr>
        <w:pBdr>
          <w:top w:val="single" w:sz="4" w:space="1" w:color="auto"/>
          <w:left w:val="single" w:sz="4" w:space="4" w:color="auto"/>
          <w:bottom w:val="single" w:sz="4" w:space="1" w:color="auto"/>
          <w:right w:val="single" w:sz="4" w:space="4" w:color="auto"/>
        </w:pBdr>
        <w:spacing w:line="480" w:lineRule="auto"/>
        <w:rPr>
          <w:rFonts w:cs="Arial"/>
        </w:rPr>
      </w:pPr>
      <w:r w:rsidRPr="004A32A7">
        <w:rPr>
          <w:rFonts w:cs="Arial"/>
        </w:rPr>
        <w:t xml:space="preserve"> </w:t>
      </w:r>
    </w:p>
    <w:p w:rsidR="00D46F97" w:rsidRDefault="00D46F97" w:rsidP="00D46F97">
      <w:pPr>
        <w:pBdr>
          <w:top w:val="single" w:sz="4" w:space="1" w:color="auto"/>
          <w:left w:val="single" w:sz="4" w:space="4" w:color="auto"/>
          <w:bottom w:val="single" w:sz="4" w:space="1" w:color="auto"/>
          <w:right w:val="single" w:sz="4" w:space="4" w:color="auto"/>
        </w:pBdr>
        <w:spacing w:line="480" w:lineRule="auto"/>
        <w:rPr>
          <w:rFonts w:cs="Arial"/>
        </w:rPr>
      </w:pPr>
      <w:r>
        <w:rPr>
          <w:rFonts w:cs="Arial"/>
        </w:rPr>
        <w:t>Date</w:t>
      </w:r>
      <w:r w:rsidRPr="004A32A7">
        <w:rPr>
          <w:rFonts w:cs="Arial"/>
        </w:rPr>
        <w:t>:</w:t>
      </w:r>
      <w:r>
        <w:rPr>
          <w:rFonts w:cs="Arial"/>
        </w:rPr>
        <w:t xml:space="preserve"> </w:t>
      </w:r>
      <w:r w:rsidRPr="001A11A5">
        <w:rPr>
          <w:rFonts w:cs="Arial"/>
          <w:u w:val="dotted"/>
        </w:rPr>
        <w:t>03-02-2026</w:t>
      </w:r>
      <w:r>
        <w:rPr>
          <w:rFonts w:cs="Arial"/>
        </w:rPr>
        <w:t xml:space="preserve">   </w:t>
      </w:r>
    </w:p>
    <w:p w:rsidR="00D46F97" w:rsidRPr="009356C2" w:rsidRDefault="00D46F97" w:rsidP="00D46F97">
      <w:pPr>
        <w:pBdr>
          <w:top w:val="single" w:sz="4" w:space="1" w:color="auto"/>
          <w:left w:val="single" w:sz="4" w:space="4" w:color="auto"/>
          <w:bottom w:val="single" w:sz="4" w:space="1" w:color="auto"/>
          <w:right w:val="single" w:sz="4" w:space="4" w:color="auto"/>
        </w:pBdr>
        <w:rPr>
          <w:rFonts w:cs="Arial"/>
        </w:rPr>
      </w:pPr>
    </w:p>
    <w:p w:rsidR="00B07B0D" w:rsidRDefault="00B07B0D">
      <w:pPr>
        <w:spacing w:before="0" w:after="160" w:line="259" w:lineRule="auto"/>
        <w:jc w:val="left"/>
      </w:pPr>
      <w:r>
        <w:br w:type="page"/>
      </w:r>
    </w:p>
    <w:p w:rsidR="00B07B0D" w:rsidRDefault="00B07B0D" w:rsidP="00B07B0D">
      <w:pPr>
        <w:pStyle w:val="Heading1"/>
        <w:jc w:val="center"/>
      </w:pPr>
      <w:bookmarkStart w:id="2" w:name="_Toc220873881"/>
      <w:r w:rsidRPr="00B07B0D">
        <w:lastRenderedPageBreak/>
        <w:t>Acknowledgments</w:t>
      </w:r>
      <w:bookmarkEnd w:id="2"/>
    </w:p>
    <w:p w:rsidR="00E32029" w:rsidRDefault="00E32029" w:rsidP="00E32029">
      <w:r>
        <w:t xml:space="preserve">It is my personal pleasure to present my own hearty thanks to my dissertation supervisor, Dr Charles A.C. </w:t>
      </w:r>
      <w:proofErr w:type="spellStart"/>
      <w:r>
        <w:t>Oham</w:t>
      </w:r>
      <w:proofErr w:type="spellEnd"/>
      <w:r>
        <w:t>, who provided expert academic guidance to this research, as well as the insightful feedback and consistent support during the research. His critical commentaries, methodological recommendations, and scholarly guidance played a major role in determining the format, analytical perspectives, and quality of this dissertation. His patience and support at the different phases of the research process are especially what I am very appreciative about.</w:t>
      </w:r>
    </w:p>
    <w:p w:rsidR="00E32029" w:rsidRPr="00E32029" w:rsidRDefault="00E32029" w:rsidP="00E32029">
      <w:r>
        <w:t>I would also like to recognize the scholarly faculty of the Master of Business Administration programme as offering an intense and conducive learning process that helped me develop my research skills. Lastly, I would like to thank my family and well-wishers who were understanding, supportive and provided moral support and this was essential in helping me to succeed in this dissertation.</w:t>
      </w:r>
    </w:p>
    <w:p w:rsidR="00B07B0D" w:rsidRDefault="00B07B0D" w:rsidP="00E32029">
      <w:r>
        <w:br w:type="page"/>
      </w:r>
    </w:p>
    <w:p w:rsidR="00B07B0D" w:rsidRDefault="00B07B0D" w:rsidP="00B07B0D">
      <w:pPr>
        <w:pStyle w:val="Heading1"/>
        <w:jc w:val="center"/>
      </w:pPr>
      <w:bookmarkStart w:id="3" w:name="_Toc220873882"/>
      <w:r w:rsidRPr="00B07B0D">
        <w:lastRenderedPageBreak/>
        <w:t>Abstract</w:t>
      </w:r>
      <w:bookmarkEnd w:id="3"/>
    </w:p>
    <w:p w:rsidR="00E373BA" w:rsidRPr="00E373BA" w:rsidRDefault="00E373BA" w:rsidP="00E373BA">
      <w:pPr>
        <w:rPr>
          <w:lang w:val="en-US" w:eastAsia="en-US"/>
        </w:rPr>
      </w:pPr>
      <w:r w:rsidRPr="00E373BA">
        <w:rPr>
          <w:lang w:val="en-US" w:eastAsia="en-US"/>
        </w:rPr>
        <w:t xml:space="preserve">This dissertation explores the trade barriers of the small and medium-sized enterprises (SMEs) acquiring imports </w:t>
      </w:r>
      <w:proofErr w:type="spellStart"/>
      <w:r w:rsidRPr="00E373BA">
        <w:rPr>
          <w:lang w:val="en-US" w:eastAsia="en-US"/>
        </w:rPr>
        <w:t>licences</w:t>
      </w:r>
      <w:proofErr w:type="spellEnd"/>
      <w:r w:rsidRPr="00E373BA">
        <w:rPr>
          <w:lang w:val="en-US" w:eastAsia="en-US"/>
        </w:rPr>
        <w:t xml:space="preserve"> of pharmaceutical products in Bangladesh with a special emphasis on the non-tariff, process-related barriers. The study is based on Administrative Burden and Good Regulatory Practices (GRP) frameworks and how regulatory design and implementation turn out to be learning and compliance costs to SMEs. The study is based on an </w:t>
      </w:r>
      <w:proofErr w:type="spellStart"/>
      <w:r w:rsidRPr="00E373BA">
        <w:rPr>
          <w:lang w:val="en-US" w:eastAsia="en-US"/>
        </w:rPr>
        <w:t>interpretivist</w:t>
      </w:r>
      <w:proofErr w:type="spellEnd"/>
      <w:r w:rsidRPr="00E373BA">
        <w:rPr>
          <w:lang w:val="en-US" w:eastAsia="en-US"/>
        </w:rPr>
        <w:t xml:space="preserve"> and inductive qualitative methodology and includes documentary research of legislation, regulatory documents, manuals on workflow, policy, and peer-reviewed research.</w:t>
      </w:r>
    </w:p>
    <w:p w:rsidR="00E373BA" w:rsidRPr="00E373BA" w:rsidRDefault="00E373BA" w:rsidP="00E373BA">
      <w:pPr>
        <w:rPr>
          <w:lang w:val="en-US" w:eastAsia="en-US"/>
        </w:rPr>
      </w:pPr>
      <w:r w:rsidRPr="00E373BA">
        <w:rPr>
          <w:lang w:val="en-US" w:eastAsia="en-US"/>
        </w:rPr>
        <w:t>The results show that the problems of SMEs are not due to formal tariff provisions, but rather due to procedural complexity, huge amounts of documentation, uncertainty of time, and cycles of queries-resubmission is built-in into the licensing and approval process. These characteristics have a disproportionate impact on SMEs with limited administrative and regulatory power which leads to low operational efficiency due to longer lead times, diversion of the administrative effort, and strains on the working capital. In addition to firm-level impacts, the paper identifies possible system-level impacts on continuity and responsiveness of the supply of medicine in a highly controlled health industry.</w:t>
      </w:r>
    </w:p>
    <w:p w:rsidR="00404E9F" w:rsidRDefault="00E373BA" w:rsidP="00E373BA">
      <w:r w:rsidRPr="00E373BA">
        <w:rPr>
          <w:lang w:val="en-US" w:eastAsia="en-US"/>
        </w:rPr>
        <w:t xml:space="preserve">The dissertation also singles out </w:t>
      </w:r>
      <w:proofErr w:type="spellStart"/>
      <w:r w:rsidRPr="00E373BA">
        <w:rPr>
          <w:lang w:val="en-US" w:eastAsia="en-US"/>
        </w:rPr>
        <w:t>digitisation</w:t>
      </w:r>
      <w:proofErr w:type="spellEnd"/>
      <w:r w:rsidRPr="00E373BA">
        <w:rPr>
          <w:lang w:val="en-US" w:eastAsia="en-US"/>
        </w:rPr>
        <w:t xml:space="preserve">, </w:t>
      </w:r>
      <w:proofErr w:type="spellStart"/>
      <w:r w:rsidRPr="00E373BA">
        <w:rPr>
          <w:lang w:val="en-US" w:eastAsia="en-US"/>
        </w:rPr>
        <w:t>standardisation</w:t>
      </w:r>
      <w:proofErr w:type="spellEnd"/>
      <w:r w:rsidRPr="00E373BA">
        <w:rPr>
          <w:lang w:val="en-US" w:eastAsia="en-US"/>
        </w:rPr>
        <w:t xml:space="preserve"> and Single Window initiatives as important directions of reform though points out that </w:t>
      </w:r>
      <w:proofErr w:type="spellStart"/>
      <w:r w:rsidRPr="00E373BA">
        <w:rPr>
          <w:lang w:val="en-US" w:eastAsia="en-US"/>
        </w:rPr>
        <w:t>digitisation</w:t>
      </w:r>
      <w:proofErr w:type="spellEnd"/>
      <w:r w:rsidRPr="00E373BA">
        <w:rPr>
          <w:lang w:val="en-US" w:eastAsia="en-US"/>
        </w:rPr>
        <w:t xml:space="preserve"> is inadequate. Changing the framework would need procedural streamlining, better direction, evidence proportions, and enhanced user-friendliness to minimize the unnecessary administrative overheads to protect the health of the population. The paper will add to the literature by providing an SME-specific research on the pharmaceutical import licensing, and recommendations based on evidence, that regulators and SME managers can implement.</w:t>
      </w:r>
      <w:r w:rsidR="00404E9F">
        <w:rPr>
          <w:b/>
        </w:rPr>
        <w:br w:type="page"/>
      </w:r>
    </w:p>
    <w:bookmarkStart w:id="4" w:name="_Toc220873883" w:displacedByCustomXml="next"/>
    <w:sdt>
      <w:sdtPr>
        <w:rPr>
          <w:rFonts w:eastAsia="Times New Roman" w:cs="Times New Roman"/>
          <w:b w:val="0"/>
          <w:sz w:val="24"/>
          <w:szCs w:val="22"/>
        </w:rPr>
        <w:id w:val="290876539"/>
        <w:docPartObj>
          <w:docPartGallery w:val="Table of Contents"/>
          <w:docPartUnique/>
        </w:docPartObj>
      </w:sdtPr>
      <w:sdtEndPr>
        <w:rPr>
          <w:bCs/>
          <w:noProof/>
        </w:rPr>
      </w:sdtEndPr>
      <w:sdtContent>
        <w:p w:rsidR="00B07B0D" w:rsidRPr="00FE2A7F" w:rsidRDefault="00B07B0D" w:rsidP="00CF053C">
          <w:pPr>
            <w:pStyle w:val="Heading1"/>
            <w:jc w:val="center"/>
          </w:pPr>
          <w:r w:rsidRPr="00FE2A7F">
            <w:t>Table of Contents</w:t>
          </w:r>
          <w:bookmarkEnd w:id="4"/>
        </w:p>
        <w:p w:rsidR="004D2255" w:rsidRDefault="00B07B0D">
          <w:pPr>
            <w:pStyle w:val="TOC1"/>
            <w:tabs>
              <w:tab w:val="right" w:leader="dot" w:pos="9350"/>
            </w:tabs>
            <w:rPr>
              <w:rFonts w:asciiTheme="minorHAnsi" w:eastAsiaTheme="minorEastAsia" w:hAnsiTheme="minorHAnsi" w:cstheme="minorBidi"/>
              <w:noProof/>
              <w:sz w:val="22"/>
              <w:lang w:val="en-US" w:eastAsia="en-US"/>
            </w:rPr>
          </w:pPr>
          <w:r>
            <w:fldChar w:fldCharType="begin"/>
          </w:r>
          <w:r>
            <w:instrText xml:space="preserve"> TOC \o "1-3" \h \z \u </w:instrText>
          </w:r>
          <w:r>
            <w:fldChar w:fldCharType="separate"/>
          </w:r>
          <w:hyperlink w:anchor="_Toc220873880" w:history="1">
            <w:r w:rsidR="004D2255" w:rsidRPr="00437DBF">
              <w:rPr>
                <w:rStyle w:val="Hyperlink"/>
                <w:noProof/>
              </w:rPr>
              <w:t>Declaration</w:t>
            </w:r>
            <w:r w:rsidR="004D2255">
              <w:rPr>
                <w:noProof/>
                <w:webHidden/>
              </w:rPr>
              <w:tab/>
            </w:r>
            <w:r w:rsidR="004D2255">
              <w:rPr>
                <w:noProof/>
                <w:webHidden/>
              </w:rPr>
              <w:fldChar w:fldCharType="begin"/>
            </w:r>
            <w:r w:rsidR="004D2255">
              <w:rPr>
                <w:noProof/>
                <w:webHidden/>
              </w:rPr>
              <w:instrText xml:space="preserve"> PAGEREF _Toc220873880 \h </w:instrText>
            </w:r>
            <w:r w:rsidR="004D2255">
              <w:rPr>
                <w:noProof/>
                <w:webHidden/>
              </w:rPr>
            </w:r>
            <w:r w:rsidR="004D2255">
              <w:rPr>
                <w:noProof/>
                <w:webHidden/>
              </w:rPr>
              <w:fldChar w:fldCharType="separate"/>
            </w:r>
            <w:r w:rsidR="004D2255">
              <w:rPr>
                <w:noProof/>
                <w:webHidden/>
              </w:rPr>
              <w:t>2</w:t>
            </w:r>
            <w:r w:rsidR="004D2255">
              <w:rPr>
                <w:noProof/>
                <w:webHidden/>
              </w:rPr>
              <w:fldChar w:fldCharType="end"/>
            </w:r>
          </w:hyperlink>
        </w:p>
        <w:p w:rsidR="004D2255" w:rsidRDefault="00D03AE8">
          <w:pPr>
            <w:pStyle w:val="TOC1"/>
            <w:tabs>
              <w:tab w:val="right" w:leader="dot" w:pos="9350"/>
            </w:tabs>
            <w:rPr>
              <w:rFonts w:asciiTheme="minorHAnsi" w:eastAsiaTheme="minorEastAsia" w:hAnsiTheme="minorHAnsi" w:cstheme="minorBidi"/>
              <w:noProof/>
              <w:sz w:val="22"/>
              <w:lang w:val="en-US" w:eastAsia="en-US"/>
            </w:rPr>
          </w:pPr>
          <w:hyperlink w:anchor="_Toc220873881" w:history="1">
            <w:r w:rsidR="004D2255" w:rsidRPr="00437DBF">
              <w:rPr>
                <w:rStyle w:val="Hyperlink"/>
                <w:noProof/>
              </w:rPr>
              <w:t>Acknowledgments</w:t>
            </w:r>
            <w:r w:rsidR="004D2255">
              <w:rPr>
                <w:noProof/>
                <w:webHidden/>
              </w:rPr>
              <w:tab/>
            </w:r>
            <w:r w:rsidR="004D2255">
              <w:rPr>
                <w:noProof/>
                <w:webHidden/>
              </w:rPr>
              <w:fldChar w:fldCharType="begin"/>
            </w:r>
            <w:r w:rsidR="004D2255">
              <w:rPr>
                <w:noProof/>
                <w:webHidden/>
              </w:rPr>
              <w:instrText xml:space="preserve"> PAGEREF _Toc220873881 \h </w:instrText>
            </w:r>
            <w:r w:rsidR="004D2255">
              <w:rPr>
                <w:noProof/>
                <w:webHidden/>
              </w:rPr>
            </w:r>
            <w:r w:rsidR="004D2255">
              <w:rPr>
                <w:noProof/>
                <w:webHidden/>
              </w:rPr>
              <w:fldChar w:fldCharType="separate"/>
            </w:r>
            <w:r w:rsidR="004D2255">
              <w:rPr>
                <w:noProof/>
                <w:webHidden/>
              </w:rPr>
              <w:t>3</w:t>
            </w:r>
            <w:r w:rsidR="004D2255">
              <w:rPr>
                <w:noProof/>
                <w:webHidden/>
              </w:rPr>
              <w:fldChar w:fldCharType="end"/>
            </w:r>
          </w:hyperlink>
        </w:p>
        <w:p w:rsidR="004D2255" w:rsidRDefault="00D03AE8">
          <w:pPr>
            <w:pStyle w:val="TOC1"/>
            <w:tabs>
              <w:tab w:val="right" w:leader="dot" w:pos="9350"/>
            </w:tabs>
            <w:rPr>
              <w:rFonts w:asciiTheme="minorHAnsi" w:eastAsiaTheme="minorEastAsia" w:hAnsiTheme="minorHAnsi" w:cstheme="minorBidi"/>
              <w:noProof/>
              <w:sz w:val="22"/>
              <w:lang w:val="en-US" w:eastAsia="en-US"/>
            </w:rPr>
          </w:pPr>
          <w:hyperlink w:anchor="_Toc220873882" w:history="1">
            <w:r w:rsidR="004D2255" w:rsidRPr="00437DBF">
              <w:rPr>
                <w:rStyle w:val="Hyperlink"/>
                <w:noProof/>
              </w:rPr>
              <w:t>Abstract</w:t>
            </w:r>
            <w:r w:rsidR="004D2255">
              <w:rPr>
                <w:noProof/>
                <w:webHidden/>
              </w:rPr>
              <w:tab/>
            </w:r>
            <w:r w:rsidR="004D2255">
              <w:rPr>
                <w:noProof/>
                <w:webHidden/>
              </w:rPr>
              <w:fldChar w:fldCharType="begin"/>
            </w:r>
            <w:r w:rsidR="004D2255">
              <w:rPr>
                <w:noProof/>
                <w:webHidden/>
              </w:rPr>
              <w:instrText xml:space="preserve"> PAGEREF _Toc220873882 \h </w:instrText>
            </w:r>
            <w:r w:rsidR="004D2255">
              <w:rPr>
                <w:noProof/>
                <w:webHidden/>
              </w:rPr>
            </w:r>
            <w:r w:rsidR="004D2255">
              <w:rPr>
                <w:noProof/>
                <w:webHidden/>
              </w:rPr>
              <w:fldChar w:fldCharType="separate"/>
            </w:r>
            <w:r w:rsidR="004D2255">
              <w:rPr>
                <w:noProof/>
                <w:webHidden/>
              </w:rPr>
              <w:t>4</w:t>
            </w:r>
            <w:r w:rsidR="004D2255">
              <w:rPr>
                <w:noProof/>
                <w:webHidden/>
              </w:rPr>
              <w:fldChar w:fldCharType="end"/>
            </w:r>
          </w:hyperlink>
        </w:p>
        <w:p w:rsidR="004D2255" w:rsidRDefault="00D03AE8">
          <w:pPr>
            <w:pStyle w:val="TOC1"/>
            <w:tabs>
              <w:tab w:val="right" w:leader="dot" w:pos="9350"/>
            </w:tabs>
            <w:rPr>
              <w:rFonts w:asciiTheme="minorHAnsi" w:eastAsiaTheme="minorEastAsia" w:hAnsiTheme="minorHAnsi" w:cstheme="minorBidi"/>
              <w:noProof/>
              <w:sz w:val="22"/>
              <w:lang w:val="en-US" w:eastAsia="en-US"/>
            </w:rPr>
          </w:pPr>
          <w:hyperlink w:anchor="_Toc220873883" w:history="1">
            <w:r w:rsidR="004D2255" w:rsidRPr="00437DBF">
              <w:rPr>
                <w:rStyle w:val="Hyperlink"/>
                <w:noProof/>
              </w:rPr>
              <w:t>Table of Contents</w:t>
            </w:r>
            <w:r w:rsidR="004D2255">
              <w:rPr>
                <w:noProof/>
                <w:webHidden/>
              </w:rPr>
              <w:tab/>
            </w:r>
            <w:r w:rsidR="004D2255">
              <w:rPr>
                <w:noProof/>
                <w:webHidden/>
              </w:rPr>
              <w:fldChar w:fldCharType="begin"/>
            </w:r>
            <w:r w:rsidR="004D2255">
              <w:rPr>
                <w:noProof/>
                <w:webHidden/>
              </w:rPr>
              <w:instrText xml:space="preserve"> PAGEREF _Toc220873883 \h </w:instrText>
            </w:r>
            <w:r w:rsidR="004D2255">
              <w:rPr>
                <w:noProof/>
                <w:webHidden/>
              </w:rPr>
            </w:r>
            <w:r w:rsidR="004D2255">
              <w:rPr>
                <w:noProof/>
                <w:webHidden/>
              </w:rPr>
              <w:fldChar w:fldCharType="separate"/>
            </w:r>
            <w:r w:rsidR="004D2255">
              <w:rPr>
                <w:noProof/>
                <w:webHidden/>
              </w:rPr>
              <w:t>5</w:t>
            </w:r>
            <w:r w:rsidR="004D2255">
              <w:rPr>
                <w:noProof/>
                <w:webHidden/>
              </w:rPr>
              <w:fldChar w:fldCharType="end"/>
            </w:r>
          </w:hyperlink>
        </w:p>
        <w:p w:rsidR="004D2255" w:rsidRDefault="00D03AE8">
          <w:pPr>
            <w:pStyle w:val="TOC1"/>
            <w:tabs>
              <w:tab w:val="right" w:leader="dot" w:pos="9350"/>
            </w:tabs>
            <w:rPr>
              <w:rFonts w:asciiTheme="minorHAnsi" w:eastAsiaTheme="minorEastAsia" w:hAnsiTheme="minorHAnsi" w:cstheme="minorBidi"/>
              <w:noProof/>
              <w:sz w:val="22"/>
              <w:lang w:val="en-US" w:eastAsia="en-US"/>
            </w:rPr>
          </w:pPr>
          <w:hyperlink w:anchor="_Toc220873884" w:history="1">
            <w:r w:rsidR="004D2255" w:rsidRPr="00437DBF">
              <w:rPr>
                <w:rStyle w:val="Hyperlink"/>
                <w:noProof/>
              </w:rPr>
              <w:t>List of Tables and Figures</w:t>
            </w:r>
            <w:r w:rsidR="004D2255">
              <w:rPr>
                <w:noProof/>
                <w:webHidden/>
              </w:rPr>
              <w:tab/>
            </w:r>
            <w:r w:rsidR="004D2255">
              <w:rPr>
                <w:noProof/>
                <w:webHidden/>
              </w:rPr>
              <w:fldChar w:fldCharType="begin"/>
            </w:r>
            <w:r w:rsidR="004D2255">
              <w:rPr>
                <w:noProof/>
                <w:webHidden/>
              </w:rPr>
              <w:instrText xml:space="preserve"> PAGEREF _Toc220873884 \h </w:instrText>
            </w:r>
            <w:r w:rsidR="004D2255">
              <w:rPr>
                <w:noProof/>
                <w:webHidden/>
              </w:rPr>
            </w:r>
            <w:r w:rsidR="004D2255">
              <w:rPr>
                <w:noProof/>
                <w:webHidden/>
              </w:rPr>
              <w:fldChar w:fldCharType="separate"/>
            </w:r>
            <w:r w:rsidR="004D2255">
              <w:rPr>
                <w:noProof/>
                <w:webHidden/>
              </w:rPr>
              <w:t>9</w:t>
            </w:r>
            <w:r w:rsidR="004D2255">
              <w:rPr>
                <w:noProof/>
                <w:webHidden/>
              </w:rPr>
              <w:fldChar w:fldCharType="end"/>
            </w:r>
          </w:hyperlink>
        </w:p>
        <w:p w:rsidR="004D2255" w:rsidRDefault="00D03AE8">
          <w:pPr>
            <w:pStyle w:val="TOC1"/>
            <w:tabs>
              <w:tab w:val="right" w:leader="dot" w:pos="9350"/>
            </w:tabs>
            <w:rPr>
              <w:rFonts w:asciiTheme="minorHAnsi" w:eastAsiaTheme="minorEastAsia" w:hAnsiTheme="minorHAnsi" w:cstheme="minorBidi"/>
              <w:noProof/>
              <w:sz w:val="22"/>
              <w:lang w:val="en-US" w:eastAsia="en-US"/>
            </w:rPr>
          </w:pPr>
          <w:hyperlink w:anchor="_Toc220873885" w:history="1">
            <w:r w:rsidR="004D2255" w:rsidRPr="00437DBF">
              <w:rPr>
                <w:rStyle w:val="Hyperlink"/>
                <w:noProof/>
              </w:rPr>
              <w:t>List of Abbreviations</w:t>
            </w:r>
            <w:r w:rsidR="004D2255">
              <w:rPr>
                <w:noProof/>
                <w:webHidden/>
              </w:rPr>
              <w:tab/>
            </w:r>
            <w:r w:rsidR="004D2255">
              <w:rPr>
                <w:noProof/>
                <w:webHidden/>
              </w:rPr>
              <w:fldChar w:fldCharType="begin"/>
            </w:r>
            <w:r w:rsidR="004D2255">
              <w:rPr>
                <w:noProof/>
                <w:webHidden/>
              </w:rPr>
              <w:instrText xml:space="preserve"> PAGEREF _Toc220873885 \h </w:instrText>
            </w:r>
            <w:r w:rsidR="004D2255">
              <w:rPr>
                <w:noProof/>
                <w:webHidden/>
              </w:rPr>
            </w:r>
            <w:r w:rsidR="004D2255">
              <w:rPr>
                <w:noProof/>
                <w:webHidden/>
              </w:rPr>
              <w:fldChar w:fldCharType="separate"/>
            </w:r>
            <w:r w:rsidR="004D2255">
              <w:rPr>
                <w:noProof/>
                <w:webHidden/>
              </w:rPr>
              <w:t>11</w:t>
            </w:r>
            <w:r w:rsidR="004D2255">
              <w:rPr>
                <w:noProof/>
                <w:webHidden/>
              </w:rPr>
              <w:fldChar w:fldCharType="end"/>
            </w:r>
          </w:hyperlink>
        </w:p>
        <w:p w:rsidR="004D2255" w:rsidRDefault="00D03AE8">
          <w:pPr>
            <w:pStyle w:val="TOC1"/>
            <w:tabs>
              <w:tab w:val="right" w:leader="dot" w:pos="9350"/>
            </w:tabs>
            <w:rPr>
              <w:rFonts w:asciiTheme="minorHAnsi" w:eastAsiaTheme="minorEastAsia" w:hAnsiTheme="minorHAnsi" w:cstheme="minorBidi"/>
              <w:noProof/>
              <w:sz w:val="22"/>
              <w:lang w:val="en-US" w:eastAsia="en-US"/>
            </w:rPr>
          </w:pPr>
          <w:hyperlink w:anchor="_Toc220873886" w:history="1">
            <w:r w:rsidR="004D2255" w:rsidRPr="00437DBF">
              <w:rPr>
                <w:rStyle w:val="Hyperlink"/>
                <w:noProof/>
              </w:rPr>
              <w:t>Chapter 1. Introduction</w:t>
            </w:r>
            <w:r w:rsidR="004D2255">
              <w:rPr>
                <w:noProof/>
                <w:webHidden/>
              </w:rPr>
              <w:tab/>
            </w:r>
            <w:r w:rsidR="004D2255">
              <w:rPr>
                <w:noProof/>
                <w:webHidden/>
              </w:rPr>
              <w:fldChar w:fldCharType="begin"/>
            </w:r>
            <w:r w:rsidR="004D2255">
              <w:rPr>
                <w:noProof/>
                <w:webHidden/>
              </w:rPr>
              <w:instrText xml:space="preserve"> PAGEREF _Toc220873886 \h </w:instrText>
            </w:r>
            <w:r w:rsidR="004D2255">
              <w:rPr>
                <w:noProof/>
                <w:webHidden/>
              </w:rPr>
            </w:r>
            <w:r w:rsidR="004D2255">
              <w:rPr>
                <w:noProof/>
                <w:webHidden/>
              </w:rPr>
              <w:fldChar w:fldCharType="separate"/>
            </w:r>
            <w:r w:rsidR="004D2255">
              <w:rPr>
                <w:noProof/>
                <w:webHidden/>
              </w:rPr>
              <w:t>12</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887" w:history="1">
            <w:r w:rsidR="004D2255" w:rsidRPr="00437DBF">
              <w:rPr>
                <w:rStyle w:val="Hyperlink"/>
                <w:noProof/>
              </w:rPr>
              <w:t>1.1 Introduction</w:t>
            </w:r>
            <w:r w:rsidR="004D2255">
              <w:rPr>
                <w:noProof/>
                <w:webHidden/>
              </w:rPr>
              <w:tab/>
            </w:r>
            <w:r w:rsidR="004D2255">
              <w:rPr>
                <w:noProof/>
                <w:webHidden/>
              </w:rPr>
              <w:fldChar w:fldCharType="begin"/>
            </w:r>
            <w:r w:rsidR="004D2255">
              <w:rPr>
                <w:noProof/>
                <w:webHidden/>
              </w:rPr>
              <w:instrText xml:space="preserve"> PAGEREF _Toc220873887 \h </w:instrText>
            </w:r>
            <w:r w:rsidR="004D2255">
              <w:rPr>
                <w:noProof/>
                <w:webHidden/>
              </w:rPr>
            </w:r>
            <w:r w:rsidR="004D2255">
              <w:rPr>
                <w:noProof/>
                <w:webHidden/>
              </w:rPr>
              <w:fldChar w:fldCharType="separate"/>
            </w:r>
            <w:r w:rsidR="004D2255">
              <w:rPr>
                <w:noProof/>
                <w:webHidden/>
              </w:rPr>
              <w:t>12</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888" w:history="1">
            <w:r w:rsidR="004D2255" w:rsidRPr="00437DBF">
              <w:rPr>
                <w:rStyle w:val="Hyperlink"/>
                <w:noProof/>
              </w:rPr>
              <w:t>1.2 Background and context of the study</w:t>
            </w:r>
            <w:r w:rsidR="004D2255">
              <w:rPr>
                <w:noProof/>
                <w:webHidden/>
              </w:rPr>
              <w:tab/>
            </w:r>
            <w:r w:rsidR="004D2255">
              <w:rPr>
                <w:noProof/>
                <w:webHidden/>
              </w:rPr>
              <w:fldChar w:fldCharType="begin"/>
            </w:r>
            <w:r w:rsidR="004D2255">
              <w:rPr>
                <w:noProof/>
                <w:webHidden/>
              </w:rPr>
              <w:instrText xml:space="preserve"> PAGEREF _Toc220873888 \h </w:instrText>
            </w:r>
            <w:r w:rsidR="004D2255">
              <w:rPr>
                <w:noProof/>
                <w:webHidden/>
              </w:rPr>
            </w:r>
            <w:r w:rsidR="004D2255">
              <w:rPr>
                <w:noProof/>
                <w:webHidden/>
              </w:rPr>
              <w:fldChar w:fldCharType="separate"/>
            </w:r>
            <w:r w:rsidR="004D2255">
              <w:rPr>
                <w:noProof/>
                <w:webHidden/>
              </w:rPr>
              <w:t>12</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889" w:history="1">
            <w:r w:rsidR="004D2255" w:rsidRPr="00437DBF">
              <w:rPr>
                <w:rStyle w:val="Hyperlink"/>
                <w:noProof/>
              </w:rPr>
              <w:t>1.3 Policy and regulatory setting for drug imports in Bangladesh</w:t>
            </w:r>
            <w:r w:rsidR="004D2255">
              <w:rPr>
                <w:noProof/>
                <w:webHidden/>
              </w:rPr>
              <w:tab/>
            </w:r>
            <w:r w:rsidR="004D2255">
              <w:rPr>
                <w:noProof/>
                <w:webHidden/>
              </w:rPr>
              <w:fldChar w:fldCharType="begin"/>
            </w:r>
            <w:r w:rsidR="004D2255">
              <w:rPr>
                <w:noProof/>
                <w:webHidden/>
              </w:rPr>
              <w:instrText xml:space="preserve"> PAGEREF _Toc220873889 \h </w:instrText>
            </w:r>
            <w:r w:rsidR="004D2255">
              <w:rPr>
                <w:noProof/>
                <w:webHidden/>
              </w:rPr>
            </w:r>
            <w:r w:rsidR="004D2255">
              <w:rPr>
                <w:noProof/>
                <w:webHidden/>
              </w:rPr>
              <w:fldChar w:fldCharType="separate"/>
            </w:r>
            <w:r w:rsidR="004D2255">
              <w:rPr>
                <w:noProof/>
                <w:webHidden/>
              </w:rPr>
              <w:t>13</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890" w:history="1">
            <w:r w:rsidR="004D2255" w:rsidRPr="00437DBF">
              <w:rPr>
                <w:rStyle w:val="Hyperlink"/>
                <w:noProof/>
              </w:rPr>
              <w:t>1.4 Statement of the research problem</w:t>
            </w:r>
            <w:r w:rsidR="004D2255">
              <w:rPr>
                <w:noProof/>
                <w:webHidden/>
              </w:rPr>
              <w:tab/>
            </w:r>
            <w:r w:rsidR="004D2255">
              <w:rPr>
                <w:noProof/>
                <w:webHidden/>
              </w:rPr>
              <w:fldChar w:fldCharType="begin"/>
            </w:r>
            <w:r w:rsidR="004D2255">
              <w:rPr>
                <w:noProof/>
                <w:webHidden/>
              </w:rPr>
              <w:instrText xml:space="preserve"> PAGEREF _Toc220873890 \h </w:instrText>
            </w:r>
            <w:r w:rsidR="004D2255">
              <w:rPr>
                <w:noProof/>
                <w:webHidden/>
              </w:rPr>
            </w:r>
            <w:r w:rsidR="004D2255">
              <w:rPr>
                <w:noProof/>
                <w:webHidden/>
              </w:rPr>
              <w:fldChar w:fldCharType="separate"/>
            </w:r>
            <w:r w:rsidR="004D2255">
              <w:rPr>
                <w:noProof/>
                <w:webHidden/>
              </w:rPr>
              <w:t>13</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891" w:history="1">
            <w:r w:rsidR="004D2255" w:rsidRPr="00437DBF">
              <w:rPr>
                <w:rStyle w:val="Hyperlink"/>
                <w:noProof/>
              </w:rPr>
              <w:t>1.5 Research aim and objectives</w:t>
            </w:r>
            <w:r w:rsidR="004D2255">
              <w:rPr>
                <w:noProof/>
                <w:webHidden/>
              </w:rPr>
              <w:tab/>
            </w:r>
            <w:r w:rsidR="004D2255">
              <w:rPr>
                <w:noProof/>
                <w:webHidden/>
              </w:rPr>
              <w:fldChar w:fldCharType="begin"/>
            </w:r>
            <w:r w:rsidR="004D2255">
              <w:rPr>
                <w:noProof/>
                <w:webHidden/>
              </w:rPr>
              <w:instrText xml:space="preserve"> PAGEREF _Toc220873891 \h </w:instrText>
            </w:r>
            <w:r w:rsidR="004D2255">
              <w:rPr>
                <w:noProof/>
                <w:webHidden/>
              </w:rPr>
            </w:r>
            <w:r w:rsidR="004D2255">
              <w:rPr>
                <w:noProof/>
                <w:webHidden/>
              </w:rPr>
              <w:fldChar w:fldCharType="separate"/>
            </w:r>
            <w:r w:rsidR="004D2255">
              <w:rPr>
                <w:noProof/>
                <w:webHidden/>
              </w:rPr>
              <w:t>14</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892" w:history="1">
            <w:r w:rsidR="004D2255" w:rsidRPr="00437DBF">
              <w:rPr>
                <w:rStyle w:val="Hyperlink"/>
                <w:noProof/>
              </w:rPr>
              <w:t>1.6 Research questions</w:t>
            </w:r>
            <w:r w:rsidR="004D2255">
              <w:rPr>
                <w:noProof/>
                <w:webHidden/>
              </w:rPr>
              <w:tab/>
            </w:r>
            <w:r w:rsidR="004D2255">
              <w:rPr>
                <w:noProof/>
                <w:webHidden/>
              </w:rPr>
              <w:fldChar w:fldCharType="begin"/>
            </w:r>
            <w:r w:rsidR="004D2255">
              <w:rPr>
                <w:noProof/>
                <w:webHidden/>
              </w:rPr>
              <w:instrText xml:space="preserve"> PAGEREF _Toc220873892 \h </w:instrText>
            </w:r>
            <w:r w:rsidR="004D2255">
              <w:rPr>
                <w:noProof/>
                <w:webHidden/>
              </w:rPr>
            </w:r>
            <w:r w:rsidR="004D2255">
              <w:rPr>
                <w:noProof/>
                <w:webHidden/>
              </w:rPr>
              <w:fldChar w:fldCharType="separate"/>
            </w:r>
            <w:r w:rsidR="004D2255">
              <w:rPr>
                <w:noProof/>
                <w:webHidden/>
              </w:rPr>
              <w:t>15</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893" w:history="1">
            <w:r w:rsidR="004D2255" w:rsidRPr="00437DBF">
              <w:rPr>
                <w:rStyle w:val="Hyperlink"/>
                <w:noProof/>
              </w:rPr>
              <w:t>1.7 Scope, key definitions, and focus</w:t>
            </w:r>
            <w:r w:rsidR="004D2255">
              <w:rPr>
                <w:noProof/>
                <w:webHidden/>
              </w:rPr>
              <w:tab/>
            </w:r>
            <w:r w:rsidR="004D2255">
              <w:rPr>
                <w:noProof/>
                <w:webHidden/>
              </w:rPr>
              <w:fldChar w:fldCharType="begin"/>
            </w:r>
            <w:r w:rsidR="004D2255">
              <w:rPr>
                <w:noProof/>
                <w:webHidden/>
              </w:rPr>
              <w:instrText xml:space="preserve"> PAGEREF _Toc220873893 \h </w:instrText>
            </w:r>
            <w:r w:rsidR="004D2255">
              <w:rPr>
                <w:noProof/>
                <w:webHidden/>
              </w:rPr>
            </w:r>
            <w:r w:rsidR="004D2255">
              <w:rPr>
                <w:noProof/>
                <w:webHidden/>
              </w:rPr>
              <w:fldChar w:fldCharType="separate"/>
            </w:r>
            <w:r w:rsidR="004D2255">
              <w:rPr>
                <w:noProof/>
                <w:webHidden/>
              </w:rPr>
              <w:t>15</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894" w:history="1">
            <w:r w:rsidR="004D2255" w:rsidRPr="00437DBF">
              <w:rPr>
                <w:rStyle w:val="Hyperlink"/>
                <w:noProof/>
              </w:rPr>
              <w:t>1.8 Relevance and contribution of the study</w:t>
            </w:r>
            <w:r w:rsidR="004D2255">
              <w:rPr>
                <w:noProof/>
                <w:webHidden/>
              </w:rPr>
              <w:tab/>
            </w:r>
            <w:r w:rsidR="004D2255">
              <w:rPr>
                <w:noProof/>
                <w:webHidden/>
              </w:rPr>
              <w:fldChar w:fldCharType="begin"/>
            </w:r>
            <w:r w:rsidR="004D2255">
              <w:rPr>
                <w:noProof/>
                <w:webHidden/>
              </w:rPr>
              <w:instrText xml:space="preserve"> PAGEREF _Toc220873894 \h </w:instrText>
            </w:r>
            <w:r w:rsidR="004D2255">
              <w:rPr>
                <w:noProof/>
                <w:webHidden/>
              </w:rPr>
            </w:r>
            <w:r w:rsidR="004D2255">
              <w:rPr>
                <w:noProof/>
                <w:webHidden/>
              </w:rPr>
              <w:fldChar w:fldCharType="separate"/>
            </w:r>
            <w:r w:rsidR="004D2255">
              <w:rPr>
                <w:noProof/>
                <w:webHidden/>
              </w:rPr>
              <w:t>16</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895" w:history="1">
            <w:r w:rsidR="004D2255" w:rsidRPr="00437DBF">
              <w:rPr>
                <w:rStyle w:val="Hyperlink"/>
                <w:noProof/>
              </w:rPr>
              <w:t>1.9 Theoretical framework</w:t>
            </w:r>
            <w:r w:rsidR="004D2255">
              <w:rPr>
                <w:noProof/>
                <w:webHidden/>
              </w:rPr>
              <w:tab/>
            </w:r>
            <w:r w:rsidR="004D2255">
              <w:rPr>
                <w:noProof/>
                <w:webHidden/>
              </w:rPr>
              <w:fldChar w:fldCharType="begin"/>
            </w:r>
            <w:r w:rsidR="004D2255">
              <w:rPr>
                <w:noProof/>
                <w:webHidden/>
              </w:rPr>
              <w:instrText xml:space="preserve"> PAGEREF _Toc220873895 \h </w:instrText>
            </w:r>
            <w:r w:rsidR="004D2255">
              <w:rPr>
                <w:noProof/>
                <w:webHidden/>
              </w:rPr>
            </w:r>
            <w:r w:rsidR="004D2255">
              <w:rPr>
                <w:noProof/>
                <w:webHidden/>
              </w:rPr>
              <w:fldChar w:fldCharType="separate"/>
            </w:r>
            <w:r w:rsidR="004D2255">
              <w:rPr>
                <w:noProof/>
                <w:webHidden/>
              </w:rPr>
              <w:t>16</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896" w:history="1">
            <w:r w:rsidR="004D2255" w:rsidRPr="00437DBF">
              <w:rPr>
                <w:rStyle w:val="Hyperlink"/>
                <w:noProof/>
              </w:rPr>
              <w:t>1.10 Structure of the dissertation</w:t>
            </w:r>
            <w:r w:rsidR="004D2255">
              <w:rPr>
                <w:noProof/>
                <w:webHidden/>
              </w:rPr>
              <w:tab/>
            </w:r>
            <w:r w:rsidR="004D2255">
              <w:rPr>
                <w:noProof/>
                <w:webHidden/>
              </w:rPr>
              <w:fldChar w:fldCharType="begin"/>
            </w:r>
            <w:r w:rsidR="004D2255">
              <w:rPr>
                <w:noProof/>
                <w:webHidden/>
              </w:rPr>
              <w:instrText xml:space="preserve"> PAGEREF _Toc220873896 \h </w:instrText>
            </w:r>
            <w:r w:rsidR="004D2255">
              <w:rPr>
                <w:noProof/>
                <w:webHidden/>
              </w:rPr>
            </w:r>
            <w:r w:rsidR="004D2255">
              <w:rPr>
                <w:noProof/>
                <w:webHidden/>
              </w:rPr>
              <w:fldChar w:fldCharType="separate"/>
            </w:r>
            <w:r w:rsidR="004D2255">
              <w:rPr>
                <w:noProof/>
                <w:webHidden/>
              </w:rPr>
              <w:t>17</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897" w:history="1">
            <w:r w:rsidR="004D2255" w:rsidRPr="00437DBF">
              <w:rPr>
                <w:rStyle w:val="Hyperlink"/>
                <w:noProof/>
              </w:rPr>
              <w:t>1.11 Conclusion</w:t>
            </w:r>
            <w:r w:rsidR="004D2255">
              <w:rPr>
                <w:noProof/>
                <w:webHidden/>
              </w:rPr>
              <w:tab/>
            </w:r>
            <w:r w:rsidR="004D2255">
              <w:rPr>
                <w:noProof/>
                <w:webHidden/>
              </w:rPr>
              <w:fldChar w:fldCharType="begin"/>
            </w:r>
            <w:r w:rsidR="004D2255">
              <w:rPr>
                <w:noProof/>
                <w:webHidden/>
              </w:rPr>
              <w:instrText xml:space="preserve"> PAGEREF _Toc220873897 \h </w:instrText>
            </w:r>
            <w:r w:rsidR="004D2255">
              <w:rPr>
                <w:noProof/>
                <w:webHidden/>
              </w:rPr>
            </w:r>
            <w:r w:rsidR="004D2255">
              <w:rPr>
                <w:noProof/>
                <w:webHidden/>
              </w:rPr>
              <w:fldChar w:fldCharType="separate"/>
            </w:r>
            <w:r w:rsidR="004D2255">
              <w:rPr>
                <w:noProof/>
                <w:webHidden/>
              </w:rPr>
              <w:t>17</w:t>
            </w:r>
            <w:r w:rsidR="004D2255">
              <w:rPr>
                <w:noProof/>
                <w:webHidden/>
              </w:rPr>
              <w:fldChar w:fldCharType="end"/>
            </w:r>
          </w:hyperlink>
        </w:p>
        <w:p w:rsidR="004D2255" w:rsidRDefault="00D03AE8">
          <w:pPr>
            <w:pStyle w:val="TOC1"/>
            <w:tabs>
              <w:tab w:val="right" w:leader="dot" w:pos="9350"/>
            </w:tabs>
            <w:rPr>
              <w:rFonts w:asciiTheme="minorHAnsi" w:eastAsiaTheme="minorEastAsia" w:hAnsiTheme="minorHAnsi" w:cstheme="minorBidi"/>
              <w:noProof/>
              <w:sz w:val="22"/>
              <w:lang w:val="en-US" w:eastAsia="en-US"/>
            </w:rPr>
          </w:pPr>
          <w:hyperlink w:anchor="_Toc220873898" w:history="1">
            <w:r w:rsidR="004D2255" w:rsidRPr="00437DBF">
              <w:rPr>
                <w:rStyle w:val="Hyperlink"/>
                <w:noProof/>
              </w:rPr>
              <w:t>Chapter 2: Literature Review</w:t>
            </w:r>
            <w:r w:rsidR="004D2255">
              <w:rPr>
                <w:noProof/>
                <w:webHidden/>
              </w:rPr>
              <w:tab/>
            </w:r>
            <w:r w:rsidR="004D2255">
              <w:rPr>
                <w:noProof/>
                <w:webHidden/>
              </w:rPr>
              <w:fldChar w:fldCharType="begin"/>
            </w:r>
            <w:r w:rsidR="004D2255">
              <w:rPr>
                <w:noProof/>
                <w:webHidden/>
              </w:rPr>
              <w:instrText xml:space="preserve"> PAGEREF _Toc220873898 \h </w:instrText>
            </w:r>
            <w:r w:rsidR="004D2255">
              <w:rPr>
                <w:noProof/>
                <w:webHidden/>
              </w:rPr>
            </w:r>
            <w:r w:rsidR="004D2255">
              <w:rPr>
                <w:noProof/>
                <w:webHidden/>
              </w:rPr>
              <w:fldChar w:fldCharType="separate"/>
            </w:r>
            <w:r w:rsidR="004D2255">
              <w:rPr>
                <w:noProof/>
                <w:webHidden/>
              </w:rPr>
              <w:t>19</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899" w:history="1">
            <w:r w:rsidR="004D2255" w:rsidRPr="00437DBF">
              <w:rPr>
                <w:rStyle w:val="Hyperlink"/>
                <w:noProof/>
              </w:rPr>
              <w:t>2.1 Introduction</w:t>
            </w:r>
            <w:r w:rsidR="004D2255">
              <w:rPr>
                <w:noProof/>
                <w:webHidden/>
              </w:rPr>
              <w:tab/>
            </w:r>
            <w:r w:rsidR="004D2255">
              <w:rPr>
                <w:noProof/>
                <w:webHidden/>
              </w:rPr>
              <w:fldChar w:fldCharType="begin"/>
            </w:r>
            <w:r w:rsidR="004D2255">
              <w:rPr>
                <w:noProof/>
                <w:webHidden/>
              </w:rPr>
              <w:instrText xml:space="preserve"> PAGEREF _Toc220873899 \h </w:instrText>
            </w:r>
            <w:r w:rsidR="004D2255">
              <w:rPr>
                <w:noProof/>
                <w:webHidden/>
              </w:rPr>
            </w:r>
            <w:r w:rsidR="004D2255">
              <w:rPr>
                <w:noProof/>
                <w:webHidden/>
              </w:rPr>
              <w:fldChar w:fldCharType="separate"/>
            </w:r>
            <w:r w:rsidR="004D2255">
              <w:rPr>
                <w:noProof/>
                <w:webHidden/>
              </w:rPr>
              <w:t>19</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00" w:history="1">
            <w:r w:rsidR="004D2255" w:rsidRPr="00437DBF">
              <w:rPr>
                <w:rStyle w:val="Hyperlink"/>
                <w:noProof/>
              </w:rPr>
              <w:t>2.2 What is a Literature Review?</w:t>
            </w:r>
            <w:r w:rsidR="004D2255">
              <w:rPr>
                <w:noProof/>
                <w:webHidden/>
              </w:rPr>
              <w:tab/>
            </w:r>
            <w:r w:rsidR="004D2255">
              <w:rPr>
                <w:noProof/>
                <w:webHidden/>
              </w:rPr>
              <w:fldChar w:fldCharType="begin"/>
            </w:r>
            <w:r w:rsidR="004D2255">
              <w:rPr>
                <w:noProof/>
                <w:webHidden/>
              </w:rPr>
              <w:instrText xml:space="preserve"> PAGEREF _Toc220873900 \h </w:instrText>
            </w:r>
            <w:r w:rsidR="004D2255">
              <w:rPr>
                <w:noProof/>
                <w:webHidden/>
              </w:rPr>
            </w:r>
            <w:r w:rsidR="004D2255">
              <w:rPr>
                <w:noProof/>
                <w:webHidden/>
              </w:rPr>
              <w:fldChar w:fldCharType="separate"/>
            </w:r>
            <w:r w:rsidR="004D2255">
              <w:rPr>
                <w:noProof/>
                <w:webHidden/>
              </w:rPr>
              <w:t>19</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01" w:history="1">
            <w:r w:rsidR="004D2255" w:rsidRPr="00437DBF">
              <w:rPr>
                <w:rStyle w:val="Hyperlink"/>
                <w:noProof/>
              </w:rPr>
              <w:t>2.3 Methodology for Conducting the Literature Review</w:t>
            </w:r>
            <w:r w:rsidR="004D2255">
              <w:rPr>
                <w:noProof/>
                <w:webHidden/>
              </w:rPr>
              <w:tab/>
            </w:r>
            <w:r w:rsidR="004D2255">
              <w:rPr>
                <w:noProof/>
                <w:webHidden/>
              </w:rPr>
              <w:fldChar w:fldCharType="begin"/>
            </w:r>
            <w:r w:rsidR="004D2255">
              <w:rPr>
                <w:noProof/>
                <w:webHidden/>
              </w:rPr>
              <w:instrText xml:space="preserve"> PAGEREF _Toc220873901 \h </w:instrText>
            </w:r>
            <w:r w:rsidR="004D2255">
              <w:rPr>
                <w:noProof/>
                <w:webHidden/>
              </w:rPr>
            </w:r>
            <w:r w:rsidR="004D2255">
              <w:rPr>
                <w:noProof/>
                <w:webHidden/>
              </w:rPr>
              <w:fldChar w:fldCharType="separate"/>
            </w:r>
            <w:r w:rsidR="004D2255">
              <w:rPr>
                <w:noProof/>
                <w:webHidden/>
              </w:rPr>
              <w:t>19</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02" w:history="1">
            <w:r w:rsidR="004D2255" w:rsidRPr="00437DBF">
              <w:rPr>
                <w:rStyle w:val="Hyperlink"/>
                <w:noProof/>
              </w:rPr>
              <w:t>2.4 Literature Search Strategy and Boolean Searching</w:t>
            </w:r>
            <w:r w:rsidR="004D2255">
              <w:rPr>
                <w:noProof/>
                <w:webHidden/>
              </w:rPr>
              <w:tab/>
            </w:r>
            <w:r w:rsidR="004D2255">
              <w:rPr>
                <w:noProof/>
                <w:webHidden/>
              </w:rPr>
              <w:fldChar w:fldCharType="begin"/>
            </w:r>
            <w:r w:rsidR="004D2255">
              <w:rPr>
                <w:noProof/>
                <w:webHidden/>
              </w:rPr>
              <w:instrText xml:space="preserve"> PAGEREF _Toc220873902 \h </w:instrText>
            </w:r>
            <w:r w:rsidR="004D2255">
              <w:rPr>
                <w:noProof/>
                <w:webHidden/>
              </w:rPr>
            </w:r>
            <w:r w:rsidR="004D2255">
              <w:rPr>
                <w:noProof/>
                <w:webHidden/>
              </w:rPr>
              <w:fldChar w:fldCharType="separate"/>
            </w:r>
            <w:r w:rsidR="004D2255">
              <w:rPr>
                <w:noProof/>
                <w:webHidden/>
              </w:rPr>
              <w:t>20</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03" w:history="1">
            <w:r w:rsidR="004D2255" w:rsidRPr="00437DBF">
              <w:rPr>
                <w:rStyle w:val="Hyperlink"/>
                <w:noProof/>
              </w:rPr>
              <w:t>2.5 Search Parameters and Eligibility Criteria</w:t>
            </w:r>
            <w:r w:rsidR="004D2255">
              <w:rPr>
                <w:noProof/>
                <w:webHidden/>
              </w:rPr>
              <w:tab/>
            </w:r>
            <w:r w:rsidR="004D2255">
              <w:rPr>
                <w:noProof/>
                <w:webHidden/>
              </w:rPr>
              <w:fldChar w:fldCharType="begin"/>
            </w:r>
            <w:r w:rsidR="004D2255">
              <w:rPr>
                <w:noProof/>
                <w:webHidden/>
              </w:rPr>
              <w:instrText xml:space="preserve"> PAGEREF _Toc220873903 \h </w:instrText>
            </w:r>
            <w:r w:rsidR="004D2255">
              <w:rPr>
                <w:noProof/>
                <w:webHidden/>
              </w:rPr>
            </w:r>
            <w:r w:rsidR="004D2255">
              <w:rPr>
                <w:noProof/>
                <w:webHidden/>
              </w:rPr>
              <w:fldChar w:fldCharType="separate"/>
            </w:r>
            <w:r w:rsidR="004D2255">
              <w:rPr>
                <w:noProof/>
                <w:webHidden/>
              </w:rPr>
              <w:t>20</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04" w:history="1">
            <w:r w:rsidR="004D2255" w:rsidRPr="00437DBF">
              <w:rPr>
                <w:rStyle w:val="Hyperlink"/>
                <w:noProof/>
              </w:rPr>
              <w:t>2.6 Study Selection and PRISMA Flow Diagram</w:t>
            </w:r>
            <w:r w:rsidR="004D2255">
              <w:rPr>
                <w:noProof/>
                <w:webHidden/>
              </w:rPr>
              <w:tab/>
            </w:r>
            <w:r w:rsidR="004D2255">
              <w:rPr>
                <w:noProof/>
                <w:webHidden/>
              </w:rPr>
              <w:fldChar w:fldCharType="begin"/>
            </w:r>
            <w:r w:rsidR="004D2255">
              <w:rPr>
                <w:noProof/>
                <w:webHidden/>
              </w:rPr>
              <w:instrText xml:space="preserve"> PAGEREF _Toc220873904 \h </w:instrText>
            </w:r>
            <w:r w:rsidR="004D2255">
              <w:rPr>
                <w:noProof/>
                <w:webHidden/>
              </w:rPr>
            </w:r>
            <w:r w:rsidR="004D2255">
              <w:rPr>
                <w:noProof/>
                <w:webHidden/>
              </w:rPr>
              <w:fldChar w:fldCharType="separate"/>
            </w:r>
            <w:r w:rsidR="004D2255">
              <w:rPr>
                <w:noProof/>
                <w:webHidden/>
              </w:rPr>
              <w:t>21</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05" w:history="1">
            <w:r w:rsidR="004D2255" w:rsidRPr="00437DBF">
              <w:rPr>
                <w:rStyle w:val="Hyperlink"/>
                <w:noProof/>
              </w:rPr>
              <w:t>2.6 Thematic Structure of the Review</w:t>
            </w:r>
            <w:r w:rsidR="004D2255">
              <w:rPr>
                <w:noProof/>
                <w:webHidden/>
              </w:rPr>
              <w:tab/>
            </w:r>
            <w:r w:rsidR="004D2255">
              <w:rPr>
                <w:noProof/>
                <w:webHidden/>
              </w:rPr>
              <w:fldChar w:fldCharType="begin"/>
            </w:r>
            <w:r w:rsidR="004D2255">
              <w:rPr>
                <w:noProof/>
                <w:webHidden/>
              </w:rPr>
              <w:instrText xml:space="preserve"> PAGEREF _Toc220873905 \h </w:instrText>
            </w:r>
            <w:r w:rsidR="004D2255">
              <w:rPr>
                <w:noProof/>
                <w:webHidden/>
              </w:rPr>
            </w:r>
            <w:r w:rsidR="004D2255">
              <w:rPr>
                <w:noProof/>
                <w:webHidden/>
              </w:rPr>
              <w:fldChar w:fldCharType="separate"/>
            </w:r>
            <w:r w:rsidR="004D2255">
              <w:rPr>
                <w:noProof/>
                <w:webHidden/>
              </w:rPr>
              <w:t>22</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06" w:history="1">
            <w:r w:rsidR="004D2255" w:rsidRPr="00437DBF">
              <w:rPr>
                <w:rStyle w:val="Hyperlink"/>
                <w:noProof/>
              </w:rPr>
              <w:t>2.7 Overview of SMEs in Bangladesh</w:t>
            </w:r>
            <w:r w:rsidR="004D2255">
              <w:rPr>
                <w:noProof/>
                <w:webHidden/>
              </w:rPr>
              <w:tab/>
            </w:r>
            <w:r w:rsidR="004D2255">
              <w:rPr>
                <w:noProof/>
                <w:webHidden/>
              </w:rPr>
              <w:fldChar w:fldCharType="begin"/>
            </w:r>
            <w:r w:rsidR="004D2255">
              <w:rPr>
                <w:noProof/>
                <w:webHidden/>
              </w:rPr>
              <w:instrText xml:space="preserve"> PAGEREF _Toc220873906 \h </w:instrText>
            </w:r>
            <w:r w:rsidR="004D2255">
              <w:rPr>
                <w:noProof/>
                <w:webHidden/>
              </w:rPr>
            </w:r>
            <w:r w:rsidR="004D2255">
              <w:rPr>
                <w:noProof/>
                <w:webHidden/>
              </w:rPr>
              <w:fldChar w:fldCharType="separate"/>
            </w:r>
            <w:r w:rsidR="004D2255">
              <w:rPr>
                <w:noProof/>
                <w:webHidden/>
              </w:rPr>
              <w:t>22</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07" w:history="1">
            <w:r w:rsidR="004D2255" w:rsidRPr="00437DBF">
              <w:rPr>
                <w:rStyle w:val="Hyperlink"/>
                <w:noProof/>
              </w:rPr>
              <w:t>2.7.1 Economic Contribution of SMEs</w:t>
            </w:r>
            <w:r w:rsidR="004D2255">
              <w:rPr>
                <w:noProof/>
                <w:webHidden/>
              </w:rPr>
              <w:tab/>
            </w:r>
            <w:r w:rsidR="004D2255">
              <w:rPr>
                <w:noProof/>
                <w:webHidden/>
              </w:rPr>
              <w:fldChar w:fldCharType="begin"/>
            </w:r>
            <w:r w:rsidR="004D2255">
              <w:rPr>
                <w:noProof/>
                <w:webHidden/>
              </w:rPr>
              <w:instrText xml:space="preserve"> PAGEREF _Toc220873907 \h </w:instrText>
            </w:r>
            <w:r w:rsidR="004D2255">
              <w:rPr>
                <w:noProof/>
                <w:webHidden/>
              </w:rPr>
            </w:r>
            <w:r w:rsidR="004D2255">
              <w:rPr>
                <w:noProof/>
                <w:webHidden/>
              </w:rPr>
              <w:fldChar w:fldCharType="separate"/>
            </w:r>
            <w:r w:rsidR="004D2255">
              <w:rPr>
                <w:noProof/>
                <w:webHidden/>
              </w:rPr>
              <w:t>22</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08" w:history="1">
            <w:r w:rsidR="004D2255" w:rsidRPr="00437DBF">
              <w:rPr>
                <w:rStyle w:val="Hyperlink"/>
                <w:noProof/>
              </w:rPr>
              <w:t>2.7.2 Role of SMEs in the Pharmaceutical Sector</w:t>
            </w:r>
            <w:r w:rsidR="004D2255">
              <w:rPr>
                <w:noProof/>
                <w:webHidden/>
              </w:rPr>
              <w:tab/>
            </w:r>
            <w:r w:rsidR="004D2255">
              <w:rPr>
                <w:noProof/>
                <w:webHidden/>
              </w:rPr>
              <w:fldChar w:fldCharType="begin"/>
            </w:r>
            <w:r w:rsidR="004D2255">
              <w:rPr>
                <w:noProof/>
                <w:webHidden/>
              </w:rPr>
              <w:instrText xml:space="preserve"> PAGEREF _Toc220873908 \h </w:instrText>
            </w:r>
            <w:r w:rsidR="004D2255">
              <w:rPr>
                <w:noProof/>
                <w:webHidden/>
              </w:rPr>
            </w:r>
            <w:r w:rsidR="004D2255">
              <w:rPr>
                <w:noProof/>
                <w:webHidden/>
              </w:rPr>
              <w:fldChar w:fldCharType="separate"/>
            </w:r>
            <w:r w:rsidR="004D2255">
              <w:rPr>
                <w:noProof/>
                <w:webHidden/>
              </w:rPr>
              <w:t>23</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09" w:history="1">
            <w:r w:rsidR="004D2255" w:rsidRPr="00437DBF">
              <w:rPr>
                <w:rStyle w:val="Hyperlink"/>
                <w:noProof/>
              </w:rPr>
              <w:t>2.7.3 Key Findings and Challenges Faced by SMEs</w:t>
            </w:r>
            <w:r w:rsidR="004D2255">
              <w:rPr>
                <w:noProof/>
                <w:webHidden/>
              </w:rPr>
              <w:tab/>
            </w:r>
            <w:r w:rsidR="004D2255">
              <w:rPr>
                <w:noProof/>
                <w:webHidden/>
              </w:rPr>
              <w:fldChar w:fldCharType="begin"/>
            </w:r>
            <w:r w:rsidR="004D2255">
              <w:rPr>
                <w:noProof/>
                <w:webHidden/>
              </w:rPr>
              <w:instrText xml:space="preserve"> PAGEREF _Toc220873909 \h </w:instrText>
            </w:r>
            <w:r w:rsidR="004D2255">
              <w:rPr>
                <w:noProof/>
                <w:webHidden/>
              </w:rPr>
            </w:r>
            <w:r w:rsidR="004D2255">
              <w:rPr>
                <w:noProof/>
                <w:webHidden/>
              </w:rPr>
              <w:fldChar w:fldCharType="separate"/>
            </w:r>
            <w:r w:rsidR="004D2255">
              <w:rPr>
                <w:noProof/>
                <w:webHidden/>
              </w:rPr>
              <w:t>23</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10" w:history="1">
            <w:r w:rsidR="004D2255" w:rsidRPr="00437DBF">
              <w:rPr>
                <w:rStyle w:val="Hyperlink"/>
                <w:noProof/>
              </w:rPr>
              <w:t>2.7.4 Statistical Data on SMEs in Bangladesh</w:t>
            </w:r>
            <w:r w:rsidR="004D2255">
              <w:rPr>
                <w:noProof/>
                <w:webHidden/>
              </w:rPr>
              <w:tab/>
            </w:r>
            <w:r w:rsidR="004D2255">
              <w:rPr>
                <w:noProof/>
                <w:webHidden/>
              </w:rPr>
              <w:fldChar w:fldCharType="begin"/>
            </w:r>
            <w:r w:rsidR="004D2255">
              <w:rPr>
                <w:noProof/>
                <w:webHidden/>
              </w:rPr>
              <w:instrText xml:space="preserve"> PAGEREF _Toc220873910 \h </w:instrText>
            </w:r>
            <w:r w:rsidR="004D2255">
              <w:rPr>
                <w:noProof/>
                <w:webHidden/>
              </w:rPr>
            </w:r>
            <w:r w:rsidR="004D2255">
              <w:rPr>
                <w:noProof/>
                <w:webHidden/>
              </w:rPr>
              <w:fldChar w:fldCharType="separate"/>
            </w:r>
            <w:r w:rsidR="004D2255">
              <w:rPr>
                <w:noProof/>
                <w:webHidden/>
              </w:rPr>
              <w:t>24</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11" w:history="1">
            <w:r w:rsidR="004D2255" w:rsidRPr="00437DBF">
              <w:rPr>
                <w:rStyle w:val="Hyperlink"/>
                <w:noProof/>
              </w:rPr>
              <w:t>2.8 Regulatory Framework for Pharmaceutical Importation</w:t>
            </w:r>
            <w:r w:rsidR="004D2255">
              <w:rPr>
                <w:noProof/>
                <w:webHidden/>
              </w:rPr>
              <w:tab/>
            </w:r>
            <w:r w:rsidR="004D2255">
              <w:rPr>
                <w:noProof/>
                <w:webHidden/>
              </w:rPr>
              <w:fldChar w:fldCharType="begin"/>
            </w:r>
            <w:r w:rsidR="004D2255">
              <w:rPr>
                <w:noProof/>
                <w:webHidden/>
              </w:rPr>
              <w:instrText xml:space="preserve"> PAGEREF _Toc220873911 \h </w:instrText>
            </w:r>
            <w:r w:rsidR="004D2255">
              <w:rPr>
                <w:noProof/>
                <w:webHidden/>
              </w:rPr>
            </w:r>
            <w:r w:rsidR="004D2255">
              <w:rPr>
                <w:noProof/>
                <w:webHidden/>
              </w:rPr>
              <w:fldChar w:fldCharType="separate"/>
            </w:r>
            <w:r w:rsidR="004D2255">
              <w:rPr>
                <w:noProof/>
                <w:webHidden/>
              </w:rPr>
              <w:t>25</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12" w:history="1">
            <w:r w:rsidR="004D2255" w:rsidRPr="00437DBF">
              <w:rPr>
                <w:rStyle w:val="Hyperlink"/>
                <w:noProof/>
              </w:rPr>
              <w:t>2.8.1 Role of the Directorate General of Drug Administration (DGDA)</w:t>
            </w:r>
            <w:r w:rsidR="004D2255">
              <w:rPr>
                <w:noProof/>
                <w:webHidden/>
              </w:rPr>
              <w:tab/>
            </w:r>
            <w:r w:rsidR="004D2255">
              <w:rPr>
                <w:noProof/>
                <w:webHidden/>
              </w:rPr>
              <w:fldChar w:fldCharType="begin"/>
            </w:r>
            <w:r w:rsidR="004D2255">
              <w:rPr>
                <w:noProof/>
                <w:webHidden/>
              </w:rPr>
              <w:instrText xml:space="preserve"> PAGEREF _Toc220873912 \h </w:instrText>
            </w:r>
            <w:r w:rsidR="004D2255">
              <w:rPr>
                <w:noProof/>
                <w:webHidden/>
              </w:rPr>
            </w:r>
            <w:r w:rsidR="004D2255">
              <w:rPr>
                <w:noProof/>
                <w:webHidden/>
              </w:rPr>
              <w:fldChar w:fldCharType="separate"/>
            </w:r>
            <w:r w:rsidR="004D2255">
              <w:rPr>
                <w:noProof/>
                <w:webHidden/>
              </w:rPr>
              <w:t>25</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13" w:history="1">
            <w:r w:rsidR="004D2255" w:rsidRPr="00437DBF">
              <w:rPr>
                <w:rStyle w:val="Hyperlink"/>
                <w:noProof/>
              </w:rPr>
              <w:t>2.8.2 Historical Overview: The National Drug Policy (NDP) and the Drugs Act 1940</w:t>
            </w:r>
            <w:r w:rsidR="004D2255">
              <w:rPr>
                <w:noProof/>
                <w:webHidden/>
              </w:rPr>
              <w:tab/>
            </w:r>
            <w:r w:rsidR="004D2255">
              <w:rPr>
                <w:noProof/>
                <w:webHidden/>
              </w:rPr>
              <w:fldChar w:fldCharType="begin"/>
            </w:r>
            <w:r w:rsidR="004D2255">
              <w:rPr>
                <w:noProof/>
                <w:webHidden/>
              </w:rPr>
              <w:instrText xml:space="preserve"> PAGEREF _Toc220873913 \h </w:instrText>
            </w:r>
            <w:r w:rsidR="004D2255">
              <w:rPr>
                <w:noProof/>
                <w:webHidden/>
              </w:rPr>
            </w:r>
            <w:r w:rsidR="004D2255">
              <w:rPr>
                <w:noProof/>
                <w:webHidden/>
              </w:rPr>
              <w:fldChar w:fldCharType="separate"/>
            </w:r>
            <w:r w:rsidR="004D2255">
              <w:rPr>
                <w:noProof/>
                <w:webHidden/>
              </w:rPr>
              <w:t>25</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14" w:history="1">
            <w:r w:rsidR="004D2255" w:rsidRPr="00437DBF">
              <w:rPr>
                <w:rStyle w:val="Hyperlink"/>
                <w:noProof/>
              </w:rPr>
              <w:t>2.8.3 Regulatory Challenges</w:t>
            </w:r>
            <w:r w:rsidR="004D2255">
              <w:rPr>
                <w:noProof/>
                <w:webHidden/>
              </w:rPr>
              <w:tab/>
            </w:r>
            <w:r w:rsidR="004D2255">
              <w:rPr>
                <w:noProof/>
                <w:webHidden/>
              </w:rPr>
              <w:fldChar w:fldCharType="begin"/>
            </w:r>
            <w:r w:rsidR="004D2255">
              <w:rPr>
                <w:noProof/>
                <w:webHidden/>
              </w:rPr>
              <w:instrText xml:space="preserve"> PAGEREF _Toc220873914 \h </w:instrText>
            </w:r>
            <w:r w:rsidR="004D2255">
              <w:rPr>
                <w:noProof/>
                <w:webHidden/>
              </w:rPr>
            </w:r>
            <w:r w:rsidR="004D2255">
              <w:rPr>
                <w:noProof/>
                <w:webHidden/>
              </w:rPr>
              <w:fldChar w:fldCharType="separate"/>
            </w:r>
            <w:r w:rsidR="004D2255">
              <w:rPr>
                <w:noProof/>
                <w:webHidden/>
              </w:rPr>
              <w:t>26</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15" w:history="1">
            <w:r w:rsidR="004D2255" w:rsidRPr="00437DBF">
              <w:rPr>
                <w:rStyle w:val="Hyperlink"/>
                <w:noProof/>
              </w:rPr>
              <w:t>2.8.4 Weak Enforcement Mechanisms</w:t>
            </w:r>
            <w:r w:rsidR="004D2255">
              <w:rPr>
                <w:noProof/>
                <w:webHidden/>
              </w:rPr>
              <w:tab/>
            </w:r>
            <w:r w:rsidR="004D2255">
              <w:rPr>
                <w:noProof/>
                <w:webHidden/>
              </w:rPr>
              <w:fldChar w:fldCharType="begin"/>
            </w:r>
            <w:r w:rsidR="004D2255">
              <w:rPr>
                <w:noProof/>
                <w:webHidden/>
              </w:rPr>
              <w:instrText xml:space="preserve"> PAGEREF _Toc220873915 \h </w:instrText>
            </w:r>
            <w:r w:rsidR="004D2255">
              <w:rPr>
                <w:noProof/>
                <w:webHidden/>
              </w:rPr>
            </w:r>
            <w:r w:rsidR="004D2255">
              <w:rPr>
                <w:noProof/>
                <w:webHidden/>
              </w:rPr>
              <w:fldChar w:fldCharType="separate"/>
            </w:r>
            <w:r w:rsidR="004D2255">
              <w:rPr>
                <w:noProof/>
                <w:webHidden/>
              </w:rPr>
              <w:t>26</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16" w:history="1">
            <w:r w:rsidR="004D2255" w:rsidRPr="00437DBF">
              <w:rPr>
                <w:rStyle w:val="Hyperlink"/>
                <w:noProof/>
              </w:rPr>
              <w:t>2.8.5 Key Regulatory Issues for SMEs</w:t>
            </w:r>
            <w:r w:rsidR="004D2255">
              <w:rPr>
                <w:noProof/>
                <w:webHidden/>
              </w:rPr>
              <w:tab/>
            </w:r>
            <w:r w:rsidR="004D2255">
              <w:rPr>
                <w:noProof/>
                <w:webHidden/>
              </w:rPr>
              <w:fldChar w:fldCharType="begin"/>
            </w:r>
            <w:r w:rsidR="004D2255">
              <w:rPr>
                <w:noProof/>
                <w:webHidden/>
              </w:rPr>
              <w:instrText xml:space="preserve"> PAGEREF _Toc220873916 \h </w:instrText>
            </w:r>
            <w:r w:rsidR="004D2255">
              <w:rPr>
                <w:noProof/>
                <w:webHidden/>
              </w:rPr>
            </w:r>
            <w:r w:rsidR="004D2255">
              <w:rPr>
                <w:noProof/>
                <w:webHidden/>
              </w:rPr>
              <w:fldChar w:fldCharType="separate"/>
            </w:r>
            <w:r w:rsidR="004D2255">
              <w:rPr>
                <w:noProof/>
                <w:webHidden/>
              </w:rPr>
              <w:t>27</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17" w:history="1">
            <w:r w:rsidR="004D2255" w:rsidRPr="00437DBF">
              <w:rPr>
                <w:rStyle w:val="Hyperlink"/>
                <w:noProof/>
              </w:rPr>
              <w:t>2.9 Challenges in the Pharmaceutical Import Licensing Process</w:t>
            </w:r>
            <w:r w:rsidR="004D2255">
              <w:rPr>
                <w:noProof/>
                <w:webHidden/>
              </w:rPr>
              <w:tab/>
            </w:r>
            <w:r w:rsidR="004D2255">
              <w:rPr>
                <w:noProof/>
                <w:webHidden/>
              </w:rPr>
              <w:fldChar w:fldCharType="begin"/>
            </w:r>
            <w:r w:rsidR="004D2255">
              <w:rPr>
                <w:noProof/>
                <w:webHidden/>
              </w:rPr>
              <w:instrText xml:space="preserve"> PAGEREF _Toc220873917 \h </w:instrText>
            </w:r>
            <w:r w:rsidR="004D2255">
              <w:rPr>
                <w:noProof/>
                <w:webHidden/>
              </w:rPr>
            </w:r>
            <w:r w:rsidR="004D2255">
              <w:rPr>
                <w:noProof/>
                <w:webHidden/>
              </w:rPr>
              <w:fldChar w:fldCharType="separate"/>
            </w:r>
            <w:r w:rsidR="004D2255">
              <w:rPr>
                <w:noProof/>
                <w:webHidden/>
              </w:rPr>
              <w:t>27</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18" w:history="1">
            <w:r w:rsidR="004D2255" w:rsidRPr="00437DBF">
              <w:rPr>
                <w:rStyle w:val="Hyperlink"/>
                <w:noProof/>
              </w:rPr>
              <w:t>2.9.1 Bureaucratic Obstacles: Lengthy Processes and Regulatory Inconsistencies</w:t>
            </w:r>
            <w:r w:rsidR="004D2255">
              <w:rPr>
                <w:noProof/>
                <w:webHidden/>
              </w:rPr>
              <w:tab/>
            </w:r>
            <w:r w:rsidR="004D2255">
              <w:rPr>
                <w:noProof/>
                <w:webHidden/>
              </w:rPr>
              <w:fldChar w:fldCharType="begin"/>
            </w:r>
            <w:r w:rsidR="004D2255">
              <w:rPr>
                <w:noProof/>
                <w:webHidden/>
              </w:rPr>
              <w:instrText xml:space="preserve"> PAGEREF _Toc220873918 \h </w:instrText>
            </w:r>
            <w:r w:rsidR="004D2255">
              <w:rPr>
                <w:noProof/>
                <w:webHidden/>
              </w:rPr>
            </w:r>
            <w:r w:rsidR="004D2255">
              <w:rPr>
                <w:noProof/>
                <w:webHidden/>
              </w:rPr>
              <w:fldChar w:fldCharType="separate"/>
            </w:r>
            <w:r w:rsidR="004D2255">
              <w:rPr>
                <w:noProof/>
                <w:webHidden/>
              </w:rPr>
              <w:t>27</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19" w:history="1">
            <w:r w:rsidR="004D2255" w:rsidRPr="00437DBF">
              <w:rPr>
                <w:rStyle w:val="Hyperlink"/>
                <w:noProof/>
              </w:rPr>
              <w:t>2.9.2 Financial Barriers: High Compliance Costs</w:t>
            </w:r>
            <w:r w:rsidR="004D2255">
              <w:rPr>
                <w:noProof/>
                <w:webHidden/>
              </w:rPr>
              <w:tab/>
            </w:r>
            <w:r w:rsidR="004D2255">
              <w:rPr>
                <w:noProof/>
                <w:webHidden/>
              </w:rPr>
              <w:fldChar w:fldCharType="begin"/>
            </w:r>
            <w:r w:rsidR="004D2255">
              <w:rPr>
                <w:noProof/>
                <w:webHidden/>
              </w:rPr>
              <w:instrText xml:space="preserve"> PAGEREF _Toc220873919 \h </w:instrText>
            </w:r>
            <w:r w:rsidR="004D2255">
              <w:rPr>
                <w:noProof/>
                <w:webHidden/>
              </w:rPr>
            </w:r>
            <w:r w:rsidR="004D2255">
              <w:rPr>
                <w:noProof/>
                <w:webHidden/>
              </w:rPr>
              <w:fldChar w:fldCharType="separate"/>
            </w:r>
            <w:r w:rsidR="004D2255">
              <w:rPr>
                <w:noProof/>
                <w:webHidden/>
              </w:rPr>
              <w:t>28</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20" w:history="1">
            <w:r w:rsidR="004D2255" w:rsidRPr="00437DBF">
              <w:rPr>
                <w:rStyle w:val="Hyperlink"/>
                <w:noProof/>
              </w:rPr>
              <w:t>2.9.3 Impact on SMEs: Discouraging Participation in the Market</w:t>
            </w:r>
            <w:r w:rsidR="004D2255">
              <w:rPr>
                <w:noProof/>
                <w:webHidden/>
              </w:rPr>
              <w:tab/>
            </w:r>
            <w:r w:rsidR="004D2255">
              <w:rPr>
                <w:noProof/>
                <w:webHidden/>
              </w:rPr>
              <w:fldChar w:fldCharType="begin"/>
            </w:r>
            <w:r w:rsidR="004D2255">
              <w:rPr>
                <w:noProof/>
                <w:webHidden/>
              </w:rPr>
              <w:instrText xml:space="preserve"> PAGEREF _Toc220873920 \h </w:instrText>
            </w:r>
            <w:r w:rsidR="004D2255">
              <w:rPr>
                <w:noProof/>
                <w:webHidden/>
              </w:rPr>
            </w:r>
            <w:r w:rsidR="004D2255">
              <w:rPr>
                <w:noProof/>
                <w:webHidden/>
              </w:rPr>
              <w:fldChar w:fldCharType="separate"/>
            </w:r>
            <w:r w:rsidR="004D2255">
              <w:rPr>
                <w:noProof/>
                <w:webHidden/>
              </w:rPr>
              <w:t>28</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21" w:history="1">
            <w:r w:rsidR="004D2255" w:rsidRPr="00437DBF">
              <w:rPr>
                <w:rStyle w:val="Hyperlink"/>
                <w:noProof/>
              </w:rPr>
              <w:t>2.10 Impact of Import Barriers on SMEs</w:t>
            </w:r>
            <w:r w:rsidR="004D2255">
              <w:rPr>
                <w:noProof/>
                <w:webHidden/>
              </w:rPr>
              <w:tab/>
            </w:r>
            <w:r w:rsidR="004D2255">
              <w:rPr>
                <w:noProof/>
                <w:webHidden/>
              </w:rPr>
              <w:fldChar w:fldCharType="begin"/>
            </w:r>
            <w:r w:rsidR="004D2255">
              <w:rPr>
                <w:noProof/>
                <w:webHidden/>
              </w:rPr>
              <w:instrText xml:space="preserve"> PAGEREF _Toc220873921 \h </w:instrText>
            </w:r>
            <w:r w:rsidR="004D2255">
              <w:rPr>
                <w:noProof/>
                <w:webHidden/>
              </w:rPr>
            </w:r>
            <w:r w:rsidR="004D2255">
              <w:rPr>
                <w:noProof/>
                <w:webHidden/>
              </w:rPr>
              <w:fldChar w:fldCharType="separate"/>
            </w:r>
            <w:r w:rsidR="004D2255">
              <w:rPr>
                <w:noProof/>
                <w:webHidden/>
              </w:rPr>
              <w:t>29</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22" w:history="1">
            <w:r w:rsidR="004D2255" w:rsidRPr="00437DBF">
              <w:rPr>
                <w:rStyle w:val="Hyperlink"/>
                <w:noProof/>
              </w:rPr>
              <w:t>2.10.1 Operational and Financial Impact</w:t>
            </w:r>
            <w:r w:rsidR="004D2255">
              <w:rPr>
                <w:noProof/>
                <w:webHidden/>
              </w:rPr>
              <w:tab/>
            </w:r>
            <w:r w:rsidR="004D2255">
              <w:rPr>
                <w:noProof/>
                <w:webHidden/>
              </w:rPr>
              <w:fldChar w:fldCharType="begin"/>
            </w:r>
            <w:r w:rsidR="004D2255">
              <w:rPr>
                <w:noProof/>
                <w:webHidden/>
              </w:rPr>
              <w:instrText xml:space="preserve"> PAGEREF _Toc220873922 \h </w:instrText>
            </w:r>
            <w:r w:rsidR="004D2255">
              <w:rPr>
                <w:noProof/>
                <w:webHidden/>
              </w:rPr>
            </w:r>
            <w:r w:rsidR="004D2255">
              <w:rPr>
                <w:noProof/>
                <w:webHidden/>
              </w:rPr>
              <w:fldChar w:fldCharType="separate"/>
            </w:r>
            <w:r w:rsidR="004D2255">
              <w:rPr>
                <w:noProof/>
                <w:webHidden/>
              </w:rPr>
              <w:t>29</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23" w:history="1">
            <w:r w:rsidR="004D2255" w:rsidRPr="00437DBF">
              <w:rPr>
                <w:rStyle w:val="Hyperlink"/>
                <w:noProof/>
              </w:rPr>
              <w:t>2.11 Theoretical Framework</w:t>
            </w:r>
            <w:r w:rsidR="004D2255">
              <w:rPr>
                <w:noProof/>
                <w:webHidden/>
              </w:rPr>
              <w:tab/>
            </w:r>
            <w:r w:rsidR="004D2255">
              <w:rPr>
                <w:noProof/>
                <w:webHidden/>
              </w:rPr>
              <w:fldChar w:fldCharType="begin"/>
            </w:r>
            <w:r w:rsidR="004D2255">
              <w:rPr>
                <w:noProof/>
                <w:webHidden/>
              </w:rPr>
              <w:instrText xml:space="preserve"> PAGEREF _Toc220873923 \h </w:instrText>
            </w:r>
            <w:r w:rsidR="004D2255">
              <w:rPr>
                <w:noProof/>
                <w:webHidden/>
              </w:rPr>
            </w:r>
            <w:r w:rsidR="004D2255">
              <w:rPr>
                <w:noProof/>
                <w:webHidden/>
              </w:rPr>
              <w:fldChar w:fldCharType="separate"/>
            </w:r>
            <w:r w:rsidR="004D2255">
              <w:rPr>
                <w:noProof/>
                <w:webHidden/>
              </w:rPr>
              <w:t>30</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24" w:history="1">
            <w:r w:rsidR="004D2255" w:rsidRPr="00437DBF">
              <w:rPr>
                <w:rStyle w:val="Hyperlink"/>
                <w:noProof/>
              </w:rPr>
              <w:t>2.11.1 Regulatory and Compliance Theories</w:t>
            </w:r>
            <w:r w:rsidR="004D2255">
              <w:rPr>
                <w:noProof/>
                <w:webHidden/>
              </w:rPr>
              <w:tab/>
            </w:r>
            <w:r w:rsidR="004D2255">
              <w:rPr>
                <w:noProof/>
                <w:webHidden/>
              </w:rPr>
              <w:fldChar w:fldCharType="begin"/>
            </w:r>
            <w:r w:rsidR="004D2255">
              <w:rPr>
                <w:noProof/>
                <w:webHidden/>
              </w:rPr>
              <w:instrText xml:space="preserve"> PAGEREF _Toc220873924 \h </w:instrText>
            </w:r>
            <w:r w:rsidR="004D2255">
              <w:rPr>
                <w:noProof/>
                <w:webHidden/>
              </w:rPr>
            </w:r>
            <w:r w:rsidR="004D2255">
              <w:rPr>
                <w:noProof/>
                <w:webHidden/>
              </w:rPr>
              <w:fldChar w:fldCharType="separate"/>
            </w:r>
            <w:r w:rsidR="004D2255">
              <w:rPr>
                <w:noProof/>
                <w:webHidden/>
              </w:rPr>
              <w:t>30</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25" w:history="1">
            <w:r w:rsidR="004D2255" w:rsidRPr="00437DBF">
              <w:rPr>
                <w:rStyle w:val="Hyperlink"/>
                <w:noProof/>
              </w:rPr>
              <w:t>2.11.2 Application of the Framework in SMEs</w:t>
            </w:r>
            <w:r w:rsidR="004D2255">
              <w:rPr>
                <w:noProof/>
                <w:webHidden/>
              </w:rPr>
              <w:tab/>
            </w:r>
            <w:r w:rsidR="004D2255">
              <w:rPr>
                <w:noProof/>
                <w:webHidden/>
              </w:rPr>
              <w:fldChar w:fldCharType="begin"/>
            </w:r>
            <w:r w:rsidR="004D2255">
              <w:rPr>
                <w:noProof/>
                <w:webHidden/>
              </w:rPr>
              <w:instrText xml:space="preserve"> PAGEREF _Toc220873925 \h </w:instrText>
            </w:r>
            <w:r w:rsidR="004D2255">
              <w:rPr>
                <w:noProof/>
                <w:webHidden/>
              </w:rPr>
            </w:r>
            <w:r w:rsidR="004D2255">
              <w:rPr>
                <w:noProof/>
                <w:webHidden/>
              </w:rPr>
              <w:fldChar w:fldCharType="separate"/>
            </w:r>
            <w:r w:rsidR="004D2255">
              <w:rPr>
                <w:noProof/>
                <w:webHidden/>
              </w:rPr>
              <w:t>31</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26" w:history="1">
            <w:r w:rsidR="004D2255" w:rsidRPr="00437DBF">
              <w:rPr>
                <w:rStyle w:val="Hyperlink"/>
                <w:noProof/>
              </w:rPr>
              <w:t>2.12 Literature Gaps and Research Needs</w:t>
            </w:r>
            <w:r w:rsidR="004D2255">
              <w:rPr>
                <w:noProof/>
                <w:webHidden/>
              </w:rPr>
              <w:tab/>
            </w:r>
            <w:r w:rsidR="004D2255">
              <w:rPr>
                <w:noProof/>
                <w:webHidden/>
              </w:rPr>
              <w:fldChar w:fldCharType="begin"/>
            </w:r>
            <w:r w:rsidR="004D2255">
              <w:rPr>
                <w:noProof/>
                <w:webHidden/>
              </w:rPr>
              <w:instrText xml:space="preserve"> PAGEREF _Toc220873926 \h </w:instrText>
            </w:r>
            <w:r w:rsidR="004D2255">
              <w:rPr>
                <w:noProof/>
                <w:webHidden/>
              </w:rPr>
            </w:r>
            <w:r w:rsidR="004D2255">
              <w:rPr>
                <w:noProof/>
                <w:webHidden/>
              </w:rPr>
              <w:fldChar w:fldCharType="separate"/>
            </w:r>
            <w:r w:rsidR="004D2255">
              <w:rPr>
                <w:noProof/>
                <w:webHidden/>
              </w:rPr>
              <w:t>31</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27" w:history="1">
            <w:r w:rsidR="004D2255" w:rsidRPr="00437DBF">
              <w:rPr>
                <w:rStyle w:val="Hyperlink"/>
                <w:noProof/>
              </w:rPr>
              <w:t>2.13 Conclusion</w:t>
            </w:r>
            <w:r w:rsidR="004D2255">
              <w:rPr>
                <w:noProof/>
                <w:webHidden/>
              </w:rPr>
              <w:tab/>
            </w:r>
            <w:r w:rsidR="004D2255">
              <w:rPr>
                <w:noProof/>
                <w:webHidden/>
              </w:rPr>
              <w:fldChar w:fldCharType="begin"/>
            </w:r>
            <w:r w:rsidR="004D2255">
              <w:rPr>
                <w:noProof/>
                <w:webHidden/>
              </w:rPr>
              <w:instrText xml:space="preserve"> PAGEREF _Toc220873927 \h </w:instrText>
            </w:r>
            <w:r w:rsidR="004D2255">
              <w:rPr>
                <w:noProof/>
                <w:webHidden/>
              </w:rPr>
            </w:r>
            <w:r w:rsidR="004D2255">
              <w:rPr>
                <w:noProof/>
                <w:webHidden/>
              </w:rPr>
              <w:fldChar w:fldCharType="separate"/>
            </w:r>
            <w:r w:rsidR="004D2255">
              <w:rPr>
                <w:noProof/>
                <w:webHidden/>
              </w:rPr>
              <w:t>33</w:t>
            </w:r>
            <w:r w:rsidR="004D2255">
              <w:rPr>
                <w:noProof/>
                <w:webHidden/>
              </w:rPr>
              <w:fldChar w:fldCharType="end"/>
            </w:r>
          </w:hyperlink>
        </w:p>
        <w:p w:rsidR="004D2255" w:rsidRDefault="00D03AE8">
          <w:pPr>
            <w:pStyle w:val="TOC1"/>
            <w:tabs>
              <w:tab w:val="right" w:leader="dot" w:pos="9350"/>
            </w:tabs>
            <w:rPr>
              <w:rFonts w:asciiTheme="minorHAnsi" w:eastAsiaTheme="minorEastAsia" w:hAnsiTheme="minorHAnsi" w:cstheme="minorBidi"/>
              <w:noProof/>
              <w:sz w:val="22"/>
              <w:lang w:val="en-US" w:eastAsia="en-US"/>
            </w:rPr>
          </w:pPr>
          <w:hyperlink w:anchor="_Toc220873928" w:history="1">
            <w:r w:rsidR="004D2255" w:rsidRPr="00437DBF">
              <w:rPr>
                <w:rStyle w:val="Hyperlink"/>
                <w:noProof/>
              </w:rPr>
              <w:t>Chapter 3. Research Methodology</w:t>
            </w:r>
            <w:r w:rsidR="004D2255">
              <w:rPr>
                <w:noProof/>
                <w:webHidden/>
              </w:rPr>
              <w:tab/>
            </w:r>
            <w:r w:rsidR="004D2255">
              <w:rPr>
                <w:noProof/>
                <w:webHidden/>
              </w:rPr>
              <w:fldChar w:fldCharType="begin"/>
            </w:r>
            <w:r w:rsidR="004D2255">
              <w:rPr>
                <w:noProof/>
                <w:webHidden/>
              </w:rPr>
              <w:instrText xml:space="preserve"> PAGEREF _Toc220873928 \h </w:instrText>
            </w:r>
            <w:r w:rsidR="004D2255">
              <w:rPr>
                <w:noProof/>
                <w:webHidden/>
              </w:rPr>
            </w:r>
            <w:r w:rsidR="004D2255">
              <w:rPr>
                <w:noProof/>
                <w:webHidden/>
              </w:rPr>
              <w:fldChar w:fldCharType="separate"/>
            </w:r>
            <w:r w:rsidR="004D2255">
              <w:rPr>
                <w:noProof/>
                <w:webHidden/>
              </w:rPr>
              <w:t>34</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29" w:history="1">
            <w:r w:rsidR="004D2255" w:rsidRPr="00437DBF">
              <w:rPr>
                <w:rStyle w:val="Hyperlink"/>
                <w:noProof/>
              </w:rPr>
              <w:t>3.1 Introduction</w:t>
            </w:r>
            <w:r w:rsidR="004D2255">
              <w:rPr>
                <w:noProof/>
                <w:webHidden/>
              </w:rPr>
              <w:tab/>
            </w:r>
            <w:r w:rsidR="004D2255">
              <w:rPr>
                <w:noProof/>
                <w:webHidden/>
              </w:rPr>
              <w:fldChar w:fldCharType="begin"/>
            </w:r>
            <w:r w:rsidR="004D2255">
              <w:rPr>
                <w:noProof/>
                <w:webHidden/>
              </w:rPr>
              <w:instrText xml:space="preserve"> PAGEREF _Toc220873929 \h </w:instrText>
            </w:r>
            <w:r w:rsidR="004D2255">
              <w:rPr>
                <w:noProof/>
                <w:webHidden/>
              </w:rPr>
            </w:r>
            <w:r w:rsidR="004D2255">
              <w:rPr>
                <w:noProof/>
                <w:webHidden/>
              </w:rPr>
              <w:fldChar w:fldCharType="separate"/>
            </w:r>
            <w:r w:rsidR="004D2255">
              <w:rPr>
                <w:noProof/>
                <w:webHidden/>
              </w:rPr>
              <w:t>34</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30" w:history="1">
            <w:r w:rsidR="004D2255" w:rsidRPr="00437DBF">
              <w:rPr>
                <w:rStyle w:val="Hyperlink"/>
                <w:noProof/>
              </w:rPr>
              <w:t>3.2 Research aim and research questions</w:t>
            </w:r>
            <w:r w:rsidR="004D2255">
              <w:rPr>
                <w:noProof/>
                <w:webHidden/>
              </w:rPr>
              <w:tab/>
            </w:r>
            <w:r w:rsidR="004D2255">
              <w:rPr>
                <w:noProof/>
                <w:webHidden/>
              </w:rPr>
              <w:fldChar w:fldCharType="begin"/>
            </w:r>
            <w:r w:rsidR="004D2255">
              <w:rPr>
                <w:noProof/>
                <w:webHidden/>
              </w:rPr>
              <w:instrText xml:space="preserve"> PAGEREF _Toc220873930 \h </w:instrText>
            </w:r>
            <w:r w:rsidR="004D2255">
              <w:rPr>
                <w:noProof/>
                <w:webHidden/>
              </w:rPr>
            </w:r>
            <w:r w:rsidR="004D2255">
              <w:rPr>
                <w:noProof/>
                <w:webHidden/>
              </w:rPr>
              <w:fldChar w:fldCharType="separate"/>
            </w:r>
            <w:r w:rsidR="004D2255">
              <w:rPr>
                <w:noProof/>
                <w:webHidden/>
              </w:rPr>
              <w:t>34</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31" w:history="1">
            <w:r w:rsidR="004D2255" w:rsidRPr="00437DBF">
              <w:rPr>
                <w:rStyle w:val="Hyperlink"/>
                <w:noProof/>
              </w:rPr>
              <w:t>3.3 Research philosophy and epistemological stance</w:t>
            </w:r>
            <w:r w:rsidR="004D2255">
              <w:rPr>
                <w:noProof/>
                <w:webHidden/>
              </w:rPr>
              <w:tab/>
            </w:r>
            <w:r w:rsidR="004D2255">
              <w:rPr>
                <w:noProof/>
                <w:webHidden/>
              </w:rPr>
              <w:fldChar w:fldCharType="begin"/>
            </w:r>
            <w:r w:rsidR="004D2255">
              <w:rPr>
                <w:noProof/>
                <w:webHidden/>
              </w:rPr>
              <w:instrText xml:space="preserve"> PAGEREF _Toc220873931 \h </w:instrText>
            </w:r>
            <w:r w:rsidR="004D2255">
              <w:rPr>
                <w:noProof/>
                <w:webHidden/>
              </w:rPr>
            </w:r>
            <w:r w:rsidR="004D2255">
              <w:rPr>
                <w:noProof/>
                <w:webHidden/>
              </w:rPr>
              <w:fldChar w:fldCharType="separate"/>
            </w:r>
            <w:r w:rsidR="004D2255">
              <w:rPr>
                <w:noProof/>
                <w:webHidden/>
              </w:rPr>
              <w:t>35</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32" w:history="1">
            <w:r w:rsidR="004D2255" w:rsidRPr="00437DBF">
              <w:rPr>
                <w:rStyle w:val="Hyperlink"/>
                <w:noProof/>
              </w:rPr>
              <w:t>3.4 Research approach</w:t>
            </w:r>
            <w:r w:rsidR="004D2255">
              <w:rPr>
                <w:noProof/>
                <w:webHidden/>
              </w:rPr>
              <w:tab/>
            </w:r>
            <w:r w:rsidR="004D2255">
              <w:rPr>
                <w:noProof/>
                <w:webHidden/>
              </w:rPr>
              <w:fldChar w:fldCharType="begin"/>
            </w:r>
            <w:r w:rsidR="004D2255">
              <w:rPr>
                <w:noProof/>
                <w:webHidden/>
              </w:rPr>
              <w:instrText xml:space="preserve"> PAGEREF _Toc220873932 \h </w:instrText>
            </w:r>
            <w:r w:rsidR="004D2255">
              <w:rPr>
                <w:noProof/>
                <w:webHidden/>
              </w:rPr>
            </w:r>
            <w:r w:rsidR="004D2255">
              <w:rPr>
                <w:noProof/>
                <w:webHidden/>
              </w:rPr>
              <w:fldChar w:fldCharType="separate"/>
            </w:r>
            <w:r w:rsidR="004D2255">
              <w:rPr>
                <w:noProof/>
                <w:webHidden/>
              </w:rPr>
              <w:t>35</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33" w:history="1">
            <w:r w:rsidR="004D2255" w:rsidRPr="00437DBF">
              <w:rPr>
                <w:rStyle w:val="Hyperlink"/>
                <w:noProof/>
              </w:rPr>
              <w:t>3.5 Research strategy and design</w:t>
            </w:r>
            <w:r w:rsidR="004D2255">
              <w:rPr>
                <w:noProof/>
                <w:webHidden/>
              </w:rPr>
              <w:tab/>
            </w:r>
            <w:r w:rsidR="004D2255">
              <w:rPr>
                <w:noProof/>
                <w:webHidden/>
              </w:rPr>
              <w:fldChar w:fldCharType="begin"/>
            </w:r>
            <w:r w:rsidR="004D2255">
              <w:rPr>
                <w:noProof/>
                <w:webHidden/>
              </w:rPr>
              <w:instrText xml:space="preserve"> PAGEREF _Toc220873933 \h </w:instrText>
            </w:r>
            <w:r w:rsidR="004D2255">
              <w:rPr>
                <w:noProof/>
                <w:webHidden/>
              </w:rPr>
            </w:r>
            <w:r w:rsidR="004D2255">
              <w:rPr>
                <w:noProof/>
                <w:webHidden/>
              </w:rPr>
              <w:fldChar w:fldCharType="separate"/>
            </w:r>
            <w:r w:rsidR="004D2255">
              <w:rPr>
                <w:noProof/>
                <w:webHidden/>
              </w:rPr>
              <w:t>36</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34" w:history="1">
            <w:r w:rsidR="004D2255" w:rsidRPr="00437DBF">
              <w:rPr>
                <w:rStyle w:val="Hyperlink"/>
                <w:noProof/>
              </w:rPr>
              <w:t>3.6 Data types and documentary sources</w:t>
            </w:r>
            <w:r w:rsidR="004D2255">
              <w:rPr>
                <w:noProof/>
                <w:webHidden/>
              </w:rPr>
              <w:tab/>
            </w:r>
            <w:r w:rsidR="004D2255">
              <w:rPr>
                <w:noProof/>
                <w:webHidden/>
              </w:rPr>
              <w:fldChar w:fldCharType="begin"/>
            </w:r>
            <w:r w:rsidR="004D2255">
              <w:rPr>
                <w:noProof/>
                <w:webHidden/>
              </w:rPr>
              <w:instrText xml:space="preserve"> PAGEREF _Toc220873934 \h </w:instrText>
            </w:r>
            <w:r w:rsidR="004D2255">
              <w:rPr>
                <w:noProof/>
                <w:webHidden/>
              </w:rPr>
            </w:r>
            <w:r w:rsidR="004D2255">
              <w:rPr>
                <w:noProof/>
                <w:webHidden/>
              </w:rPr>
              <w:fldChar w:fldCharType="separate"/>
            </w:r>
            <w:r w:rsidR="004D2255">
              <w:rPr>
                <w:noProof/>
                <w:webHidden/>
              </w:rPr>
              <w:t>37</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35" w:history="1">
            <w:r w:rsidR="004D2255" w:rsidRPr="00437DBF">
              <w:rPr>
                <w:rStyle w:val="Hyperlink"/>
                <w:noProof/>
              </w:rPr>
              <w:t>3.7 Sampling strategy and document selection</w:t>
            </w:r>
            <w:r w:rsidR="004D2255">
              <w:rPr>
                <w:noProof/>
                <w:webHidden/>
              </w:rPr>
              <w:tab/>
            </w:r>
            <w:r w:rsidR="004D2255">
              <w:rPr>
                <w:noProof/>
                <w:webHidden/>
              </w:rPr>
              <w:fldChar w:fldCharType="begin"/>
            </w:r>
            <w:r w:rsidR="004D2255">
              <w:rPr>
                <w:noProof/>
                <w:webHidden/>
              </w:rPr>
              <w:instrText xml:space="preserve"> PAGEREF _Toc220873935 \h </w:instrText>
            </w:r>
            <w:r w:rsidR="004D2255">
              <w:rPr>
                <w:noProof/>
                <w:webHidden/>
              </w:rPr>
            </w:r>
            <w:r w:rsidR="004D2255">
              <w:rPr>
                <w:noProof/>
                <w:webHidden/>
              </w:rPr>
              <w:fldChar w:fldCharType="separate"/>
            </w:r>
            <w:r w:rsidR="004D2255">
              <w:rPr>
                <w:noProof/>
                <w:webHidden/>
              </w:rPr>
              <w:t>37</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36" w:history="1">
            <w:r w:rsidR="004D2255" w:rsidRPr="00437DBF">
              <w:rPr>
                <w:rStyle w:val="Hyperlink"/>
                <w:noProof/>
              </w:rPr>
              <w:t>3.8 Data collection procedures and data management</w:t>
            </w:r>
            <w:r w:rsidR="004D2255">
              <w:rPr>
                <w:noProof/>
                <w:webHidden/>
              </w:rPr>
              <w:tab/>
            </w:r>
            <w:r w:rsidR="004D2255">
              <w:rPr>
                <w:noProof/>
                <w:webHidden/>
              </w:rPr>
              <w:fldChar w:fldCharType="begin"/>
            </w:r>
            <w:r w:rsidR="004D2255">
              <w:rPr>
                <w:noProof/>
                <w:webHidden/>
              </w:rPr>
              <w:instrText xml:space="preserve"> PAGEREF _Toc220873936 \h </w:instrText>
            </w:r>
            <w:r w:rsidR="004D2255">
              <w:rPr>
                <w:noProof/>
                <w:webHidden/>
              </w:rPr>
            </w:r>
            <w:r w:rsidR="004D2255">
              <w:rPr>
                <w:noProof/>
                <w:webHidden/>
              </w:rPr>
              <w:fldChar w:fldCharType="separate"/>
            </w:r>
            <w:r w:rsidR="004D2255">
              <w:rPr>
                <w:noProof/>
                <w:webHidden/>
              </w:rPr>
              <w:t>39</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37" w:history="1">
            <w:r w:rsidR="004D2255" w:rsidRPr="00437DBF">
              <w:rPr>
                <w:rStyle w:val="Hyperlink"/>
                <w:noProof/>
              </w:rPr>
              <w:t>3.9 Data analysis procedures</w:t>
            </w:r>
            <w:r w:rsidR="004D2255">
              <w:rPr>
                <w:noProof/>
                <w:webHidden/>
              </w:rPr>
              <w:tab/>
            </w:r>
            <w:r w:rsidR="004D2255">
              <w:rPr>
                <w:noProof/>
                <w:webHidden/>
              </w:rPr>
              <w:fldChar w:fldCharType="begin"/>
            </w:r>
            <w:r w:rsidR="004D2255">
              <w:rPr>
                <w:noProof/>
                <w:webHidden/>
              </w:rPr>
              <w:instrText xml:space="preserve"> PAGEREF _Toc220873937 \h </w:instrText>
            </w:r>
            <w:r w:rsidR="004D2255">
              <w:rPr>
                <w:noProof/>
                <w:webHidden/>
              </w:rPr>
            </w:r>
            <w:r w:rsidR="004D2255">
              <w:rPr>
                <w:noProof/>
                <w:webHidden/>
              </w:rPr>
              <w:fldChar w:fldCharType="separate"/>
            </w:r>
            <w:r w:rsidR="004D2255">
              <w:rPr>
                <w:noProof/>
                <w:webHidden/>
              </w:rPr>
              <w:t>39</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38" w:history="1">
            <w:r w:rsidR="004D2255" w:rsidRPr="00437DBF">
              <w:rPr>
                <w:rStyle w:val="Hyperlink"/>
                <w:noProof/>
              </w:rPr>
              <w:t>3.10 Quality, credibility, and trustworthiness</w:t>
            </w:r>
            <w:r w:rsidR="004D2255">
              <w:rPr>
                <w:noProof/>
                <w:webHidden/>
              </w:rPr>
              <w:tab/>
            </w:r>
            <w:r w:rsidR="004D2255">
              <w:rPr>
                <w:noProof/>
                <w:webHidden/>
              </w:rPr>
              <w:fldChar w:fldCharType="begin"/>
            </w:r>
            <w:r w:rsidR="004D2255">
              <w:rPr>
                <w:noProof/>
                <w:webHidden/>
              </w:rPr>
              <w:instrText xml:space="preserve"> PAGEREF _Toc220873938 \h </w:instrText>
            </w:r>
            <w:r w:rsidR="004D2255">
              <w:rPr>
                <w:noProof/>
                <w:webHidden/>
              </w:rPr>
            </w:r>
            <w:r w:rsidR="004D2255">
              <w:rPr>
                <w:noProof/>
                <w:webHidden/>
              </w:rPr>
              <w:fldChar w:fldCharType="separate"/>
            </w:r>
            <w:r w:rsidR="004D2255">
              <w:rPr>
                <w:noProof/>
                <w:webHidden/>
              </w:rPr>
              <w:t>40</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39" w:history="1">
            <w:r w:rsidR="004D2255" w:rsidRPr="00437DBF">
              <w:rPr>
                <w:rStyle w:val="Hyperlink"/>
                <w:noProof/>
              </w:rPr>
              <w:t>3.11 Ethical considerations</w:t>
            </w:r>
            <w:r w:rsidR="004D2255">
              <w:rPr>
                <w:noProof/>
                <w:webHidden/>
              </w:rPr>
              <w:tab/>
            </w:r>
            <w:r w:rsidR="004D2255">
              <w:rPr>
                <w:noProof/>
                <w:webHidden/>
              </w:rPr>
              <w:fldChar w:fldCharType="begin"/>
            </w:r>
            <w:r w:rsidR="004D2255">
              <w:rPr>
                <w:noProof/>
                <w:webHidden/>
              </w:rPr>
              <w:instrText xml:space="preserve"> PAGEREF _Toc220873939 \h </w:instrText>
            </w:r>
            <w:r w:rsidR="004D2255">
              <w:rPr>
                <w:noProof/>
                <w:webHidden/>
              </w:rPr>
            </w:r>
            <w:r w:rsidR="004D2255">
              <w:rPr>
                <w:noProof/>
                <w:webHidden/>
              </w:rPr>
              <w:fldChar w:fldCharType="separate"/>
            </w:r>
            <w:r w:rsidR="004D2255">
              <w:rPr>
                <w:noProof/>
                <w:webHidden/>
              </w:rPr>
              <w:t>41</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40" w:history="1">
            <w:r w:rsidR="004D2255" w:rsidRPr="00437DBF">
              <w:rPr>
                <w:rStyle w:val="Hyperlink"/>
                <w:noProof/>
              </w:rPr>
              <w:t>3.12 Methodological limitations and mitigation</w:t>
            </w:r>
            <w:r w:rsidR="004D2255">
              <w:rPr>
                <w:noProof/>
                <w:webHidden/>
              </w:rPr>
              <w:tab/>
            </w:r>
            <w:r w:rsidR="004D2255">
              <w:rPr>
                <w:noProof/>
                <w:webHidden/>
              </w:rPr>
              <w:fldChar w:fldCharType="begin"/>
            </w:r>
            <w:r w:rsidR="004D2255">
              <w:rPr>
                <w:noProof/>
                <w:webHidden/>
              </w:rPr>
              <w:instrText xml:space="preserve"> PAGEREF _Toc220873940 \h </w:instrText>
            </w:r>
            <w:r w:rsidR="004D2255">
              <w:rPr>
                <w:noProof/>
                <w:webHidden/>
              </w:rPr>
            </w:r>
            <w:r w:rsidR="004D2255">
              <w:rPr>
                <w:noProof/>
                <w:webHidden/>
              </w:rPr>
              <w:fldChar w:fldCharType="separate"/>
            </w:r>
            <w:r w:rsidR="004D2255">
              <w:rPr>
                <w:noProof/>
                <w:webHidden/>
              </w:rPr>
              <w:t>41</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41" w:history="1">
            <w:r w:rsidR="004D2255" w:rsidRPr="00437DBF">
              <w:rPr>
                <w:rStyle w:val="Hyperlink"/>
                <w:noProof/>
              </w:rPr>
              <w:t>3.13 Conclusion</w:t>
            </w:r>
            <w:r w:rsidR="004D2255">
              <w:rPr>
                <w:noProof/>
                <w:webHidden/>
              </w:rPr>
              <w:tab/>
            </w:r>
            <w:r w:rsidR="004D2255">
              <w:rPr>
                <w:noProof/>
                <w:webHidden/>
              </w:rPr>
              <w:fldChar w:fldCharType="begin"/>
            </w:r>
            <w:r w:rsidR="004D2255">
              <w:rPr>
                <w:noProof/>
                <w:webHidden/>
              </w:rPr>
              <w:instrText xml:space="preserve"> PAGEREF _Toc220873941 \h </w:instrText>
            </w:r>
            <w:r w:rsidR="004D2255">
              <w:rPr>
                <w:noProof/>
                <w:webHidden/>
              </w:rPr>
            </w:r>
            <w:r w:rsidR="004D2255">
              <w:rPr>
                <w:noProof/>
                <w:webHidden/>
              </w:rPr>
              <w:fldChar w:fldCharType="separate"/>
            </w:r>
            <w:r w:rsidR="004D2255">
              <w:rPr>
                <w:noProof/>
                <w:webHidden/>
              </w:rPr>
              <w:t>42</w:t>
            </w:r>
            <w:r w:rsidR="004D2255">
              <w:rPr>
                <w:noProof/>
                <w:webHidden/>
              </w:rPr>
              <w:fldChar w:fldCharType="end"/>
            </w:r>
          </w:hyperlink>
        </w:p>
        <w:p w:rsidR="004D2255" w:rsidRDefault="00D03AE8">
          <w:pPr>
            <w:pStyle w:val="TOC1"/>
            <w:tabs>
              <w:tab w:val="right" w:leader="dot" w:pos="9350"/>
            </w:tabs>
            <w:rPr>
              <w:rFonts w:asciiTheme="minorHAnsi" w:eastAsiaTheme="minorEastAsia" w:hAnsiTheme="minorHAnsi" w:cstheme="minorBidi"/>
              <w:noProof/>
              <w:sz w:val="22"/>
              <w:lang w:val="en-US" w:eastAsia="en-US"/>
            </w:rPr>
          </w:pPr>
          <w:hyperlink w:anchor="_Toc220873942" w:history="1">
            <w:r w:rsidR="004D2255" w:rsidRPr="00437DBF">
              <w:rPr>
                <w:rStyle w:val="Hyperlink"/>
                <w:noProof/>
              </w:rPr>
              <w:t>Chapter 4. Data Analysis</w:t>
            </w:r>
            <w:r w:rsidR="004D2255">
              <w:rPr>
                <w:noProof/>
                <w:webHidden/>
              </w:rPr>
              <w:tab/>
            </w:r>
            <w:r w:rsidR="004D2255">
              <w:rPr>
                <w:noProof/>
                <w:webHidden/>
              </w:rPr>
              <w:fldChar w:fldCharType="begin"/>
            </w:r>
            <w:r w:rsidR="004D2255">
              <w:rPr>
                <w:noProof/>
                <w:webHidden/>
              </w:rPr>
              <w:instrText xml:space="preserve"> PAGEREF _Toc220873942 \h </w:instrText>
            </w:r>
            <w:r w:rsidR="004D2255">
              <w:rPr>
                <w:noProof/>
                <w:webHidden/>
              </w:rPr>
            </w:r>
            <w:r w:rsidR="004D2255">
              <w:rPr>
                <w:noProof/>
                <w:webHidden/>
              </w:rPr>
              <w:fldChar w:fldCharType="separate"/>
            </w:r>
            <w:r w:rsidR="004D2255">
              <w:rPr>
                <w:noProof/>
                <w:webHidden/>
              </w:rPr>
              <w:t>43</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43" w:history="1">
            <w:r w:rsidR="004D2255" w:rsidRPr="00437DBF">
              <w:rPr>
                <w:rStyle w:val="Hyperlink"/>
                <w:noProof/>
              </w:rPr>
              <w:t>4.1 Introduction</w:t>
            </w:r>
            <w:r w:rsidR="004D2255">
              <w:rPr>
                <w:noProof/>
                <w:webHidden/>
              </w:rPr>
              <w:tab/>
            </w:r>
            <w:r w:rsidR="004D2255">
              <w:rPr>
                <w:noProof/>
                <w:webHidden/>
              </w:rPr>
              <w:fldChar w:fldCharType="begin"/>
            </w:r>
            <w:r w:rsidR="004D2255">
              <w:rPr>
                <w:noProof/>
                <w:webHidden/>
              </w:rPr>
              <w:instrText xml:space="preserve"> PAGEREF _Toc220873943 \h </w:instrText>
            </w:r>
            <w:r w:rsidR="004D2255">
              <w:rPr>
                <w:noProof/>
                <w:webHidden/>
              </w:rPr>
            </w:r>
            <w:r w:rsidR="004D2255">
              <w:rPr>
                <w:noProof/>
                <w:webHidden/>
              </w:rPr>
              <w:fldChar w:fldCharType="separate"/>
            </w:r>
            <w:r w:rsidR="004D2255">
              <w:rPr>
                <w:noProof/>
                <w:webHidden/>
              </w:rPr>
              <w:t>43</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44" w:history="1">
            <w:r w:rsidR="004D2255" w:rsidRPr="00437DBF">
              <w:rPr>
                <w:rStyle w:val="Hyperlink"/>
                <w:noProof/>
              </w:rPr>
              <w:t>4.2 Research Aim, Objectives, and Analytical Focus of the Chapter</w:t>
            </w:r>
            <w:r w:rsidR="004D2255">
              <w:rPr>
                <w:noProof/>
                <w:webHidden/>
              </w:rPr>
              <w:tab/>
            </w:r>
            <w:r w:rsidR="004D2255">
              <w:rPr>
                <w:noProof/>
                <w:webHidden/>
              </w:rPr>
              <w:fldChar w:fldCharType="begin"/>
            </w:r>
            <w:r w:rsidR="004D2255">
              <w:rPr>
                <w:noProof/>
                <w:webHidden/>
              </w:rPr>
              <w:instrText xml:space="preserve"> PAGEREF _Toc220873944 \h </w:instrText>
            </w:r>
            <w:r w:rsidR="004D2255">
              <w:rPr>
                <w:noProof/>
                <w:webHidden/>
              </w:rPr>
            </w:r>
            <w:r w:rsidR="004D2255">
              <w:rPr>
                <w:noProof/>
                <w:webHidden/>
              </w:rPr>
              <w:fldChar w:fldCharType="separate"/>
            </w:r>
            <w:r w:rsidR="004D2255">
              <w:rPr>
                <w:noProof/>
                <w:webHidden/>
              </w:rPr>
              <w:t>43</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45" w:history="1">
            <w:r w:rsidR="004D2255" w:rsidRPr="00437DBF">
              <w:rPr>
                <w:rStyle w:val="Hyperlink"/>
                <w:noProof/>
              </w:rPr>
              <w:t>4.3 Documentary dataset and sample characteristics</w:t>
            </w:r>
            <w:r w:rsidR="004D2255">
              <w:rPr>
                <w:noProof/>
                <w:webHidden/>
              </w:rPr>
              <w:tab/>
            </w:r>
            <w:r w:rsidR="004D2255">
              <w:rPr>
                <w:noProof/>
                <w:webHidden/>
              </w:rPr>
              <w:fldChar w:fldCharType="begin"/>
            </w:r>
            <w:r w:rsidR="004D2255">
              <w:rPr>
                <w:noProof/>
                <w:webHidden/>
              </w:rPr>
              <w:instrText xml:space="preserve"> PAGEREF _Toc220873945 \h </w:instrText>
            </w:r>
            <w:r w:rsidR="004D2255">
              <w:rPr>
                <w:noProof/>
                <w:webHidden/>
              </w:rPr>
            </w:r>
            <w:r w:rsidR="004D2255">
              <w:rPr>
                <w:noProof/>
                <w:webHidden/>
              </w:rPr>
              <w:fldChar w:fldCharType="separate"/>
            </w:r>
            <w:r w:rsidR="004D2255">
              <w:rPr>
                <w:noProof/>
                <w:webHidden/>
              </w:rPr>
              <w:t>43</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46" w:history="1">
            <w:r w:rsidR="004D2255" w:rsidRPr="00437DBF">
              <w:rPr>
                <w:rStyle w:val="Hyperlink"/>
                <w:noProof/>
              </w:rPr>
              <w:t>4.5 Analytical approach and coding procedure</w:t>
            </w:r>
            <w:r w:rsidR="004D2255">
              <w:rPr>
                <w:noProof/>
                <w:webHidden/>
              </w:rPr>
              <w:tab/>
            </w:r>
            <w:r w:rsidR="004D2255">
              <w:rPr>
                <w:noProof/>
                <w:webHidden/>
              </w:rPr>
              <w:fldChar w:fldCharType="begin"/>
            </w:r>
            <w:r w:rsidR="004D2255">
              <w:rPr>
                <w:noProof/>
                <w:webHidden/>
              </w:rPr>
              <w:instrText xml:space="preserve"> PAGEREF _Toc220873946 \h </w:instrText>
            </w:r>
            <w:r w:rsidR="004D2255">
              <w:rPr>
                <w:noProof/>
                <w:webHidden/>
              </w:rPr>
            </w:r>
            <w:r w:rsidR="004D2255">
              <w:rPr>
                <w:noProof/>
                <w:webHidden/>
              </w:rPr>
              <w:fldChar w:fldCharType="separate"/>
            </w:r>
            <w:r w:rsidR="004D2255">
              <w:rPr>
                <w:noProof/>
                <w:webHidden/>
              </w:rPr>
              <w:t>45</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47" w:history="1">
            <w:r w:rsidR="004D2255" w:rsidRPr="00437DBF">
              <w:rPr>
                <w:rStyle w:val="Hyperlink"/>
                <w:noProof/>
              </w:rPr>
              <w:t>4.6 Findings organised by research question</w:t>
            </w:r>
            <w:r w:rsidR="004D2255">
              <w:rPr>
                <w:noProof/>
                <w:webHidden/>
              </w:rPr>
              <w:tab/>
            </w:r>
            <w:r w:rsidR="004D2255">
              <w:rPr>
                <w:noProof/>
                <w:webHidden/>
              </w:rPr>
              <w:fldChar w:fldCharType="begin"/>
            </w:r>
            <w:r w:rsidR="004D2255">
              <w:rPr>
                <w:noProof/>
                <w:webHidden/>
              </w:rPr>
              <w:instrText xml:space="preserve"> PAGEREF _Toc220873947 \h </w:instrText>
            </w:r>
            <w:r w:rsidR="004D2255">
              <w:rPr>
                <w:noProof/>
                <w:webHidden/>
              </w:rPr>
            </w:r>
            <w:r w:rsidR="004D2255">
              <w:rPr>
                <w:noProof/>
                <w:webHidden/>
              </w:rPr>
              <w:fldChar w:fldCharType="separate"/>
            </w:r>
            <w:r w:rsidR="004D2255">
              <w:rPr>
                <w:noProof/>
                <w:webHidden/>
              </w:rPr>
              <w:t>48</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48" w:history="1">
            <w:r w:rsidR="004D2255" w:rsidRPr="00437DBF">
              <w:rPr>
                <w:rStyle w:val="Hyperlink"/>
                <w:noProof/>
              </w:rPr>
              <w:t>4.6.1 RQ1: Key trade barriers faced by SMEs in obtaining import licenses for drugs in Bangladesh</w:t>
            </w:r>
            <w:r w:rsidR="004D2255">
              <w:rPr>
                <w:noProof/>
                <w:webHidden/>
              </w:rPr>
              <w:tab/>
            </w:r>
            <w:r w:rsidR="004D2255">
              <w:rPr>
                <w:noProof/>
                <w:webHidden/>
              </w:rPr>
              <w:fldChar w:fldCharType="begin"/>
            </w:r>
            <w:r w:rsidR="004D2255">
              <w:rPr>
                <w:noProof/>
                <w:webHidden/>
              </w:rPr>
              <w:instrText xml:space="preserve"> PAGEREF _Toc220873948 \h </w:instrText>
            </w:r>
            <w:r w:rsidR="004D2255">
              <w:rPr>
                <w:noProof/>
                <w:webHidden/>
              </w:rPr>
            </w:r>
            <w:r w:rsidR="004D2255">
              <w:rPr>
                <w:noProof/>
                <w:webHidden/>
              </w:rPr>
              <w:fldChar w:fldCharType="separate"/>
            </w:r>
            <w:r w:rsidR="004D2255">
              <w:rPr>
                <w:noProof/>
                <w:webHidden/>
              </w:rPr>
              <w:t>48</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49" w:history="1">
            <w:r w:rsidR="004D2255" w:rsidRPr="00437DBF">
              <w:rPr>
                <w:rStyle w:val="Hyperlink"/>
                <w:noProof/>
              </w:rPr>
              <w:t>4.6.2 RQ2: How these barriers affect SMEs’ operational efficiency</w:t>
            </w:r>
            <w:r w:rsidR="004D2255">
              <w:rPr>
                <w:noProof/>
                <w:webHidden/>
              </w:rPr>
              <w:tab/>
            </w:r>
            <w:r w:rsidR="004D2255">
              <w:rPr>
                <w:noProof/>
                <w:webHidden/>
              </w:rPr>
              <w:fldChar w:fldCharType="begin"/>
            </w:r>
            <w:r w:rsidR="004D2255">
              <w:rPr>
                <w:noProof/>
                <w:webHidden/>
              </w:rPr>
              <w:instrText xml:space="preserve"> PAGEREF _Toc220873949 \h </w:instrText>
            </w:r>
            <w:r w:rsidR="004D2255">
              <w:rPr>
                <w:noProof/>
                <w:webHidden/>
              </w:rPr>
            </w:r>
            <w:r w:rsidR="004D2255">
              <w:rPr>
                <w:noProof/>
                <w:webHidden/>
              </w:rPr>
              <w:fldChar w:fldCharType="separate"/>
            </w:r>
            <w:r w:rsidR="004D2255">
              <w:rPr>
                <w:noProof/>
                <w:webHidden/>
              </w:rPr>
              <w:t>50</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50" w:history="1">
            <w:r w:rsidR="004D2255" w:rsidRPr="00437DBF">
              <w:rPr>
                <w:rStyle w:val="Hyperlink"/>
                <w:noProof/>
              </w:rPr>
              <w:t>4.6.3 RQ3: Documented policy changes proposed to mitigate barriers</w:t>
            </w:r>
            <w:r w:rsidR="004D2255">
              <w:rPr>
                <w:noProof/>
                <w:webHidden/>
              </w:rPr>
              <w:tab/>
            </w:r>
            <w:r w:rsidR="004D2255">
              <w:rPr>
                <w:noProof/>
                <w:webHidden/>
              </w:rPr>
              <w:fldChar w:fldCharType="begin"/>
            </w:r>
            <w:r w:rsidR="004D2255">
              <w:rPr>
                <w:noProof/>
                <w:webHidden/>
              </w:rPr>
              <w:instrText xml:space="preserve"> PAGEREF _Toc220873950 \h </w:instrText>
            </w:r>
            <w:r w:rsidR="004D2255">
              <w:rPr>
                <w:noProof/>
                <w:webHidden/>
              </w:rPr>
            </w:r>
            <w:r w:rsidR="004D2255">
              <w:rPr>
                <w:noProof/>
                <w:webHidden/>
              </w:rPr>
              <w:fldChar w:fldCharType="separate"/>
            </w:r>
            <w:r w:rsidR="004D2255">
              <w:rPr>
                <w:noProof/>
                <w:webHidden/>
              </w:rPr>
              <w:t>52</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51" w:history="1">
            <w:r w:rsidR="004D2255" w:rsidRPr="00437DBF">
              <w:rPr>
                <w:rStyle w:val="Hyperlink"/>
                <w:noProof/>
              </w:rPr>
              <w:t>4.7 Convergence, contradictions, and evidential weight</w:t>
            </w:r>
            <w:r w:rsidR="004D2255">
              <w:rPr>
                <w:noProof/>
                <w:webHidden/>
              </w:rPr>
              <w:tab/>
            </w:r>
            <w:r w:rsidR="004D2255">
              <w:rPr>
                <w:noProof/>
                <w:webHidden/>
              </w:rPr>
              <w:fldChar w:fldCharType="begin"/>
            </w:r>
            <w:r w:rsidR="004D2255">
              <w:rPr>
                <w:noProof/>
                <w:webHidden/>
              </w:rPr>
              <w:instrText xml:space="preserve"> PAGEREF _Toc220873951 \h </w:instrText>
            </w:r>
            <w:r w:rsidR="004D2255">
              <w:rPr>
                <w:noProof/>
                <w:webHidden/>
              </w:rPr>
            </w:r>
            <w:r w:rsidR="004D2255">
              <w:rPr>
                <w:noProof/>
                <w:webHidden/>
              </w:rPr>
              <w:fldChar w:fldCharType="separate"/>
            </w:r>
            <w:r w:rsidR="004D2255">
              <w:rPr>
                <w:noProof/>
                <w:webHidden/>
              </w:rPr>
              <w:t>53</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52" w:history="1">
            <w:r w:rsidR="004D2255" w:rsidRPr="00437DBF">
              <w:rPr>
                <w:rStyle w:val="Hyperlink"/>
                <w:noProof/>
              </w:rPr>
              <w:t>4.8 Analysis limitations specific to this chapter</w:t>
            </w:r>
            <w:r w:rsidR="004D2255">
              <w:rPr>
                <w:noProof/>
                <w:webHidden/>
              </w:rPr>
              <w:tab/>
            </w:r>
            <w:r w:rsidR="004D2255">
              <w:rPr>
                <w:noProof/>
                <w:webHidden/>
              </w:rPr>
              <w:fldChar w:fldCharType="begin"/>
            </w:r>
            <w:r w:rsidR="004D2255">
              <w:rPr>
                <w:noProof/>
                <w:webHidden/>
              </w:rPr>
              <w:instrText xml:space="preserve"> PAGEREF _Toc220873952 \h </w:instrText>
            </w:r>
            <w:r w:rsidR="004D2255">
              <w:rPr>
                <w:noProof/>
                <w:webHidden/>
              </w:rPr>
            </w:r>
            <w:r w:rsidR="004D2255">
              <w:rPr>
                <w:noProof/>
                <w:webHidden/>
              </w:rPr>
              <w:fldChar w:fldCharType="separate"/>
            </w:r>
            <w:r w:rsidR="004D2255">
              <w:rPr>
                <w:noProof/>
                <w:webHidden/>
              </w:rPr>
              <w:t>54</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53" w:history="1">
            <w:r w:rsidR="004D2255" w:rsidRPr="00437DBF">
              <w:rPr>
                <w:rStyle w:val="Hyperlink"/>
                <w:noProof/>
              </w:rPr>
              <w:t>4.9 Conclusion</w:t>
            </w:r>
            <w:r w:rsidR="004D2255">
              <w:rPr>
                <w:noProof/>
                <w:webHidden/>
              </w:rPr>
              <w:tab/>
            </w:r>
            <w:r w:rsidR="004D2255">
              <w:rPr>
                <w:noProof/>
                <w:webHidden/>
              </w:rPr>
              <w:fldChar w:fldCharType="begin"/>
            </w:r>
            <w:r w:rsidR="004D2255">
              <w:rPr>
                <w:noProof/>
                <w:webHidden/>
              </w:rPr>
              <w:instrText xml:space="preserve"> PAGEREF _Toc220873953 \h </w:instrText>
            </w:r>
            <w:r w:rsidR="004D2255">
              <w:rPr>
                <w:noProof/>
                <w:webHidden/>
              </w:rPr>
            </w:r>
            <w:r w:rsidR="004D2255">
              <w:rPr>
                <w:noProof/>
                <w:webHidden/>
              </w:rPr>
              <w:fldChar w:fldCharType="separate"/>
            </w:r>
            <w:r w:rsidR="004D2255">
              <w:rPr>
                <w:noProof/>
                <w:webHidden/>
              </w:rPr>
              <w:t>54</w:t>
            </w:r>
            <w:r w:rsidR="004D2255">
              <w:rPr>
                <w:noProof/>
                <w:webHidden/>
              </w:rPr>
              <w:fldChar w:fldCharType="end"/>
            </w:r>
          </w:hyperlink>
        </w:p>
        <w:p w:rsidR="004D2255" w:rsidRDefault="00D03AE8">
          <w:pPr>
            <w:pStyle w:val="TOC1"/>
            <w:tabs>
              <w:tab w:val="right" w:leader="dot" w:pos="9350"/>
            </w:tabs>
            <w:rPr>
              <w:rFonts w:asciiTheme="minorHAnsi" w:eastAsiaTheme="minorEastAsia" w:hAnsiTheme="minorHAnsi" w:cstheme="minorBidi"/>
              <w:noProof/>
              <w:sz w:val="22"/>
              <w:lang w:val="en-US" w:eastAsia="en-US"/>
            </w:rPr>
          </w:pPr>
          <w:hyperlink w:anchor="_Toc220873954" w:history="1">
            <w:r w:rsidR="004D2255" w:rsidRPr="00437DBF">
              <w:rPr>
                <w:rStyle w:val="Hyperlink"/>
                <w:noProof/>
              </w:rPr>
              <w:t>Chapter 5: Discussion</w:t>
            </w:r>
            <w:r w:rsidR="004D2255">
              <w:rPr>
                <w:noProof/>
                <w:webHidden/>
              </w:rPr>
              <w:tab/>
            </w:r>
            <w:r w:rsidR="004D2255">
              <w:rPr>
                <w:noProof/>
                <w:webHidden/>
              </w:rPr>
              <w:fldChar w:fldCharType="begin"/>
            </w:r>
            <w:r w:rsidR="004D2255">
              <w:rPr>
                <w:noProof/>
                <w:webHidden/>
              </w:rPr>
              <w:instrText xml:space="preserve"> PAGEREF _Toc220873954 \h </w:instrText>
            </w:r>
            <w:r w:rsidR="004D2255">
              <w:rPr>
                <w:noProof/>
                <w:webHidden/>
              </w:rPr>
            </w:r>
            <w:r w:rsidR="004D2255">
              <w:rPr>
                <w:noProof/>
                <w:webHidden/>
              </w:rPr>
              <w:fldChar w:fldCharType="separate"/>
            </w:r>
            <w:r w:rsidR="004D2255">
              <w:rPr>
                <w:noProof/>
                <w:webHidden/>
              </w:rPr>
              <w:t>56</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55" w:history="1">
            <w:r w:rsidR="004D2255" w:rsidRPr="00437DBF">
              <w:rPr>
                <w:rStyle w:val="Hyperlink"/>
                <w:noProof/>
              </w:rPr>
              <w:t>5.1 Introduction</w:t>
            </w:r>
            <w:r w:rsidR="004D2255">
              <w:rPr>
                <w:noProof/>
                <w:webHidden/>
              </w:rPr>
              <w:tab/>
            </w:r>
            <w:r w:rsidR="004D2255">
              <w:rPr>
                <w:noProof/>
                <w:webHidden/>
              </w:rPr>
              <w:fldChar w:fldCharType="begin"/>
            </w:r>
            <w:r w:rsidR="004D2255">
              <w:rPr>
                <w:noProof/>
                <w:webHidden/>
              </w:rPr>
              <w:instrText xml:space="preserve"> PAGEREF _Toc220873955 \h </w:instrText>
            </w:r>
            <w:r w:rsidR="004D2255">
              <w:rPr>
                <w:noProof/>
                <w:webHidden/>
              </w:rPr>
            </w:r>
            <w:r w:rsidR="004D2255">
              <w:rPr>
                <w:noProof/>
                <w:webHidden/>
              </w:rPr>
              <w:fldChar w:fldCharType="separate"/>
            </w:r>
            <w:r w:rsidR="004D2255">
              <w:rPr>
                <w:noProof/>
                <w:webHidden/>
              </w:rPr>
              <w:t>56</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56" w:history="1">
            <w:r w:rsidR="004D2255" w:rsidRPr="00437DBF">
              <w:rPr>
                <w:rStyle w:val="Hyperlink"/>
                <w:noProof/>
              </w:rPr>
              <w:t>5.2 Re-stating the research problem, aim and research questions</w:t>
            </w:r>
            <w:r w:rsidR="004D2255">
              <w:rPr>
                <w:noProof/>
                <w:webHidden/>
              </w:rPr>
              <w:tab/>
            </w:r>
            <w:r w:rsidR="004D2255">
              <w:rPr>
                <w:noProof/>
                <w:webHidden/>
              </w:rPr>
              <w:fldChar w:fldCharType="begin"/>
            </w:r>
            <w:r w:rsidR="004D2255">
              <w:rPr>
                <w:noProof/>
                <w:webHidden/>
              </w:rPr>
              <w:instrText xml:space="preserve"> PAGEREF _Toc220873956 \h </w:instrText>
            </w:r>
            <w:r w:rsidR="004D2255">
              <w:rPr>
                <w:noProof/>
                <w:webHidden/>
              </w:rPr>
            </w:r>
            <w:r w:rsidR="004D2255">
              <w:rPr>
                <w:noProof/>
                <w:webHidden/>
              </w:rPr>
              <w:fldChar w:fldCharType="separate"/>
            </w:r>
            <w:r w:rsidR="004D2255">
              <w:rPr>
                <w:noProof/>
                <w:webHidden/>
              </w:rPr>
              <w:t>56</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57" w:history="1">
            <w:r w:rsidR="004D2255" w:rsidRPr="00437DBF">
              <w:rPr>
                <w:rStyle w:val="Hyperlink"/>
                <w:noProof/>
              </w:rPr>
              <w:t>5.3 Concise synthesis of key findings from Chapter 4</w:t>
            </w:r>
            <w:r w:rsidR="004D2255">
              <w:rPr>
                <w:noProof/>
                <w:webHidden/>
              </w:rPr>
              <w:tab/>
            </w:r>
            <w:r w:rsidR="004D2255">
              <w:rPr>
                <w:noProof/>
                <w:webHidden/>
              </w:rPr>
              <w:fldChar w:fldCharType="begin"/>
            </w:r>
            <w:r w:rsidR="004D2255">
              <w:rPr>
                <w:noProof/>
                <w:webHidden/>
              </w:rPr>
              <w:instrText xml:space="preserve"> PAGEREF _Toc220873957 \h </w:instrText>
            </w:r>
            <w:r w:rsidR="004D2255">
              <w:rPr>
                <w:noProof/>
                <w:webHidden/>
              </w:rPr>
            </w:r>
            <w:r w:rsidR="004D2255">
              <w:rPr>
                <w:noProof/>
                <w:webHidden/>
              </w:rPr>
              <w:fldChar w:fldCharType="separate"/>
            </w:r>
            <w:r w:rsidR="004D2255">
              <w:rPr>
                <w:noProof/>
                <w:webHidden/>
              </w:rPr>
              <w:t>56</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58" w:history="1">
            <w:r w:rsidR="004D2255" w:rsidRPr="00437DBF">
              <w:rPr>
                <w:rStyle w:val="Hyperlink"/>
                <w:noProof/>
              </w:rPr>
              <w:t>5.4 Interpreting RQ1 through the Theoretical Lenses</w:t>
            </w:r>
            <w:r w:rsidR="004D2255">
              <w:rPr>
                <w:noProof/>
                <w:webHidden/>
              </w:rPr>
              <w:tab/>
            </w:r>
            <w:r w:rsidR="004D2255">
              <w:rPr>
                <w:noProof/>
                <w:webHidden/>
              </w:rPr>
              <w:fldChar w:fldCharType="begin"/>
            </w:r>
            <w:r w:rsidR="004D2255">
              <w:rPr>
                <w:noProof/>
                <w:webHidden/>
              </w:rPr>
              <w:instrText xml:space="preserve"> PAGEREF _Toc220873958 \h </w:instrText>
            </w:r>
            <w:r w:rsidR="004D2255">
              <w:rPr>
                <w:noProof/>
                <w:webHidden/>
              </w:rPr>
            </w:r>
            <w:r w:rsidR="004D2255">
              <w:rPr>
                <w:noProof/>
                <w:webHidden/>
              </w:rPr>
              <w:fldChar w:fldCharType="separate"/>
            </w:r>
            <w:r w:rsidR="004D2255">
              <w:rPr>
                <w:noProof/>
                <w:webHidden/>
              </w:rPr>
              <w:t>58</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59" w:history="1">
            <w:r w:rsidR="004D2255" w:rsidRPr="00437DBF">
              <w:rPr>
                <w:rStyle w:val="Hyperlink"/>
                <w:noProof/>
              </w:rPr>
              <w:t>5.4.1 What the Barriers Mean in Practice</w:t>
            </w:r>
            <w:r w:rsidR="004D2255">
              <w:rPr>
                <w:noProof/>
                <w:webHidden/>
              </w:rPr>
              <w:tab/>
            </w:r>
            <w:r w:rsidR="004D2255">
              <w:rPr>
                <w:noProof/>
                <w:webHidden/>
              </w:rPr>
              <w:fldChar w:fldCharType="begin"/>
            </w:r>
            <w:r w:rsidR="004D2255">
              <w:rPr>
                <w:noProof/>
                <w:webHidden/>
              </w:rPr>
              <w:instrText xml:space="preserve"> PAGEREF _Toc220873959 \h </w:instrText>
            </w:r>
            <w:r w:rsidR="004D2255">
              <w:rPr>
                <w:noProof/>
                <w:webHidden/>
              </w:rPr>
            </w:r>
            <w:r w:rsidR="004D2255">
              <w:rPr>
                <w:noProof/>
                <w:webHidden/>
              </w:rPr>
              <w:fldChar w:fldCharType="separate"/>
            </w:r>
            <w:r w:rsidR="004D2255">
              <w:rPr>
                <w:noProof/>
                <w:webHidden/>
              </w:rPr>
              <w:t>58</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60" w:history="1">
            <w:r w:rsidR="004D2255" w:rsidRPr="00437DBF">
              <w:rPr>
                <w:rStyle w:val="Hyperlink"/>
                <w:noProof/>
              </w:rPr>
              <w:t>5.4.2 Administrative Burden Interpretation: Learning Costs and Compliance Costs</w:t>
            </w:r>
            <w:r w:rsidR="004D2255">
              <w:rPr>
                <w:noProof/>
                <w:webHidden/>
              </w:rPr>
              <w:tab/>
            </w:r>
            <w:r w:rsidR="004D2255">
              <w:rPr>
                <w:noProof/>
                <w:webHidden/>
              </w:rPr>
              <w:fldChar w:fldCharType="begin"/>
            </w:r>
            <w:r w:rsidR="004D2255">
              <w:rPr>
                <w:noProof/>
                <w:webHidden/>
              </w:rPr>
              <w:instrText xml:space="preserve"> PAGEREF _Toc220873960 \h </w:instrText>
            </w:r>
            <w:r w:rsidR="004D2255">
              <w:rPr>
                <w:noProof/>
                <w:webHidden/>
              </w:rPr>
            </w:r>
            <w:r w:rsidR="004D2255">
              <w:rPr>
                <w:noProof/>
                <w:webHidden/>
              </w:rPr>
              <w:fldChar w:fldCharType="separate"/>
            </w:r>
            <w:r w:rsidR="004D2255">
              <w:rPr>
                <w:noProof/>
                <w:webHidden/>
              </w:rPr>
              <w:t>58</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61" w:history="1">
            <w:r w:rsidR="004D2255" w:rsidRPr="00437DBF">
              <w:rPr>
                <w:rStyle w:val="Hyperlink"/>
                <w:noProof/>
              </w:rPr>
              <w:t>5.4.3 Contradictions and Boundary Conditions</w:t>
            </w:r>
            <w:r w:rsidR="004D2255">
              <w:rPr>
                <w:noProof/>
                <w:webHidden/>
              </w:rPr>
              <w:tab/>
            </w:r>
            <w:r w:rsidR="004D2255">
              <w:rPr>
                <w:noProof/>
                <w:webHidden/>
              </w:rPr>
              <w:fldChar w:fldCharType="begin"/>
            </w:r>
            <w:r w:rsidR="004D2255">
              <w:rPr>
                <w:noProof/>
                <w:webHidden/>
              </w:rPr>
              <w:instrText xml:space="preserve"> PAGEREF _Toc220873961 \h </w:instrText>
            </w:r>
            <w:r w:rsidR="004D2255">
              <w:rPr>
                <w:noProof/>
                <w:webHidden/>
              </w:rPr>
            </w:r>
            <w:r w:rsidR="004D2255">
              <w:rPr>
                <w:noProof/>
                <w:webHidden/>
              </w:rPr>
              <w:fldChar w:fldCharType="separate"/>
            </w:r>
            <w:r w:rsidR="004D2255">
              <w:rPr>
                <w:noProof/>
                <w:webHidden/>
              </w:rPr>
              <w:t>59</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62" w:history="1">
            <w:r w:rsidR="004D2255" w:rsidRPr="00437DBF">
              <w:rPr>
                <w:rStyle w:val="Hyperlink"/>
                <w:noProof/>
              </w:rPr>
              <w:t>5.5 Interpreting RQ2: Operational efficiency effects and why they matter</w:t>
            </w:r>
            <w:r w:rsidR="004D2255">
              <w:rPr>
                <w:noProof/>
                <w:webHidden/>
              </w:rPr>
              <w:tab/>
            </w:r>
            <w:r w:rsidR="004D2255">
              <w:rPr>
                <w:noProof/>
                <w:webHidden/>
              </w:rPr>
              <w:fldChar w:fldCharType="begin"/>
            </w:r>
            <w:r w:rsidR="004D2255">
              <w:rPr>
                <w:noProof/>
                <w:webHidden/>
              </w:rPr>
              <w:instrText xml:space="preserve"> PAGEREF _Toc220873962 \h </w:instrText>
            </w:r>
            <w:r w:rsidR="004D2255">
              <w:rPr>
                <w:noProof/>
                <w:webHidden/>
              </w:rPr>
            </w:r>
            <w:r w:rsidR="004D2255">
              <w:rPr>
                <w:noProof/>
                <w:webHidden/>
              </w:rPr>
              <w:fldChar w:fldCharType="separate"/>
            </w:r>
            <w:r w:rsidR="004D2255">
              <w:rPr>
                <w:noProof/>
                <w:webHidden/>
              </w:rPr>
              <w:t>61</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63" w:history="1">
            <w:r w:rsidR="004D2255" w:rsidRPr="00437DBF">
              <w:rPr>
                <w:rStyle w:val="Hyperlink"/>
                <w:noProof/>
              </w:rPr>
              <w:t>5.5.1 efficiency effects at firm level</w:t>
            </w:r>
            <w:r w:rsidR="004D2255">
              <w:rPr>
                <w:noProof/>
                <w:webHidden/>
              </w:rPr>
              <w:tab/>
            </w:r>
            <w:r w:rsidR="004D2255">
              <w:rPr>
                <w:noProof/>
                <w:webHidden/>
              </w:rPr>
              <w:fldChar w:fldCharType="begin"/>
            </w:r>
            <w:r w:rsidR="004D2255">
              <w:rPr>
                <w:noProof/>
                <w:webHidden/>
              </w:rPr>
              <w:instrText xml:space="preserve"> PAGEREF _Toc220873963 \h </w:instrText>
            </w:r>
            <w:r w:rsidR="004D2255">
              <w:rPr>
                <w:noProof/>
                <w:webHidden/>
              </w:rPr>
            </w:r>
            <w:r w:rsidR="004D2255">
              <w:rPr>
                <w:noProof/>
                <w:webHidden/>
              </w:rPr>
              <w:fldChar w:fldCharType="separate"/>
            </w:r>
            <w:r w:rsidR="004D2255">
              <w:rPr>
                <w:noProof/>
                <w:webHidden/>
              </w:rPr>
              <w:t>61</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64" w:history="1">
            <w:r w:rsidR="004D2255" w:rsidRPr="00437DBF">
              <w:rPr>
                <w:rStyle w:val="Hyperlink"/>
                <w:noProof/>
              </w:rPr>
              <w:t>5.5.2 Systems-level consequences and “spillovers”</w:t>
            </w:r>
            <w:r w:rsidR="004D2255">
              <w:rPr>
                <w:noProof/>
                <w:webHidden/>
              </w:rPr>
              <w:tab/>
            </w:r>
            <w:r w:rsidR="004D2255">
              <w:rPr>
                <w:noProof/>
                <w:webHidden/>
              </w:rPr>
              <w:fldChar w:fldCharType="begin"/>
            </w:r>
            <w:r w:rsidR="004D2255">
              <w:rPr>
                <w:noProof/>
                <w:webHidden/>
              </w:rPr>
              <w:instrText xml:space="preserve"> PAGEREF _Toc220873964 \h </w:instrText>
            </w:r>
            <w:r w:rsidR="004D2255">
              <w:rPr>
                <w:noProof/>
                <w:webHidden/>
              </w:rPr>
            </w:r>
            <w:r w:rsidR="004D2255">
              <w:rPr>
                <w:noProof/>
                <w:webHidden/>
              </w:rPr>
              <w:fldChar w:fldCharType="separate"/>
            </w:r>
            <w:r w:rsidR="004D2255">
              <w:rPr>
                <w:noProof/>
                <w:webHidden/>
              </w:rPr>
              <w:t>61</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65" w:history="1">
            <w:r w:rsidR="004D2255" w:rsidRPr="00437DBF">
              <w:rPr>
                <w:rStyle w:val="Hyperlink"/>
                <w:noProof/>
              </w:rPr>
              <w:t>5.5.3 Critical evaluation of evidence strength</w:t>
            </w:r>
            <w:r w:rsidR="004D2255">
              <w:rPr>
                <w:noProof/>
                <w:webHidden/>
              </w:rPr>
              <w:tab/>
            </w:r>
            <w:r w:rsidR="004D2255">
              <w:rPr>
                <w:noProof/>
                <w:webHidden/>
              </w:rPr>
              <w:fldChar w:fldCharType="begin"/>
            </w:r>
            <w:r w:rsidR="004D2255">
              <w:rPr>
                <w:noProof/>
                <w:webHidden/>
              </w:rPr>
              <w:instrText xml:space="preserve"> PAGEREF _Toc220873965 \h </w:instrText>
            </w:r>
            <w:r w:rsidR="004D2255">
              <w:rPr>
                <w:noProof/>
                <w:webHidden/>
              </w:rPr>
            </w:r>
            <w:r w:rsidR="004D2255">
              <w:rPr>
                <w:noProof/>
                <w:webHidden/>
              </w:rPr>
              <w:fldChar w:fldCharType="separate"/>
            </w:r>
            <w:r w:rsidR="004D2255">
              <w:rPr>
                <w:noProof/>
                <w:webHidden/>
              </w:rPr>
              <w:t>62</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66" w:history="1">
            <w:r w:rsidR="004D2255" w:rsidRPr="00437DBF">
              <w:rPr>
                <w:rStyle w:val="Hyperlink"/>
                <w:noProof/>
              </w:rPr>
              <w:t>5.6 Interpreting RQ3: What the documented reform direction implies</w:t>
            </w:r>
            <w:r w:rsidR="004D2255">
              <w:rPr>
                <w:noProof/>
                <w:webHidden/>
              </w:rPr>
              <w:tab/>
            </w:r>
            <w:r w:rsidR="004D2255">
              <w:rPr>
                <w:noProof/>
                <w:webHidden/>
              </w:rPr>
              <w:fldChar w:fldCharType="begin"/>
            </w:r>
            <w:r w:rsidR="004D2255">
              <w:rPr>
                <w:noProof/>
                <w:webHidden/>
              </w:rPr>
              <w:instrText xml:space="preserve"> PAGEREF _Toc220873966 \h </w:instrText>
            </w:r>
            <w:r w:rsidR="004D2255">
              <w:rPr>
                <w:noProof/>
                <w:webHidden/>
              </w:rPr>
            </w:r>
            <w:r w:rsidR="004D2255">
              <w:rPr>
                <w:noProof/>
                <w:webHidden/>
              </w:rPr>
              <w:fldChar w:fldCharType="separate"/>
            </w:r>
            <w:r w:rsidR="004D2255">
              <w:rPr>
                <w:noProof/>
                <w:webHidden/>
              </w:rPr>
              <w:t>64</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67" w:history="1">
            <w:r w:rsidR="004D2255" w:rsidRPr="00437DBF">
              <w:rPr>
                <w:rStyle w:val="Hyperlink"/>
                <w:noProof/>
              </w:rPr>
              <w:t>5.6.1 Digitisation and standardisation as reform modalities</w:t>
            </w:r>
            <w:r w:rsidR="004D2255">
              <w:rPr>
                <w:noProof/>
                <w:webHidden/>
              </w:rPr>
              <w:tab/>
            </w:r>
            <w:r w:rsidR="004D2255">
              <w:rPr>
                <w:noProof/>
                <w:webHidden/>
              </w:rPr>
              <w:fldChar w:fldCharType="begin"/>
            </w:r>
            <w:r w:rsidR="004D2255">
              <w:rPr>
                <w:noProof/>
                <w:webHidden/>
              </w:rPr>
              <w:instrText xml:space="preserve"> PAGEREF _Toc220873967 \h </w:instrText>
            </w:r>
            <w:r w:rsidR="004D2255">
              <w:rPr>
                <w:noProof/>
                <w:webHidden/>
              </w:rPr>
            </w:r>
            <w:r w:rsidR="004D2255">
              <w:rPr>
                <w:noProof/>
                <w:webHidden/>
              </w:rPr>
              <w:fldChar w:fldCharType="separate"/>
            </w:r>
            <w:r w:rsidR="004D2255">
              <w:rPr>
                <w:noProof/>
                <w:webHidden/>
              </w:rPr>
              <w:t>64</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68" w:history="1">
            <w:r w:rsidR="004D2255" w:rsidRPr="00437DBF">
              <w:rPr>
                <w:rStyle w:val="Hyperlink"/>
                <w:noProof/>
              </w:rPr>
              <w:t>5.6.2 GRP lens: Assessing reform “fit” against process-quality principles</w:t>
            </w:r>
            <w:r w:rsidR="004D2255">
              <w:rPr>
                <w:noProof/>
                <w:webHidden/>
              </w:rPr>
              <w:tab/>
            </w:r>
            <w:r w:rsidR="004D2255">
              <w:rPr>
                <w:noProof/>
                <w:webHidden/>
              </w:rPr>
              <w:fldChar w:fldCharType="begin"/>
            </w:r>
            <w:r w:rsidR="004D2255">
              <w:rPr>
                <w:noProof/>
                <w:webHidden/>
              </w:rPr>
              <w:instrText xml:space="preserve"> PAGEREF _Toc220873968 \h </w:instrText>
            </w:r>
            <w:r w:rsidR="004D2255">
              <w:rPr>
                <w:noProof/>
                <w:webHidden/>
              </w:rPr>
            </w:r>
            <w:r w:rsidR="004D2255">
              <w:rPr>
                <w:noProof/>
                <w:webHidden/>
              </w:rPr>
              <w:fldChar w:fldCharType="separate"/>
            </w:r>
            <w:r w:rsidR="004D2255">
              <w:rPr>
                <w:noProof/>
                <w:webHidden/>
              </w:rPr>
              <w:t>65</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69" w:history="1">
            <w:r w:rsidR="004D2255" w:rsidRPr="00437DBF">
              <w:rPr>
                <w:rStyle w:val="Hyperlink"/>
                <w:noProof/>
              </w:rPr>
              <w:t>5.7 Critical reflection: limitations shaping interpretation</w:t>
            </w:r>
            <w:r w:rsidR="004D2255">
              <w:rPr>
                <w:noProof/>
                <w:webHidden/>
              </w:rPr>
              <w:tab/>
            </w:r>
            <w:r w:rsidR="004D2255">
              <w:rPr>
                <w:noProof/>
                <w:webHidden/>
              </w:rPr>
              <w:fldChar w:fldCharType="begin"/>
            </w:r>
            <w:r w:rsidR="004D2255">
              <w:rPr>
                <w:noProof/>
                <w:webHidden/>
              </w:rPr>
              <w:instrText xml:space="preserve"> PAGEREF _Toc220873969 \h </w:instrText>
            </w:r>
            <w:r w:rsidR="004D2255">
              <w:rPr>
                <w:noProof/>
                <w:webHidden/>
              </w:rPr>
            </w:r>
            <w:r w:rsidR="004D2255">
              <w:rPr>
                <w:noProof/>
                <w:webHidden/>
              </w:rPr>
              <w:fldChar w:fldCharType="separate"/>
            </w:r>
            <w:r w:rsidR="004D2255">
              <w:rPr>
                <w:noProof/>
                <w:webHidden/>
              </w:rPr>
              <w:t>66</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70" w:history="1">
            <w:r w:rsidR="004D2255" w:rsidRPr="00437DBF">
              <w:rPr>
                <w:rStyle w:val="Hyperlink"/>
                <w:noProof/>
              </w:rPr>
              <w:t>5.8 Conclusion</w:t>
            </w:r>
            <w:r w:rsidR="004D2255">
              <w:rPr>
                <w:noProof/>
                <w:webHidden/>
              </w:rPr>
              <w:tab/>
            </w:r>
            <w:r w:rsidR="004D2255">
              <w:rPr>
                <w:noProof/>
                <w:webHidden/>
              </w:rPr>
              <w:fldChar w:fldCharType="begin"/>
            </w:r>
            <w:r w:rsidR="004D2255">
              <w:rPr>
                <w:noProof/>
                <w:webHidden/>
              </w:rPr>
              <w:instrText xml:space="preserve"> PAGEREF _Toc220873970 \h </w:instrText>
            </w:r>
            <w:r w:rsidR="004D2255">
              <w:rPr>
                <w:noProof/>
                <w:webHidden/>
              </w:rPr>
            </w:r>
            <w:r w:rsidR="004D2255">
              <w:rPr>
                <w:noProof/>
                <w:webHidden/>
              </w:rPr>
              <w:fldChar w:fldCharType="separate"/>
            </w:r>
            <w:r w:rsidR="004D2255">
              <w:rPr>
                <w:noProof/>
                <w:webHidden/>
              </w:rPr>
              <w:t>67</w:t>
            </w:r>
            <w:r w:rsidR="004D2255">
              <w:rPr>
                <w:noProof/>
                <w:webHidden/>
              </w:rPr>
              <w:fldChar w:fldCharType="end"/>
            </w:r>
          </w:hyperlink>
        </w:p>
        <w:p w:rsidR="004D2255" w:rsidRDefault="00D03AE8">
          <w:pPr>
            <w:pStyle w:val="TOC1"/>
            <w:tabs>
              <w:tab w:val="right" w:leader="dot" w:pos="9350"/>
            </w:tabs>
            <w:rPr>
              <w:rFonts w:asciiTheme="minorHAnsi" w:eastAsiaTheme="minorEastAsia" w:hAnsiTheme="minorHAnsi" w:cstheme="minorBidi"/>
              <w:noProof/>
              <w:sz w:val="22"/>
              <w:lang w:val="en-US" w:eastAsia="en-US"/>
            </w:rPr>
          </w:pPr>
          <w:hyperlink w:anchor="_Toc220873971" w:history="1">
            <w:r w:rsidR="004D2255" w:rsidRPr="00437DBF">
              <w:rPr>
                <w:rStyle w:val="Hyperlink"/>
                <w:noProof/>
              </w:rPr>
              <w:t>Chapter 6. Conclusion</w:t>
            </w:r>
            <w:r w:rsidR="004D2255">
              <w:rPr>
                <w:noProof/>
                <w:webHidden/>
              </w:rPr>
              <w:tab/>
            </w:r>
            <w:r w:rsidR="004D2255">
              <w:rPr>
                <w:noProof/>
                <w:webHidden/>
              </w:rPr>
              <w:fldChar w:fldCharType="begin"/>
            </w:r>
            <w:r w:rsidR="004D2255">
              <w:rPr>
                <w:noProof/>
                <w:webHidden/>
              </w:rPr>
              <w:instrText xml:space="preserve"> PAGEREF _Toc220873971 \h </w:instrText>
            </w:r>
            <w:r w:rsidR="004D2255">
              <w:rPr>
                <w:noProof/>
                <w:webHidden/>
              </w:rPr>
            </w:r>
            <w:r w:rsidR="004D2255">
              <w:rPr>
                <w:noProof/>
                <w:webHidden/>
              </w:rPr>
              <w:fldChar w:fldCharType="separate"/>
            </w:r>
            <w:r w:rsidR="004D2255">
              <w:rPr>
                <w:noProof/>
                <w:webHidden/>
              </w:rPr>
              <w:t>68</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72" w:history="1">
            <w:r w:rsidR="004D2255" w:rsidRPr="00437DBF">
              <w:rPr>
                <w:rStyle w:val="Hyperlink"/>
                <w:noProof/>
              </w:rPr>
              <w:t>6.1 Introduction</w:t>
            </w:r>
            <w:r w:rsidR="004D2255">
              <w:rPr>
                <w:noProof/>
                <w:webHidden/>
              </w:rPr>
              <w:tab/>
            </w:r>
            <w:r w:rsidR="004D2255">
              <w:rPr>
                <w:noProof/>
                <w:webHidden/>
              </w:rPr>
              <w:fldChar w:fldCharType="begin"/>
            </w:r>
            <w:r w:rsidR="004D2255">
              <w:rPr>
                <w:noProof/>
                <w:webHidden/>
              </w:rPr>
              <w:instrText xml:space="preserve"> PAGEREF _Toc220873972 \h </w:instrText>
            </w:r>
            <w:r w:rsidR="004D2255">
              <w:rPr>
                <w:noProof/>
                <w:webHidden/>
              </w:rPr>
            </w:r>
            <w:r w:rsidR="004D2255">
              <w:rPr>
                <w:noProof/>
                <w:webHidden/>
              </w:rPr>
              <w:fldChar w:fldCharType="separate"/>
            </w:r>
            <w:r w:rsidR="004D2255">
              <w:rPr>
                <w:noProof/>
                <w:webHidden/>
              </w:rPr>
              <w:t>68</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73" w:history="1">
            <w:r w:rsidR="004D2255" w:rsidRPr="00437DBF">
              <w:rPr>
                <w:rStyle w:val="Hyperlink"/>
                <w:noProof/>
              </w:rPr>
              <w:t>6.2 Restatement of research aim and research questions</w:t>
            </w:r>
            <w:r w:rsidR="004D2255">
              <w:rPr>
                <w:noProof/>
                <w:webHidden/>
              </w:rPr>
              <w:tab/>
            </w:r>
            <w:r w:rsidR="004D2255">
              <w:rPr>
                <w:noProof/>
                <w:webHidden/>
              </w:rPr>
              <w:fldChar w:fldCharType="begin"/>
            </w:r>
            <w:r w:rsidR="004D2255">
              <w:rPr>
                <w:noProof/>
                <w:webHidden/>
              </w:rPr>
              <w:instrText xml:space="preserve"> PAGEREF _Toc220873973 \h </w:instrText>
            </w:r>
            <w:r w:rsidR="004D2255">
              <w:rPr>
                <w:noProof/>
                <w:webHidden/>
              </w:rPr>
            </w:r>
            <w:r w:rsidR="004D2255">
              <w:rPr>
                <w:noProof/>
                <w:webHidden/>
              </w:rPr>
              <w:fldChar w:fldCharType="separate"/>
            </w:r>
            <w:r w:rsidR="004D2255">
              <w:rPr>
                <w:noProof/>
                <w:webHidden/>
              </w:rPr>
              <w:t>68</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74" w:history="1">
            <w:r w:rsidR="004D2255" w:rsidRPr="00437DBF">
              <w:rPr>
                <w:rStyle w:val="Hyperlink"/>
                <w:noProof/>
              </w:rPr>
              <w:t>6.3 Key findings and answers to the research questions</w:t>
            </w:r>
            <w:r w:rsidR="004D2255">
              <w:rPr>
                <w:noProof/>
                <w:webHidden/>
              </w:rPr>
              <w:tab/>
            </w:r>
            <w:r w:rsidR="004D2255">
              <w:rPr>
                <w:noProof/>
                <w:webHidden/>
              </w:rPr>
              <w:fldChar w:fldCharType="begin"/>
            </w:r>
            <w:r w:rsidR="004D2255">
              <w:rPr>
                <w:noProof/>
                <w:webHidden/>
              </w:rPr>
              <w:instrText xml:space="preserve"> PAGEREF _Toc220873974 \h </w:instrText>
            </w:r>
            <w:r w:rsidR="004D2255">
              <w:rPr>
                <w:noProof/>
                <w:webHidden/>
              </w:rPr>
            </w:r>
            <w:r w:rsidR="004D2255">
              <w:rPr>
                <w:noProof/>
                <w:webHidden/>
              </w:rPr>
              <w:fldChar w:fldCharType="separate"/>
            </w:r>
            <w:r w:rsidR="004D2255">
              <w:rPr>
                <w:noProof/>
                <w:webHidden/>
              </w:rPr>
              <w:t>68</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75" w:history="1">
            <w:r w:rsidR="004D2255" w:rsidRPr="00437DBF">
              <w:rPr>
                <w:rStyle w:val="Hyperlink"/>
                <w:noProof/>
              </w:rPr>
              <w:t>6.4 Addressing the literature gap and demonstrating contribution</w:t>
            </w:r>
            <w:r w:rsidR="004D2255">
              <w:rPr>
                <w:noProof/>
                <w:webHidden/>
              </w:rPr>
              <w:tab/>
            </w:r>
            <w:r w:rsidR="004D2255">
              <w:rPr>
                <w:noProof/>
                <w:webHidden/>
              </w:rPr>
              <w:fldChar w:fldCharType="begin"/>
            </w:r>
            <w:r w:rsidR="004D2255">
              <w:rPr>
                <w:noProof/>
                <w:webHidden/>
              </w:rPr>
              <w:instrText xml:space="preserve"> PAGEREF _Toc220873975 \h </w:instrText>
            </w:r>
            <w:r w:rsidR="004D2255">
              <w:rPr>
                <w:noProof/>
                <w:webHidden/>
              </w:rPr>
            </w:r>
            <w:r w:rsidR="004D2255">
              <w:rPr>
                <w:noProof/>
                <w:webHidden/>
              </w:rPr>
              <w:fldChar w:fldCharType="separate"/>
            </w:r>
            <w:r w:rsidR="004D2255">
              <w:rPr>
                <w:noProof/>
                <w:webHidden/>
              </w:rPr>
              <w:t>69</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76" w:history="1">
            <w:r w:rsidR="004D2255" w:rsidRPr="00437DBF">
              <w:rPr>
                <w:rStyle w:val="Hyperlink"/>
                <w:noProof/>
              </w:rPr>
              <w:t>6.5 Practical recommendations</w:t>
            </w:r>
            <w:r w:rsidR="004D2255">
              <w:rPr>
                <w:noProof/>
                <w:webHidden/>
              </w:rPr>
              <w:tab/>
            </w:r>
            <w:r w:rsidR="004D2255">
              <w:rPr>
                <w:noProof/>
                <w:webHidden/>
              </w:rPr>
              <w:fldChar w:fldCharType="begin"/>
            </w:r>
            <w:r w:rsidR="004D2255">
              <w:rPr>
                <w:noProof/>
                <w:webHidden/>
              </w:rPr>
              <w:instrText xml:space="preserve"> PAGEREF _Toc220873976 \h </w:instrText>
            </w:r>
            <w:r w:rsidR="004D2255">
              <w:rPr>
                <w:noProof/>
                <w:webHidden/>
              </w:rPr>
            </w:r>
            <w:r w:rsidR="004D2255">
              <w:rPr>
                <w:noProof/>
                <w:webHidden/>
              </w:rPr>
              <w:fldChar w:fldCharType="separate"/>
            </w:r>
            <w:r w:rsidR="004D2255">
              <w:rPr>
                <w:noProof/>
                <w:webHidden/>
              </w:rPr>
              <w:t>70</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77" w:history="1">
            <w:r w:rsidR="004D2255" w:rsidRPr="00437DBF">
              <w:rPr>
                <w:rStyle w:val="Hyperlink"/>
                <w:noProof/>
              </w:rPr>
              <w:t>6.5.1 Recommendations for regulators and policymakers</w:t>
            </w:r>
            <w:r w:rsidR="004D2255">
              <w:rPr>
                <w:noProof/>
                <w:webHidden/>
              </w:rPr>
              <w:tab/>
            </w:r>
            <w:r w:rsidR="004D2255">
              <w:rPr>
                <w:noProof/>
                <w:webHidden/>
              </w:rPr>
              <w:fldChar w:fldCharType="begin"/>
            </w:r>
            <w:r w:rsidR="004D2255">
              <w:rPr>
                <w:noProof/>
                <w:webHidden/>
              </w:rPr>
              <w:instrText xml:space="preserve"> PAGEREF _Toc220873977 \h </w:instrText>
            </w:r>
            <w:r w:rsidR="004D2255">
              <w:rPr>
                <w:noProof/>
                <w:webHidden/>
              </w:rPr>
            </w:r>
            <w:r w:rsidR="004D2255">
              <w:rPr>
                <w:noProof/>
                <w:webHidden/>
              </w:rPr>
              <w:fldChar w:fldCharType="separate"/>
            </w:r>
            <w:r w:rsidR="004D2255">
              <w:rPr>
                <w:noProof/>
                <w:webHidden/>
              </w:rPr>
              <w:t>70</w:t>
            </w:r>
            <w:r w:rsidR="004D2255">
              <w:rPr>
                <w:noProof/>
                <w:webHidden/>
              </w:rPr>
              <w:fldChar w:fldCharType="end"/>
            </w:r>
          </w:hyperlink>
        </w:p>
        <w:p w:rsidR="004D2255" w:rsidRDefault="00D03AE8">
          <w:pPr>
            <w:pStyle w:val="TOC3"/>
            <w:tabs>
              <w:tab w:val="right" w:leader="dot" w:pos="9350"/>
            </w:tabs>
            <w:rPr>
              <w:rFonts w:asciiTheme="minorHAnsi" w:eastAsiaTheme="minorEastAsia" w:hAnsiTheme="minorHAnsi" w:cstheme="minorBidi"/>
              <w:noProof/>
              <w:sz w:val="22"/>
              <w:lang w:val="en-US" w:eastAsia="en-US"/>
            </w:rPr>
          </w:pPr>
          <w:hyperlink w:anchor="_Toc220873978" w:history="1">
            <w:r w:rsidR="004D2255" w:rsidRPr="00437DBF">
              <w:rPr>
                <w:rStyle w:val="Hyperlink"/>
                <w:noProof/>
              </w:rPr>
              <w:t>6.5.2 Recommendations for SME managers/importers</w:t>
            </w:r>
            <w:r w:rsidR="004D2255">
              <w:rPr>
                <w:noProof/>
                <w:webHidden/>
              </w:rPr>
              <w:tab/>
            </w:r>
            <w:r w:rsidR="004D2255">
              <w:rPr>
                <w:noProof/>
                <w:webHidden/>
              </w:rPr>
              <w:fldChar w:fldCharType="begin"/>
            </w:r>
            <w:r w:rsidR="004D2255">
              <w:rPr>
                <w:noProof/>
                <w:webHidden/>
              </w:rPr>
              <w:instrText xml:space="preserve"> PAGEREF _Toc220873978 \h </w:instrText>
            </w:r>
            <w:r w:rsidR="004D2255">
              <w:rPr>
                <w:noProof/>
                <w:webHidden/>
              </w:rPr>
            </w:r>
            <w:r w:rsidR="004D2255">
              <w:rPr>
                <w:noProof/>
                <w:webHidden/>
              </w:rPr>
              <w:fldChar w:fldCharType="separate"/>
            </w:r>
            <w:r w:rsidR="004D2255">
              <w:rPr>
                <w:noProof/>
                <w:webHidden/>
              </w:rPr>
              <w:t>70</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79" w:history="1">
            <w:r w:rsidR="004D2255" w:rsidRPr="00437DBF">
              <w:rPr>
                <w:rStyle w:val="Hyperlink"/>
                <w:noProof/>
              </w:rPr>
              <w:t>6.6 Limitations and Future Research Directions</w:t>
            </w:r>
            <w:r w:rsidR="004D2255">
              <w:rPr>
                <w:noProof/>
                <w:webHidden/>
              </w:rPr>
              <w:tab/>
            </w:r>
            <w:r w:rsidR="004D2255">
              <w:rPr>
                <w:noProof/>
                <w:webHidden/>
              </w:rPr>
              <w:fldChar w:fldCharType="begin"/>
            </w:r>
            <w:r w:rsidR="004D2255">
              <w:rPr>
                <w:noProof/>
                <w:webHidden/>
              </w:rPr>
              <w:instrText xml:space="preserve"> PAGEREF _Toc220873979 \h </w:instrText>
            </w:r>
            <w:r w:rsidR="004D2255">
              <w:rPr>
                <w:noProof/>
                <w:webHidden/>
              </w:rPr>
            </w:r>
            <w:r w:rsidR="004D2255">
              <w:rPr>
                <w:noProof/>
                <w:webHidden/>
              </w:rPr>
              <w:fldChar w:fldCharType="separate"/>
            </w:r>
            <w:r w:rsidR="004D2255">
              <w:rPr>
                <w:noProof/>
                <w:webHidden/>
              </w:rPr>
              <w:t>71</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80" w:history="1">
            <w:r w:rsidR="004D2255" w:rsidRPr="00437DBF">
              <w:rPr>
                <w:rStyle w:val="Hyperlink"/>
                <w:noProof/>
              </w:rPr>
              <w:t>6.7 Final reflective statement</w:t>
            </w:r>
            <w:r w:rsidR="004D2255">
              <w:rPr>
                <w:noProof/>
                <w:webHidden/>
              </w:rPr>
              <w:tab/>
            </w:r>
            <w:r w:rsidR="004D2255">
              <w:rPr>
                <w:noProof/>
                <w:webHidden/>
              </w:rPr>
              <w:fldChar w:fldCharType="begin"/>
            </w:r>
            <w:r w:rsidR="004D2255">
              <w:rPr>
                <w:noProof/>
                <w:webHidden/>
              </w:rPr>
              <w:instrText xml:space="preserve"> PAGEREF _Toc220873980 \h </w:instrText>
            </w:r>
            <w:r w:rsidR="004D2255">
              <w:rPr>
                <w:noProof/>
                <w:webHidden/>
              </w:rPr>
            </w:r>
            <w:r w:rsidR="004D2255">
              <w:rPr>
                <w:noProof/>
                <w:webHidden/>
              </w:rPr>
              <w:fldChar w:fldCharType="separate"/>
            </w:r>
            <w:r w:rsidR="004D2255">
              <w:rPr>
                <w:noProof/>
                <w:webHidden/>
              </w:rPr>
              <w:t>71</w:t>
            </w:r>
            <w:r w:rsidR="004D2255">
              <w:rPr>
                <w:noProof/>
                <w:webHidden/>
              </w:rPr>
              <w:fldChar w:fldCharType="end"/>
            </w:r>
          </w:hyperlink>
        </w:p>
        <w:p w:rsidR="004D2255" w:rsidRDefault="00D03AE8">
          <w:pPr>
            <w:pStyle w:val="TOC2"/>
            <w:tabs>
              <w:tab w:val="right" w:leader="dot" w:pos="9350"/>
            </w:tabs>
            <w:rPr>
              <w:rFonts w:asciiTheme="minorHAnsi" w:eastAsiaTheme="minorEastAsia" w:hAnsiTheme="minorHAnsi" w:cstheme="minorBidi"/>
              <w:noProof/>
              <w:sz w:val="22"/>
              <w:lang w:val="en-US" w:eastAsia="en-US"/>
            </w:rPr>
          </w:pPr>
          <w:hyperlink w:anchor="_Toc220873981" w:history="1">
            <w:r w:rsidR="004D2255" w:rsidRPr="00437DBF">
              <w:rPr>
                <w:rStyle w:val="Hyperlink"/>
                <w:noProof/>
              </w:rPr>
              <w:t>6.8 Conclusion</w:t>
            </w:r>
            <w:r w:rsidR="004D2255">
              <w:rPr>
                <w:noProof/>
                <w:webHidden/>
              </w:rPr>
              <w:tab/>
            </w:r>
            <w:r w:rsidR="004D2255">
              <w:rPr>
                <w:noProof/>
                <w:webHidden/>
              </w:rPr>
              <w:fldChar w:fldCharType="begin"/>
            </w:r>
            <w:r w:rsidR="004D2255">
              <w:rPr>
                <w:noProof/>
                <w:webHidden/>
              </w:rPr>
              <w:instrText xml:space="preserve"> PAGEREF _Toc220873981 \h </w:instrText>
            </w:r>
            <w:r w:rsidR="004D2255">
              <w:rPr>
                <w:noProof/>
                <w:webHidden/>
              </w:rPr>
            </w:r>
            <w:r w:rsidR="004D2255">
              <w:rPr>
                <w:noProof/>
                <w:webHidden/>
              </w:rPr>
              <w:fldChar w:fldCharType="separate"/>
            </w:r>
            <w:r w:rsidR="004D2255">
              <w:rPr>
                <w:noProof/>
                <w:webHidden/>
              </w:rPr>
              <w:t>72</w:t>
            </w:r>
            <w:r w:rsidR="004D2255">
              <w:rPr>
                <w:noProof/>
                <w:webHidden/>
              </w:rPr>
              <w:fldChar w:fldCharType="end"/>
            </w:r>
          </w:hyperlink>
        </w:p>
        <w:p w:rsidR="004D2255" w:rsidRDefault="00D03AE8">
          <w:pPr>
            <w:pStyle w:val="TOC1"/>
            <w:tabs>
              <w:tab w:val="right" w:leader="dot" w:pos="9350"/>
            </w:tabs>
            <w:rPr>
              <w:rFonts w:asciiTheme="minorHAnsi" w:eastAsiaTheme="minorEastAsia" w:hAnsiTheme="minorHAnsi" w:cstheme="minorBidi"/>
              <w:noProof/>
              <w:sz w:val="22"/>
              <w:lang w:val="en-US" w:eastAsia="en-US"/>
            </w:rPr>
          </w:pPr>
          <w:hyperlink w:anchor="_Toc220873982" w:history="1">
            <w:r w:rsidR="004D2255" w:rsidRPr="00437DBF">
              <w:rPr>
                <w:rStyle w:val="Hyperlink"/>
                <w:noProof/>
              </w:rPr>
              <w:t>References</w:t>
            </w:r>
            <w:r w:rsidR="004D2255">
              <w:rPr>
                <w:noProof/>
                <w:webHidden/>
              </w:rPr>
              <w:tab/>
            </w:r>
            <w:r w:rsidR="004D2255">
              <w:rPr>
                <w:noProof/>
                <w:webHidden/>
              </w:rPr>
              <w:fldChar w:fldCharType="begin"/>
            </w:r>
            <w:r w:rsidR="004D2255">
              <w:rPr>
                <w:noProof/>
                <w:webHidden/>
              </w:rPr>
              <w:instrText xml:space="preserve"> PAGEREF _Toc220873982 \h </w:instrText>
            </w:r>
            <w:r w:rsidR="004D2255">
              <w:rPr>
                <w:noProof/>
                <w:webHidden/>
              </w:rPr>
            </w:r>
            <w:r w:rsidR="004D2255">
              <w:rPr>
                <w:noProof/>
                <w:webHidden/>
              </w:rPr>
              <w:fldChar w:fldCharType="separate"/>
            </w:r>
            <w:r w:rsidR="004D2255">
              <w:rPr>
                <w:noProof/>
                <w:webHidden/>
              </w:rPr>
              <w:t>73</w:t>
            </w:r>
            <w:r w:rsidR="004D2255">
              <w:rPr>
                <w:noProof/>
                <w:webHidden/>
              </w:rPr>
              <w:fldChar w:fldCharType="end"/>
            </w:r>
          </w:hyperlink>
        </w:p>
        <w:p w:rsidR="00B07B0D" w:rsidRDefault="00B07B0D">
          <w:r>
            <w:rPr>
              <w:b/>
              <w:bCs/>
              <w:noProof/>
            </w:rPr>
            <w:fldChar w:fldCharType="end"/>
          </w:r>
        </w:p>
      </w:sdtContent>
    </w:sdt>
    <w:p w:rsidR="004D55D7" w:rsidRDefault="004D55D7" w:rsidP="00182B4E">
      <w:pPr>
        <w:pStyle w:val="Heading1"/>
        <w:jc w:val="center"/>
      </w:pPr>
      <w:bookmarkStart w:id="5" w:name="_Toc220873884"/>
      <w:r w:rsidRPr="004D55D7">
        <w:t>List of</w:t>
      </w:r>
      <w:r w:rsidR="00182B4E">
        <w:t xml:space="preserve"> </w:t>
      </w:r>
      <w:r w:rsidR="00182B4E" w:rsidRPr="004D55D7">
        <w:t>Tables</w:t>
      </w:r>
      <w:r w:rsidRPr="004D55D7">
        <w:t xml:space="preserve"> and</w:t>
      </w:r>
      <w:r w:rsidR="00182B4E" w:rsidRPr="00182B4E">
        <w:t xml:space="preserve"> </w:t>
      </w:r>
      <w:r w:rsidR="00182B4E" w:rsidRPr="004D55D7">
        <w:t>Figures</w:t>
      </w:r>
      <w:bookmarkEnd w:id="5"/>
      <w:r w:rsidRPr="004D55D7">
        <w:t xml:space="preserve"> </w:t>
      </w:r>
    </w:p>
    <w:p w:rsidR="004D55D7" w:rsidRDefault="004D55D7">
      <w:pPr>
        <w:pStyle w:val="TableofFigures"/>
        <w:tabs>
          <w:tab w:val="right" w:leader="dot" w:pos="9350"/>
        </w:tabs>
        <w:rPr>
          <w:rFonts w:asciiTheme="minorHAnsi" w:eastAsiaTheme="minorEastAsia" w:hAnsiTheme="minorHAnsi" w:cstheme="minorBidi"/>
          <w:noProof/>
          <w:sz w:val="22"/>
          <w:lang w:val="en-US" w:eastAsia="en-US"/>
        </w:rPr>
      </w:pPr>
      <w:r>
        <w:fldChar w:fldCharType="begin"/>
      </w:r>
      <w:r>
        <w:instrText xml:space="preserve"> TOC \h \z \c "Table" </w:instrText>
      </w:r>
      <w:r>
        <w:fldChar w:fldCharType="separate"/>
      </w:r>
      <w:hyperlink w:anchor="_Toc217469698" w:history="1">
        <w:r w:rsidRPr="00B83418">
          <w:rPr>
            <w:rStyle w:val="Hyperlink"/>
            <w:rFonts w:eastAsiaTheme="majorEastAsia"/>
            <w:noProof/>
          </w:rPr>
          <w:t>Table 1</w:t>
        </w:r>
        <w:r w:rsidRPr="00B83418">
          <w:rPr>
            <w:rStyle w:val="Hyperlink"/>
            <w:rFonts w:eastAsiaTheme="majorEastAsia"/>
            <w:noProof/>
            <w:lang w:val="en-US"/>
          </w:rPr>
          <w:t>: Impact of Regulatory Barriers on SMEs' Financial Performance (Christopher &amp; Blake, 2025)</w:t>
        </w:r>
        <w:r>
          <w:rPr>
            <w:noProof/>
            <w:webHidden/>
          </w:rPr>
          <w:tab/>
        </w:r>
        <w:r>
          <w:rPr>
            <w:noProof/>
            <w:webHidden/>
          </w:rPr>
          <w:fldChar w:fldCharType="begin"/>
        </w:r>
        <w:r>
          <w:rPr>
            <w:noProof/>
            <w:webHidden/>
          </w:rPr>
          <w:instrText xml:space="preserve"> PAGEREF _Toc217469698 \h </w:instrText>
        </w:r>
        <w:r>
          <w:rPr>
            <w:noProof/>
            <w:webHidden/>
          </w:rPr>
        </w:r>
        <w:r>
          <w:rPr>
            <w:noProof/>
            <w:webHidden/>
          </w:rPr>
          <w:fldChar w:fldCharType="separate"/>
        </w:r>
        <w:r>
          <w:rPr>
            <w:noProof/>
            <w:webHidden/>
          </w:rPr>
          <w:t>25</w:t>
        </w:r>
        <w:r>
          <w:rPr>
            <w:noProof/>
            <w:webHidden/>
          </w:rPr>
          <w:fldChar w:fldCharType="end"/>
        </w:r>
      </w:hyperlink>
    </w:p>
    <w:p w:rsidR="004D55D7" w:rsidRDefault="00D03AE8">
      <w:pPr>
        <w:pStyle w:val="TableofFigures"/>
        <w:tabs>
          <w:tab w:val="right" w:leader="dot" w:pos="9350"/>
        </w:tabs>
        <w:rPr>
          <w:rFonts w:asciiTheme="minorHAnsi" w:eastAsiaTheme="minorEastAsia" w:hAnsiTheme="minorHAnsi" w:cstheme="minorBidi"/>
          <w:noProof/>
          <w:sz w:val="22"/>
          <w:lang w:val="en-US" w:eastAsia="en-US"/>
        </w:rPr>
      </w:pPr>
      <w:hyperlink w:anchor="_Toc217469699" w:history="1">
        <w:r w:rsidR="004D55D7" w:rsidRPr="00B83418">
          <w:rPr>
            <w:rStyle w:val="Hyperlink"/>
            <w:rFonts w:eastAsiaTheme="majorEastAsia"/>
            <w:noProof/>
          </w:rPr>
          <w:t>Table 2</w:t>
        </w:r>
        <w:r w:rsidR="004D55D7" w:rsidRPr="00B83418">
          <w:rPr>
            <w:rStyle w:val="Hyperlink"/>
            <w:rFonts w:eastAsiaTheme="majorEastAsia"/>
            <w:noProof/>
            <w:lang w:val="en-US"/>
          </w:rPr>
          <w:t>: Literature Gap Analysis: SME-focused Studies vs General Pharmaceutical Research</w:t>
        </w:r>
        <w:r w:rsidR="004D55D7">
          <w:rPr>
            <w:noProof/>
            <w:webHidden/>
          </w:rPr>
          <w:tab/>
        </w:r>
        <w:r w:rsidR="004D55D7">
          <w:rPr>
            <w:noProof/>
            <w:webHidden/>
          </w:rPr>
          <w:fldChar w:fldCharType="begin"/>
        </w:r>
        <w:r w:rsidR="004D55D7">
          <w:rPr>
            <w:noProof/>
            <w:webHidden/>
          </w:rPr>
          <w:instrText xml:space="preserve"> PAGEREF _Toc217469699 \h </w:instrText>
        </w:r>
        <w:r w:rsidR="004D55D7">
          <w:rPr>
            <w:noProof/>
            <w:webHidden/>
          </w:rPr>
        </w:r>
        <w:r w:rsidR="004D55D7">
          <w:rPr>
            <w:noProof/>
            <w:webHidden/>
          </w:rPr>
          <w:fldChar w:fldCharType="separate"/>
        </w:r>
        <w:r w:rsidR="004D55D7">
          <w:rPr>
            <w:noProof/>
            <w:webHidden/>
          </w:rPr>
          <w:t>28</w:t>
        </w:r>
        <w:r w:rsidR="004D55D7">
          <w:rPr>
            <w:noProof/>
            <w:webHidden/>
          </w:rPr>
          <w:fldChar w:fldCharType="end"/>
        </w:r>
      </w:hyperlink>
    </w:p>
    <w:p w:rsidR="004D55D7" w:rsidRDefault="00D03AE8">
      <w:pPr>
        <w:pStyle w:val="TableofFigures"/>
        <w:tabs>
          <w:tab w:val="right" w:leader="dot" w:pos="9350"/>
        </w:tabs>
        <w:rPr>
          <w:rFonts w:asciiTheme="minorHAnsi" w:eastAsiaTheme="minorEastAsia" w:hAnsiTheme="minorHAnsi" w:cstheme="minorBidi"/>
          <w:noProof/>
          <w:sz w:val="22"/>
          <w:lang w:val="en-US" w:eastAsia="en-US"/>
        </w:rPr>
      </w:pPr>
      <w:hyperlink w:anchor="_Toc217469700" w:history="1">
        <w:r w:rsidR="004D55D7" w:rsidRPr="00B83418">
          <w:rPr>
            <w:rStyle w:val="Hyperlink"/>
            <w:rFonts w:eastAsiaTheme="majorEastAsia"/>
            <w:noProof/>
          </w:rPr>
          <w:t>Table 3</w:t>
        </w:r>
        <w:r w:rsidR="004D55D7" w:rsidRPr="00B83418">
          <w:rPr>
            <w:rStyle w:val="Hyperlink"/>
            <w:rFonts w:eastAsiaTheme="majorEastAsia"/>
            <w:noProof/>
            <w:lang w:val="en-US"/>
          </w:rPr>
          <w:t>: Documentary data sources and selection criteria (Babin et al., 2024)</w:t>
        </w:r>
        <w:r w:rsidR="004D55D7">
          <w:rPr>
            <w:noProof/>
            <w:webHidden/>
          </w:rPr>
          <w:tab/>
        </w:r>
        <w:r w:rsidR="004D55D7">
          <w:rPr>
            <w:noProof/>
            <w:webHidden/>
          </w:rPr>
          <w:fldChar w:fldCharType="begin"/>
        </w:r>
        <w:r w:rsidR="004D55D7">
          <w:rPr>
            <w:noProof/>
            <w:webHidden/>
          </w:rPr>
          <w:instrText xml:space="preserve"> PAGEREF _Toc217469700 \h </w:instrText>
        </w:r>
        <w:r w:rsidR="004D55D7">
          <w:rPr>
            <w:noProof/>
            <w:webHidden/>
          </w:rPr>
        </w:r>
        <w:r w:rsidR="004D55D7">
          <w:rPr>
            <w:noProof/>
            <w:webHidden/>
          </w:rPr>
          <w:fldChar w:fldCharType="separate"/>
        </w:r>
        <w:r w:rsidR="004D55D7">
          <w:rPr>
            <w:noProof/>
            <w:webHidden/>
          </w:rPr>
          <w:t>34</w:t>
        </w:r>
        <w:r w:rsidR="004D55D7">
          <w:rPr>
            <w:noProof/>
            <w:webHidden/>
          </w:rPr>
          <w:fldChar w:fldCharType="end"/>
        </w:r>
      </w:hyperlink>
    </w:p>
    <w:p w:rsidR="004D55D7" w:rsidRDefault="00D03AE8">
      <w:pPr>
        <w:pStyle w:val="TableofFigures"/>
        <w:tabs>
          <w:tab w:val="right" w:leader="dot" w:pos="9350"/>
        </w:tabs>
        <w:rPr>
          <w:rFonts w:asciiTheme="minorHAnsi" w:eastAsiaTheme="minorEastAsia" w:hAnsiTheme="minorHAnsi" w:cstheme="minorBidi"/>
          <w:noProof/>
          <w:sz w:val="22"/>
          <w:lang w:val="en-US" w:eastAsia="en-US"/>
        </w:rPr>
      </w:pPr>
      <w:hyperlink w:anchor="_Toc217469701" w:history="1">
        <w:r w:rsidR="004D55D7" w:rsidRPr="00B83418">
          <w:rPr>
            <w:rStyle w:val="Hyperlink"/>
            <w:rFonts w:eastAsiaTheme="majorEastAsia"/>
            <w:noProof/>
          </w:rPr>
          <w:t>Table 4</w:t>
        </w:r>
        <w:r w:rsidR="004D55D7" w:rsidRPr="00B83418">
          <w:rPr>
            <w:rStyle w:val="Hyperlink"/>
            <w:rFonts w:eastAsiaTheme="majorEastAsia"/>
            <w:noProof/>
            <w:lang w:val="en-US"/>
          </w:rPr>
          <w:t>:</w:t>
        </w:r>
        <w:r w:rsidR="004D55D7" w:rsidRPr="00B83418">
          <w:rPr>
            <w:rStyle w:val="Hyperlink"/>
            <w:rFonts w:eastAsiaTheme="majorEastAsia"/>
            <w:noProof/>
          </w:rPr>
          <w:t xml:space="preserve"> Profile of the documentary dataset (Ahmed, 2023)</w:t>
        </w:r>
        <w:r w:rsidR="004D55D7">
          <w:rPr>
            <w:noProof/>
            <w:webHidden/>
          </w:rPr>
          <w:tab/>
        </w:r>
        <w:r w:rsidR="004D55D7">
          <w:rPr>
            <w:noProof/>
            <w:webHidden/>
          </w:rPr>
          <w:fldChar w:fldCharType="begin"/>
        </w:r>
        <w:r w:rsidR="004D55D7">
          <w:rPr>
            <w:noProof/>
            <w:webHidden/>
          </w:rPr>
          <w:instrText xml:space="preserve"> PAGEREF _Toc217469701 \h </w:instrText>
        </w:r>
        <w:r w:rsidR="004D55D7">
          <w:rPr>
            <w:noProof/>
            <w:webHidden/>
          </w:rPr>
        </w:r>
        <w:r w:rsidR="004D55D7">
          <w:rPr>
            <w:noProof/>
            <w:webHidden/>
          </w:rPr>
          <w:fldChar w:fldCharType="separate"/>
        </w:r>
        <w:r w:rsidR="004D55D7">
          <w:rPr>
            <w:noProof/>
            <w:webHidden/>
          </w:rPr>
          <w:t>40</w:t>
        </w:r>
        <w:r w:rsidR="004D55D7">
          <w:rPr>
            <w:noProof/>
            <w:webHidden/>
          </w:rPr>
          <w:fldChar w:fldCharType="end"/>
        </w:r>
      </w:hyperlink>
    </w:p>
    <w:p w:rsidR="004D55D7" w:rsidRDefault="00D03AE8">
      <w:pPr>
        <w:pStyle w:val="TableofFigures"/>
        <w:tabs>
          <w:tab w:val="right" w:leader="dot" w:pos="9350"/>
        </w:tabs>
        <w:rPr>
          <w:rFonts w:asciiTheme="minorHAnsi" w:eastAsiaTheme="minorEastAsia" w:hAnsiTheme="minorHAnsi" w:cstheme="minorBidi"/>
          <w:noProof/>
          <w:sz w:val="22"/>
          <w:lang w:val="en-US" w:eastAsia="en-US"/>
        </w:rPr>
      </w:pPr>
      <w:hyperlink w:anchor="_Toc217469702" w:history="1">
        <w:r w:rsidR="004D55D7" w:rsidRPr="00B83418">
          <w:rPr>
            <w:rStyle w:val="Hyperlink"/>
            <w:rFonts w:eastAsiaTheme="majorEastAsia"/>
            <w:noProof/>
          </w:rPr>
          <w:t>Table 5</w:t>
        </w:r>
        <w:r w:rsidR="004D55D7" w:rsidRPr="00B83418">
          <w:rPr>
            <w:rStyle w:val="Hyperlink"/>
            <w:rFonts w:eastAsiaTheme="majorEastAsia"/>
            <w:noProof/>
            <w:lang w:val="en-US"/>
          </w:rPr>
          <w:t>: Coding framework aligned to administrative-burden concepts and process evidence</w:t>
        </w:r>
        <w:r w:rsidR="004D55D7" w:rsidRPr="00B83418">
          <w:rPr>
            <w:rStyle w:val="Hyperlink"/>
            <w:rFonts w:eastAsiaTheme="majorEastAsia"/>
            <w:noProof/>
          </w:rPr>
          <w:t xml:space="preserve"> </w:t>
        </w:r>
        <w:r w:rsidR="004D55D7" w:rsidRPr="00B83418">
          <w:rPr>
            <w:rStyle w:val="Hyperlink"/>
            <w:rFonts w:eastAsiaTheme="majorEastAsia"/>
            <w:noProof/>
            <w:lang w:val="en-US"/>
          </w:rPr>
          <w:t>(Veiga and Janowski, 2016)</w:t>
        </w:r>
        <w:r w:rsidR="004D55D7">
          <w:rPr>
            <w:noProof/>
            <w:webHidden/>
          </w:rPr>
          <w:tab/>
        </w:r>
        <w:r w:rsidR="004D55D7">
          <w:rPr>
            <w:noProof/>
            <w:webHidden/>
          </w:rPr>
          <w:fldChar w:fldCharType="begin"/>
        </w:r>
        <w:r w:rsidR="004D55D7">
          <w:rPr>
            <w:noProof/>
            <w:webHidden/>
          </w:rPr>
          <w:instrText xml:space="preserve"> PAGEREF _Toc217469702 \h </w:instrText>
        </w:r>
        <w:r w:rsidR="004D55D7">
          <w:rPr>
            <w:noProof/>
            <w:webHidden/>
          </w:rPr>
        </w:r>
        <w:r w:rsidR="004D55D7">
          <w:rPr>
            <w:noProof/>
            <w:webHidden/>
          </w:rPr>
          <w:fldChar w:fldCharType="separate"/>
        </w:r>
        <w:r w:rsidR="004D55D7">
          <w:rPr>
            <w:noProof/>
            <w:webHidden/>
          </w:rPr>
          <w:t>42</w:t>
        </w:r>
        <w:r w:rsidR="004D55D7">
          <w:rPr>
            <w:noProof/>
            <w:webHidden/>
          </w:rPr>
          <w:fldChar w:fldCharType="end"/>
        </w:r>
      </w:hyperlink>
    </w:p>
    <w:p w:rsidR="004D55D7" w:rsidRDefault="00D03AE8">
      <w:pPr>
        <w:pStyle w:val="TableofFigures"/>
        <w:tabs>
          <w:tab w:val="right" w:leader="dot" w:pos="9350"/>
        </w:tabs>
        <w:rPr>
          <w:rFonts w:asciiTheme="minorHAnsi" w:eastAsiaTheme="minorEastAsia" w:hAnsiTheme="minorHAnsi" w:cstheme="minorBidi"/>
          <w:noProof/>
          <w:sz w:val="22"/>
          <w:lang w:val="en-US" w:eastAsia="en-US"/>
        </w:rPr>
      </w:pPr>
      <w:hyperlink w:anchor="_Toc217469703" w:history="1">
        <w:r w:rsidR="004D55D7" w:rsidRPr="00B83418">
          <w:rPr>
            <w:rStyle w:val="Hyperlink"/>
            <w:rFonts w:eastAsiaTheme="majorEastAsia"/>
            <w:noProof/>
          </w:rPr>
          <w:t>Table 6</w:t>
        </w:r>
        <w:r w:rsidR="004D55D7" w:rsidRPr="00B83418">
          <w:rPr>
            <w:rStyle w:val="Hyperlink"/>
            <w:rFonts w:eastAsiaTheme="majorEastAsia"/>
            <w:noProof/>
            <w:lang w:val="en-US"/>
          </w:rPr>
          <w:t>: Evidence matrix—quantified indicators linked to documented barrier themes (World Bank, 2020; World Bank)</w:t>
        </w:r>
        <w:r w:rsidR="004D55D7">
          <w:rPr>
            <w:noProof/>
            <w:webHidden/>
          </w:rPr>
          <w:tab/>
        </w:r>
        <w:r w:rsidR="004D55D7">
          <w:rPr>
            <w:noProof/>
            <w:webHidden/>
          </w:rPr>
          <w:fldChar w:fldCharType="begin"/>
        </w:r>
        <w:r w:rsidR="004D55D7">
          <w:rPr>
            <w:noProof/>
            <w:webHidden/>
          </w:rPr>
          <w:instrText xml:space="preserve"> PAGEREF _Toc217469703 \h </w:instrText>
        </w:r>
        <w:r w:rsidR="004D55D7">
          <w:rPr>
            <w:noProof/>
            <w:webHidden/>
          </w:rPr>
        </w:r>
        <w:r w:rsidR="004D55D7">
          <w:rPr>
            <w:noProof/>
            <w:webHidden/>
          </w:rPr>
          <w:fldChar w:fldCharType="separate"/>
        </w:r>
        <w:r w:rsidR="004D55D7">
          <w:rPr>
            <w:noProof/>
            <w:webHidden/>
          </w:rPr>
          <w:t>45</w:t>
        </w:r>
        <w:r w:rsidR="004D55D7">
          <w:rPr>
            <w:noProof/>
            <w:webHidden/>
          </w:rPr>
          <w:fldChar w:fldCharType="end"/>
        </w:r>
      </w:hyperlink>
    </w:p>
    <w:p w:rsidR="004D55D7" w:rsidRDefault="00D03AE8">
      <w:pPr>
        <w:pStyle w:val="TableofFigures"/>
        <w:tabs>
          <w:tab w:val="right" w:leader="dot" w:pos="9350"/>
        </w:tabs>
        <w:rPr>
          <w:rFonts w:asciiTheme="minorHAnsi" w:eastAsiaTheme="minorEastAsia" w:hAnsiTheme="minorHAnsi" w:cstheme="minorBidi"/>
          <w:noProof/>
          <w:sz w:val="22"/>
          <w:lang w:val="en-US" w:eastAsia="en-US"/>
        </w:rPr>
      </w:pPr>
      <w:hyperlink w:anchor="_Toc217469704" w:history="1">
        <w:r w:rsidR="004D55D7" w:rsidRPr="00B83418">
          <w:rPr>
            <w:rStyle w:val="Hyperlink"/>
            <w:rFonts w:eastAsiaTheme="majorEastAsia"/>
            <w:noProof/>
          </w:rPr>
          <w:t>Table 7</w:t>
        </w:r>
        <w:r w:rsidR="004D55D7" w:rsidRPr="00B83418">
          <w:rPr>
            <w:rStyle w:val="Hyperlink"/>
            <w:rFonts w:eastAsiaTheme="majorEastAsia"/>
            <w:noProof/>
            <w:lang w:val="en-US"/>
          </w:rPr>
          <w:t>: Operational-efficiency impacts evidenced in the dataset (World Bank, 2022; World Bank, 2020).</w:t>
        </w:r>
        <w:r w:rsidR="004D55D7">
          <w:rPr>
            <w:noProof/>
            <w:webHidden/>
          </w:rPr>
          <w:tab/>
        </w:r>
        <w:r w:rsidR="004D55D7">
          <w:rPr>
            <w:noProof/>
            <w:webHidden/>
          </w:rPr>
          <w:fldChar w:fldCharType="begin"/>
        </w:r>
        <w:r w:rsidR="004D55D7">
          <w:rPr>
            <w:noProof/>
            <w:webHidden/>
          </w:rPr>
          <w:instrText xml:space="preserve"> PAGEREF _Toc217469704 \h </w:instrText>
        </w:r>
        <w:r w:rsidR="004D55D7">
          <w:rPr>
            <w:noProof/>
            <w:webHidden/>
          </w:rPr>
        </w:r>
        <w:r w:rsidR="004D55D7">
          <w:rPr>
            <w:noProof/>
            <w:webHidden/>
          </w:rPr>
          <w:fldChar w:fldCharType="separate"/>
        </w:r>
        <w:r w:rsidR="004D55D7">
          <w:rPr>
            <w:noProof/>
            <w:webHidden/>
          </w:rPr>
          <w:t>48</w:t>
        </w:r>
        <w:r w:rsidR="004D55D7">
          <w:rPr>
            <w:noProof/>
            <w:webHidden/>
          </w:rPr>
          <w:fldChar w:fldCharType="end"/>
        </w:r>
      </w:hyperlink>
    </w:p>
    <w:p w:rsidR="004D55D7" w:rsidRDefault="00D03AE8">
      <w:pPr>
        <w:pStyle w:val="TableofFigures"/>
        <w:tabs>
          <w:tab w:val="right" w:leader="dot" w:pos="9350"/>
        </w:tabs>
        <w:rPr>
          <w:rFonts w:asciiTheme="minorHAnsi" w:eastAsiaTheme="minorEastAsia" w:hAnsiTheme="minorHAnsi" w:cstheme="minorBidi"/>
          <w:noProof/>
          <w:sz w:val="22"/>
          <w:lang w:val="en-US" w:eastAsia="en-US"/>
        </w:rPr>
      </w:pPr>
      <w:hyperlink w:anchor="_Toc217469705" w:history="1">
        <w:r w:rsidR="004D55D7" w:rsidRPr="00B83418">
          <w:rPr>
            <w:rStyle w:val="Hyperlink"/>
            <w:rFonts w:eastAsiaTheme="majorEastAsia"/>
            <w:noProof/>
          </w:rPr>
          <w:t>Table 8</w:t>
        </w:r>
        <w:r w:rsidR="004D55D7" w:rsidRPr="00B83418">
          <w:rPr>
            <w:rStyle w:val="Hyperlink"/>
            <w:rFonts w:eastAsiaTheme="majorEastAsia"/>
            <w:noProof/>
            <w:lang w:val="en-US"/>
          </w:rPr>
          <w:t>: Barrier–Mechanism–Theory Alignment Matrix</w:t>
        </w:r>
        <w:r w:rsidR="004D55D7" w:rsidRPr="00B83418">
          <w:rPr>
            <w:rStyle w:val="Hyperlink"/>
            <w:rFonts w:eastAsiaTheme="majorEastAsia"/>
            <w:noProof/>
          </w:rPr>
          <w:t xml:space="preserve"> </w:t>
        </w:r>
        <w:r w:rsidR="004D55D7" w:rsidRPr="00B83418">
          <w:rPr>
            <w:rStyle w:val="Hyperlink"/>
            <w:rFonts w:eastAsiaTheme="majorEastAsia"/>
            <w:noProof/>
            <w:lang w:val="en-US"/>
          </w:rPr>
          <w:t>(OECD, 2021)</w:t>
        </w:r>
        <w:r w:rsidR="004D55D7">
          <w:rPr>
            <w:noProof/>
            <w:webHidden/>
          </w:rPr>
          <w:tab/>
        </w:r>
        <w:r w:rsidR="004D55D7">
          <w:rPr>
            <w:noProof/>
            <w:webHidden/>
          </w:rPr>
          <w:fldChar w:fldCharType="begin"/>
        </w:r>
        <w:r w:rsidR="004D55D7">
          <w:rPr>
            <w:noProof/>
            <w:webHidden/>
          </w:rPr>
          <w:instrText xml:space="preserve"> PAGEREF _Toc217469705 \h </w:instrText>
        </w:r>
        <w:r w:rsidR="004D55D7">
          <w:rPr>
            <w:noProof/>
            <w:webHidden/>
          </w:rPr>
        </w:r>
        <w:r w:rsidR="004D55D7">
          <w:rPr>
            <w:noProof/>
            <w:webHidden/>
          </w:rPr>
          <w:fldChar w:fldCharType="separate"/>
        </w:r>
        <w:r w:rsidR="004D55D7">
          <w:rPr>
            <w:noProof/>
            <w:webHidden/>
          </w:rPr>
          <w:t>55</w:t>
        </w:r>
        <w:r w:rsidR="004D55D7">
          <w:rPr>
            <w:noProof/>
            <w:webHidden/>
          </w:rPr>
          <w:fldChar w:fldCharType="end"/>
        </w:r>
      </w:hyperlink>
    </w:p>
    <w:p w:rsidR="004D55D7" w:rsidRDefault="00D03AE8">
      <w:pPr>
        <w:pStyle w:val="TableofFigures"/>
        <w:tabs>
          <w:tab w:val="right" w:leader="dot" w:pos="9350"/>
        </w:tabs>
        <w:rPr>
          <w:rFonts w:asciiTheme="minorHAnsi" w:eastAsiaTheme="minorEastAsia" w:hAnsiTheme="minorHAnsi" w:cstheme="minorBidi"/>
          <w:noProof/>
          <w:sz w:val="22"/>
          <w:lang w:val="en-US" w:eastAsia="en-US"/>
        </w:rPr>
      </w:pPr>
      <w:hyperlink w:anchor="_Toc217469706" w:history="1">
        <w:r w:rsidR="004D55D7" w:rsidRPr="00B83418">
          <w:rPr>
            <w:rStyle w:val="Hyperlink"/>
            <w:rFonts w:eastAsiaTheme="majorEastAsia"/>
            <w:noProof/>
          </w:rPr>
          <w:t>Table 9</w:t>
        </w:r>
        <w:r w:rsidR="004D55D7" w:rsidRPr="00B83418">
          <w:rPr>
            <w:rStyle w:val="Hyperlink"/>
            <w:rFonts w:eastAsiaTheme="majorEastAsia"/>
            <w:noProof/>
            <w:lang w:val="en-US"/>
          </w:rPr>
          <w:t>: SME Operational Efficiency Impact Pathway (Evidence-to-Effect Mapping)</w:t>
        </w:r>
        <w:r w:rsidR="004D55D7">
          <w:rPr>
            <w:noProof/>
            <w:webHidden/>
          </w:rPr>
          <w:tab/>
        </w:r>
        <w:r w:rsidR="004D55D7">
          <w:rPr>
            <w:noProof/>
            <w:webHidden/>
          </w:rPr>
          <w:fldChar w:fldCharType="begin"/>
        </w:r>
        <w:r w:rsidR="004D55D7">
          <w:rPr>
            <w:noProof/>
            <w:webHidden/>
          </w:rPr>
          <w:instrText xml:space="preserve"> PAGEREF _Toc217469706 \h </w:instrText>
        </w:r>
        <w:r w:rsidR="004D55D7">
          <w:rPr>
            <w:noProof/>
            <w:webHidden/>
          </w:rPr>
        </w:r>
        <w:r w:rsidR="004D55D7">
          <w:rPr>
            <w:noProof/>
            <w:webHidden/>
          </w:rPr>
          <w:fldChar w:fldCharType="separate"/>
        </w:r>
        <w:r w:rsidR="004D55D7">
          <w:rPr>
            <w:noProof/>
            <w:webHidden/>
          </w:rPr>
          <w:t>58</w:t>
        </w:r>
        <w:r w:rsidR="004D55D7">
          <w:rPr>
            <w:noProof/>
            <w:webHidden/>
          </w:rPr>
          <w:fldChar w:fldCharType="end"/>
        </w:r>
      </w:hyperlink>
    </w:p>
    <w:p w:rsidR="004D55D7" w:rsidRDefault="00D03AE8">
      <w:pPr>
        <w:pStyle w:val="TableofFigures"/>
        <w:tabs>
          <w:tab w:val="right" w:leader="dot" w:pos="9350"/>
        </w:tabs>
        <w:rPr>
          <w:rFonts w:asciiTheme="minorHAnsi" w:eastAsiaTheme="minorEastAsia" w:hAnsiTheme="minorHAnsi" w:cstheme="minorBidi"/>
          <w:noProof/>
          <w:sz w:val="22"/>
          <w:lang w:val="en-US" w:eastAsia="en-US"/>
        </w:rPr>
      </w:pPr>
      <w:hyperlink w:anchor="_Toc217469707" w:history="1">
        <w:r w:rsidR="004D55D7" w:rsidRPr="00B83418">
          <w:rPr>
            <w:rStyle w:val="Hyperlink"/>
            <w:rFonts w:eastAsiaTheme="majorEastAsia"/>
            <w:noProof/>
          </w:rPr>
          <w:t>Table 10</w:t>
        </w:r>
        <w:r w:rsidR="004D55D7" w:rsidRPr="00B83418">
          <w:rPr>
            <w:rStyle w:val="Hyperlink"/>
            <w:rFonts w:eastAsiaTheme="majorEastAsia"/>
            <w:noProof/>
            <w:lang w:val="en-US"/>
          </w:rPr>
          <w:t>:GRP Diagnostic Table—Process Features vs GRP Principles (Njatrijani, Salsabila and Rahmanda, 2022)</w:t>
        </w:r>
        <w:r w:rsidR="004D55D7">
          <w:rPr>
            <w:noProof/>
            <w:webHidden/>
          </w:rPr>
          <w:tab/>
        </w:r>
        <w:r w:rsidR="004D55D7">
          <w:rPr>
            <w:noProof/>
            <w:webHidden/>
          </w:rPr>
          <w:fldChar w:fldCharType="begin"/>
        </w:r>
        <w:r w:rsidR="004D55D7">
          <w:rPr>
            <w:noProof/>
            <w:webHidden/>
          </w:rPr>
          <w:instrText xml:space="preserve"> PAGEREF _Toc217469707 \h </w:instrText>
        </w:r>
        <w:r w:rsidR="004D55D7">
          <w:rPr>
            <w:noProof/>
            <w:webHidden/>
          </w:rPr>
        </w:r>
        <w:r w:rsidR="004D55D7">
          <w:rPr>
            <w:noProof/>
            <w:webHidden/>
          </w:rPr>
          <w:fldChar w:fldCharType="separate"/>
        </w:r>
        <w:r w:rsidR="004D55D7">
          <w:rPr>
            <w:noProof/>
            <w:webHidden/>
          </w:rPr>
          <w:t>61</w:t>
        </w:r>
        <w:r w:rsidR="004D55D7">
          <w:rPr>
            <w:noProof/>
            <w:webHidden/>
          </w:rPr>
          <w:fldChar w:fldCharType="end"/>
        </w:r>
      </w:hyperlink>
    </w:p>
    <w:p w:rsidR="00182B4E" w:rsidRDefault="004D55D7" w:rsidP="00182B4E">
      <w:pPr>
        <w:rPr>
          <w:noProof/>
        </w:rPr>
      </w:pPr>
      <w:r>
        <w:fldChar w:fldCharType="end"/>
      </w:r>
      <w:r w:rsidR="00182B4E">
        <w:fldChar w:fldCharType="begin"/>
      </w:r>
      <w:r w:rsidR="00182B4E">
        <w:instrText xml:space="preserve"> TOC \h \z \c "Figure" </w:instrText>
      </w:r>
      <w:r w:rsidR="00182B4E">
        <w:fldChar w:fldCharType="separate"/>
      </w:r>
    </w:p>
    <w:p w:rsidR="00182B4E" w:rsidRDefault="00D03AE8">
      <w:pPr>
        <w:pStyle w:val="TableofFigures"/>
        <w:tabs>
          <w:tab w:val="right" w:leader="dot" w:pos="9350"/>
        </w:tabs>
        <w:rPr>
          <w:rFonts w:asciiTheme="minorHAnsi" w:eastAsiaTheme="minorEastAsia" w:hAnsiTheme="minorHAnsi" w:cstheme="minorBidi"/>
          <w:noProof/>
          <w:sz w:val="22"/>
          <w:lang w:val="en-US" w:eastAsia="en-US"/>
        </w:rPr>
      </w:pPr>
      <w:hyperlink w:anchor="_Toc219634727" w:history="1">
        <w:r w:rsidR="00182B4E" w:rsidRPr="00284683">
          <w:rPr>
            <w:rStyle w:val="Hyperlink"/>
            <w:rFonts w:eastAsiaTheme="majorEastAsia"/>
            <w:noProof/>
          </w:rPr>
          <w:t>Figure 1</w:t>
        </w:r>
        <w:r w:rsidR="00182B4E" w:rsidRPr="00284683">
          <w:rPr>
            <w:rStyle w:val="Hyperlink"/>
            <w:rFonts w:eastAsiaTheme="majorEastAsia"/>
            <w:noProof/>
            <w:lang w:val="en-US"/>
          </w:rPr>
          <w:t>: Prisma Flow Diagram Source: (Own)</w:t>
        </w:r>
        <w:r w:rsidR="00182B4E">
          <w:rPr>
            <w:noProof/>
            <w:webHidden/>
          </w:rPr>
          <w:tab/>
        </w:r>
        <w:r w:rsidR="00182B4E">
          <w:rPr>
            <w:noProof/>
            <w:webHidden/>
          </w:rPr>
          <w:fldChar w:fldCharType="begin"/>
        </w:r>
        <w:r w:rsidR="00182B4E">
          <w:rPr>
            <w:noProof/>
            <w:webHidden/>
          </w:rPr>
          <w:instrText xml:space="preserve"> PAGEREF _Toc219634727 \h </w:instrText>
        </w:r>
        <w:r w:rsidR="00182B4E">
          <w:rPr>
            <w:noProof/>
            <w:webHidden/>
          </w:rPr>
        </w:r>
        <w:r w:rsidR="00182B4E">
          <w:rPr>
            <w:noProof/>
            <w:webHidden/>
          </w:rPr>
          <w:fldChar w:fldCharType="separate"/>
        </w:r>
        <w:r w:rsidR="00182B4E">
          <w:rPr>
            <w:noProof/>
            <w:webHidden/>
          </w:rPr>
          <w:t>20</w:t>
        </w:r>
        <w:r w:rsidR="00182B4E">
          <w:rPr>
            <w:noProof/>
            <w:webHidden/>
          </w:rPr>
          <w:fldChar w:fldCharType="end"/>
        </w:r>
      </w:hyperlink>
    </w:p>
    <w:p w:rsidR="00182B4E" w:rsidRDefault="00D03AE8">
      <w:pPr>
        <w:pStyle w:val="TableofFigures"/>
        <w:tabs>
          <w:tab w:val="right" w:leader="dot" w:pos="9350"/>
        </w:tabs>
        <w:rPr>
          <w:rFonts w:asciiTheme="minorHAnsi" w:eastAsiaTheme="minorEastAsia" w:hAnsiTheme="minorHAnsi" w:cstheme="minorBidi"/>
          <w:noProof/>
          <w:sz w:val="22"/>
          <w:lang w:val="en-US" w:eastAsia="en-US"/>
        </w:rPr>
      </w:pPr>
      <w:hyperlink w:anchor="_Toc219634728" w:history="1">
        <w:r w:rsidR="00182B4E" w:rsidRPr="00284683">
          <w:rPr>
            <w:rStyle w:val="Hyperlink"/>
            <w:rFonts w:eastAsiaTheme="majorEastAsia"/>
            <w:noProof/>
          </w:rPr>
          <w:t>Figure 1</w:t>
        </w:r>
        <w:r w:rsidR="00182B4E" w:rsidRPr="00284683">
          <w:rPr>
            <w:rStyle w:val="Hyperlink"/>
            <w:rFonts w:eastAsiaTheme="majorEastAsia"/>
            <w:noProof/>
            <w:lang w:val="en-US"/>
          </w:rPr>
          <w:t>: Reflexive Thematic Analysis</w:t>
        </w:r>
        <w:r w:rsidR="00182B4E">
          <w:rPr>
            <w:noProof/>
            <w:webHidden/>
          </w:rPr>
          <w:tab/>
        </w:r>
        <w:r w:rsidR="00182B4E">
          <w:rPr>
            <w:noProof/>
            <w:webHidden/>
          </w:rPr>
          <w:fldChar w:fldCharType="begin"/>
        </w:r>
        <w:r w:rsidR="00182B4E">
          <w:rPr>
            <w:noProof/>
            <w:webHidden/>
          </w:rPr>
          <w:instrText xml:space="preserve"> PAGEREF _Toc219634728 \h </w:instrText>
        </w:r>
        <w:r w:rsidR="00182B4E">
          <w:rPr>
            <w:noProof/>
            <w:webHidden/>
          </w:rPr>
        </w:r>
        <w:r w:rsidR="00182B4E">
          <w:rPr>
            <w:noProof/>
            <w:webHidden/>
          </w:rPr>
          <w:fldChar w:fldCharType="separate"/>
        </w:r>
        <w:r w:rsidR="00182B4E">
          <w:rPr>
            <w:noProof/>
            <w:webHidden/>
          </w:rPr>
          <w:t>47</w:t>
        </w:r>
        <w:r w:rsidR="00182B4E">
          <w:rPr>
            <w:noProof/>
            <w:webHidden/>
          </w:rPr>
          <w:fldChar w:fldCharType="end"/>
        </w:r>
      </w:hyperlink>
    </w:p>
    <w:p w:rsidR="00182B4E" w:rsidRDefault="00D03AE8">
      <w:pPr>
        <w:pStyle w:val="TableofFigures"/>
        <w:tabs>
          <w:tab w:val="right" w:leader="dot" w:pos="9350"/>
        </w:tabs>
        <w:rPr>
          <w:rFonts w:asciiTheme="minorHAnsi" w:eastAsiaTheme="minorEastAsia" w:hAnsiTheme="minorHAnsi" w:cstheme="minorBidi"/>
          <w:noProof/>
          <w:sz w:val="22"/>
          <w:lang w:val="en-US" w:eastAsia="en-US"/>
        </w:rPr>
      </w:pPr>
      <w:hyperlink w:anchor="_Toc219634729" w:history="1">
        <w:r w:rsidR="00182B4E" w:rsidRPr="00284683">
          <w:rPr>
            <w:rStyle w:val="Hyperlink"/>
            <w:rFonts w:eastAsiaTheme="majorEastAsia"/>
            <w:noProof/>
          </w:rPr>
          <w:t>Figure 2</w:t>
        </w:r>
        <w:r w:rsidR="00182B4E" w:rsidRPr="00284683">
          <w:rPr>
            <w:rStyle w:val="Hyperlink"/>
            <w:rFonts w:eastAsiaTheme="majorEastAsia"/>
            <w:noProof/>
            <w:lang w:val="en-US"/>
          </w:rPr>
          <w:t>: Starting a Business in Dhaka – Procedure, Time and Cost</w:t>
        </w:r>
        <w:r w:rsidR="00182B4E">
          <w:rPr>
            <w:noProof/>
            <w:webHidden/>
          </w:rPr>
          <w:tab/>
        </w:r>
        <w:r w:rsidR="00182B4E">
          <w:rPr>
            <w:noProof/>
            <w:webHidden/>
          </w:rPr>
          <w:fldChar w:fldCharType="begin"/>
        </w:r>
        <w:r w:rsidR="00182B4E">
          <w:rPr>
            <w:noProof/>
            <w:webHidden/>
          </w:rPr>
          <w:instrText xml:space="preserve"> PAGEREF _Toc219634729 \h </w:instrText>
        </w:r>
        <w:r w:rsidR="00182B4E">
          <w:rPr>
            <w:noProof/>
            <w:webHidden/>
          </w:rPr>
        </w:r>
        <w:r w:rsidR="00182B4E">
          <w:rPr>
            <w:noProof/>
            <w:webHidden/>
          </w:rPr>
          <w:fldChar w:fldCharType="separate"/>
        </w:r>
        <w:r w:rsidR="00182B4E">
          <w:rPr>
            <w:noProof/>
            <w:webHidden/>
          </w:rPr>
          <w:t>50</w:t>
        </w:r>
        <w:r w:rsidR="00182B4E">
          <w:rPr>
            <w:noProof/>
            <w:webHidden/>
          </w:rPr>
          <w:fldChar w:fldCharType="end"/>
        </w:r>
      </w:hyperlink>
    </w:p>
    <w:p w:rsidR="00182B4E" w:rsidRDefault="00D03AE8">
      <w:pPr>
        <w:pStyle w:val="TableofFigures"/>
        <w:tabs>
          <w:tab w:val="right" w:leader="dot" w:pos="9350"/>
        </w:tabs>
        <w:rPr>
          <w:rFonts w:asciiTheme="minorHAnsi" w:eastAsiaTheme="minorEastAsia" w:hAnsiTheme="minorHAnsi" w:cstheme="minorBidi"/>
          <w:noProof/>
          <w:sz w:val="22"/>
          <w:lang w:val="en-US" w:eastAsia="en-US"/>
        </w:rPr>
      </w:pPr>
      <w:hyperlink w:anchor="_Toc219634730" w:history="1">
        <w:r w:rsidR="00182B4E" w:rsidRPr="00284683">
          <w:rPr>
            <w:rStyle w:val="Hyperlink"/>
            <w:rFonts w:eastAsiaTheme="majorEastAsia"/>
            <w:noProof/>
          </w:rPr>
          <w:t>Figure 3</w:t>
        </w:r>
        <w:r w:rsidR="00182B4E" w:rsidRPr="00284683">
          <w:rPr>
            <w:rStyle w:val="Hyperlink"/>
            <w:rFonts w:eastAsiaTheme="majorEastAsia"/>
            <w:noProof/>
            <w:lang w:val="en-US"/>
          </w:rPr>
          <w:t>:  Characteristics of firms</w:t>
        </w:r>
        <w:r w:rsidR="00182B4E">
          <w:rPr>
            <w:noProof/>
            <w:webHidden/>
          </w:rPr>
          <w:tab/>
        </w:r>
        <w:r w:rsidR="00182B4E">
          <w:rPr>
            <w:noProof/>
            <w:webHidden/>
          </w:rPr>
          <w:fldChar w:fldCharType="begin"/>
        </w:r>
        <w:r w:rsidR="00182B4E">
          <w:rPr>
            <w:noProof/>
            <w:webHidden/>
          </w:rPr>
          <w:instrText xml:space="preserve"> PAGEREF _Toc219634730 \h </w:instrText>
        </w:r>
        <w:r w:rsidR="00182B4E">
          <w:rPr>
            <w:noProof/>
            <w:webHidden/>
          </w:rPr>
        </w:r>
        <w:r w:rsidR="00182B4E">
          <w:rPr>
            <w:noProof/>
            <w:webHidden/>
          </w:rPr>
          <w:fldChar w:fldCharType="separate"/>
        </w:r>
        <w:r w:rsidR="00182B4E">
          <w:rPr>
            <w:noProof/>
            <w:webHidden/>
          </w:rPr>
          <w:t>52</w:t>
        </w:r>
        <w:r w:rsidR="00182B4E">
          <w:rPr>
            <w:noProof/>
            <w:webHidden/>
          </w:rPr>
          <w:fldChar w:fldCharType="end"/>
        </w:r>
      </w:hyperlink>
    </w:p>
    <w:p w:rsidR="00272411" w:rsidRDefault="00182B4E" w:rsidP="00182B4E">
      <w:r>
        <w:fldChar w:fldCharType="end"/>
      </w:r>
    </w:p>
    <w:p w:rsidR="00182B4E" w:rsidRDefault="00182B4E">
      <w:pPr>
        <w:spacing w:before="0" w:after="160" w:line="259" w:lineRule="auto"/>
        <w:jc w:val="left"/>
        <w:rPr>
          <w:rFonts w:eastAsiaTheme="majorEastAsia" w:cstheme="majorBidi"/>
          <w:b/>
          <w:sz w:val="32"/>
          <w:szCs w:val="32"/>
        </w:rPr>
      </w:pPr>
      <w:r>
        <w:br w:type="page"/>
      </w:r>
    </w:p>
    <w:p w:rsidR="00272411" w:rsidRDefault="00272411" w:rsidP="00272411">
      <w:pPr>
        <w:pStyle w:val="Heading1"/>
        <w:jc w:val="center"/>
        <w:rPr>
          <w:rFonts w:ascii="Times New Roman" w:hAnsi="Times New Roman"/>
          <w:sz w:val="36"/>
          <w:lang w:val="en-US" w:eastAsia="en-US"/>
        </w:rPr>
      </w:pPr>
      <w:bookmarkStart w:id="6" w:name="_Toc220873885"/>
      <w:r>
        <w:lastRenderedPageBreak/>
        <w:t>List of Abbreviations</w:t>
      </w:r>
      <w:bookmarkEnd w:id="6"/>
    </w:p>
    <w:p w:rsidR="00272411" w:rsidRDefault="00272411" w:rsidP="00272411">
      <w:r>
        <w:rPr>
          <w:rStyle w:val="Strong"/>
        </w:rPr>
        <w:t>ADLRS</w:t>
      </w:r>
      <w:r>
        <w:t xml:space="preserve"> — Automated Drug Licensing and Renewal System</w:t>
      </w:r>
    </w:p>
    <w:p w:rsidR="00272411" w:rsidRDefault="00272411" w:rsidP="00272411">
      <w:r>
        <w:rPr>
          <w:rStyle w:val="Strong"/>
        </w:rPr>
        <w:t>ASYCUDA</w:t>
      </w:r>
      <w:r>
        <w:t xml:space="preserve"> — Automated System for Customs Data</w:t>
      </w:r>
    </w:p>
    <w:p w:rsidR="00272411" w:rsidRDefault="00272411" w:rsidP="00272411">
      <w:r>
        <w:rPr>
          <w:rStyle w:val="Strong"/>
        </w:rPr>
        <w:t>BSW</w:t>
      </w:r>
      <w:r>
        <w:t xml:space="preserve"> — Bangladesh Single Window</w:t>
      </w:r>
    </w:p>
    <w:p w:rsidR="00272411" w:rsidRDefault="00272411" w:rsidP="00272411">
      <w:r>
        <w:rPr>
          <w:rStyle w:val="Strong"/>
        </w:rPr>
        <w:t>CLP</w:t>
      </w:r>
      <w:r>
        <w:t xml:space="preserve"> — Certificate, Licence and Permit</w:t>
      </w:r>
    </w:p>
    <w:p w:rsidR="00272411" w:rsidRDefault="00272411" w:rsidP="00272411">
      <w:r>
        <w:rPr>
          <w:rStyle w:val="Strong"/>
        </w:rPr>
        <w:t>CMSME</w:t>
      </w:r>
      <w:r>
        <w:t xml:space="preserve"> — Cottage, Micro, Small and Medium Enterprise</w:t>
      </w:r>
    </w:p>
    <w:p w:rsidR="00272411" w:rsidRDefault="00272411" w:rsidP="00272411">
      <w:r>
        <w:rPr>
          <w:rStyle w:val="Strong"/>
        </w:rPr>
        <w:t>DGDA</w:t>
      </w:r>
      <w:r>
        <w:t xml:space="preserve"> — Directorate General of Drug Administration</w:t>
      </w:r>
    </w:p>
    <w:p w:rsidR="00272411" w:rsidRDefault="00272411" w:rsidP="00272411">
      <w:proofErr w:type="spellStart"/>
      <w:r>
        <w:rPr>
          <w:rStyle w:val="Strong"/>
        </w:rPr>
        <w:t>DoEN</w:t>
      </w:r>
      <w:proofErr w:type="spellEnd"/>
      <w:r>
        <w:t xml:space="preserve"> — Department of Environment</w:t>
      </w:r>
    </w:p>
    <w:p w:rsidR="00272411" w:rsidRDefault="00272411" w:rsidP="00272411">
      <w:r>
        <w:rPr>
          <w:rStyle w:val="Strong"/>
        </w:rPr>
        <w:t>FY</w:t>
      </w:r>
      <w:r>
        <w:t xml:space="preserve"> — Financial Year</w:t>
      </w:r>
    </w:p>
    <w:p w:rsidR="00272411" w:rsidRDefault="00272411" w:rsidP="00272411">
      <w:r>
        <w:rPr>
          <w:rStyle w:val="Strong"/>
        </w:rPr>
        <w:t>GDP</w:t>
      </w:r>
      <w:r>
        <w:t xml:space="preserve"> — Gross Domestic Product</w:t>
      </w:r>
    </w:p>
    <w:p w:rsidR="00272411" w:rsidRDefault="00272411" w:rsidP="00272411">
      <w:r>
        <w:rPr>
          <w:rStyle w:val="Strong"/>
        </w:rPr>
        <w:t>GMP</w:t>
      </w:r>
      <w:r>
        <w:t xml:space="preserve"> — Good Manufacturing Practice(s)</w:t>
      </w:r>
    </w:p>
    <w:p w:rsidR="00272411" w:rsidRDefault="00272411" w:rsidP="00272411">
      <w:r>
        <w:rPr>
          <w:rStyle w:val="Strong"/>
        </w:rPr>
        <w:t xml:space="preserve"> GRP</w:t>
      </w:r>
      <w:r>
        <w:t xml:space="preserve"> — Good Regulatory Practices</w:t>
      </w:r>
    </w:p>
    <w:p w:rsidR="00272411" w:rsidRDefault="00272411" w:rsidP="00272411">
      <w:r>
        <w:rPr>
          <w:rStyle w:val="Strong"/>
        </w:rPr>
        <w:t>LDC</w:t>
      </w:r>
      <w:r>
        <w:t xml:space="preserve"> — Least Developed Country</w:t>
      </w:r>
    </w:p>
    <w:p w:rsidR="00272411" w:rsidRDefault="00272411" w:rsidP="00272411">
      <w:r>
        <w:rPr>
          <w:rStyle w:val="Strong"/>
        </w:rPr>
        <w:t>NBR</w:t>
      </w:r>
      <w:r>
        <w:t xml:space="preserve"> — National Board of Revenue</w:t>
      </w:r>
    </w:p>
    <w:p w:rsidR="00272411" w:rsidRDefault="00272411" w:rsidP="00272411">
      <w:r>
        <w:rPr>
          <w:rStyle w:val="Strong"/>
        </w:rPr>
        <w:t>NDP</w:t>
      </w:r>
      <w:r>
        <w:t xml:space="preserve"> — National Drug Policy</w:t>
      </w:r>
    </w:p>
    <w:p w:rsidR="00340E02" w:rsidRDefault="00272411" w:rsidP="00272411">
      <w:r>
        <w:rPr>
          <w:rStyle w:val="Strong"/>
        </w:rPr>
        <w:t>NOC</w:t>
      </w:r>
      <w:r>
        <w:t xml:space="preserve"> — No Objection Certificate</w:t>
      </w:r>
    </w:p>
    <w:p w:rsidR="00272411" w:rsidRDefault="00272411" w:rsidP="00272411">
      <w:r>
        <w:rPr>
          <w:rStyle w:val="Strong"/>
        </w:rPr>
        <w:t>OECD</w:t>
      </w:r>
      <w:r>
        <w:t xml:space="preserve"> — Organisation for Economic Co-operation and Development</w:t>
      </w:r>
    </w:p>
    <w:p w:rsidR="00272411" w:rsidRDefault="00272411" w:rsidP="00272411">
      <w:r>
        <w:rPr>
          <w:rStyle w:val="Strong"/>
        </w:rPr>
        <w:t>RQ</w:t>
      </w:r>
      <w:r>
        <w:t xml:space="preserve"> — Research Question</w:t>
      </w:r>
    </w:p>
    <w:p w:rsidR="00272411" w:rsidRDefault="00272411" w:rsidP="00272411">
      <w:r>
        <w:rPr>
          <w:rStyle w:val="Strong"/>
        </w:rPr>
        <w:t>SME</w:t>
      </w:r>
      <w:r>
        <w:t xml:space="preserve"> — Small and Medium-sized Enterprise(s)</w:t>
      </w:r>
    </w:p>
    <w:p w:rsidR="00272411" w:rsidRDefault="00272411" w:rsidP="00272411">
      <w:r>
        <w:rPr>
          <w:rStyle w:val="Strong"/>
        </w:rPr>
        <w:t>TRIPS</w:t>
      </w:r>
      <w:r>
        <w:t xml:space="preserve"> — Trade-Related Aspects of Intellectual Property Rights</w:t>
      </w:r>
    </w:p>
    <w:p w:rsidR="00272411" w:rsidRDefault="00272411" w:rsidP="00272411">
      <w:r>
        <w:rPr>
          <w:rStyle w:val="Strong"/>
        </w:rPr>
        <w:t>UN ESCAP</w:t>
      </w:r>
      <w:r>
        <w:t xml:space="preserve"> — United Nations Economic and Social Commission for Asia and the Pacific</w:t>
      </w:r>
    </w:p>
    <w:p w:rsidR="00272411" w:rsidRDefault="00272411" w:rsidP="00272411">
      <w:r>
        <w:rPr>
          <w:rStyle w:val="Strong"/>
        </w:rPr>
        <w:t>USD</w:t>
      </w:r>
      <w:r>
        <w:t xml:space="preserve"> — United States Dollar(s)</w:t>
      </w:r>
    </w:p>
    <w:p w:rsidR="00B07B0D" w:rsidRDefault="00272411" w:rsidP="00CF053C">
      <w:r>
        <w:rPr>
          <w:rStyle w:val="Strong"/>
        </w:rPr>
        <w:t>VAT</w:t>
      </w:r>
      <w:r>
        <w:t xml:space="preserve"> — Value Added Tax</w:t>
      </w:r>
    </w:p>
    <w:p w:rsidR="00CF053C" w:rsidRDefault="00CF053C">
      <w:pPr>
        <w:spacing w:before="0" w:after="160" w:line="259" w:lineRule="auto"/>
        <w:jc w:val="left"/>
        <w:rPr>
          <w:rFonts w:eastAsiaTheme="majorEastAsia" w:cstheme="majorBidi"/>
          <w:b/>
          <w:sz w:val="32"/>
          <w:szCs w:val="32"/>
        </w:rPr>
      </w:pPr>
      <w:r>
        <w:br w:type="page"/>
      </w:r>
    </w:p>
    <w:p w:rsidR="00B07B0D" w:rsidRDefault="00B07B0D" w:rsidP="00B07B0D">
      <w:pPr>
        <w:pStyle w:val="Heading1"/>
        <w:jc w:val="center"/>
      </w:pPr>
      <w:bookmarkStart w:id="7" w:name="_Toc220873886"/>
      <w:r w:rsidRPr="00B07B0D">
        <w:lastRenderedPageBreak/>
        <w:t>Chapter 1. Introduction</w:t>
      </w:r>
      <w:bookmarkEnd w:id="7"/>
    </w:p>
    <w:p w:rsidR="00DA7BCF" w:rsidRDefault="00DA7BCF" w:rsidP="00DA7BCF">
      <w:pPr>
        <w:pStyle w:val="Heading2"/>
        <w:rPr>
          <w:rFonts w:ascii="Times New Roman" w:hAnsi="Times New Roman"/>
          <w:sz w:val="27"/>
          <w:lang w:val="en-US" w:eastAsia="en-US"/>
        </w:rPr>
      </w:pPr>
      <w:bookmarkStart w:id="8" w:name="_Toc220873887"/>
      <w:r>
        <w:rPr>
          <w:rStyle w:val="Strong"/>
          <w:b/>
          <w:bCs w:val="0"/>
        </w:rPr>
        <w:t>1.1 Introduction</w:t>
      </w:r>
      <w:bookmarkEnd w:id="8"/>
      <w:r>
        <w:rPr>
          <w:rStyle w:val="Strong"/>
          <w:b/>
          <w:bCs w:val="0"/>
        </w:rPr>
        <w:t xml:space="preserve"> </w:t>
      </w:r>
    </w:p>
    <w:p w:rsidR="00DA7BCF" w:rsidRPr="00687139" w:rsidRDefault="00687139" w:rsidP="00DA7BCF">
      <w:r w:rsidRPr="00687139">
        <w:t>This chapter presents the regulatory and economic environment of pharmaceutical imports in Bangladesh, and specifically, the small and medium enterprises (SMEs). It describes the regulatory policy and legal framework that regulates the importation of drugs on a licensing basis and emphasizes the way the regulatory processes can be used as a non-tariff barrier to trade. The chapter defines research problem, aim, objectives, and questions and contextualises the study within the framework of administrative burden and Good Regulatory Practices.</w:t>
      </w:r>
    </w:p>
    <w:p w:rsidR="00376E01" w:rsidRDefault="00376E01" w:rsidP="00DA7BCF">
      <w:pPr>
        <w:pStyle w:val="Heading2"/>
        <w:rPr>
          <w:rFonts w:ascii="Times New Roman" w:hAnsi="Times New Roman"/>
          <w:sz w:val="27"/>
          <w:lang w:val="en-US" w:eastAsia="en-US"/>
        </w:rPr>
      </w:pPr>
      <w:bookmarkStart w:id="9" w:name="_Toc220873888"/>
      <w:r>
        <w:t>1.</w:t>
      </w:r>
      <w:r w:rsidR="00DA7BCF">
        <w:t>2</w:t>
      </w:r>
      <w:r>
        <w:t xml:space="preserve"> Background and context of the study</w:t>
      </w:r>
      <w:bookmarkEnd w:id="9"/>
    </w:p>
    <w:p w:rsidR="00305BC5" w:rsidRPr="00305BC5" w:rsidRDefault="00305BC5" w:rsidP="00305BC5">
      <w:r w:rsidRPr="00305BC5">
        <w:t>The pharmaceutical sector in Bangladesh is directly connected to national health indicators and the overall economic performance due to the fact that access to and quality of medicines is directly related to proper regulation and operating supply chains (</w:t>
      </w:r>
      <w:proofErr w:type="spellStart"/>
      <w:r w:rsidRPr="00305BC5">
        <w:t>Hoque</w:t>
      </w:r>
      <w:proofErr w:type="spellEnd"/>
      <w:r w:rsidRPr="00305BC5">
        <w:t xml:space="preserve"> et al., 2020). Traditionally, the national policy has been trying to balance the factors of accessibility, affordability, and quality including by way of regulatory expectations that influence the sourcing of medicines and entry into the domestic market.</w:t>
      </w:r>
    </w:p>
    <w:p w:rsidR="00305BC5" w:rsidRPr="00305BC5" w:rsidRDefault="00305BC5" w:rsidP="00305BC5">
      <w:r w:rsidRPr="00305BC5">
        <w:t>Small and medium-sized enterprises (SMEs) take up a significant role in the business environment in Bangladesh. Formal boundaries of SMEs are explained by the official definitions (associated with national industrial policy) and emphasize the policy significance of the category as a focus of support and regulation (</w:t>
      </w:r>
      <w:proofErr w:type="spellStart"/>
      <w:r w:rsidRPr="00305BC5">
        <w:t>Mollik</w:t>
      </w:r>
      <w:proofErr w:type="spellEnd"/>
      <w:r w:rsidRPr="00305BC5">
        <w:t xml:space="preserve"> and </w:t>
      </w:r>
      <w:proofErr w:type="spellStart"/>
      <w:r w:rsidRPr="00305BC5">
        <w:t>Ananna</w:t>
      </w:r>
      <w:proofErr w:type="spellEnd"/>
      <w:r w:rsidRPr="00305BC5">
        <w:t>, 2024). Procedural on-costs to SMEs may be relatively greater in regulated industries due to the fact that these firms may lack fewer specialised personnel and may be relatively weak in compliance capacity than larger companies even when the rules are the same in all firms.</w:t>
      </w:r>
    </w:p>
    <w:p w:rsidR="00305BC5" w:rsidRDefault="00305BC5" w:rsidP="00305BC5">
      <w:pPr>
        <w:rPr>
          <w:b/>
        </w:rPr>
      </w:pPr>
      <w:r w:rsidRPr="00305BC5">
        <w:t xml:space="preserve">The quality of governance is also an important issue in the medicines regulation. The medicines regulator in Bangladesh has come up with guidance that is compatible with Good Regulatory Practices (GRP), which focuses on health protection systems alongside enhancing clarity, uniformity, and quality of processes (DGDA, 2025). The dissertation falls within that policy regulatory environment and how regulatory procedures, particularly, </w:t>
      </w:r>
      <w:r w:rsidRPr="00305BC5">
        <w:lastRenderedPageBreak/>
        <w:t>import licensing/approvals can act as trade obstacles to SMEs when they seek to import drugs into Bangladesh.</w:t>
      </w:r>
    </w:p>
    <w:p w:rsidR="00376E01" w:rsidRDefault="00DA7BCF" w:rsidP="00305BC5">
      <w:pPr>
        <w:pStyle w:val="Heading2"/>
      </w:pPr>
      <w:bookmarkStart w:id="10" w:name="_Toc220873889"/>
      <w:r>
        <w:t>1.3</w:t>
      </w:r>
      <w:r w:rsidR="00376E01">
        <w:t xml:space="preserve"> Policy and regulatory setting for drug imports in Bangladesh</w:t>
      </w:r>
      <w:bookmarkEnd w:id="10"/>
    </w:p>
    <w:p w:rsidR="00305BC5" w:rsidRDefault="00305BC5" w:rsidP="00305BC5">
      <w:r>
        <w:t>The governance on the medicines in Bangladesh is influenced by the national policy and the legal frameworks governing the manufacture, importation, distribution and quality of the drugs and cosmetic products. The National Drug Policy 2016 establishes policy intent regarding the availability of medicines, their affordability, and quality assurance, and is the general policy context upon which regulation and compliance expectations are informed (</w:t>
      </w:r>
      <w:proofErr w:type="spellStart"/>
      <w:r>
        <w:t>Hoque</w:t>
      </w:r>
      <w:proofErr w:type="spellEnd"/>
      <w:r>
        <w:t xml:space="preserve"> et al., 2020). Much more recently, the legal basis of the regulation of activities such as import and quality control has a new form in the Drug and Cosmetics Act 2023, which shows that the regulatory environment is not only important but also dynamic (Ahmed, 2023).</w:t>
      </w:r>
    </w:p>
    <w:p w:rsidR="00305BC5" w:rsidRDefault="00305BC5" w:rsidP="00305BC5">
      <w:r>
        <w:t>Ideally the policy goals of quality and safety in the medical field are converted into the administrative procedures that companies have to undergo prior to importing or selling products. In the case of importers, standards can be prior approvals and consignment-related controls, which are supposed to guarantee the entry of compliant standards and the safety of the population (</w:t>
      </w:r>
      <w:proofErr w:type="spellStart"/>
      <w:r>
        <w:t>Aushadh</w:t>
      </w:r>
      <w:proofErr w:type="spellEnd"/>
      <w:r>
        <w:t>, 2024). Process quality via GRP, transparency, consistency, and proportionality are also among the desirable elements of the regulatory decision and implementation as highlighted by regulatory agencies (DGDA, 2023).</w:t>
      </w:r>
    </w:p>
    <w:p w:rsidR="00305BC5" w:rsidRDefault="00305BC5" w:rsidP="00305BC5">
      <w:r>
        <w:t>In the case of SMEs, the underlying question on whether regulation is necessary or not is not so much, but whether the design and execution of licensing/approval methods impose disproportionate burdens. They may serve as non-tariff barriers when the administrative procedures are complex, slow or expensive and may limit the participation of the market, especially in the case of the smaller companies that have less administrative resources at their disposal.</w:t>
      </w:r>
    </w:p>
    <w:p w:rsidR="00376E01" w:rsidRDefault="00DA7BCF" w:rsidP="00F92E22">
      <w:pPr>
        <w:pStyle w:val="Heading2"/>
      </w:pPr>
      <w:bookmarkStart w:id="11" w:name="_Toc220873890"/>
      <w:r>
        <w:t>1.4</w:t>
      </w:r>
      <w:r w:rsidR="00376E01">
        <w:t xml:space="preserve"> Statement of the research problem</w:t>
      </w:r>
      <w:bookmarkEnd w:id="11"/>
    </w:p>
    <w:p w:rsidR="00305BC5" w:rsidRPr="00305BC5" w:rsidRDefault="00305BC5" w:rsidP="00305BC5">
      <w:r w:rsidRPr="00305BC5">
        <w:t xml:space="preserve">The current research problem presents the issue that in Bangladesh, SMEs could encounter a relatively high trade barrier in an attempt to acquire drug import licences/approvals. Such obstacles may incorporate complexity of procedures, lengthy </w:t>
      </w:r>
      <w:r w:rsidRPr="00305BC5">
        <w:lastRenderedPageBreak/>
        <w:t>documentation, redundancy of submissions, time schedule uncertainty and compliance costs, which may combine to decrease the efficiency of firms in their operation.</w:t>
      </w:r>
    </w:p>
    <w:p w:rsidR="00305BC5" w:rsidRPr="00305BC5" w:rsidRDefault="00305BC5" w:rsidP="00305BC5">
      <w:r w:rsidRPr="00305BC5">
        <w:t>This dilemma can be conveniently packaged in the form of administrative burden in the business-government relationships. The burden of administration studies posit that organisations may pay learning costs (time and effort to figure out requirements), and compliance costs (resources expended in fulfilling procedural and documentary demands), and that these two costs may precondition the creation of unequal opportunities to engage with government procedures (Petersen and Hansen, 2022). Within a highly controlled medicines landscape, these encumbrances are more than ever germane since adherence can directly be connected to product accessibility and supply chain persistence.</w:t>
      </w:r>
    </w:p>
    <w:p w:rsidR="00305BC5" w:rsidRDefault="00305BC5" w:rsidP="00305BC5">
      <w:pPr>
        <w:rPr>
          <w:b/>
        </w:rPr>
      </w:pPr>
      <w:r w:rsidRPr="00305BC5">
        <w:t>It is a practical issue since any lag or indecision in the regulatory approvals may upset the procurement planning and responsiveness to supply. The results of the literature review of the antimicrobial supply chain in Bangladesh indicate that regulatory environment and contextual limitations are intertwined with supply integrity and access-related issues, which supports the significance of the efficient regulatory actions (</w:t>
      </w:r>
      <w:proofErr w:type="spellStart"/>
      <w:r w:rsidRPr="00305BC5">
        <w:t>Orubu</w:t>
      </w:r>
      <w:proofErr w:type="spellEnd"/>
      <w:r w:rsidRPr="00305BC5">
        <w:t xml:space="preserve"> et al., 2022). Thus, research into the obstacles encountered by SMEs during import licensing is pertinent to the performance of SMEs in terms of operations as well as to overall system consequences associated with the quality assurance and accessibility of medicines.</w:t>
      </w:r>
    </w:p>
    <w:p w:rsidR="00376E01" w:rsidRDefault="00DA7BCF" w:rsidP="005010B1">
      <w:pPr>
        <w:pStyle w:val="Heading2"/>
      </w:pPr>
      <w:bookmarkStart w:id="12" w:name="_Toc220873891"/>
      <w:r>
        <w:t>1.5</w:t>
      </w:r>
      <w:r w:rsidR="00376E01">
        <w:t xml:space="preserve"> Research aim and objectives</w:t>
      </w:r>
      <w:bookmarkEnd w:id="12"/>
    </w:p>
    <w:p w:rsidR="00376E01" w:rsidRDefault="00376E01" w:rsidP="00F92E22">
      <w:r>
        <w:t>The aim of this research is to investigate the trade barriers faced by SMEs in obtaining import licenses for drugs in Bangladesh.</w:t>
      </w:r>
    </w:p>
    <w:p w:rsidR="00F92E22" w:rsidRPr="00F92E22" w:rsidRDefault="00376E01" w:rsidP="00F92E22">
      <w:pPr>
        <w:rPr>
          <w:rStyle w:val="Strong"/>
          <w:b w:val="0"/>
          <w:bCs w:val="0"/>
        </w:rPr>
      </w:pPr>
      <w:r>
        <w:rPr>
          <w:rStyle w:val="Strong"/>
        </w:rPr>
        <w:t>Aim:</w:t>
      </w:r>
    </w:p>
    <w:p w:rsidR="00376E01" w:rsidRDefault="00376E01" w:rsidP="00F92E22">
      <w:pPr>
        <w:pStyle w:val="ListParagraph"/>
        <w:numPr>
          <w:ilvl w:val="0"/>
          <w:numId w:val="2"/>
        </w:numPr>
      </w:pPr>
      <w:r w:rsidRPr="00F92E22">
        <w:t>To investigate the trade barriers faced by SMEs in obtaining import licenses for drugs in Bangladesh.</w:t>
      </w:r>
    </w:p>
    <w:p w:rsidR="00F92E22" w:rsidRDefault="00376E01" w:rsidP="00F92E22">
      <w:pPr>
        <w:rPr>
          <w:rStyle w:val="Strong"/>
        </w:rPr>
      </w:pPr>
      <w:r>
        <w:rPr>
          <w:rStyle w:val="Strong"/>
        </w:rPr>
        <w:t>Objectives:</w:t>
      </w:r>
    </w:p>
    <w:p w:rsidR="00F92E22" w:rsidRDefault="00376E01" w:rsidP="00F92E22">
      <w:pPr>
        <w:pStyle w:val="ListParagraph"/>
        <w:numPr>
          <w:ilvl w:val="0"/>
          <w:numId w:val="2"/>
        </w:numPr>
      </w:pPr>
      <w:r w:rsidRPr="00F92E22">
        <w:lastRenderedPageBreak/>
        <w:t>To identify the regulatory and procedural challenges in the import licensing process.</w:t>
      </w:r>
    </w:p>
    <w:p w:rsidR="00F92E22" w:rsidRDefault="00376E01" w:rsidP="00F92E22">
      <w:pPr>
        <w:pStyle w:val="ListParagraph"/>
        <w:numPr>
          <w:ilvl w:val="0"/>
          <w:numId w:val="2"/>
        </w:numPr>
      </w:pPr>
      <w:r w:rsidRPr="00F92E22">
        <w:t>To assess the impact of these barriers on the operational efficiency of SMEs.</w:t>
      </w:r>
    </w:p>
    <w:p w:rsidR="00376E01" w:rsidRDefault="00376E01" w:rsidP="00F92E22">
      <w:pPr>
        <w:pStyle w:val="ListParagraph"/>
        <w:numPr>
          <w:ilvl w:val="0"/>
          <w:numId w:val="2"/>
        </w:numPr>
      </w:pPr>
      <w:r w:rsidRPr="00F92E22">
        <w:t>To propose recommendations for policy improvements to facilitate smoother importation processes for SMEs.</w:t>
      </w:r>
    </w:p>
    <w:p w:rsidR="00A16EAB" w:rsidRDefault="00A16EAB" w:rsidP="00A16EAB">
      <w:pPr>
        <w:rPr>
          <w:b/>
        </w:rPr>
      </w:pPr>
      <w:r w:rsidRPr="00A16EAB">
        <w:t>These goals are formulated in such a way that they transit between identification of barriers, evaluation of the implications of operation, and eventual development of evidence-based recommendations which conform to the regulatory quality principles like GRP.</w:t>
      </w:r>
    </w:p>
    <w:p w:rsidR="001A3E0D" w:rsidRDefault="00DA7BCF" w:rsidP="001A3E0D">
      <w:pPr>
        <w:pStyle w:val="Heading2"/>
      </w:pPr>
      <w:bookmarkStart w:id="13" w:name="_Toc220873892"/>
      <w:r>
        <w:t>1.6</w:t>
      </w:r>
      <w:r w:rsidR="00376E01">
        <w:t xml:space="preserve"> Research questions</w:t>
      </w:r>
      <w:bookmarkEnd w:id="13"/>
    </w:p>
    <w:p w:rsidR="001A3E0D" w:rsidRDefault="00376E01" w:rsidP="001A3E0D">
      <w:pPr>
        <w:pStyle w:val="ListParagraph"/>
        <w:numPr>
          <w:ilvl w:val="0"/>
          <w:numId w:val="4"/>
        </w:numPr>
      </w:pPr>
      <w:r>
        <w:t>What are the key trade barriers faced by SMEs in obtaining import licenses for drugs in Bangladesh?</w:t>
      </w:r>
    </w:p>
    <w:p w:rsidR="001A3E0D" w:rsidRDefault="00376E01" w:rsidP="001A3E0D">
      <w:pPr>
        <w:pStyle w:val="ListParagraph"/>
        <w:numPr>
          <w:ilvl w:val="0"/>
          <w:numId w:val="4"/>
        </w:numPr>
      </w:pPr>
      <w:r>
        <w:t>How do these barriers affect the operational efficiency of SMEs?</w:t>
      </w:r>
    </w:p>
    <w:p w:rsidR="00376E01" w:rsidRDefault="00376E01" w:rsidP="001A3E0D">
      <w:pPr>
        <w:pStyle w:val="ListParagraph"/>
        <w:numPr>
          <w:ilvl w:val="0"/>
          <w:numId w:val="4"/>
        </w:numPr>
      </w:pPr>
      <w:r>
        <w:t>What policy changes can be recommended to mitigate these barriers?</w:t>
      </w:r>
    </w:p>
    <w:p w:rsidR="00A16EAB" w:rsidRDefault="00A16EAB" w:rsidP="00A16EAB">
      <w:pPr>
        <w:rPr>
          <w:b/>
        </w:rPr>
      </w:pPr>
      <w:r w:rsidRPr="00A16EAB">
        <w:t>Cumulatively, these queries inform the dissertation focus on the nature of barriers, the clarification of the operational implications and translation of findings into the actionable improvements in line with effective regulatory governance.</w:t>
      </w:r>
    </w:p>
    <w:p w:rsidR="00376E01" w:rsidRDefault="00DA7BCF" w:rsidP="001A3E0D">
      <w:pPr>
        <w:pStyle w:val="Heading2"/>
      </w:pPr>
      <w:bookmarkStart w:id="14" w:name="_Toc220873893"/>
      <w:r>
        <w:t>1.7</w:t>
      </w:r>
      <w:r w:rsidR="00376E01">
        <w:t xml:space="preserve"> Scope, key definitions, and focus</w:t>
      </w:r>
      <w:bookmarkEnd w:id="14"/>
    </w:p>
    <w:p w:rsidR="00B46E00" w:rsidRDefault="00B46E00" w:rsidP="00B46E00">
      <w:pPr>
        <w:rPr>
          <w:b/>
        </w:rPr>
      </w:pPr>
      <w:r w:rsidRPr="00B46E00">
        <w:t>This dissertation will concentrate in Bangladesh, and on the SMEs that are engaged with the process of drug importation and are subjected to licensing/approval according to the national regulatory regime on medicines. The official classification of SMEs is used in connection with the national industrial policy (</w:t>
      </w:r>
      <w:proofErr w:type="spellStart"/>
      <w:r w:rsidRPr="00B46E00">
        <w:t>Padoan</w:t>
      </w:r>
      <w:proofErr w:type="spellEnd"/>
      <w:r w:rsidRPr="00B46E00">
        <w:t xml:space="preserve">, 2010). Trade barriers are considered in a practical sense to mean the non-tariff trade barriers that inhibit or delay the access of SMEs to import rights such as documentary and procedural barriers. The scope of the study is limited to the needs of import licensing/approval (instead of the entire gamut of pharmaceutical regulation) and has an interface focus to the impediments that SMEs are encountering between business operations and regulatory procedures (Ministry of Commerce, 2017). It is not limited to the issue of export licensing, nor does it </w:t>
      </w:r>
      <w:r w:rsidRPr="00B46E00">
        <w:lastRenderedPageBreak/>
        <w:t>dwell on the strategic behaviour of large multinational importers, unless the context requires it to be done in that way to see the SME-specific issue.</w:t>
      </w:r>
    </w:p>
    <w:p w:rsidR="00376E01" w:rsidRDefault="00DA7BCF" w:rsidP="005010B1">
      <w:pPr>
        <w:pStyle w:val="Heading2"/>
      </w:pPr>
      <w:bookmarkStart w:id="15" w:name="_Toc220873895"/>
      <w:r>
        <w:t>1.9</w:t>
      </w:r>
      <w:r w:rsidR="00376E01">
        <w:t xml:space="preserve"> Theoretical framework</w:t>
      </w:r>
      <w:bookmarkEnd w:id="15"/>
    </w:p>
    <w:p w:rsidR="00A16EAB" w:rsidRPr="00A16EAB" w:rsidRDefault="00A16EAB" w:rsidP="00A16EAB">
      <w:r w:rsidRPr="00A16EAB">
        <w:t>Two complementary lenses are used in this dissertation to frame the research problem.</w:t>
      </w:r>
    </w:p>
    <w:p w:rsidR="00A16EAB" w:rsidRPr="00A16EAB" w:rsidRDefault="00A16EAB" w:rsidP="00A16EAB">
      <w:r w:rsidRPr="00A16EAB">
        <w:t xml:space="preserve">To start with, the administrative burden can be used to </w:t>
      </w:r>
      <w:proofErr w:type="spellStart"/>
      <w:r w:rsidRPr="00A16EAB">
        <w:t>analyze</w:t>
      </w:r>
      <w:proofErr w:type="spellEnd"/>
      <w:r w:rsidRPr="00A16EAB">
        <w:t xml:space="preserve"> the way government processes produce learning costs and compliance costs on business and possibly creating disparate access to the regulatory process (Petersen and Hansen, 2022). In the case of drug import licensing, the lens is useful to conduct methodical analysis of the areas where the SMEs can feel the weight, how they might identify the requirements, complete the paperwork, navigate through the process, and how they might react to compliance inspections.</w:t>
      </w:r>
    </w:p>
    <w:p w:rsidR="00A16EAB" w:rsidRPr="00A16EAB" w:rsidRDefault="00A16EAB" w:rsidP="00A16EAB">
      <w:r w:rsidRPr="00A16EAB">
        <w:t>Second, there is the Good Regulatory Practices (GRP) which is a lens of quality of governance. GRP is promoted by DGDA guidance as one of the methods to enhance regulatory frameworks, as well as increase the quality and consistency of the processes (DGDA, 2023). GRP is employed in this dissertation to contextualise policy recommendations, the improvements should be made to minimize the unwarranted burdens without compromising the needed safety and quality of medicine.</w:t>
      </w:r>
    </w:p>
    <w:p w:rsidR="00A16EAB" w:rsidRDefault="00A16EAB" w:rsidP="00A16EAB">
      <w:pPr>
        <w:rPr>
          <w:b/>
        </w:rPr>
      </w:pPr>
      <w:r w:rsidRPr="00A16EAB">
        <w:t>All these lenses collaborate in terms of answering the research questions by explaining (a) what are the barriers, (b) why they can be disproportionately targeted at SMEs, and (c) what forms of policy/process reforms are compatible with robust regulatory governance.</w:t>
      </w:r>
    </w:p>
    <w:p w:rsidR="00594BE7" w:rsidRDefault="00594BE7" w:rsidP="00594BE7">
      <w:pPr>
        <w:pStyle w:val="Heading2"/>
      </w:pPr>
      <w:bookmarkStart w:id="16" w:name="_Toc220873896"/>
      <w:bookmarkStart w:id="17" w:name="_Toc220873894"/>
      <w:r>
        <w:t>1.8 Relevance and contribution of the study</w:t>
      </w:r>
      <w:bookmarkEnd w:id="17"/>
    </w:p>
    <w:p w:rsidR="00594BE7" w:rsidRPr="00B46E00" w:rsidRDefault="00594BE7" w:rsidP="00594BE7">
      <w:r w:rsidRPr="00B46E00">
        <w:t>The research is applicable in practice and scholarship. In practice, it is possible to simplify or optimize licensing procedures, which will facilitate the effectiveness of the functioning of the SMEs, minimizing unnecessary compliance expenses, and enhancing the predictable availability of medicines without compromising the legitimate protection of the public health (DGDA, 2023). GRP regulatory guidance is a policy foundation on process improvements that lead to improved transparency and consistency.</w:t>
      </w:r>
    </w:p>
    <w:p w:rsidR="00594BE7" w:rsidRPr="00B46E00" w:rsidRDefault="00594BE7" w:rsidP="00594BE7">
      <w:r w:rsidRPr="00B46E00">
        <w:lastRenderedPageBreak/>
        <w:t xml:space="preserve">One of the contributions of the dissertation, in terms of academic contributions, is that the literature concentrates on SME-oriented barriers within a regulated medicines-import environment. Literature on the governance and supply integrity of medicines in Bangladesh reveals the relevance of the regulatory environment and the capacity to implement regulations on medicine quality and access (Sarkar and </w:t>
      </w:r>
      <w:proofErr w:type="spellStart"/>
      <w:r w:rsidRPr="00B46E00">
        <w:t>Plahe</w:t>
      </w:r>
      <w:proofErr w:type="spellEnd"/>
      <w:r w:rsidRPr="00B46E00">
        <w:t>, 2021). In the meantime, the administrative burden literature also provides a systematic means of understanding how processes may result in the unequal access of smaller actors. This research hence links the regulatory-policy background and the organisation-level cost, which yield a narrowed perspective on the occurrence of trade barriers to SMEs.</w:t>
      </w:r>
    </w:p>
    <w:p w:rsidR="00594BE7" w:rsidRDefault="00594BE7" w:rsidP="00594BE7">
      <w:pPr>
        <w:rPr>
          <w:b/>
        </w:rPr>
      </w:pPr>
      <w:r w:rsidRPr="00B46E00">
        <w:t>Regulatory and institutional barriers have also been under observation as a consistent limitation on firms, which have been reinforced by recent evidence of the Bangladesh business-environment.</w:t>
      </w:r>
    </w:p>
    <w:p w:rsidR="00376E01" w:rsidRPr="00376E01" w:rsidRDefault="00DA7BCF" w:rsidP="00A16EAB">
      <w:pPr>
        <w:pStyle w:val="Heading2"/>
      </w:pPr>
      <w:r>
        <w:t>1.10</w:t>
      </w:r>
      <w:r w:rsidR="00376E01" w:rsidRPr="00376E01">
        <w:t xml:space="preserve"> Structure of the dissertation</w:t>
      </w:r>
      <w:bookmarkEnd w:id="16"/>
    </w:p>
    <w:p w:rsidR="00531A78" w:rsidRDefault="00A16EAB" w:rsidP="005010B1">
      <w:r w:rsidRPr="00A16EAB">
        <w:t>It is presented in Chapter 1, which provides the background and regulatory environment of drug import licensing in Bangladesh, the research problem, and the research aim, objectives, and questions. It also explains the scope and significant terms of the study, theoretical framework in which the analysis will be conducted, and the significance and value of the study. The second chapter is a critical literature review of pharmaceutical regulation, trade barriers, SME, and the theoretical framework chosen. Chapter 3 has outlined the data sources and research methodology. The results of the data analysis are reported in chapter 4. Chapter 5 explains these results as per the literature and theoretical framework. Lastly, Chapter 6 will involve the answers to the research questions, summarization of implications, limitations and the conclusion of the research with the recommendations and recommendations to the future research.</w:t>
      </w:r>
    </w:p>
    <w:p w:rsidR="00DA7BCF" w:rsidRDefault="00DA7BCF" w:rsidP="00DA7BCF">
      <w:pPr>
        <w:pStyle w:val="Heading2"/>
      </w:pPr>
      <w:bookmarkStart w:id="18" w:name="_Toc220873897"/>
      <w:r>
        <w:t>1.11 Conclusion</w:t>
      </w:r>
      <w:bookmarkEnd w:id="18"/>
    </w:p>
    <w:p w:rsidR="00531A78" w:rsidRDefault="00687139" w:rsidP="00687139">
      <w:r w:rsidRPr="00687139">
        <w:rPr>
          <w:lang w:val="en-US" w:eastAsia="en-US"/>
        </w:rPr>
        <w:t xml:space="preserve">This chapter has established the background to the dissertation because it identifies the research context, problem and scope. It has shown the applicability of investigating the import licensing restrictions to SMEs in the Bangladesh pharmaceutical regulatory regime. The chapter provides a logical framework through the clear articulation of the </w:t>
      </w:r>
      <w:r w:rsidRPr="00687139">
        <w:rPr>
          <w:lang w:val="en-US" w:eastAsia="en-US"/>
        </w:rPr>
        <w:lastRenderedPageBreak/>
        <w:t>research aim, objectives, questions, and theoretical framework, which is used to assess the further analysis and prove the importance of the study in both academic and practical terms.</w:t>
      </w:r>
      <w:r w:rsidR="00531A78">
        <w:br w:type="page"/>
      </w:r>
    </w:p>
    <w:p w:rsidR="00531A78" w:rsidRDefault="00531A78" w:rsidP="00531A78">
      <w:pPr>
        <w:pStyle w:val="Heading1"/>
        <w:jc w:val="center"/>
        <w:rPr>
          <w:rStyle w:val="Strong"/>
          <w:b/>
          <w:bCs w:val="0"/>
        </w:rPr>
      </w:pPr>
      <w:bookmarkStart w:id="19" w:name="_Toc220873898"/>
      <w:r w:rsidRPr="00531A78">
        <w:rPr>
          <w:rStyle w:val="Strong"/>
          <w:b/>
          <w:bCs w:val="0"/>
        </w:rPr>
        <w:lastRenderedPageBreak/>
        <w:t>Chapter 2: Literature Review</w:t>
      </w:r>
      <w:bookmarkEnd w:id="19"/>
    </w:p>
    <w:p w:rsidR="00CA2749" w:rsidRDefault="00CA2749" w:rsidP="00A23247">
      <w:pPr>
        <w:pStyle w:val="Heading2"/>
        <w:rPr>
          <w:rFonts w:ascii="Times New Roman" w:hAnsi="Times New Roman"/>
          <w:sz w:val="27"/>
          <w:lang w:val="en-US" w:eastAsia="en-US"/>
        </w:rPr>
      </w:pPr>
      <w:bookmarkStart w:id="20" w:name="_Toc220873899"/>
      <w:r>
        <w:t xml:space="preserve">2.1 </w:t>
      </w:r>
      <w:r>
        <w:rPr>
          <w:rStyle w:val="Strong"/>
          <w:b/>
          <w:bCs w:val="0"/>
        </w:rPr>
        <w:t>Introduction</w:t>
      </w:r>
      <w:bookmarkEnd w:id="20"/>
      <w:r>
        <w:rPr>
          <w:rStyle w:val="Strong"/>
          <w:b/>
          <w:bCs w:val="0"/>
        </w:rPr>
        <w:t xml:space="preserve"> </w:t>
      </w:r>
    </w:p>
    <w:p w:rsidR="00032A8E" w:rsidRDefault="00032A8E" w:rsidP="00032A8E">
      <w:pPr>
        <w:rPr>
          <w:b/>
        </w:rPr>
      </w:pPr>
      <w:r w:rsidRPr="000724FA">
        <w:t>The chapter presents the critical and synthesis-based overview of the studies that are pertinent to trade barriers and regulatory limitations imposed on SMEs in the pharmaceutical industry in Bangladesh with special emphasis on the import licensing (Karim, 2023). The aim of the review is to find out what currently exists in the existing knowledge regarding the regulatory processes, administrative load, and compliance pressures in importing pharmaceuticals, as well as show how these areas define the operating capacity and competitiveness of SMEs. Combining the academic evidence with the reference and authoritative regulatory and policy content, the review contextualizes the study in the body of the existing knowledge and supports the focus of the dissertation on the process of licensing as a possible non-tariff barrier to smaller companies.</w:t>
      </w:r>
    </w:p>
    <w:p w:rsidR="00032A8E" w:rsidRDefault="00A23247" w:rsidP="00A23247">
      <w:pPr>
        <w:pStyle w:val="Heading2"/>
      </w:pPr>
      <w:bookmarkStart w:id="21" w:name="_Toc220873900"/>
      <w:r>
        <w:t xml:space="preserve">2.2 </w:t>
      </w:r>
      <w:r w:rsidR="00032A8E">
        <w:t>What is a Literature Review?</w:t>
      </w:r>
      <w:bookmarkEnd w:id="21"/>
    </w:p>
    <w:p w:rsidR="00032A8E" w:rsidRDefault="00032A8E" w:rsidP="00603D26">
      <w:pPr>
        <w:rPr>
          <w:b/>
        </w:rPr>
      </w:pPr>
      <w:r w:rsidRPr="000724FA">
        <w:t>A literature review is a systematic and critical review of previous research and reliable evidence that describes the direction of knowledge development in a particular field, in which findings are consistent or inconsistent, and gaps that are inadequately studied. Instead of presenting studies in the descriptive style, a well-built literature review evaluates the quality and relevance of evidence, juxtaposes the approaches and conclusions and constructs an argument that justifies the logic behind the current study</w:t>
      </w:r>
      <w:r w:rsidR="00603D26">
        <w:t xml:space="preserve"> </w:t>
      </w:r>
      <w:r w:rsidR="00603D26" w:rsidRPr="000724FA">
        <w:t>(Karim, 2023)</w:t>
      </w:r>
      <w:r w:rsidRPr="000724FA">
        <w:t>. The literature review in this dissertation is employed in explaining regulatory and administrative circumstances around the licensing of pharmaceutical imports in Bangladesh and understanding why SMEs might face disproportionate burdens in complying with regulatory requirements of pharmaceutical imports and the approval processes.</w:t>
      </w:r>
    </w:p>
    <w:p w:rsidR="00032A8E" w:rsidRDefault="00A23247" w:rsidP="00A23247">
      <w:pPr>
        <w:pStyle w:val="Heading2"/>
      </w:pPr>
      <w:bookmarkStart w:id="22" w:name="_Toc220873901"/>
      <w:r>
        <w:t xml:space="preserve">2.3 </w:t>
      </w:r>
      <w:r w:rsidR="00032A8E">
        <w:t>Methodology for Conducting the Literature Review</w:t>
      </w:r>
      <w:bookmarkEnd w:id="22"/>
    </w:p>
    <w:p w:rsidR="00032A8E" w:rsidRDefault="00032A8E" w:rsidP="00603D26">
      <w:pPr>
        <w:rPr>
          <w:b/>
        </w:rPr>
      </w:pPr>
      <w:r w:rsidRPr="000724FA">
        <w:t xml:space="preserve">The literature review method used was thematic so that evidence could be presented in a manner of recurring mechanisms and concepts as opposed to presenting it on an independent basis per author. The methodology aids synthesis in various kinds of </w:t>
      </w:r>
      <w:r w:rsidRPr="000724FA">
        <w:lastRenderedPageBreak/>
        <w:t xml:space="preserve">sources and facilitates the better comprehension of the interaction between regulatory design, implementation practices, and compliance requirements to generate SME experiences (Creswell and </w:t>
      </w:r>
      <w:proofErr w:type="spellStart"/>
      <w:r w:rsidRPr="000724FA">
        <w:t>Poth</w:t>
      </w:r>
      <w:proofErr w:type="spellEnd"/>
      <w:r w:rsidRPr="000724FA">
        <w:t>, 2018). The review process comprised the identification of the sources that are relevant, screening and ruling out the ones that are no longer relevant to SMEs, pharmaceutical importation licensing, and the current regulation environment in Bangladesh, and then evaluating the full texts as to their usefulness and credibility in evidence. After including, sources were sorted and sorted into themes that will fit the goals of the dissertation to enable the review bring out patterns, tension, and un-researched areas that will guide the research direction of the study.</w:t>
      </w:r>
    </w:p>
    <w:p w:rsidR="00032A8E" w:rsidRDefault="00A23247" w:rsidP="00A23247">
      <w:pPr>
        <w:pStyle w:val="Heading2"/>
      </w:pPr>
      <w:bookmarkStart w:id="23" w:name="_Toc220873902"/>
      <w:r>
        <w:t xml:space="preserve">2.4 </w:t>
      </w:r>
      <w:r w:rsidR="00032A8E">
        <w:t>Literature Search Strategy and Boolean Searching</w:t>
      </w:r>
      <w:bookmarkEnd w:id="23"/>
    </w:p>
    <w:p w:rsidR="00032A8E" w:rsidRDefault="00032A8E" w:rsidP="00603D26">
      <w:pPr>
        <w:rPr>
          <w:b/>
        </w:rPr>
      </w:pPr>
      <w:r w:rsidRPr="007923CE">
        <w:t>The search strategy was to conduct a search in both academic database and specific retrieval of the regulatory and policy documents related to drug importation in Bangladesh. The key word searches were to be used in order to capture both the regulatory aspect and the SME aspect of the issue and Boolean operators were used to enhance precision and coverage</w:t>
      </w:r>
      <w:r w:rsidR="000537E6">
        <w:t xml:space="preserve"> </w:t>
      </w:r>
      <w:r w:rsidR="000537E6" w:rsidRPr="007923CE">
        <w:t xml:space="preserve">(Samir and </w:t>
      </w:r>
      <w:proofErr w:type="spellStart"/>
      <w:r w:rsidR="000537E6" w:rsidRPr="007923CE">
        <w:t>Sheel</w:t>
      </w:r>
      <w:proofErr w:type="spellEnd"/>
      <w:r w:rsidR="000537E6" w:rsidRPr="007923CE">
        <w:t>, 2015)</w:t>
      </w:r>
      <w:r w:rsidRPr="007923CE">
        <w:t>. Practically, searches were performed containing the terms like: pharmaceutical, or medicine with the terms import licence or import licensing, as well as specific institutional terms like DGDA or policy terms like National Drug Policy or Drugs Act 1940, or SME related terms like: SME, small and medium enterprise. The combination helped to find articles about the issues of procedural complexity, approval delays, compliance costs, and dynamics of enforcement in relation to SME involvement in pharmaceutical import markets.</w:t>
      </w:r>
    </w:p>
    <w:p w:rsidR="00032A8E" w:rsidRDefault="00A23247" w:rsidP="00A23247">
      <w:pPr>
        <w:pStyle w:val="Heading2"/>
      </w:pPr>
      <w:bookmarkStart w:id="24" w:name="_Toc220873903"/>
      <w:r>
        <w:t xml:space="preserve">2.5 </w:t>
      </w:r>
      <w:r w:rsidR="00032A8E">
        <w:t>Search Parameters and Eligibility Criteria</w:t>
      </w:r>
      <w:bookmarkEnd w:id="24"/>
    </w:p>
    <w:p w:rsidR="00032A8E" w:rsidRDefault="00032A8E" w:rsidP="003B4502">
      <w:pPr>
        <w:rPr>
          <w:b/>
        </w:rPr>
      </w:pPr>
      <w:r w:rsidRPr="007923CE">
        <w:t>The selection decisions were informed by the same eligibility parameters to ensure that the study remained relevant and of quality. The sources were taken into consideration when they offered first-hand experiences on the subject of pharmaceutical importation regulation in Bangladesh, and licensing, when they analysed the inhibitors of SMEs operating in regulated settings, and where they represented authoritative primary sources that regulate drug importation such as regulatory guidance and legal-policy instruments. The sources with definitive provenance and good credibility were prioritised such as peer-</w:t>
      </w:r>
      <w:r w:rsidRPr="007923CE">
        <w:lastRenderedPageBreak/>
        <w:t>reviewed research and institutional reports that have sufficient credibility or are closely related to SMEs, import licensing, and the situation in Bangladesh (</w:t>
      </w:r>
      <w:proofErr w:type="spellStart"/>
      <w:r w:rsidRPr="007923CE">
        <w:t>Rumana</w:t>
      </w:r>
      <w:proofErr w:type="spellEnd"/>
      <w:r w:rsidRPr="007923CE">
        <w:t xml:space="preserve"> </w:t>
      </w:r>
      <w:proofErr w:type="spellStart"/>
      <w:r w:rsidRPr="007923CE">
        <w:t>Huque</w:t>
      </w:r>
      <w:proofErr w:type="spellEnd"/>
      <w:r w:rsidRPr="007923CE">
        <w:t>, 2016). In cases when there was more than one version of the same work, the most complete and authoritative one was kept to minimize duplication and enhance uniformity throughout the evidence base.</w:t>
      </w:r>
    </w:p>
    <w:p w:rsidR="00032A8E" w:rsidRDefault="00A23247" w:rsidP="00A23247">
      <w:pPr>
        <w:pStyle w:val="Heading2"/>
      </w:pPr>
      <w:bookmarkStart w:id="25" w:name="_Toc220873904"/>
      <w:r>
        <w:t xml:space="preserve">2.6 </w:t>
      </w:r>
      <w:r w:rsidR="00032A8E">
        <w:t>Study Selection and PRISMA Flow Diagram</w:t>
      </w:r>
      <w:bookmarkEnd w:id="25"/>
    </w:p>
    <w:p w:rsidR="00D30FC4" w:rsidRDefault="00D30FC4" w:rsidP="00D30FC4">
      <w:r w:rsidRPr="00D30FC4">
        <w:t>The processes of identification, screening, and inclusion were recorded in a PRISMA-style flow structure as a method of promoting transparency in the process of conducting the literature review. This methodology gives a clear description of the way that the final body of evidence was compiled and improves the replicability of the methodology used to review it. According to this process, 12 sources were found and incorporated in the literature review that included peer-reviewed academic literature, and other related policy, legislative and official regulatory documents that have informed the thematic analysis of the dissertation.</w:t>
      </w:r>
    </w:p>
    <w:p w:rsidR="00032A8E" w:rsidRDefault="00603D26" w:rsidP="00032A8E">
      <w:pPr>
        <w:keepNext/>
        <w:jc w:val="center"/>
      </w:pPr>
      <w:r w:rsidRPr="00603D26">
        <w:rPr>
          <w:noProof/>
          <w:lang w:val="en-US" w:eastAsia="en-US"/>
        </w:rPr>
        <w:drawing>
          <wp:inline distT="0" distB="0" distL="0" distR="0" wp14:anchorId="76BD028A" wp14:editId="4C17650A">
            <wp:extent cx="5943600" cy="24269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426970"/>
                    </a:xfrm>
                    <a:prstGeom prst="rect">
                      <a:avLst/>
                    </a:prstGeom>
                  </pic:spPr>
                </pic:pic>
              </a:graphicData>
            </a:graphic>
          </wp:inline>
        </w:drawing>
      </w:r>
    </w:p>
    <w:p w:rsidR="00032A8E" w:rsidRPr="001776F6" w:rsidRDefault="00032A8E" w:rsidP="00032A8E">
      <w:pPr>
        <w:pStyle w:val="Caption"/>
        <w:rPr>
          <w:lang w:val="en-US" w:eastAsia="en-US"/>
        </w:rPr>
      </w:pPr>
      <w:bookmarkStart w:id="26" w:name="_Toc219634727"/>
      <w:r>
        <w:t xml:space="preserve">Figure </w:t>
      </w:r>
      <w:r>
        <w:fldChar w:fldCharType="begin"/>
      </w:r>
      <w:r>
        <w:instrText xml:space="preserve"> SEQ Figure \* ARABIC </w:instrText>
      </w:r>
      <w:r>
        <w:fldChar w:fldCharType="separate"/>
      </w:r>
      <w:r>
        <w:rPr>
          <w:noProof/>
        </w:rPr>
        <w:t>1</w:t>
      </w:r>
      <w:r>
        <w:fldChar w:fldCharType="end"/>
      </w:r>
      <w:r>
        <w:rPr>
          <w:lang w:val="en-US"/>
        </w:rPr>
        <w:t xml:space="preserve">: </w:t>
      </w:r>
      <w:proofErr w:type="spellStart"/>
      <w:r w:rsidRPr="00176481">
        <w:rPr>
          <w:lang w:val="en-US"/>
        </w:rPr>
        <w:t>Prisma</w:t>
      </w:r>
      <w:proofErr w:type="spellEnd"/>
      <w:r w:rsidRPr="00176481">
        <w:rPr>
          <w:lang w:val="en-US"/>
        </w:rPr>
        <w:t xml:space="preserve"> Flow Diagram</w:t>
      </w:r>
      <w:r>
        <w:rPr>
          <w:lang w:val="en-US"/>
        </w:rPr>
        <w:t xml:space="preserve"> Source: (Own)</w:t>
      </w:r>
      <w:bookmarkEnd w:id="26"/>
    </w:p>
    <w:p w:rsidR="00032A8E" w:rsidRDefault="00032A8E" w:rsidP="00032A8E"/>
    <w:p w:rsidR="00032A8E" w:rsidRDefault="00032A8E" w:rsidP="00032A8E">
      <w:pPr>
        <w:rPr>
          <w:b/>
        </w:rPr>
      </w:pPr>
      <w:r w:rsidRPr="008215A7">
        <w:t>The flow diagram in a visual format captures in a summary the entire process of the original identification of the sources to the eventual inclusion set which is the basis of the following chosen thematic analysis throughout the rest of the chapter.</w:t>
      </w:r>
    </w:p>
    <w:p w:rsidR="00032A8E" w:rsidRDefault="00A23247" w:rsidP="00A23247">
      <w:pPr>
        <w:pStyle w:val="Heading2"/>
      </w:pPr>
      <w:bookmarkStart w:id="27" w:name="_Toc220873905"/>
      <w:r>
        <w:lastRenderedPageBreak/>
        <w:t xml:space="preserve">2.6 </w:t>
      </w:r>
      <w:r w:rsidR="00032A8E">
        <w:t>Thematic Structure of the Review</w:t>
      </w:r>
      <w:bookmarkEnd w:id="27"/>
    </w:p>
    <w:p w:rsidR="00032A8E" w:rsidRPr="00032A8E" w:rsidRDefault="00032A8E" w:rsidP="003B4502">
      <w:pPr>
        <w:rPr>
          <w:b/>
        </w:rPr>
      </w:pPr>
      <w:r w:rsidRPr="008215A7">
        <w:t>The chapter is organized thematically in accordance with the theme of the dissertation based on the nature of the regulatory barriers on the experiences of SME import licensing. It starts with laying the national and sectoral framework of SMEs and their economic applicability, then proceeds to investigate the regulatory framework used in pharmaceutical importation and the functions of the major institutions and policies. It subsequently compiles evidence on the issue of the licensing-process problems such as procedural delays, documentary requirements, compliance costs and enforcement inconsistency and evaluates the operational and financial effects on SMEs</w:t>
      </w:r>
      <w:r w:rsidR="000537E6">
        <w:t xml:space="preserve"> </w:t>
      </w:r>
      <w:r w:rsidR="000537E6" w:rsidRPr="008215A7">
        <w:t>(</w:t>
      </w:r>
      <w:proofErr w:type="spellStart"/>
      <w:r w:rsidR="000537E6" w:rsidRPr="008215A7">
        <w:t>Fatin</w:t>
      </w:r>
      <w:proofErr w:type="spellEnd"/>
      <w:r w:rsidR="000537E6" w:rsidRPr="008215A7">
        <w:t xml:space="preserve"> </w:t>
      </w:r>
      <w:proofErr w:type="spellStart"/>
      <w:r w:rsidR="000537E6" w:rsidRPr="008215A7">
        <w:t>Alshibli</w:t>
      </w:r>
      <w:proofErr w:type="spellEnd"/>
      <w:r w:rsidR="000537E6" w:rsidRPr="008215A7">
        <w:t xml:space="preserve"> and Khaled </w:t>
      </w:r>
      <w:proofErr w:type="spellStart"/>
      <w:r w:rsidR="000537E6" w:rsidRPr="008215A7">
        <w:t>Alqarni</w:t>
      </w:r>
      <w:proofErr w:type="spellEnd"/>
      <w:r w:rsidR="000537E6" w:rsidRPr="008215A7">
        <w:t>, 2024)</w:t>
      </w:r>
      <w:r w:rsidRPr="008215A7">
        <w:t>. Lastly, the chapter summarizes the research gaps that persist in the existing literature, in this case, the lack of SME-specific analysis of the burden of licensing in Bangladesh, and demonstrates that these gaps are what explain the subsequent method of analysis and attention the dissertation will take.</w:t>
      </w:r>
    </w:p>
    <w:p w:rsidR="00773B65" w:rsidRDefault="00A23247" w:rsidP="00842A45">
      <w:pPr>
        <w:pStyle w:val="Heading2"/>
        <w:rPr>
          <w:rFonts w:ascii="Times New Roman" w:hAnsi="Times New Roman"/>
          <w:sz w:val="27"/>
          <w:lang w:val="en-US" w:eastAsia="en-US"/>
        </w:rPr>
      </w:pPr>
      <w:bookmarkStart w:id="28" w:name="_Toc220873906"/>
      <w:r>
        <w:t>2.7</w:t>
      </w:r>
      <w:r w:rsidR="00773B65">
        <w:t xml:space="preserve"> </w:t>
      </w:r>
      <w:r w:rsidR="00773B65">
        <w:rPr>
          <w:rStyle w:val="Strong"/>
          <w:b/>
          <w:bCs w:val="0"/>
        </w:rPr>
        <w:t>Overview of SMEs in Bangladesh</w:t>
      </w:r>
      <w:bookmarkEnd w:id="28"/>
    </w:p>
    <w:p w:rsidR="00773B65" w:rsidRDefault="00A23247" w:rsidP="00773B65">
      <w:pPr>
        <w:pStyle w:val="Heading3"/>
      </w:pPr>
      <w:bookmarkStart w:id="29" w:name="_Toc220873907"/>
      <w:r>
        <w:rPr>
          <w:rStyle w:val="Strong"/>
          <w:b/>
          <w:bCs w:val="0"/>
        </w:rPr>
        <w:t xml:space="preserve">2.7.1 </w:t>
      </w:r>
      <w:r w:rsidR="00773B65">
        <w:rPr>
          <w:rStyle w:val="Strong"/>
          <w:b/>
          <w:bCs w:val="0"/>
        </w:rPr>
        <w:t>Economic Contribution of SMEs</w:t>
      </w:r>
      <w:bookmarkEnd w:id="29"/>
    </w:p>
    <w:p w:rsidR="00842A45" w:rsidRPr="00842A45" w:rsidRDefault="00842A45" w:rsidP="003B4502">
      <w:r w:rsidRPr="00842A45">
        <w:t>The contribution of the Small and Medium Enterprises (SMEs) to the Bangladesh economy is really high and about 25 percent of the GDP is covered by them. These businesses offer jobs to more than 1.5 million individuals as of 2025, indicating how they are at the heart of the development of the economy and, consequently, the decrease in unemployment rates (Bangladesh Bureau of Statistics, 2025). The national economy tends to promote the SME sector as the workforce, generator of innovations and allowing the local communities to survive. It is a critical sector in both conventional industries such as textiles and production but also in the industries such as pharmaceuticals where the SMEs are actively engaged in importing, producing, and distributing drugs.</w:t>
      </w:r>
    </w:p>
    <w:p w:rsidR="00842A45" w:rsidRDefault="00842A45" w:rsidP="003B4502">
      <w:pPr>
        <w:rPr>
          <w:b/>
        </w:rPr>
      </w:pPr>
      <w:r w:rsidRPr="00842A45">
        <w:t xml:space="preserve">Nevertheless, in spite of their enormous contribution, SMEs are experiencing numerous challenges that prevent their growth and competitiveness in the marketplace. </w:t>
      </w:r>
      <w:r w:rsidR="003B4502">
        <w:t>A</w:t>
      </w:r>
      <w:r w:rsidRPr="00842A45">
        <w:t xml:space="preserve">lthough SMEs can be considered the foundation of the economy, they end up having a difficult time as they fall prey to regulatory bottlenecks and financial limitations. This point of view is supported by Karim (2023) who points out how SMEs cannot access capital, especially </w:t>
      </w:r>
      <w:r w:rsidRPr="00842A45">
        <w:lastRenderedPageBreak/>
        <w:t>in the sphere of pharmaceuticals where the possibility of resource access is crucial to meet the requirements of the industry.</w:t>
      </w:r>
    </w:p>
    <w:p w:rsidR="00773B65" w:rsidRDefault="00A23247" w:rsidP="00842A45">
      <w:pPr>
        <w:pStyle w:val="Heading3"/>
      </w:pPr>
      <w:bookmarkStart w:id="30" w:name="_Toc220873908"/>
      <w:r>
        <w:rPr>
          <w:rStyle w:val="Strong"/>
          <w:b/>
          <w:bCs w:val="0"/>
        </w:rPr>
        <w:t xml:space="preserve">2.7.2 </w:t>
      </w:r>
      <w:r w:rsidR="00773B65">
        <w:rPr>
          <w:rStyle w:val="Strong"/>
          <w:b/>
          <w:bCs w:val="0"/>
        </w:rPr>
        <w:t>Role of SMEs in the Pharmaceutical Sector</w:t>
      </w:r>
      <w:bookmarkEnd w:id="30"/>
    </w:p>
    <w:p w:rsidR="00842A45" w:rsidRPr="00842A45" w:rsidRDefault="00842A45" w:rsidP="00842A45">
      <w:r w:rsidRPr="00842A45">
        <w:t>SMEs have an invaluable role to play in the pharmaceutical industry of Bangladesh in ensuring that people are able to access cheap medicines. These companies are involved in importation, manufacturing and distribution of medicines. They also assist in filling the existing disparity in drug availability by providing generic drugs, which are cheap to consumers than branded versions (Daily Star, 2025). The participation of the SMEs in the pharmaceutical industry has played a vital role in ensuring that the increasing demand on the drugs is met especially with the increasing number of people in the country and the rising prevalence of diseases.</w:t>
      </w:r>
    </w:p>
    <w:p w:rsidR="00842A45" w:rsidRDefault="00842A45" w:rsidP="00842A45">
      <w:pPr>
        <w:rPr>
          <w:b/>
        </w:rPr>
      </w:pPr>
      <w:r w:rsidRPr="00842A45">
        <w:t>Nonetheless, regulatory obstacles, such as complex licensing procedures, expensive compliance, and bureaucracies, have a devastating effect on efficient operations of SMEs, even though they play a critical role towards maintaining availability of medicines. Karim (2023) notes that these obstacles seriously affect the competitiveness of the SMEs, which means that they have no opportunity to increase their market share or compete with major pharmaceutical firms.</w:t>
      </w:r>
    </w:p>
    <w:p w:rsidR="00773B65" w:rsidRDefault="00A23247" w:rsidP="00842A45">
      <w:pPr>
        <w:pStyle w:val="Heading3"/>
      </w:pPr>
      <w:bookmarkStart w:id="31" w:name="_Toc220873909"/>
      <w:r>
        <w:rPr>
          <w:rStyle w:val="Strong"/>
          <w:b/>
          <w:bCs w:val="0"/>
        </w:rPr>
        <w:t xml:space="preserve">2.7.3 </w:t>
      </w:r>
      <w:r w:rsidR="00773B65">
        <w:rPr>
          <w:rStyle w:val="Strong"/>
          <w:b/>
          <w:bCs w:val="0"/>
        </w:rPr>
        <w:t>Key Findings and Challenges Faced by SMEs</w:t>
      </w:r>
      <w:bookmarkEnd w:id="31"/>
    </w:p>
    <w:p w:rsidR="00842A45" w:rsidRPr="00842A45" w:rsidRDefault="00842A45" w:rsidP="003B4502">
      <w:r w:rsidRPr="00842A45">
        <w:t>Financial constraints are one of the greatest problems that affect SMEs in Bangladesh. Many SMEs in the pharmaceutical industry find it difficult to get the capital required to meet the strict regulatory demands such as Good Manufacturing Practices (GMP) and licensing cost</w:t>
      </w:r>
      <w:r w:rsidR="003B4502">
        <w:t xml:space="preserve">s. These financial constraints </w:t>
      </w:r>
      <w:r w:rsidRPr="00842A45">
        <w:t>make competition between SMEs and large multinational corporations unfeasible because they are able to bear the increased compliance costs more easily.</w:t>
      </w:r>
    </w:p>
    <w:p w:rsidR="00842A45" w:rsidRDefault="00842A45" w:rsidP="00842A45">
      <w:pPr>
        <w:rPr>
          <w:b/>
        </w:rPr>
      </w:pPr>
      <w:r w:rsidRPr="00842A45">
        <w:t xml:space="preserve">Also, bureaucratic red tapes take their toll in the SMEs. The long and complicated nature of the process in acquiring import licenses into pharmaceuticals is a significant challenge to the SMEs. Delays and inconsistency in the process of approval may interfere with the supply chains and raise the cost of operation which is particularly harmful to small companies that have only a slim-margin operation (Samir and </w:t>
      </w:r>
      <w:proofErr w:type="spellStart"/>
      <w:r w:rsidRPr="00842A45">
        <w:t>Sheel</w:t>
      </w:r>
      <w:proofErr w:type="spellEnd"/>
      <w:r w:rsidRPr="00842A45">
        <w:t xml:space="preserve">, 2015). </w:t>
      </w:r>
      <w:proofErr w:type="spellStart"/>
      <w:r w:rsidRPr="00842A45">
        <w:t>Nafisa</w:t>
      </w:r>
      <w:proofErr w:type="spellEnd"/>
      <w:r w:rsidRPr="00842A45">
        <w:t xml:space="preserve"> </w:t>
      </w:r>
      <w:proofErr w:type="spellStart"/>
      <w:r w:rsidRPr="00842A45">
        <w:lastRenderedPageBreak/>
        <w:t>Nomani</w:t>
      </w:r>
      <w:proofErr w:type="spellEnd"/>
      <w:r w:rsidRPr="00842A45">
        <w:t xml:space="preserve"> (2025) contends that regulatory burdens, including the time-consuming paperwork and constant reforms of its policies, discourage the majority of SMEs to take the licensing process at all, which further restricts their involvement in the pharmaceutical market.</w:t>
      </w:r>
    </w:p>
    <w:p w:rsidR="00773B65" w:rsidRDefault="00A23247" w:rsidP="00842A45">
      <w:pPr>
        <w:pStyle w:val="Heading3"/>
      </w:pPr>
      <w:bookmarkStart w:id="32" w:name="_Toc220873910"/>
      <w:r>
        <w:rPr>
          <w:rStyle w:val="Strong"/>
          <w:b/>
          <w:bCs w:val="0"/>
        </w:rPr>
        <w:t xml:space="preserve">2.7.4 </w:t>
      </w:r>
      <w:r w:rsidR="00773B65">
        <w:rPr>
          <w:rStyle w:val="Strong"/>
          <w:b/>
          <w:bCs w:val="0"/>
        </w:rPr>
        <w:t>Statistical Data on SMEs in Bangladesh</w:t>
      </w:r>
      <w:bookmarkEnd w:id="32"/>
    </w:p>
    <w:p w:rsidR="00D30FC4" w:rsidRPr="00D30FC4" w:rsidRDefault="00D30FC4" w:rsidP="00D30FC4">
      <w:pPr>
        <w:rPr>
          <w:lang w:val="en-US" w:eastAsia="en-US"/>
        </w:rPr>
      </w:pPr>
      <w:r w:rsidRPr="00D30FC4">
        <w:rPr>
          <w:lang w:val="en-US" w:eastAsia="en-US"/>
        </w:rPr>
        <w:t>Statistics readily available are always consistent in declaring SMEs/CMSMEs as a key pillar in the Bangladeshi economy, but differ in headline figures based on the definition, data sources, and handling of informality. It is estimated that in 2018, SMEs were contributing approximately 25% of GDP, and more recent policy discussions show that it is currently standing at around 27% and an official target of 35% by 2030 (</w:t>
      </w:r>
      <w:proofErr w:type="spellStart"/>
      <w:r w:rsidRPr="00D30FC4">
        <w:rPr>
          <w:lang w:val="en-US" w:eastAsia="en-US"/>
        </w:rPr>
        <w:t>Sukanta</w:t>
      </w:r>
      <w:proofErr w:type="spellEnd"/>
      <w:r w:rsidRPr="00D30FC4">
        <w:rPr>
          <w:lang w:val="en-US" w:eastAsia="en-US"/>
        </w:rPr>
        <w:t xml:space="preserve"> </w:t>
      </w:r>
      <w:proofErr w:type="spellStart"/>
      <w:r w:rsidRPr="00D30FC4">
        <w:rPr>
          <w:lang w:val="en-US" w:eastAsia="en-US"/>
        </w:rPr>
        <w:t>Halder</w:t>
      </w:r>
      <w:proofErr w:type="spellEnd"/>
      <w:r w:rsidRPr="00D30FC4">
        <w:rPr>
          <w:lang w:val="en-US" w:eastAsia="en-US"/>
        </w:rPr>
        <w:t>, 2024; The Financial Express, 2025). Although these numbers prove the economic and political significance of SMEs, they are also associated with the fact that value addition is relatively low compared with the economies like China and Sri Lanka, where value addition is significantly greater.</w:t>
      </w:r>
    </w:p>
    <w:p w:rsidR="00D30FC4" w:rsidRPr="00D30FC4" w:rsidRDefault="00D30FC4" w:rsidP="00D30FC4">
      <w:pPr>
        <w:rPr>
          <w:lang w:val="en-US" w:eastAsia="en-US"/>
        </w:rPr>
      </w:pPr>
      <w:r w:rsidRPr="00D30FC4">
        <w:rPr>
          <w:lang w:val="en-US" w:eastAsia="en-US"/>
        </w:rPr>
        <w:t xml:space="preserve">Enterprise census information also underscores the magnitude and the set-up of the sector. The 2013 Economic census identified about 7.88 million establishments out of which the largest numbers were cottage and small businesses. This distribution means that the landscape of SMEs consists of very small units, which sustain livelihood and local supply, but are generally not managerial, lack formal systems, and regulation compliance capability. This long-tail form of structure makes the regulated industries more susceptible to </w:t>
      </w:r>
      <w:proofErr w:type="spellStart"/>
      <w:r w:rsidRPr="00D30FC4">
        <w:rPr>
          <w:lang w:val="en-US" w:eastAsia="en-US"/>
        </w:rPr>
        <w:t>unproportional</w:t>
      </w:r>
      <w:proofErr w:type="spellEnd"/>
      <w:r w:rsidRPr="00D30FC4">
        <w:rPr>
          <w:lang w:val="en-US" w:eastAsia="en-US"/>
        </w:rPr>
        <w:t xml:space="preserve"> administrative and compliance expenses, supporting the claim that licensing processes can serve as non-tariff trade barriers to a smaller company.</w:t>
      </w:r>
    </w:p>
    <w:p w:rsidR="00D30FC4" w:rsidRDefault="00D30FC4" w:rsidP="00D30FC4">
      <w:pPr>
        <w:rPr>
          <w:b/>
          <w:lang w:val="en-US" w:eastAsia="en-US"/>
        </w:rPr>
      </w:pPr>
      <w:r w:rsidRPr="00D30FC4">
        <w:rPr>
          <w:lang w:val="en-US" w:eastAsia="en-US"/>
        </w:rPr>
        <w:t xml:space="preserve">Employment statistics support SME importance but also highlight some huge measurement problems associated with informality. It is estimated that CMSMEs provide about 40 percent of the total employment, but </w:t>
      </w:r>
      <w:proofErr w:type="spellStart"/>
      <w:r w:rsidRPr="00D30FC4">
        <w:rPr>
          <w:lang w:val="en-US" w:eastAsia="en-US"/>
        </w:rPr>
        <w:t>labour</w:t>
      </w:r>
      <w:proofErr w:type="spellEnd"/>
      <w:r w:rsidRPr="00D30FC4">
        <w:rPr>
          <w:lang w:val="en-US" w:eastAsia="en-US"/>
        </w:rPr>
        <w:t xml:space="preserve">-market data indicate that about 85 percent of the employment is informal (DTDA, 2024). In turn, differences between reports manifest in terms of coverage, and not in terms of factual inconsistency. Monetary metrics also capture the limiting factors: a decreasing SME credit releases and an increasing uncertainty level make firms less capable of bearing compliance expenses, investing in </w:t>
      </w:r>
      <w:proofErr w:type="spellStart"/>
      <w:r w:rsidRPr="00D30FC4">
        <w:rPr>
          <w:lang w:val="en-US" w:eastAsia="en-US"/>
        </w:rPr>
        <w:lastRenderedPageBreak/>
        <w:t>specialised</w:t>
      </w:r>
      <w:proofErr w:type="spellEnd"/>
      <w:r w:rsidRPr="00D30FC4">
        <w:rPr>
          <w:lang w:val="en-US" w:eastAsia="en-US"/>
        </w:rPr>
        <w:t xml:space="preserve"> personnel, and delaying licensing results in compounding the findings of the literature on regulatory hurdles.</w:t>
      </w:r>
    </w:p>
    <w:p w:rsidR="00A86315" w:rsidRDefault="00A23247" w:rsidP="00D30FC4">
      <w:pPr>
        <w:pStyle w:val="Heading2"/>
        <w:rPr>
          <w:rFonts w:ascii="Times New Roman" w:hAnsi="Times New Roman"/>
          <w:sz w:val="27"/>
          <w:lang w:val="en-US" w:eastAsia="en-US"/>
        </w:rPr>
      </w:pPr>
      <w:bookmarkStart w:id="33" w:name="_Toc220873911"/>
      <w:r>
        <w:t>2.8</w:t>
      </w:r>
      <w:r w:rsidR="00A86315">
        <w:t xml:space="preserve"> </w:t>
      </w:r>
      <w:r w:rsidR="00A86315">
        <w:rPr>
          <w:rStyle w:val="Strong"/>
          <w:b/>
          <w:bCs w:val="0"/>
        </w:rPr>
        <w:t>Regulatory Framework for Pharmaceutical Importation</w:t>
      </w:r>
      <w:bookmarkEnd w:id="33"/>
    </w:p>
    <w:p w:rsidR="00A86315" w:rsidRDefault="00A23247" w:rsidP="00A86315">
      <w:pPr>
        <w:pStyle w:val="Heading3"/>
      </w:pPr>
      <w:bookmarkStart w:id="34" w:name="_Toc220873912"/>
      <w:r>
        <w:rPr>
          <w:rStyle w:val="Strong"/>
          <w:b/>
          <w:bCs w:val="0"/>
        </w:rPr>
        <w:t xml:space="preserve">2.8.1 </w:t>
      </w:r>
      <w:r w:rsidR="00A86315">
        <w:rPr>
          <w:rStyle w:val="Strong"/>
          <w:b/>
          <w:bCs w:val="0"/>
        </w:rPr>
        <w:t>Role of the Directorate General of Drug Administration (DGDA)</w:t>
      </w:r>
      <w:bookmarkEnd w:id="34"/>
    </w:p>
    <w:p w:rsidR="00814FE6" w:rsidRDefault="00814FE6" w:rsidP="000537E6">
      <w:pPr>
        <w:rPr>
          <w:b/>
        </w:rPr>
      </w:pPr>
      <w:r w:rsidRPr="00814FE6">
        <w:t>The Directorate General of Drug Administration (DGDA) is the key organization in the control and regulation of pharmaceuticals products in Bangladesh as well as the importation of pharmaceutical products. Founded in 1976, the DGDA has the mandate of ensuring safety and quality of imported pharmaceuticals. It applies regulations that are in the Drugs Act of 1940 and the National Drug Policy (NDP) that is set to ensure that necessary medicines are readily available and affordable in the country. Ahmed (2024) notes that the DGDA has a pivotal role to play in ensuring that the pharmaceutical sector remains authentic. Nevertheless, all its significance notwithstanding, the DGDA is challenged with a great number of problems because of the further increased complexity of the sector, such as the control of the usage of new drugs, and because of the fact that the needs in pharmaceuticals increase very quickly as the population of Bangladesh increases.</w:t>
      </w:r>
    </w:p>
    <w:p w:rsidR="00A86315" w:rsidRDefault="00A23247" w:rsidP="00A86315">
      <w:pPr>
        <w:pStyle w:val="Heading3"/>
      </w:pPr>
      <w:bookmarkStart w:id="35" w:name="_Toc220873913"/>
      <w:r>
        <w:rPr>
          <w:rStyle w:val="Strong"/>
          <w:b/>
          <w:bCs w:val="0"/>
        </w:rPr>
        <w:t xml:space="preserve">2.8.2 </w:t>
      </w:r>
      <w:r w:rsidR="00A86315">
        <w:rPr>
          <w:rStyle w:val="Strong"/>
          <w:b/>
          <w:bCs w:val="0"/>
        </w:rPr>
        <w:t>Historical Overview: The National Drug Policy (NDP) and the Drugs Act 1940</w:t>
      </w:r>
      <w:bookmarkEnd w:id="35"/>
    </w:p>
    <w:p w:rsidR="00814FE6" w:rsidRPr="00814FE6" w:rsidRDefault="00814FE6" w:rsidP="003B4502">
      <w:r w:rsidRPr="00814FE6">
        <w:t>The National Drug Policy (NDP) was debuted in 1982 and over the years has been revised to meet the changing demands of the Bangladesh pharmaceutical market. It mainly aims at making essential medicines affordable. The implementation process of the policy is however plagued with inconsistency in enforcement and lack of clear regulations (</w:t>
      </w:r>
      <w:proofErr w:type="spellStart"/>
      <w:r w:rsidRPr="00814FE6">
        <w:t>Rumana</w:t>
      </w:r>
      <w:proofErr w:type="spellEnd"/>
      <w:r w:rsidRPr="00814FE6">
        <w:t xml:space="preserve"> </w:t>
      </w:r>
      <w:proofErr w:type="spellStart"/>
      <w:r w:rsidRPr="00814FE6">
        <w:t>Huque</w:t>
      </w:r>
      <w:proofErr w:type="spellEnd"/>
      <w:r w:rsidRPr="00814FE6">
        <w:t>, 2016). The legal framework of the pharmaceutical regulation in Bangladesh is supported by the Drugs Act 1940 that was amended numerous times since its adoption. Although the Act has undergone modifications, there are some lacunae in enforcement mechanisms provided by the Act, and it affects small and medium-sized enterprises (SMEs) in a particular way.</w:t>
      </w:r>
    </w:p>
    <w:p w:rsidR="00814FE6" w:rsidRDefault="00814FE6" w:rsidP="003B4502">
      <w:pPr>
        <w:rPr>
          <w:b/>
        </w:rPr>
      </w:pPr>
      <w:r w:rsidRPr="00814FE6">
        <w:t xml:space="preserve">The NDP, and the Drugs Act have an objective to control drug importation and production but due to the absence of clear guidelines and poor enforcement, inefficiencies have ensued. </w:t>
      </w:r>
      <w:r w:rsidR="003B4502">
        <w:t>T</w:t>
      </w:r>
      <w:r w:rsidRPr="00814FE6">
        <w:t xml:space="preserve">hese regulatory loopholes permit uneven implementation of the policy, </w:t>
      </w:r>
      <w:r w:rsidRPr="00814FE6">
        <w:lastRenderedPageBreak/>
        <w:t>especially concerning the SMEs, which are overrepresented by the unclear aspect of the regulations. As a result, such SMEs tend to find it hard to experience the complicated legal environment, which only complicates their development and competitiveness.</w:t>
      </w:r>
    </w:p>
    <w:p w:rsidR="00A86315" w:rsidRDefault="00A23247" w:rsidP="00814FE6">
      <w:pPr>
        <w:pStyle w:val="Heading3"/>
      </w:pPr>
      <w:bookmarkStart w:id="36" w:name="_Toc220873914"/>
      <w:r>
        <w:rPr>
          <w:rStyle w:val="Strong"/>
          <w:b/>
          <w:bCs w:val="0"/>
        </w:rPr>
        <w:t xml:space="preserve">2.8.3 </w:t>
      </w:r>
      <w:r w:rsidR="00A86315">
        <w:rPr>
          <w:rStyle w:val="Strong"/>
          <w:b/>
          <w:bCs w:val="0"/>
        </w:rPr>
        <w:t>Regulatory Challenges</w:t>
      </w:r>
      <w:bookmarkEnd w:id="36"/>
    </w:p>
    <w:p w:rsidR="00814FE6" w:rsidRPr="00814FE6" w:rsidRDefault="00814FE6" w:rsidP="003B4502">
      <w:r w:rsidRPr="00814FE6">
        <w:t xml:space="preserve">Another weakness that SME in the Bangladesh pharmaceutical industry is experiencing is that there is no clarity in the policies that regulate the importation of drugs. </w:t>
      </w:r>
      <w:r w:rsidR="003B4502">
        <w:t>T</w:t>
      </w:r>
      <w:r w:rsidRPr="00814FE6">
        <w:t xml:space="preserve">he confusion and ambiguity of businesses in the implementation of the National Drug Policy because of grey areas. Such regulatory uncertainties lead to the fact that the licensing process is delayed and policies are poorly applied particularly to SMEs. The lengthy processes and lack of uniformity render the process of adhering to the complicated regulations hectic to the small businesses, which do not have the resources to do so. </w:t>
      </w:r>
      <w:proofErr w:type="spellStart"/>
      <w:r w:rsidRPr="00814FE6">
        <w:t>Fatin</w:t>
      </w:r>
      <w:proofErr w:type="spellEnd"/>
      <w:r w:rsidRPr="00814FE6">
        <w:t xml:space="preserve"> </w:t>
      </w:r>
      <w:proofErr w:type="spellStart"/>
      <w:r w:rsidRPr="00814FE6">
        <w:t>Alshibli</w:t>
      </w:r>
      <w:proofErr w:type="spellEnd"/>
      <w:r w:rsidRPr="00814FE6">
        <w:t xml:space="preserve"> and Khaled </w:t>
      </w:r>
      <w:proofErr w:type="spellStart"/>
      <w:r w:rsidRPr="00814FE6">
        <w:t>Alqarni</w:t>
      </w:r>
      <w:proofErr w:type="spellEnd"/>
      <w:r w:rsidRPr="00814FE6">
        <w:t xml:space="preserve"> (2024) explain that such regulatory burden has a negative effect on the effectiveness and working capacity of SMEs since the difficulty of the regulations takes up precious time and resources that could be used to invest in growing and innovating.</w:t>
      </w:r>
    </w:p>
    <w:p w:rsidR="00814FE6" w:rsidRDefault="00814FE6" w:rsidP="003B4502">
      <w:pPr>
        <w:rPr>
          <w:b/>
        </w:rPr>
      </w:pPr>
      <w:r w:rsidRPr="00814FE6">
        <w:t xml:space="preserve">Further, SMEs tend to incur more compliance expenses than larger organisations. It can be explained by the expenses of regulatory compliance like the cost of licensing, compliance with Good Manufacturing practices (GMP), and registration. </w:t>
      </w:r>
      <w:proofErr w:type="spellStart"/>
      <w:r w:rsidRPr="00814FE6">
        <w:t>Nafisa</w:t>
      </w:r>
      <w:proofErr w:type="spellEnd"/>
      <w:r w:rsidRPr="00814FE6">
        <w:t xml:space="preserve"> </w:t>
      </w:r>
      <w:proofErr w:type="spellStart"/>
      <w:r w:rsidRPr="00814FE6">
        <w:t>Nomani</w:t>
      </w:r>
      <w:proofErr w:type="spellEnd"/>
      <w:r w:rsidRPr="00814FE6">
        <w:t xml:space="preserve"> (2025) points out that these financial hurdles also do not allow SMEs to take an active part in the pharmaceutical market as they are simply unable to meet the high cost of the regulatory compliance. Smaller companies do not have such financial capability and therefore cannot shoulder these expenses as effectively as larger companies and this provides an unfair edge.</w:t>
      </w:r>
    </w:p>
    <w:p w:rsidR="00814FE6" w:rsidRPr="00814FE6" w:rsidRDefault="00A23247" w:rsidP="00814FE6">
      <w:pPr>
        <w:pStyle w:val="Heading3"/>
      </w:pPr>
      <w:bookmarkStart w:id="37" w:name="_Toc220873915"/>
      <w:r>
        <w:rPr>
          <w:rStyle w:val="Strong"/>
          <w:b/>
          <w:bCs w:val="0"/>
        </w:rPr>
        <w:t xml:space="preserve">2.8.4 </w:t>
      </w:r>
      <w:r w:rsidR="00A86315">
        <w:rPr>
          <w:rStyle w:val="Strong"/>
          <w:b/>
          <w:bCs w:val="0"/>
        </w:rPr>
        <w:t>Weak Enforcement Mechanisms</w:t>
      </w:r>
      <w:bookmarkEnd w:id="37"/>
    </w:p>
    <w:p w:rsidR="00814FE6" w:rsidRPr="00814FE6" w:rsidRDefault="00814FE6" w:rsidP="003B4502">
      <w:r w:rsidRPr="00814FE6">
        <w:t>One of the largest issues in the sector is the weak enforcing of the pharmaceutical regulations. SMEs are especially disadvantaged because drug importation rules are not always applied at all. The bigger firms that have more resources tend to be allowed to loosely evade the law whereas the SMEs are scrutinized disproportionately. This poses a huge regulatory challenge to SMEs which are find it difficult to compete in the market.</w:t>
      </w:r>
    </w:p>
    <w:p w:rsidR="00814FE6" w:rsidRDefault="00814FE6" w:rsidP="00814FE6">
      <w:pPr>
        <w:rPr>
          <w:b/>
        </w:rPr>
      </w:pPr>
      <w:r w:rsidRPr="00814FE6">
        <w:lastRenderedPageBreak/>
        <w:t>This opinion is also supported by Karim (2023), who says that due to an insufficiency of effective methods of implementation and the uneven enforcement of regulations, unfair competition occurs. Bureaucratic inefficiencies often make SMEs struggle with long queues in getting import license, as the bigger companies are able to avoid certain regulatory catches because of their industry contacts and influence.</w:t>
      </w:r>
    </w:p>
    <w:p w:rsidR="00A86315" w:rsidRDefault="00A23247" w:rsidP="00814FE6">
      <w:pPr>
        <w:pStyle w:val="Heading3"/>
      </w:pPr>
      <w:bookmarkStart w:id="38" w:name="_Toc220873916"/>
      <w:r>
        <w:rPr>
          <w:rStyle w:val="Strong"/>
          <w:b/>
          <w:bCs w:val="0"/>
        </w:rPr>
        <w:t xml:space="preserve">2.8.5 </w:t>
      </w:r>
      <w:r w:rsidR="00A86315">
        <w:rPr>
          <w:rStyle w:val="Strong"/>
          <w:b/>
          <w:bCs w:val="0"/>
        </w:rPr>
        <w:t>Key Regulatory Issues for SMEs</w:t>
      </w:r>
      <w:bookmarkEnd w:id="38"/>
    </w:p>
    <w:p w:rsidR="00814FE6" w:rsidRPr="00814FE6" w:rsidRDefault="00814FE6" w:rsidP="00814FE6">
      <w:r w:rsidRPr="00814FE6">
        <w:t xml:space="preserve">The delay in obtaining import licenses by the SMEs is one of the most important regulatory concerns that affect the supply chains and hike operation expenses. The licensing process is also bureaucratic, and the policy is of uneven application which makes the situation even worse that SMEs have to face. According to </w:t>
      </w:r>
      <w:proofErr w:type="spellStart"/>
      <w:r w:rsidRPr="00814FE6">
        <w:t>Fatin</w:t>
      </w:r>
      <w:proofErr w:type="spellEnd"/>
      <w:r w:rsidRPr="00814FE6">
        <w:t xml:space="preserve"> </w:t>
      </w:r>
      <w:proofErr w:type="spellStart"/>
      <w:r w:rsidRPr="00814FE6">
        <w:t>Alshibli</w:t>
      </w:r>
      <w:proofErr w:type="spellEnd"/>
      <w:r w:rsidRPr="00814FE6">
        <w:t xml:space="preserve"> and Khaled </w:t>
      </w:r>
      <w:proofErr w:type="spellStart"/>
      <w:r w:rsidRPr="00814FE6">
        <w:t>Alqarni</w:t>
      </w:r>
      <w:proofErr w:type="spellEnd"/>
      <w:r w:rsidRPr="00814FE6">
        <w:t xml:space="preserve"> (2024), SMEs in the pharmaceutical sector face one of the most critical barriers, which is the length of the approval process because delays during the licensing process contribute to the disruption of the supply chain and their capacity to satisfy the demand.</w:t>
      </w:r>
    </w:p>
    <w:p w:rsidR="00814FE6" w:rsidRDefault="00814FE6" w:rsidP="003B4502">
      <w:pPr>
        <w:rPr>
          <w:b/>
        </w:rPr>
      </w:pPr>
      <w:r w:rsidRPr="00814FE6">
        <w:t xml:space="preserve">Also, the regulatory policies are not always clear, which contributes to confusion between the SMEs about the compliance with the GMP requirements and any other regulatory requirements. SMEs are </w:t>
      </w:r>
      <w:proofErr w:type="spellStart"/>
      <w:r w:rsidRPr="00814FE6">
        <w:t>disfavored</w:t>
      </w:r>
      <w:proofErr w:type="spellEnd"/>
      <w:r w:rsidRPr="00814FE6">
        <w:t xml:space="preserve"> in their effort to comprehend and act in accordance with these complicated rules because SMEs have limited resources to access legal and monetary assistance.</w:t>
      </w:r>
    </w:p>
    <w:p w:rsidR="00C22E73" w:rsidRDefault="00A23247" w:rsidP="00814FE6">
      <w:pPr>
        <w:pStyle w:val="Heading2"/>
        <w:rPr>
          <w:rFonts w:ascii="Times New Roman" w:hAnsi="Times New Roman"/>
          <w:sz w:val="27"/>
          <w:lang w:val="en-US" w:eastAsia="en-US"/>
        </w:rPr>
      </w:pPr>
      <w:bookmarkStart w:id="39" w:name="_Toc220873917"/>
      <w:r>
        <w:t>2.9</w:t>
      </w:r>
      <w:r w:rsidR="00C22E73">
        <w:t xml:space="preserve"> </w:t>
      </w:r>
      <w:r w:rsidR="00C22E73">
        <w:rPr>
          <w:rStyle w:val="Strong"/>
          <w:b/>
          <w:bCs w:val="0"/>
        </w:rPr>
        <w:t>Challenges in the Pharmaceutical Import Licensing Process</w:t>
      </w:r>
      <w:bookmarkEnd w:id="39"/>
    </w:p>
    <w:p w:rsidR="00C77D44" w:rsidRDefault="00C77D44" w:rsidP="00C77D44">
      <w:pPr>
        <w:rPr>
          <w:b/>
        </w:rPr>
      </w:pPr>
      <w:r w:rsidRPr="00C77D44">
        <w:t>The pharmaceutical import licensing of Bangladesh is facing a few severe problems particularly to the small medium-sized enterprises (SMEs). These challenges include bureaucratic challenges, money and complex regulation procedures that do not only delay the approval process but also makes the SMEs unwilling to invest in or enter the market (Islam and Rahman, 2018). Lack of control over this is worsened by high compliance cost, which complicates the process of SMEs in the market.</w:t>
      </w:r>
    </w:p>
    <w:p w:rsidR="00C22E73" w:rsidRDefault="00A23247" w:rsidP="00D22B68">
      <w:pPr>
        <w:pStyle w:val="Heading3"/>
      </w:pPr>
      <w:bookmarkStart w:id="40" w:name="_Toc220873918"/>
      <w:r>
        <w:rPr>
          <w:rStyle w:val="Strong"/>
          <w:b/>
          <w:bCs w:val="0"/>
        </w:rPr>
        <w:t xml:space="preserve">2.9.1 </w:t>
      </w:r>
      <w:r w:rsidR="00C22E73">
        <w:rPr>
          <w:rStyle w:val="Strong"/>
          <w:b/>
          <w:bCs w:val="0"/>
        </w:rPr>
        <w:t>Bureaucratic Obstacles: Lengthy Processes and Regulatory Inconsistencies</w:t>
      </w:r>
      <w:bookmarkEnd w:id="40"/>
    </w:p>
    <w:p w:rsidR="00350016" w:rsidRDefault="00350016" w:rsidP="003B4502">
      <w:pPr>
        <w:rPr>
          <w:b/>
        </w:rPr>
      </w:pPr>
      <w:r w:rsidRPr="00350016">
        <w:t xml:space="preserve">One of the biggest bureaucratic obstacles SMEs face is also the long procedure of procurement of import license. The legalities, and inconsistencies in rules and regulations increase the process of getting a license that can take up to 6-12 months in the case of </w:t>
      </w:r>
      <w:r w:rsidRPr="00350016">
        <w:lastRenderedPageBreak/>
        <w:t xml:space="preserve">SMEs. More significant businesses, in their turn, are characterized by a greater number of approval times, 3-6 months, due to their more adequate resources and well-developed processes. According to </w:t>
      </w:r>
      <w:proofErr w:type="spellStart"/>
      <w:r w:rsidRPr="00350016">
        <w:t>Mohiuddin</w:t>
      </w:r>
      <w:proofErr w:type="spellEnd"/>
      <w:r w:rsidRPr="00350016">
        <w:t>, (2019) such delays are occasioned by the complexity of documentation in addition to inconsistency of regulations implementation by the regulatory agency such as Directorate General of Drug Administration (DGDA). This will impact the supply chain that will result in the lack of supply in the market, and SMEs are struggling to continue operating with such long hold-ups.</w:t>
      </w:r>
    </w:p>
    <w:p w:rsidR="00C22E73" w:rsidRDefault="00A23247" w:rsidP="00D22B68">
      <w:pPr>
        <w:pStyle w:val="Heading3"/>
      </w:pPr>
      <w:bookmarkStart w:id="41" w:name="_Toc220873919"/>
      <w:r>
        <w:rPr>
          <w:rStyle w:val="Strong"/>
          <w:b/>
          <w:bCs w:val="0"/>
        </w:rPr>
        <w:t xml:space="preserve">2.9.2 </w:t>
      </w:r>
      <w:r w:rsidR="00C22E73">
        <w:rPr>
          <w:rStyle w:val="Strong"/>
          <w:b/>
          <w:bCs w:val="0"/>
        </w:rPr>
        <w:t>Financial Barriers: High Compliance Costs</w:t>
      </w:r>
      <w:bookmarkEnd w:id="41"/>
    </w:p>
    <w:p w:rsidR="00616BD7" w:rsidRDefault="00616BD7" w:rsidP="00616BD7">
      <w:pPr>
        <w:rPr>
          <w:b/>
        </w:rPr>
      </w:pPr>
      <w:r w:rsidRPr="00616BD7">
        <w:t>Besides bureaucracy, the expensive nature of compliance is one more impediment to SMEs. Registration and licensing costs may be especially heavy on small businesses, especially the costs they have to make to meet the requirements of Good Manufacturing Practices (GMP). As pointed out by Islam and Rahman, (2018), in most cases, SMEs cannot afford the expensive impacts of compliance as opposed to bigger firms that can afford the costs. The amount of money spent on regulatory compliance may lie between 500</w:t>
      </w:r>
      <w:r w:rsidR="004E2BF7">
        <w:t>0</w:t>
      </w:r>
      <w:r w:rsidRPr="00616BD7">
        <w:t xml:space="preserve"> and 1,500</w:t>
      </w:r>
      <w:r w:rsidR="004E2BF7">
        <w:t>0</w:t>
      </w:r>
      <w:r w:rsidRPr="00616BD7">
        <w:t xml:space="preserve"> dollars to SMEs and 10,000 to 50,000 dollars to larger businesses (Rahman et al., 2023). These costs and expenses tend to make SMEs not even want to enter the market since they cannot meet the requirements of the minimum cost of licensing and compliance fees.</w:t>
      </w:r>
    </w:p>
    <w:p w:rsidR="00C22E73" w:rsidRDefault="00A23247" w:rsidP="00895D2D">
      <w:pPr>
        <w:pStyle w:val="Heading3"/>
      </w:pPr>
      <w:bookmarkStart w:id="42" w:name="_Toc220873920"/>
      <w:r>
        <w:rPr>
          <w:rStyle w:val="Strong"/>
          <w:b/>
          <w:bCs w:val="0"/>
        </w:rPr>
        <w:t xml:space="preserve">2.9.3 </w:t>
      </w:r>
      <w:r w:rsidR="00C22E73">
        <w:rPr>
          <w:rStyle w:val="Strong"/>
          <w:b/>
          <w:bCs w:val="0"/>
        </w:rPr>
        <w:t>Impact on SMEs: Discouraging Participation in the Market</w:t>
      </w:r>
      <w:bookmarkEnd w:id="42"/>
    </w:p>
    <w:p w:rsidR="00145123" w:rsidRDefault="00145123" w:rsidP="003B4502">
      <w:pPr>
        <w:rPr>
          <w:b/>
        </w:rPr>
      </w:pPr>
      <w:r w:rsidRPr="00145123">
        <w:t xml:space="preserve">The overall impact of both bureaucracy and economic barriers leaves the SMEs in a scenario of not being able to compete with the larger firms. </w:t>
      </w:r>
      <w:r w:rsidR="003B4502">
        <w:t>D</w:t>
      </w:r>
      <w:r w:rsidRPr="00145123">
        <w:t>ue to the problems in regulation, the market does not admit SMEs or they are forced to suspend their processes. The high cost of compliance and the lengthy process of approval are among the factors that cannot enable the SMEs to get the necessary licenses and hinder their growth perspective. The larger organizations possessing a greater number of resources and better networks can pass the regulatory environment with an easy move and are also given an unfair advantage in the market (Karim et al., 2023). The obstacles have resulted in a pharmaceutical industry monopoly and less participation of smaller companies that can contribute immensely in improving the accessibility and affordability of the medicines in the market.</w:t>
      </w:r>
    </w:p>
    <w:p w:rsidR="002A0B63" w:rsidRDefault="00A23247" w:rsidP="002A0B63">
      <w:pPr>
        <w:pStyle w:val="Heading2"/>
        <w:rPr>
          <w:rFonts w:ascii="Times New Roman" w:hAnsi="Times New Roman"/>
          <w:sz w:val="27"/>
          <w:lang w:val="en-US" w:eastAsia="en-US"/>
        </w:rPr>
      </w:pPr>
      <w:bookmarkStart w:id="43" w:name="_Toc220873921"/>
      <w:r>
        <w:lastRenderedPageBreak/>
        <w:t>2.10</w:t>
      </w:r>
      <w:r w:rsidR="002A0B63">
        <w:t xml:space="preserve"> </w:t>
      </w:r>
      <w:r w:rsidR="002A0B63">
        <w:rPr>
          <w:rStyle w:val="Strong"/>
          <w:b/>
          <w:bCs w:val="0"/>
        </w:rPr>
        <w:t>Impact of Import Barriers on SMEs</w:t>
      </w:r>
      <w:bookmarkEnd w:id="43"/>
    </w:p>
    <w:p w:rsidR="009D6F2C" w:rsidRDefault="009D6F2C" w:rsidP="009D6F2C">
      <w:pPr>
        <w:rPr>
          <w:b/>
        </w:rPr>
      </w:pPr>
      <w:r w:rsidRPr="009D6F2C">
        <w:t xml:space="preserve">The primary entry barriers to the SMEs of the Bangladesh pharmaceutical industry are regulatory delays and compliance costs, which have a strong relationship with both the operational and financial performance of the sector (Karim et al., 2023). These barriers in addition to decreasing the growth rates of the SMEs, affect the long- term sustainability of the SMEs. The supply chain distortion, the economic cost, and the </w:t>
      </w:r>
      <w:proofErr w:type="spellStart"/>
      <w:r w:rsidRPr="009D6F2C">
        <w:t>incompetitiveness</w:t>
      </w:r>
      <w:proofErr w:type="spellEnd"/>
      <w:r w:rsidRPr="009D6F2C">
        <w:t xml:space="preserve"> present a difficult environment to operate in by the small businesses.</w:t>
      </w:r>
    </w:p>
    <w:p w:rsidR="002A0B63" w:rsidRDefault="00A23247" w:rsidP="002A0B63">
      <w:pPr>
        <w:pStyle w:val="Heading3"/>
      </w:pPr>
      <w:bookmarkStart w:id="44" w:name="_Toc220873922"/>
      <w:r>
        <w:rPr>
          <w:rStyle w:val="Strong"/>
          <w:b/>
          <w:bCs w:val="0"/>
        </w:rPr>
        <w:t xml:space="preserve">2.10.1 </w:t>
      </w:r>
      <w:r w:rsidR="002A0B63">
        <w:rPr>
          <w:rStyle w:val="Strong"/>
          <w:b/>
          <w:bCs w:val="0"/>
        </w:rPr>
        <w:t>Operational and Financial Impact</w:t>
      </w:r>
      <w:bookmarkEnd w:id="44"/>
    </w:p>
    <w:p w:rsidR="00616BD7" w:rsidRPr="00616BD7" w:rsidRDefault="00616BD7" w:rsidP="00616BD7">
      <w:pPr>
        <w:rPr>
          <w:rStyle w:val="Strong"/>
          <w:rFonts w:eastAsiaTheme="majorEastAsia"/>
        </w:rPr>
      </w:pPr>
      <w:r w:rsidRPr="00616BD7">
        <w:rPr>
          <w:rStyle w:val="Strong"/>
          <w:rFonts w:eastAsiaTheme="majorEastAsia"/>
        </w:rPr>
        <w:t xml:space="preserve">Supply Chain Disruptions: </w:t>
      </w:r>
      <w:r w:rsidRPr="00616BD7">
        <w:rPr>
          <w:rStyle w:val="Strong"/>
          <w:rFonts w:eastAsiaTheme="majorEastAsia"/>
          <w:b w:val="0"/>
          <w:bCs w:val="0"/>
        </w:rPr>
        <w:t xml:space="preserve">The postponement in issuing import licenses is one of the greatest operational problems to SMEs. These delays cause disruptions in the supply chain leading to shortage of necessary drugs in the market. </w:t>
      </w:r>
      <w:proofErr w:type="spellStart"/>
      <w:r w:rsidRPr="00616BD7">
        <w:rPr>
          <w:rStyle w:val="Strong"/>
          <w:rFonts w:eastAsiaTheme="majorEastAsia"/>
          <w:b w:val="0"/>
          <w:bCs w:val="0"/>
        </w:rPr>
        <w:t>Fatin</w:t>
      </w:r>
      <w:proofErr w:type="spellEnd"/>
      <w:r w:rsidRPr="00616BD7">
        <w:rPr>
          <w:rStyle w:val="Strong"/>
          <w:rFonts w:eastAsiaTheme="majorEastAsia"/>
          <w:b w:val="0"/>
          <w:bCs w:val="0"/>
        </w:rPr>
        <w:t xml:space="preserve"> </w:t>
      </w:r>
      <w:proofErr w:type="spellStart"/>
      <w:r w:rsidRPr="00616BD7">
        <w:rPr>
          <w:rStyle w:val="Strong"/>
          <w:rFonts w:eastAsiaTheme="majorEastAsia"/>
          <w:b w:val="0"/>
          <w:bCs w:val="0"/>
        </w:rPr>
        <w:t>Alshibli</w:t>
      </w:r>
      <w:proofErr w:type="spellEnd"/>
      <w:r w:rsidRPr="00616BD7">
        <w:rPr>
          <w:rStyle w:val="Strong"/>
          <w:rFonts w:eastAsiaTheme="majorEastAsia"/>
          <w:b w:val="0"/>
          <w:bCs w:val="0"/>
        </w:rPr>
        <w:t xml:space="preserve"> and Khaled </w:t>
      </w:r>
      <w:proofErr w:type="spellStart"/>
      <w:r w:rsidRPr="00616BD7">
        <w:rPr>
          <w:rStyle w:val="Strong"/>
          <w:rFonts w:eastAsiaTheme="majorEastAsia"/>
          <w:b w:val="0"/>
          <w:bCs w:val="0"/>
        </w:rPr>
        <w:t>Alqarni</w:t>
      </w:r>
      <w:proofErr w:type="spellEnd"/>
      <w:r w:rsidRPr="00616BD7">
        <w:rPr>
          <w:rStyle w:val="Strong"/>
          <w:rFonts w:eastAsiaTheme="majorEastAsia"/>
          <w:b w:val="0"/>
          <w:bCs w:val="0"/>
        </w:rPr>
        <w:t xml:space="preserve"> (2024) explain that the delay in shipment caused by the length of the approval period, which is caused due to bureaucratic inefficiencies, is what results in SMEs losing market opportunities and inventory shortages. This makes SMEs struggle to meet the needs of customers and sustain the supplier relationship which are critical in their future development in a competitive economy.</w:t>
      </w:r>
    </w:p>
    <w:p w:rsidR="00616BD7" w:rsidRPr="00616BD7" w:rsidRDefault="00616BD7" w:rsidP="00616BD7">
      <w:pPr>
        <w:rPr>
          <w:rStyle w:val="Strong"/>
          <w:rFonts w:eastAsiaTheme="majorEastAsia"/>
          <w:b w:val="0"/>
          <w:bCs w:val="0"/>
          <w:i/>
          <w:iCs/>
        </w:rPr>
      </w:pPr>
      <w:r w:rsidRPr="00616BD7">
        <w:rPr>
          <w:rStyle w:val="Strong"/>
          <w:rFonts w:eastAsiaTheme="majorEastAsia"/>
        </w:rPr>
        <w:t xml:space="preserve">Financial Strain: </w:t>
      </w:r>
      <w:r w:rsidRPr="00616BD7">
        <w:rPr>
          <w:rStyle w:val="Strong"/>
          <w:rFonts w:eastAsiaTheme="majorEastAsia"/>
          <w:b w:val="0"/>
          <w:bCs w:val="0"/>
        </w:rPr>
        <w:t>Barrier to imports also has a great financial effect on SMEs. Financial strain to small businesses is provided by the compliance expenses such as registration costs, licensing costs and the expenses incurred in fulfilling the Good Manufacturing Practices (GMP). As Christopher &amp; Blake (2025) observe, compliance costs may greatly decrease profit margins of SMEs, and they have little money to invest in their business. It has been estimated that this financial burden in most instances causes cash flow crises and even compels the SMEs to go out of business. Being too exorbitant in nature, the great operation costs and regulations fees present a burden to many small enterprises.</w:t>
      </w:r>
    </w:p>
    <w:p w:rsidR="002A0B63" w:rsidRDefault="002A0B63" w:rsidP="00616BD7">
      <w:pPr>
        <w:pStyle w:val="Caption"/>
      </w:pPr>
      <w:bookmarkStart w:id="45" w:name="_Toc217469698"/>
      <w:r>
        <w:t xml:space="preserve">Table </w:t>
      </w:r>
      <w:r w:rsidR="00EC2B8F">
        <w:fldChar w:fldCharType="begin"/>
      </w:r>
      <w:r w:rsidR="00EC2B8F">
        <w:instrText xml:space="preserve"> SEQ Table \* ARABIC </w:instrText>
      </w:r>
      <w:r w:rsidR="00EC2B8F">
        <w:fldChar w:fldCharType="separate"/>
      </w:r>
      <w:r w:rsidR="00BB5D78">
        <w:rPr>
          <w:noProof/>
        </w:rPr>
        <w:t>1</w:t>
      </w:r>
      <w:r w:rsidR="00EC2B8F">
        <w:rPr>
          <w:noProof/>
        </w:rPr>
        <w:fldChar w:fldCharType="end"/>
      </w:r>
      <w:r>
        <w:rPr>
          <w:lang w:val="en-US"/>
        </w:rPr>
        <w:t xml:space="preserve">: </w:t>
      </w:r>
      <w:r w:rsidRPr="00D57AE2">
        <w:rPr>
          <w:lang w:val="en-US"/>
        </w:rPr>
        <w:t>Impact of Regulatory Barriers on SMEs' Financial Performance</w:t>
      </w:r>
      <w:r>
        <w:rPr>
          <w:lang w:val="en-US"/>
        </w:rPr>
        <w:t xml:space="preserve"> </w:t>
      </w:r>
      <w:r w:rsidRPr="002A0B63">
        <w:rPr>
          <w:lang w:val="en-US"/>
        </w:rPr>
        <w:t>(Christopher &amp; Blake, 2025)</w:t>
      </w:r>
      <w:bookmarkEnd w:id="45"/>
    </w:p>
    <w:tbl>
      <w:tblPr>
        <w:tblStyle w:val="GridTable1Light-Accent5"/>
        <w:tblW w:w="0" w:type="auto"/>
        <w:tblLook w:val="04A0" w:firstRow="1" w:lastRow="0" w:firstColumn="1" w:lastColumn="0" w:noHBand="0" w:noVBand="1"/>
      </w:tblPr>
      <w:tblGrid>
        <w:gridCol w:w="2153"/>
        <w:gridCol w:w="3530"/>
        <w:gridCol w:w="3667"/>
      </w:tblGrid>
      <w:tr w:rsidR="002A0B63" w:rsidTr="002A0B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2A0B63" w:rsidRDefault="002A0B63" w:rsidP="002A0B63">
            <w:r>
              <w:rPr>
                <w:rStyle w:val="Strong"/>
                <w:rFonts w:eastAsiaTheme="majorEastAsia"/>
              </w:rPr>
              <w:t>Impact Factor</w:t>
            </w:r>
          </w:p>
        </w:tc>
        <w:tc>
          <w:tcPr>
            <w:tcW w:w="0" w:type="auto"/>
            <w:hideMark/>
          </w:tcPr>
          <w:p w:rsidR="002A0B63" w:rsidRDefault="002A0B63" w:rsidP="002A0B63">
            <w:pPr>
              <w:cnfStyle w:val="100000000000" w:firstRow="1" w:lastRow="0" w:firstColumn="0" w:lastColumn="0" w:oddVBand="0" w:evenVBand="0" w:oddHBand="0" w:evenHBand="0" w:firstRowFirstColumn="0" w:firstRowLastColumn="0" w:lastRowFirstColumn="0" w:lastRowLastColumn="0"/>
              <w:rPr>
                <w:b w:val="0"/>
                <w:bCs w:val="0"/>
              </w:rPr>
            </w:pPr>
            <w:r>
              <w:rPr>
                <w:rStyle w:val="Strong"/>
                <w:rFonts w:eastAsiaTheme="majorEastAsia"/>
              </w:rPr>
              <w:t>Financial Impact on SMEs</w:t>
            </w:r>
          </w:p>
        </w:tc>
        <w:tc>
          <w:tcPr>
            <w:tcW w:w="0" w:type="auto"/>
            <w:hideMark/>
          </w:tcPr>
          <w:p w:rsidR="002A0B63" w:rsidRDefault="002A0B63" w:rsidP="002A0B63">
            <w:pPr>
              <w:cnfStyle w:val="100000000000" w:firstRow="1" w:lastRow="0" w:firstColumn="0" w:lastColumn="0" w:oddVBand="0" w:evenVBand="0" w:oddHBand="0" w:evenHBand="0" w:firstRowFirstColumn="0" w:firstRowLastColumn="0" w:lastRowFirstColumn="0" w:lastRowLastColumn="0"/>
              <w:rPr>
                <w:b w:val="0"/>
                <w:bCs w:val="0"/>
              </w:rPr>
            </w:pPr>
            <w:r>
              <w:rPr>
                <w:rStyle w:val="Strong"/>
                <w:rFonts w:eastAsiaTheme="majorEastAsia"/>
              </w:rPr>
              <w:t>Large Enterprises</w:t>
            </w:r>
          </w:p>
        </w:tc>
      </w:tr>
      <w:tr w:rsidR="002A0B63" w:rsidTr="002A0B63">
        <w:tc>
          <w:tcPr>
            <w:cnfStyle w:val="001000000000" w:firstRow="0" w:lastRow="0" w:firstColumn="1" w:lastColumn="0" w:oddVBand="0" w:evenVBand="0" w:oddHBand="0" w:evenHBand="0" w:firstRowFirstColumn="0" w:firstRowLastColumn="0" w:lastRowFirstColumn="0" w:lastRowLastColumn="0"/>
            <w:tcW w:w="0" w:type="auto"/>
            <w:hideMark/>
          </w:tcPr>
          <w:p w:rsidR="002A0B63" w:rsidRDefault="002A0B63" w:rsidP="002A0B63">
            <w:pPr>
              <w:rPr>
                <w:b w:val="0"/>
                <w:bCs w:val="0"/>
              </w:rPr>
            </w:pPr>
            <w:r>
              <w:rPr>
                <w:rStyle w:val="Strong"/>
                <w:rFonts w:eastAsiaTheme="majorEastAsia"/>
              </w:rPr>
              <w:lastRenderedPageBreak/>
              <w:t>Supply Chain Disruptions</w:t>
            </w:r>
          </w:p>
        </w:tc>
        <w:tc>
          <w:tcPr>
            <w:tcW w:w="0" w:type="auto"/>
            <w:hideMark/>
          </w:tcPr>
          <w:p w:rsidR="002A0B63" w:rsidRDefault="002A0B63" w:rsidP="002A0B63">
            <w:pPr>
              <w:cnfStyle w:val="000000000000" w:firstRow="0" w:lastRow="0" w:firstColumn="0" w:lastColumn="0" w:oddVBand="0" w:evenVBand="0" w:oddHBand="0" w:evenHBand="0" w:firstRowFirstColumn="0" w:firstRowLastColumn="0" w:lastRowFirstColumn="0" w:lastRowLastColumn="0"/>
            </w:pPr>
            <w:r>
              <w:t>Significant delays lead to product shortages and market gaps</w:t>
            </w:r>
          </w:p>
        </w:tc>
        <w:tc>
          <w:tcPr>
            <w:tcW w:w="0" w:type="auto"/>
            <w:hideMark/>
          </w:tcPr>
          <w:p w:rsidR="002A0B63" w:rsidRDefault="002A0B63" w:rsidP="002A0B63">
            <w:pPr>
              <w:cnfStyle w:val="000000000000" w:firstRow="0" w:lastRow="0" w:firstColumn="0" w:lastColumn="0" w:oddVBand="0" w:evenVBand="0" w:oddHBand="0" w:evenHBand="0" w:firstRowFirstColumn="0" w:firstRowLastColumn="0" w:lastRowFirstColumn="0" w:lastRowLastColumn="0"/>
            </w:pPr>
            <w:r>
              <w:t>Lesser impact due to established networks and resources</w:t>
            </w:r>
          </w:p>
        </w:tc>
      </w:tr>
      <w:tr w:rsidR="002A0B63" w:rsidTr="002A0B63">
        <w:tc>
          <w:tcPr>
            <w:cnfStyle w:val="001000000000" w:firstRow="0" w:lastRow="0" w:firstColumn="1" w:lastColumn="0" w:oddVBand="0" w:evenVBand="0" w:oddHBand="0" w:evenHBand="0" w:firstRowFirstColumn="0" w:firstRowLastColumn="0" w:lastRowFirstColumn="0" w:lastRowLastColumn="0"/>
            <w:tcW w:w="0" w:type="auto"/>
            <w:hideMark/>
          </w:tcPr>
          <w:p w:rsidR="002A0B63" w:rsidRDefault="002A0B63" w:rsidP="002A0B63">
            <w:r>
              <w:rPr>
                <w:rStyle w:val="Strong"/>
                <w:rFonts w:eastAsiaTheme="majorEastAsia"/>
              </w:rPr>
              <w:t>Compliance Costs (USD)</w:t>
            </w:r>
          </w:p>
        </w:tc>
        <w:tc>
          <w:tcPr>
            <w:tcW w:w="0" w:type="auto"/>
            <w:hideMark/>
          </w:tcPr>
          <w:p w:rsidR="002A0B63" w:rsidRDefault="002A0B63" w:rsidP="002A0B63">
            <w:pPr>
              <w:cnfStyle w:val="000000000000" w:firstRow="0" w:lastRow="0" w:firstColumn="0" w:lastColumn="0" w:oddVBand="0" w:evenVBand="0" w:oddHBand="0" w:evenHBand="0" w:firstRowFirstColumn="0" w:firstRowLastColumn="0" w:lastRowFirstColumn="0" w:lastRowLastColumn="0"/>
            </w:pPr>
            <w:r>
              <w:t>$5,000 - $15,000</w:t>
            </w:r>
          </w:p>
        </w:tc>
        <w:tc>
          <w:tcPr>
            <w:tcW w:w="0" w:type="auto"/>
            <w:hideMark/>
          </w:tcPr>
          <w:p w:rsidR="002A0B63" w:rsidRDefault="002A0B63" w:rsidP="002A0B63">
            <w:pPr>
              <w:cnfStyle w:val="000000000000" w:firstRow="0" w:lastRow="0" w:firstColumn="0" w:lastColumn="0" w:oddVBand="0" w:evenVBand="0" w:oddHBand="0" w:evenHBand="0" w:firstRowFirstColumn="0" w:firstRowLastColumn="0" w:lastRowFirstColumn="0" w:lastRowLastColumn="0"/>
            </w:pPr>
            <w:r>
              <w:t>$10,000 - $50,000</w:t>
            </w:r>
          </w:p>
        </w:tc>
      </w:tr>
      <w:tr w:rsidR="002A0B63" w:rsidTr="002A0B63">
        <w:tc>
          <w:tcPr>
            <w:cnfStyle w:val="001000000000" w:firstRow="0" w:lastRow="0" w:firstColumn="1" w:lastColumn="0" w:oddVBand="0" w:evenVBand="0" w:oddHBand="0" w:evenHBand="0" w:firstRowFirstColumn="0" w:firstRowLastColumn="0" w:lastRowFirstColumn="0" w:lastRowLastColumn="0"/>
            <w:tcW w:w="0" w:type="auto"/>
            <w:hideMark/>
          </w:tcPr>
          <w:p w:rsidR="002A0B63" w:rsidRDefault="002A0B63" w:rsidP="002A0B63">
            <w:r>
              <w:rPr>
                <w:rStyle w:val="Strong"/>
                <w:rFonts w:eastAsiaTheme="majorEastAsia"/>
              </w:rPr>
              <w:t>Profit Margin Impact</w:t>
            </w:r>
          </w:p>
        </w:tc>
        <w:tc>
          <w:tcPr>
            <w:tcW w:w="0" w:type="auto"/>
            <w:hideMark/>
          </w:tcPr>
          <w:p w:rsidR="002A0B63" w:rsidRDefault="002A0B63" w:rsidP="002A0B63">
            <w:pPr>
              <w:cnfStyle w:val="000000000000" w:firstRow="0" w:lastRow="0" w:firstColumn="0" w:lastColumn="0" w:oddVBand="0" w:evenVBand="0" w:oddHBand="0" w:evenHBand="0" w:firstRowFirstColumn="0" w:firstRowLastColumn="0" w:lastRowFirstColumn="0" w:lastRowLastColumn="0"/>
            </w:pPr>
            <w:r>
              <w:t>Major reduction in profit margins, leading to financial strain</w:t>
            </w:r>
          </w:p>
        </w:tc>
        <w:tc>
          <w:tcPr>
            <w:tcW w:w="0" w:type="auto"/>
            <w:hideMark/>
          </w:tcPr>
          <w:p w:rsidR="002A0B63" w:rsidRDefault="002A0B63" w:rsidP="002A0B63">
            <w:pPr>
              <w:cnfStyle w:val="000000000000" w:firstRow="0" w:lastRow="0" w:firstColumn="0" w:lastColumn="0" w:oddVBand="0" w:evenVBand="0" w:oddHBand="0" w:evenHBand="0" w:firstRowFirstColumn="0" w:firstRowLastColumn="0" w:lastRowFirstColumn="0" w:lastRowLastColumn="0"/>
            </w:pPr>
            <w:r>
              <w:t>Minimal impact on profitability due to resources to absorb costs</w:t>
            </w:r>
          </w:p>
        </w:tc>
      </w:tr>
      <w:tr w:rsidR="002A0B63" w:rsidTr="002A0B63">
        <w:tc>
          <w:tcPr>
            <w:cnfStyle w:val="001000000000" w:firstRow="0" w:lastRow="0" w:firstColumn="1" w:lastColumn="0" w:oddVBand="0" w:evenVBand="0" w:oddHBand="0" w:evenHBand="0" w:firstRowFirstColumn="0" w:firstRowLastColumn="0" w:lastRowFirstColumn="0" w:lastRowLastColumn="0"/>
            <w:tcW w:w="0" w:type="auto"/>
            <w:hideMark/>
          </w:tcPr>
          <w:p w:rsidR="002A0B63" w:rsidRDefault="002A0B63" w:rsidP="002A0B63">
            <w:r>
              <w:rPr>
                <w:rStyle w:val="Strong"/>
                <w:rFonts w:eastAsiaTheme="majorEastAsia"/>
              </w:rPr>
              <w:t>Business Sustainability</w:t>
            </w:r>
          </w:p>
        </w:tc>
        <w:tc>
          <w:tcPr>
            <w:tcW w:w="0" w:type="auto"/>
            <w:hideMark/>
          </w:tcPr>
          <w:p w:rsidR="002A0B63" w:rsidRDefault="002A0B63" w:rsidP="002A0B63">
            <w:pPr>
              <w:cnfStyle w:val="000000000000" w:firstRow="0" w:lastRow="0" w:firstColumn="0" w:lastColumn="0" w:oddVBand="0" w:evenVBand="0" w:oddHBand="0" w:evenHBand="0" w:firstRowFirstColumn="0" w:firstRowLastColumn="0" w:lastRowFirstColumn="0" w:lastRowLastColumn="0"/>
            </w:pPr>
            <w:r>
              <w:t>Risk of closure or scaling down operations</w:t>
            </w:r>
          </w:p>
        </w:tc>
        <w:tc>
          <w:tcPr>
            <w:tcW w:w="0" w:type="auto"/>
            <w:hideMark/>
          </w:tcPr>
          <w:p w:rsidR="002A0B63" w:rsidRDefault="002A0B63" w:rsidP="002A0B63">
            <w:pPr>
              <w:cnfStyle w:val="000000000000" w:firstRow="0" w:lastRow="0" w:firstColumn="0" w:lastColumn="0" w:oddVBand="0" w:evenVBand="0" w:oddHBand="0" w:evenHBand="0" w:firstRowFirstColumn="0" w:firstRowLastColumn="0" w:lastRowFirstColumn="0" w:lastRowLastColumn="0"/>
            </w:pPr>
            <w:r>
              <w:t>Better ability to absorb costs and sustain operations</w:t>
            </w:r>
          </w:p>
        </w:tc>
      </w:tr>
    </w:tbl>
    <w:p w:rsidR="002A0B63" w:rsidRDefault="002A0B63" w:rsidP="002A0B63"/>
    <w:p w:rsidR="00591B72" w:rsidRDefault="00A23247" w:rsidP="00591B72">
      <w:pPr>
        <w:pStyle w:val="Heading2"/>
        <w:rPr>
          <w:rFonts w:ascii="Times New Roman" w:hAnsi="Times New Roman"/>
          <w:sz w:val="27"/>
          <w:lang w:val="en-US" w:eastAsia="en-US"/>
        </w:rPr>
      </w:pPr>
      <w:bookmarkStart w:id="46" w:name="_Toc220873923"/>
      <w:r>
        <w:t>2.11</w:t>
      </w:r>
      <w:r w:rsidR="00591B72">
        <w:t xml:space="preserve"> </w:t>
      </w:r>
      <w:r w:rsidR="00591B72">
        <w:rPr>
          <w:rStyle w:val="Strong"/>
          <w:b/>
          <w:bCs w:val="0"/>
        </w:rPr>
        <w:t>Theoretical Framework</w:t>
      </w:r>
      <w:bookmarkEnd w:id="46"/>
    </w:p>
    <w:p w:rsidR="00591B72" w:rsidRDefault="00A23247" w:rsidP="00591B72">
      <w:pPr>
        <w:pStyle w:val="Heading3"/>
      </w:pPr>
      <w:bookmarkStart w:id="47" w:name="_Toc220873924"/>
      <w:r>
        <w:rPr>
          <w:rStyle w:val="Strong"/>
          <w:b/>
          <w:bCs w:val="0"/>
        </w:rPr>
        <w:t xml:space="preserve">2.11.1 </w:t>
      </w:r>
      <w:r w:rsidR="00591B72">
        <w:rPr>
          <w:rStyle w:val="Strong"/>
          <w:b/>
          <w:bCs w:val="0"/>
        </w:rPr>
        <w:t>Regulatory and Compliance Theories</w:t>
      </w:r>
      <w:bookmarkEnd w:id="47"/>
    </w:p>
    <w:p w:rsidR="00A51C6D" w:rsidRPr="00A51C6D" w:rsidRDefault="00A51C6D" w:rsidP="003B4502">
      <w:pPr>
        <w:rPr>
          <w:rStyle w:val="Strong"/>
          <w:b w:val="0"/>
        </w:rPr>
      </w:pPr>
      <w:r w:rsidRPr="00A51C6D">
        <w:rPr>
          <w:rStyle w:val="Strong"/>
          <w:b w:val="0"/>
        </w:rPr>
        <w:t xml:space="preserve">The regulatory theory plays a significant role in explaining how the regulatory structure and the government can affect business operations in developing economies (particularly, small and medium-sized enterprises, SMEs). </w:t>
      </w:r>
      <w:r w:rsidR="003B4502">
        <w:rPr>
          <w:rStyle w:val="Strong"/>
          <w:b w:val="0"/>
        </w:rPr>
        <w:t>T</w:t>
      </w:r>
      <w:r w:rsidRPr="00A51C6D">
        <w:rPr>
          <w:rStyle w:val="Strong"/>
          <w:b w:val="0"/>
        </w:rPr>
        <w:t xml:space="preserve">he regulatory systems in the developing world tend to be congested and inefficient and, therefore, cause delays and the inconsistent implementation of the policies. The control problems of the SMEs are more acute as compared to the larger companies that can easily negotiate the system. These inefficiencies and delays in bureaucracy present significant barriers of entry and growth in the market because it is particularly so in such markets as pharmaceutical where the safety and compliance is even more than equal. The theory of compliance provides more light as it explains why businesses must obey the rules so that they can be legal and have the right to operate in the market. However, Creswell and </w:t>
      </w:r>
      <w:proofErr w:type="spellStart"/>
      <w:r w:rsidRPr="00A51C6D">
        <w:rPr>
          <w:rStyle w:val="Strong"/>
          <w:b w:val="0"/>
        </w:rPr>
        <w:t>Poth</w:t>
      </w:r>
      <w:proofErr w:type="spellEnd"/>
      <w:r w:rsidRPr="00A51C6D">
        <w:rPr>
          <w:rStyle w:val="Strong"/>
          <w:b w:val="0"/>
        </w:rPr>
        <w:t xml:space="preserve"> (2018) observe that compliance costs can be more than the gain in the case of SMEs. The small companies are confronted with an enormous financial challenge due to the fact that they need to satisfy regulatory requirements in the form of licensing fee, Good Manufacturing Practices </w:t>
      </w:r>
      <w:r w:rsidRPr="00A51C6D">
        <w:rPr>
          <w:rStyle w:val="Strong"/>
          <w:b w:val="0"/>
        </w:rPr>
        <w:lastRenderedPageBreak/>
        <w:t>(GMP) and other compliance control measures. These compliance issues are not very challenging to larger businesses that have more financial power and already established infrastructure.</w:t>
      </w:r>
    </w:p>
    <w:p w:rsidR="00F15008" w:rsidRDefault="00A23247" w:rsidP="00F15008">
      <w:pPr>
        <w:pStyle w:val="Heading3"/>
        <w:rPr>
          <w:rFonts w:ascii="Times New Roman" w:hAnsi="Times New Roman"/>
          <w:sz w:val="27"/>
          <w:lang w:val="en-US" w:eastAsia="en-US"/>
        </w:rPr>
      </w:pPr>
      <w:bookmarkStart w:id="48" w:name="_Toc220873925"/>
      <w:r>
        <w:rPr>
          <w:rStyle w:val="Strong"/>
          <w:b/>
          <w:bCs w:val="0"/>
        </w:rPr>
        <w:t xml:space="preserve">2.11.2 </w:t>
      </w:r>
      <w:r w:rsidR="00F15008">
        <w:rPr>
          <w:rStyle w:val="Strong"/>
          <w:b/>
          <w:bCs w:val="0"/>
        </w:rPr>
        <w:t>Application of the Framework in SMEs</w:t>
      </w:r>
      <w:bookmarkEnd w:id="48"/>
    </w:p>
    <w:p w:rsidR="003406CF" w:rsidRDefault="003406CF" w:rsidP="003B4502">
      <w:pPr>
        <w:rPr>
          <w:b/>
        </w:rPr>
      </w:pPr>
      <w:r w:rsidRPr="003406CF">
        <w:t>Using the study framework in case of the pharmaceutical SMEs in Bangladesh, it is important to note that a regulatory and administrative process may impose overbearing burdens to smaller firms when seeking licensing to import drugs. Regulatory and compliance wise, SMEs can experience delays due to complicated approval processes and uneven interpretation of procedures and high demands of paperwork, and possess less internal resources to handle them effectively. Practically, staffing levels may be lower, compliance infrastructure may be weaker and access to expert legal or regulatory assistance may be constrained, and it may be more difficult to respond to regulatory expectations as larger firms.</w:t>
      </w:r>
      <w:r>
        <w:rPr>
          <w:b/>
        </w:rPr>
        <w:t xml:space="preserve"> </w:t>
      </w:r>
      <w:r w:rsidRPr="003406CF">
        <w:t xml:space="preserve">Besides, compliance-oriented explanations point to the fact that when SMEs adhere to regulatory requirements, including Good Manufacturing Practices (GMP), and licensing provisions, compliance costs tend to be higher when computed in relative terms, since fixed compliance expenditures take a bigger portion of the available budgets (Creswell and </w:t>
      </w:r>
      <w:proofErr w:type="spellStart"/>
      <w:r w:rsidRPr="003406CF">
        <w:t>Poth</w:t>
      </w:r>
      <w:proofErr w:type="spellEnd"/>
      <w:r w:rsidRPr="003406CF">
        <w:t>, 2018). In line with the inductive reasoning of the Research Onion introduced by Saunders, the issues will be discussed based on the qualitative documentary analysis of legislation, DGDA guidelines, official practices, credible industry reports, and peer-reviewed research. Thematic analysis will be applied to determine how the learning costs, compliance costs, procedural delays, and enforcement dynamics are functioning as non-tariff barriers to determine the capability of SMEs to acquire import permissions and be able to continue functioning in the pharmaceutical import system.</w:t>
      </w:r>
    </w:p>
    <w:p w:rsidR="0081355E" w:rsidRPr="0081355E" w:rsidRDefault="00A23247" w:rsidP="0081355E">
      <w:pPr>
        <w:pStyle w:val="Heading2"/>
        <w:rPr>
          <w:rFonts w:ascii="Times New Roman" w:hAnsi="Times New Roman"/>
          <w:sz w:val="27"/>
          <w:lang w:val="en-US" w:eastAsia="en-US"/>
        </w:rPr>
      </w:pPr>
      <w:bookmarkStart w:id="49" w:name="_Toc220873926"/>
      <w:r>
        <w:t>2.12</w:t>
      </w:r>
      <w:r w:rsidR="00AB26E1">
        <w:t xml:space="preserve"> </w:t>
      </w:r>
      <w:r w:rsidR="00AB26E1">
        <w:rPr>
          <w:rStyle w:val="Strong"/>
          <w:b/>
          <w:bCs w:val="0"/>
        </w:rPr>
        <w:t>Literature Gaps and Research Needs</w:t>
      </w:r>
      <w:bookmarkEnd w:id="49"/>
    </w:p>
    <w:p w:rsidR="005E35FC" w:rsidRPr="005E35FC" w:rsidRDefault="005E35FC" w:rsidP="005E35FC">
      <w:pPr>
        <w:rPr>
          <w:lang w:val="en-US" w:eastAsia="en-US"/>
        </w:rPr>
      </w:pPr>
      <w:bookmarkStart w:id="50" w:name="_Toc217469699"/>
      <w:r w:rsidRPr="005E35FC">
        <w:rPr>
          <w:lang w:val="en-US" w:eastAsia="en-US"/>
        </w:rPr>
        <w:t xml:space="preserve">Despite the extensive literature that has been done on the pharmaceutical industry in Bangladesh, there have been gaps that are not filled in the literature and the actual experiences of SMEs in obtaining import </w:t>
      </w:r>
      <w:proofErr w:type="spellStart"/>
      <w:r w:rsidRPr="005E35FC">
        <w:rPr>
          <w:lang w:val="en-US" w:eastAsia="en-US"/>
        </w:rPr>
        <w:t>licences</w:t>
      </w:r>
      <w:proofErr w:type="spellEnd"/>
      <w:r w:rsidRPr="005E35FC">
        <w:rPr>
          <w:lang w:val="en-US" w:eastAsia="en-US"/>
        </w:rPr>
        <w:t xml:space="preserve">. Current literature pays much attention to the pharmaceutical industry in general, discussing regulatory frameworks, entry, market entry, and supply chain, but does not pay much attention to the unique issues that </w:t>
      </w:r>
      <w:r w:rsidRPr="005E35FC">
        <w:rPr>
          <w:lang w:val="en-US" w:eastAsia="en-US"/>
        </w:rPr>
        <w:lastRenderedPageBreak/>
        <w:t xml:space="preserve">smaller companies might face. According to </w:t>
      </w:r>
      <w:proofErr w:type="spellStart"/>
      <w:r w:rsidRPr="005E35FC">
        <w:rPr>
          <w:lang w:val="en-US" w:eastAsia="en-US"/>
        </w:rPr>
        <w:t>Fatin</w:t>
      </w:r>
      <w:proofErr w:type="spellEnd"/>
      <w:r w:rsidRPr="005E35FC">
        <w:rPr>
          <w:lang w:val="en-US" w:eastAsia="en-US"/>
        </w:rPr>
        <w:t xml:space="preserve"> </w:t>
      </w:r>
      <w:proofErr w:type="spellStart"/>
      <w:r w:rsidRPr="005E35FC">
        <w:rPr>
          <w:lang w:val="en-US" w:eastAsia="en-US"/>
        </w:rPr>
        <w:t>Alshibli</w:t>
      </w:r>
      <w:proofErr w:type="spellEnd"/>
      <w:r w:rsidRPr="005E35FC">
        <w:rPr>
          <w:lang w:val="en-US" w:eastAsia="en-US"/>
        </w:rPr>
        <w:t xml:space="preserve"> and Khaled </w:t>
      </w:r>
      <w:proofErr w:type="spellStart"/>
      <w:r w:rsidRPr="005E35FC">
        <w:rPr>
          <w:lang w:val="en-US" w:eastAsia="en-US"/>
        </w:rPr>
        <w:t>Alqarni</w:t>
      </w:r>
      <w:proofErr w:type="spellEnd"/>
      <w:r w:rsidRPr="005E35FC">
        <w:rPr>
          <w:lang w:val="en-US" w:eastAsia="en-US"/>
        </w:rPr>
        <w:t xml:space="preserve"> (2024), the literature is focused more on the large </w:t>
      </w:r>
      <w:proofErr w:type="spellStart"/>
      <w:r w:rsidRPr="005E35FC">
        <w:rPr>
          <w:lang w:val="en-US" w:eastAsia="en-US"/>
        </w:rPr>
        <w:t>organisations</w:t>
      </w:r>
      <w:proofErr w:type="spellEnd"/>
      <w:r w:rsidRPr="005E35FC">
        <w:rPr>
          <w:lang w:val="en-US" w:eastAsia="en-US"/>
        </w:rPr>
        <w:t xml:space="preserve"> and their relations with the regulatory authorities and does not cover the specific conditions of SMEs. As a result, obstacles to SMEs, such as bureaucratic complexity, financial limitations, and disproportionate compliance costs have not been adequately examined.</w:t>
      </w:r>
    </w:p>
    <w:p w:rsidR="005E35FC" w:rsidRDefault="005E35FC" w:rsidP="005E35FC">
      <w:pPr>
        <w:rPr>
          <w:b/>
          <w:bCs/>
          <w:i/>
          <w:iCs/>
          <w:lang w:val="en-US" w:eastAsia="en-US"/>
        </w:rPr>
      </w:pPr>
      <w:r w:rsidRPr="005E35FC">
        <w:rPr>
          <w:lang w:val="en-US" w:eastAsia="en-US"/>
        </w:rPr>
        <w:t>The focus of future studies should thus be on regulatory hurdles peculiar to SMEs, especially the manner in which the firms are interacting with government agencies in the process of importing pharmaceuticals. The implications of regulatory delays on SME growth, the cost incurred on compliance to the effect on profitability and the overall economic consequences on the pharmaceutical industry needs further research. A comparison of SMEs and large firms would also help learn more about how the same regulatory framework are applied in different manners. More so, critical analysis of SME-oriented regulatory changes and their prospective market entry effects is required. The response to these gaps would facilitate evidence-based policymaking and enhance advocacy that is designed to address the level of competitiveness of SMEs in the pharma industry.</w:t>
      </w:r>
    </w:p>
    <w:p w:rsidR="00AB26E1" w:rsidRDefault="00AB26E1" w:rsidP="005E35FC">
      <w:pPr>
        <w:pStyle w:val="Caption"/>
      </w:pPr>
      <w:r>
        <w:t xml:space="preserve">Table </w:t>
      </w:r>
      <w:r w:rsidR="00EC2B8F">
        <w:fldChar w:fldCharType="begin"/>
      </w:r>
      <w:r w:rsidR="00EC2B8F">
        <w:instrText xml:space="preserve"> SEQ Table \* ARABIC </w:instrText>
      </w:r>
      <w:r w:rsidR="00EC2B8F">
        <w:fldChar w:fldCharType="separate"/>
      </w:r>
      <w:r w:rsidR="00BB5D78">
        <w:rPr>
          <w:noProof/>
        </w:rPr>
        <w:t>2</w:t>
      </w:r>
      <w:r w:rsidR="00EC2B8F">
        <w:rPr>
          <w:noProof/>
        </w:rPr>
        <w:fldChar w:fldCharType="end"/>
      </w:r>
      <w:r>
        <w:rPr>
          <w:lang w:val="en-US"/>
        </w:rPr>
        <w:t xml:space="preserve">: </w:t>
      </w:r>
      <w:r w:rsidRPr="000A112C">
        <w:rPr>
          <w:lang w:val="en-US"/>
        </w:rPr>
        <w:t>Literature Gap Analysis: SME-focused Studies vs General Pharmaceutical Research</w:t>
      </w:r>
      <w:bookmarkEnd w:id="50"/>
      <w:r w:rsidRPr="00AB26E1">
        <w:t xml:space="preserve"> </w:t>
      </w:r>
    </w:p>
    <w:p w:rsidR="00AB26E1" w:rsidRDefault="00AB26E1" w:rsidP="00AB26E1">
      <w:pPr>
        <w:pStyle w:val="Caption"/>
      </w:pPr>
      <w:r>
        <w:t>(</w:t>
      </w:r>
      <w:proofErr w:type="spellStart"/>
      <w:r w:rsidRPr="00AB26E1">
        <w:rPr>
          <w:lang w:val="en-US"/>
        </w:rPr>
        <w:t>Fatin</w:t>
      </w:r>
      <w:proofErr w:type="spellEnd"/>
      <w:r w:rsidRPr="00AB26E1">
        <w:rPr>
          <w:lang w:val="en-US"/>
        </w:rPr>
        <w:t xml:space="preserve"> </w:t>
      </w:r>
      <w:proofErr w:type="spellStart"/>
      <w:r w:rsidRPr="00AB26E1">
        <w:rPr>
          <w:lang w:val="en-US"/>
        </w:rPr>
        <w:t>Alshi</w:t>
      </w:r>
      <w:r>
        <w:rPr>
          <w:lang w:val="en-US"/>
        </w:rPr>
        <w:t>bli</w:t>
      </w:r>
      <w:proofErr w:type="spellEnd"/>
      <w:r>
        <w:rPr>
          <w:lang w:val="en-US"/>
        </w:rPr>
        <w:t xml:space="preserve"> and Khaled </w:t>
      </w:r>
      <w:proofErr w:type="spellStart"/>
      <w:r>
        <w:rPr>
          <w:lang w:val="en-US"/>
        </w:rPr>
        <w:t>Alqarni</w:t>
      </w:r>
      <w:proofErr w:type="spellEnd"/>
      <w:r>
        <w:rPr>
          <w:lang w:val="en-US"/>
        </w:rPr>
        <w:t xml:space="preserve">, </w:t>
      </w:r>
      <w:r w:rsidRPr="00AB26E1">
        <w:rPr>
          <w:lang w:val="en-US"/>
        </w:rPr>
        <w:t>2024)</w:t>
      </w:r>
    </w:p>
    <w:tbl>
      <w:tblPr>
        <w:tblStyle w:val="GridTable1Light-Accent5"/>
        <w:tblW w:w="0" w:type="auto"/>
        <w:tblLook w:val="04A0" w:firstRow="1" w:lastRow="0" w:firstColumn="1" w:lastColumn="0" w:noHBand="0" w:noVBand="1"/>
      </w:tblPr>
      <w:tblGrid>
        <w:gridCol w:w="2127"/>
        <w:gridCol w:w="3810"/>
        <w:gridCol w:w="3413"/>
      </w:tblGrid>
      <w:tr w:rsidR="00AB26E1" w:rsidTr="00AB26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AB26E1" w:rsidRDefault="00AB26E1" w:rsidP="00AB26E1">
            <w:r>
              <w:rPr>
                <w:rStyle w:val="Strong"/>
                <w:rFonts w:eastAsiaTheme="majorEastAsia"/>
              </w:rPr>
              <w:t>Research Area</w:t>
            </w:r>
          </w:p>
        </w:tc>
        <w:tc>
          <w:tcPr>
            <w:tcW w:w="0" w:type="auto"/>
            <w:hideMark/>
          </w:tcPr>
          <w:p w:rsidR="00AB26E1" w:rsidRDefault="00AB26E1" w:rsidP="00AB26E1">
            <w:pPr>
              <w:cnfStyle w:val="100000000000" w:firstRow="1" w:lastRow="0" w:firstColumn="0" w:lastColumn="0" w:oddVBand="0" w:evenVBand="0" w:oddHBand="0" w:evenHBand="0" w:firstRowFirstColumn="0" w:firstRowLastColumn="0" w:lastRowFirstColumn="0" w:lastRowLastColumn="0"/>
              <w:rPr>
                <w:b w:val="0"/>
                <w:bCs w:val="0"/>
              </w:rPr>
            </w:pPr>
            <w:r>
              <w:rPr>
                <w:rStyle w:val="Strong"/>
                <w:rFonts w:eastAsiaTheme="majorEastAsia"/>
              </w:rPr>
              <w:t>SME-Focused Studies</w:t>
            </w:r>
          </w:p>
        </w:tc>
        <w:tc>
          <w:tcPr>
            <w:tcW w:w="0" w:type="auto"/>
            <w:hideMark/>
          </w:tcPr>
          <w:p w:rsidR="00AB26E1" w:rsidRDefault="00AB26E1" w:rsidP="00AB26E1">
            <w:pPr>
              <w:cnfStyle w:val="100000000000" w:firstRow="1" w:lastRow="0" w:firstColumn="0" w:lastColumn="0" w:oddVBand="0" w:evenVBand="0" w:oddHBand="0" w:evenHBand="0" w:firstRowFirstColumn="0" w:firstRowLastColumn="0" w:lastRowFirstColumn="0" w:lastRowLastColumn="0"/>
              <w:rPr>
                <w:b w:val="0"/>
                <w:bCs w:val="0"/>
              </w:rPr>
            </w:pPr>
            <w:r>
              <w:rPr>
                <w:rStyle w:val="Strong"/>
                <w:rFonts w:eastAsiaTheme="majorEastAsia"/>
              </w:rPr>
              <w:t>General Pharmaceutical Research</w:t>
            </w:r>
          </w:p>
        </w:tc>
      </w:tr>
      <w:tr w:rsidR="00AB26E1" w:rsidTr="00AB26E1">
        <w:tc>
          <w:tcPr>
            <w:cnfStyle w:val="001000000000" w:firstRow="0" w:lastRow="0" w:firstColumn="1" w:lastColumn="0" w:oddVBand="0" w:evenVBand="0" w:oddHBand="0" w:evenHBand="0" w:firstRowFirstColumn="0" w:firstRowLastColumn="0" w:lastRowFirstColumn="0" w:lastRowLastColumn="0"/>
            <w:tcW w:w="0" w:type="auto"/>
            <w:hideMark/>
          </w:tcPr>
          <w:p w:rsidR="00AB26E1" w:rsidRDefault="00AB26E1" w:rsidP="00AB26E1">
            <w:pPr>
              <w:rPr>
                <w:b w:val="0"/>
                <w:bCs w:val="0"/>
              </w:rPr>
            </w:pPr>
            <w:r>
              <w:rPr>
                <w:rStyle w:val="Strong"/>
                <w:rFonts w:eastAsiaTheme="majorEastAsia"/>
              </w:rPr>
              <w:t>Regulatory Barriers</w:t>
            </w:r>
          </w:p>
        </w:tc>
        <w:tc>
          <w:tcPr>
            <w:tcW w:w="0" w:type="auto"/>
            <w:hideMark/>
          </w:tcPr>
          <w:p w:rsidR="00AB26E1" w:rsidRDefault="00AB26E1" w:rsidP="00AB26E1">
            <w:pPr>
              <w:cnfStyle w:val="000000000000" w:firstRow="0" w:lastRow="0" w:firstColumn="0" w:lastColumn="0" w:oddVBand="0" w:evenVBand="0" w:oddHBand="0" w:evenHBand="0" w:firstRowFirstColumn="0" w:firstRowLastColumn="0" w:lastRowFirstColumn="0" w:lastRowLastColumn="0"/>
            </w:pPr>
            <w:r>
              <w:t>Limited research on SME-specific barriers</w:t>
            </w:r>
          </w:p>
        </w:tc>
        <w:tc>
          <w:tcPr>
            <w:tcW w:w="0" w:type="auto"/>
            <w:hideMark/>
          </w:tcPr>
          <w:p w:rsidR="00AB26E1" w:rsidRDefault="00AB26E1" w:rsidP="00AB26E1">
            <w:pPr>
              <w:cnfStyle w:val="000000000000" w:firstRow="0" w:lastRow="0" w:firstColumn="0" w:lastColumn="0" w:oddVBand="0" w:evenVBand="0" w:oddHBand="0" w:evenHBand="0" w:firstRowFirstColumn="0" w:firstRowLastColumn="0" w:lastRowFirstColumn="0" w:lastRowLastColumn="0"/>
            </w:pPr>
            <w:r>
              <w:t>Extensive research on regulatory frameworks in general</w:t>
            </w:r>
          </w:p>
        </w:tc>
      </w:tr>
      <w:tr w:rsidR="00AB26E1" w:rsidTr="00AB26E1">
        <w:tc>
          <w:tcPr>
            <w:cnfStyle w:val="001000000000" w:firstRow="0" w:lastRow="0" w:firstColumn="1" w:lastColumn="0" w:oddVBand="0" w:evenVBand="0" w:oddHBand="0" w:evenHBand="0" w:firstRowFirstColumn="0" w:firstRowLastColumn="0" w:lastRowFirstColumn="0" w:lastRowLastColumn="0"/>
            <w:tcW w:w="0" w:type="auto"/>
            <w:hideMark/>
          </w:tcPr>
          <w:p w:rsidR="00AB26E1" w:rsidRDefault="00AB26E1" w:rsidP="00AB26E1">
            <w:r>
              <w:rPr>
                <w:rStyle w:val="Strong"/>
                <w:rFonts w:eastAsiaTheme="majorEastAsia"/>
              </w:rPr>
              <w:t>Compliance Challenges</w:t>
            </w:r>
          </w:p>
        </w:tc>
        <w:tc>
          <w:tcPr>
            <w:tcW w:w="0" w:type="auto"/>
            <w:hideMark/>
          </w:tcPr>
          <w:p w:rsidR="00AB26E1" w:rsidRDefault="00AB26E1" w:rsidP="00AB26E1">
            <w:pPr>
              <w:cnfStyle w:val="000000000000" w:firstRow="0" w:lastRow="0" w:firstColumn="0" w:lastColumn="0" w:oddVBand="0" w:evenVBand="0" w:oddHBand="0" w:evenHBand="0" w:firstRowFirstColumn="0" w:firstRowLastColumn="0" w:lastRowFirstColumn="0" w:lastRowLastColumn="0"/>
            </w:pPr>
            <w:r>
              <w:t>Limited focus on financial and procedural challenges faced by SMEs</w:t>
            </w:r>
          </w:p>
        </w:tc>
        <w:tc>
          <w:tcPr>
            <w:tcW w:w="0" w:type="auto"/>
            <w:hideMark/>
          </w:tcPr>
          <w:p w:rsidR="00AB26E1" w:rsidRDefault="00AB26E1" w:rsidP="00AB26E1">
            <w:pPr>
              <w:cnfStyle w:val="000000000000" w:firstRow="0" w:lastRow="0" w:firstColumn="0" w:lastColumn="0" w:oddVBand="0" w:evenVBand="0" w:oddHBand="0" w:evenHBand="0" w:firstRowFirstColumn="0" w:firstRowLastColumn="0" w:lastRowFirstColumn="0" w:lastRowLastColumn="0"/>
            </w:pPr>
            <w:r>
              <w:t>General studies on compliance in the pharmaceutical industry</w:t>
            </w:r>
          </w:p>
        </w:tc>
      </w:tr>
      <w:tr w:rsidR="00AB26E1" w:rsidTr="00AB26E1">
        <w:tc>
          <w:tcPr>
            <w:cnfStyle w:val="001000000000" w:firstRow="0" w:lastRow="0" w:firstColumn="1" w:lastColumn="0" w:oddVBand="0" w:evenVBand="0" w:oddHBand="0" w:evenHBand="0" w:firstRowFirstColumn="0" w:firstRowLastColumn="0" w:lastRowFirstColumn="0" w:lastRowLastColumn="0"/>
            <w:tcW w:w="0" w:type="auto"/>
            <w:hideMark/>
          </w:tcPr>
          <w:p w:rsidR="00AB26E1" w:rsidRDefault="00AB26E1" w:rsidP="00AB26E1">
            <w:r>
              <w:rPr>
                <w:rStyle w:val="Strong"/>
                <w:rFonts w:eastAsiaTheme="majorEastAsia"/>
              </w:rPr>
              <w:lastRenderedPageBreak/>
              <w:t>Impact of Regulatory Delays</w:t>
            </w:r>
          </w:p>
        </w:tc>
        <w:tc>
          <w:tcPr>
            <w:tcW w:w="0" w:type="auto"/>
            <w:hideMark/>
          </w:tcPr>
          <w:p w:rsidR="00AB26E1" w:rsidRDefault="00AB26E1" w:rsidP="00AB26E1">
            <w:pPr>
              <w:cnfStyle w:val="000000000000" w:firstRow="0" w:lastRow="0" w:firstColumn="0" w:lastColumn="0" w:oddVBand="0" w:evenVBand="0" w:oddHBand="0" w:evenHBand="0" w:firstRowFirstColumn="0" w:firstRowLastColumn="0" w:lastRowFirstColumn="0" w:lastRowLastColumn="0"/>
            </w:pPr>
            <w:r>
              <w:t>No direct analysis of SMEs' experiences with delays</w:t>
            </w:r>
          </w:p>
        </w:tc>
        <w:tc>
          <w:tcPr>
            <w:tcW w:w="0" w:type="auto"/>
            <w:hideMark/>
          </w:tcPr>
          <w:p w:rsidR="00AB26E1" w:rsidRDefault="00AB26E1" w:rsidP="00AB26E1">
            <w:pPr>
              <w:cnfStyle w:val="000000000000" w:firstRow="0" w:lastRow="0" w:firstColumn="0" w:lastColumn="0" w:oddVBand="0" w:evenVBand="0" w:oddHBand="0" w:evenHBand="0" w:firstRowFirstColumn="0" w:firstRowLastColumn="0" w:lastRowFirstColumn="0" w:lastRowLastColumn="0"/>
            </w:pPr>
            <w:r>
              <w:t>Analysis of delays in general pharmaceutical imports</w:t>
            </w:r>
          </w:p>
        </w:tc>
      </w:tr>
      <w:tr w:rsidR="00AB26E1" w:rsidTr="00AB26E1">
        <w:tc>
          <w:tcPr>
            <w:cnfStyle w:val="001000000000" w:firstRow="0" w:lastRow="0" w:firstColumn="1" w:lastColumn="0" w:oddVBand="0" w:evenVBand="0" w:oddHBand="0" w:evenHBand="0" w:firstRowFirstColumn="0" w:firstRowLastColumn="0" w:lastRowFirstColumn="0" w:lastRowLastColumn="0"/>
            <w:tcW w:w="0" w:type="auto"/>
            <w:hideMark/>
          </w:tcPr>
          <w:p w:rsidR="00AB26E1" w:rsidRDefault="00AB26E1" w:rsidP="00AB26E1">
            <w:r>
              <w:rPr>
                <w:rStyle w:val="Strong"/>
                <w:rFonts w:eastAsiaTheme="majorEastAsia"/>
              </w:rPr>
              <w:t>Policy and Regulatory Reforms</w:t>
            </w:r>
          </w:p>
        </w:tc>
        <w:tc>
          <w:tcPr>
            <w:tcW w:w="0" w:type="auto"/>
            <w:hideMark/>
          </w:tcPr>
          <w:p w:rsidR="00AB26E1" w:rsidRDefault="00AB26E1" w:rsidP="00AB26E1">
            <w:pPr>
              <w:cnfStyle w:val="000000000000" w:firstRow="0" w:lastRow="0" w:firstColumn="0" w:lastColumn="0" w:oddVBand="0" w:evenVBand="0" w:oddHBand="0" w:evenHBand="0" w:firstRowFirstColumn="0" w:firstRowLastColumn="0" w:lastRowFirstColumn="0" w:lastRowLastColumn="0"/>
            </w:pPr>
            <w:r>
              <w:t>Lack of SME-specific policy recommendations</w:t>
            </w:r>
          </w:p>
        </w:tc>
        <w:tc>
          <w:tcPr>
            <w:tcW w:w="0" w:type="auto"/>
            <w:hideMark/>
          </w:tcPr>
          <w:p w:rsidR="00AB26E1" w:rsidRDefault="00AB26E1" w:rsidP="00AB26E1">
            <w:pPr>
              <w:cnfStyle w:val="000000000000" w:firstRow="0" w:lastRow="0" w:firstColumn="0" w:lastColumn="0" w:oddVBand="0" w:evenVBand="0" w:oddHBand="0" w:evenHBand="0" w:firstRowFirstColumn="0" w:firstRowLastColumn="0" w:lastRowFirstColumn="0" w:lastRowLastColumn="0"/>
            </w:pPr>
            <w:r>
              <w:t>Broad policy discussions on drug importation</w:t>
            </w:r>
          </w:p>
        </w:tc>
      </w:tr>
      <w:tr w:rsidR="00AB26E1" w:rsidTr="00AB26E1">
        <w:tc>
          <w:tcPr>
            <w:cnfStyle w:val="001000000000" w:firstRow="0" w:lastRow="0" w:firstColumn="1" w:lastColumn="0" w:oddVBand="0" w:evenVBand="0" w:oddHBand="0" w:evenHBand="0" w:firstRowFirstColumn="0" w:firstRowLastColumn="0" w:lastRowFirstColumn="0" w:lastRowLastColumn="0"/>
            <w:tcW w:w="0" w:type="auto"/>
            <w:hideMark/>
          </w:tcPr>
          <w:p w:rsidR="00AB26E1" w:rsidRDefault="00AB26E1" w:rsidP="00AB26E1">
            <w:r>
              <w:rPr>
                <w:rStyle w:val="Strong"/>
                <w:rFonts w:eastAsiaTheme="majorEastAsia"/>
              </w:rPr>
              <w:t>Market Access for SMEs</w:t>
            </w:r>
          </w:p>
        </w:tc>
        <w:tc>
          <w:tcPr>
            <w:tcW w:w="0" w:type="auto"/>
            <w:hideMark/>
          </w:tcPr>
          <w:p w:rsidR="00AB26E1" w:rsidRDefault="00AB26E1" w:rsidP="00AB26E1">
            <w:pPr>
              <w:cnfStyle w:val="000000000000" w:firstRow="0" w:lastRow="0" w:firstColumn="0" w:lastColumn="0" w:oddVBand="0" w:evenVBand="0" w:oddHBand="0" w:evenHBand="0" w:firstRowFirstColumn="0" w:firstRowLastColumn="0" w:lastRowFirstColumn="0" w:lastRowLastColumn="0"/>
            </w:pPr>
            <w:r>
              <w:t>Neglected in most studies</w:t>
            </w:r>
          </w:p>
        </w:tc>
        <w:tc>
          <w:tcPr>
            <w:tcW w:w="0" w:type="auto"/>
            <w:hideMark/>
          </w:tcPr>
          <w:p w:rsidR="00AB26E1" w:rsidRDefault="00AB26E1" w:rsidP="00AB26E1">
            <w:pPr>
              <w:cnfStyle w:val="000000000000" w:firstRow="0" w:lastRow="0" w:firstColumn="0" w:lastColumn="0" w:oddVBand="0" w:evenVBand="0" w:oddHBand="0" w:evenHBand="0" w:firstRowFirstColumn="0" w:firstRowLastColumn="0" w:lastRowFirstColumn="0" w:lastRowLastColumn="0"/>
            </w:pPr>
            <w:r>
              <w:t>Consideration of market access for large enterprises</w:t>
            </w:r>
          </w:p>
        </w:tc>
      </w:tr>
    </w:tbl>
    <w:p w:rsidR="00F722C2" w:rsidRDefault="00F722C2" w:rsidP="00591B72"/>
    <w:p w:rsidR="00F722C2" w:rsidRDefault="00A23247" w:rsidP="00F722C2">
      <w:pPr>
        <w:pStyle w:val="Heading2"/>
        <w:rPr>
          <w:rFonts w:ascii="Times New Roman" w:hAnsi="Times New Roman"/>
          <w:sz w:val="27"/>
          <w:lang w:val="en-US" w:eastAsia="en-US"/>
        </w:rPr>
      </w:pPr>
      <w:bookmarkStart w:id="51" w:name="_Toc220873927"/>
      <w:r>
        <w:t>2.13</w:t>
      </w:r>
      <w:r w:rsidR="00F722C2">
        <w:t xml:space="preserve"> </w:t>
      </w:r>
      <w:r w:rsidR="00F722C2">
        <w:rPr>
          <w:rStyle w:val="Strong"/>
          <w:b/>
          <w:bCs w:val="0"/>
        </w:rPr>
        <w:t>Conclusion</w:t>
      </w:r>
      <w:bookmarkEnd w:id="51"/>
    </w:p>
    <w:p w:rsidR="00434669" w:rsidRDefault="005E35FC" w:rsidP="005E35FC">
      <w:r w:rsidRPr="005E35FC">
        <w:rPr>
          <w:lang w:val="en-US" w:eastAsia="en-US"/>
        </w:rPr>
        <w:t>The literature review shows that the pharmaceutical importing sector in Bangladesh has serious obstacles due to bureaucratic delays, the complexity of regulatory requirements and compliance costs that tend to impact on firms with a low administrative capacity. These results prove the topicality of the research questions and the relevance of the qualitative documentary method to consider the procedural complexity, compliance burdens, approval delays, and the dynamics of enforcement.</w:t>
      </w:r>
      <w:r w:rsidR="00434669">
        <w:br w:type="page"/>
      </w:r>
    </w:p>
    <w:p w:rsidR="00470C1E" w:rsidRDefault="00470C1E" w:rsidP="00434669">
      <w:pPr>
        <w:pStyle w:val="Heading1"/>
        <w:jc w:val="center"/>
      </w:pPr>
      <w:bookmarkStart w:id="52" w:name="_Toc220873928"/>
    </w:p>
    <w:p w:rsidR="00434669" w:rsidRDefault="00434669" w:rsidP="00434669">
      <w:pPr>
        <w:pStyle w:val="Heading1"/>
        <w:jc w:val="center"/>
      </w:pPr>
      <w:r>
        <w:t xml:space="preserve">Chapter 3. </w:t>
      </w:r>
      <w:r w:rsidRPr="00434669">
        <w:t>Research Methodology</w:t>
      </w:r>
      <w:bookmarkEnd w:id="52"/>
      <w:r w:rsidRPr="00434669">
        <w:t xml:space="preserve"> </w:t>
      </w:r>
    </w:p>
    <w:p w:rsidR="00C9281B" w:rsidRDefault="00C9281B" w:rsidP="00C9281B">
      <w:pPr>
        <w:pStyle w:val="Heading2"/>
        <w:rPr>
          <w:rFonts w:ascii="Times New Roman" w:hAnsi="Times New Roman"/>
          <w:sz w:val="27"/>
          <w:lang w:val="en-US" w:eastAsia="en-US"/>
        </w:rPr>
      </w:pPr>
      <w:bookmarkStart w:id="53" w:name="_Toc220873929"/>
      <w:r>
        <w:rPr>
          <w:rStyle w:val="Strong"/>
          <w:b/>
          <w:bCs w:val="0"/>
        </w:rPr>
        <w:t>3.1 Introduction</w:t>
      </w:r>
      <w:bookmarkEnd w:id="53"/>
      <w:r>
        <w:rPr>
          <w:rStyle w:val="Strong"/>
          <w:b/>
          <w:bCs w:val="0"/>
        </w:rPr>
        <w:t xml:space="preserve"> </w:t>
      </w:r>
    </w:p>
    <w:p w:rsidR="000821AE" w:rsidRDefault="000821AE" w:rsidP="000821AE">
      <w:pPr>
        <w:rPr>
          <w:b/>
        </w:rPr>
      </w:pPr>
      <w:r w:rsidRPr="000821AE">
        <w:t xml:space="preserve">This chapter describes the research methodology to be used in examining the barriers to trade that SMEs encounter in the process of importing drugs in Bangladesh. It describes the philosophy of research, methodology, and design, which justifies the </w:t>
      </w:r>
      <w:proofErr w:type="spellStart"/>
      <w:r w:rsidRPr="000821AE">
        <w:t>interpretivist</w:t>
      </w:r>
      <w:proofErr w:type="spellEnd"/>
      <w:r w:rsidRPr="000821AE">
        <w:t>, inductive, qualitative, documentary analysis. The sources of data, sampling strategy, analytical processes, and ethical issues outlined in the chapter show that the selected methodology suits the study of regulatory processes, administrative burden, and policy adherence in the pharmaceutical import system.</w:t>
      </w:r>
    </w:p>
    <w:p w:rsidR="009B1ECA" w:rsidRPr="00E2675B" w:rsidRDefault="00C9281B" w:rsidP="00E2675B">
      <w:pPr>
        <w:pStyle w:val="Heading2"/>
      </w:pPr>
      <w:bookmarkStart w:id="54" w:name="_Toc220873930"/>
      <w:r>
        <w:t>3.2</w:t>
      </w:r>
      <w:r w:rsidR="009B1ECA" w:rsidRPr="00E2675B">
        <w:t xml:space="preserve"> Research aim and research questions</w:t>
      </w:r>
      <w:bookmarkEnd w:id="54"/>
    </w:p>
    <w:p w:rsidR="001A1432" w:rsidRDefault="001A1432" w:rsidP="001A1432">
      <w:r>
        <w:t>This chapter describes the methodological choices that were applied to explore trade barriers that affect the Bangladeshi SMEs seeking to acquire drug import licences/approvals. It is created to provide methodological transparency and to show that the selected methods are consistent with the focus of the dissertation on the regulatory procedures, the administrative load, and implementation of the policies in the pharmaceutical import system.</w:t>
      </w:r>
    </w:p>
    <w:p w:rsidR="001A1432" w:rsidRDefault="001A1432" w:rsidP="001A1432">
      <w:r>
        <w:t>This study will be conducted with the objective of exploring those trade barriers that affect SMEs in obtaining import license of drugs in Bangladesh.</w:t>
      </w:r>
    </w:p>
    <w:p w:rsidR="00E2675B" w:rsidRPr="00EC2B8F" w:rsidRDefault="009B1ECA" w:rsidP="001A1432">
      <w:r w:rsidRPr="00EC2B8F">
        <w:t>Aim:</w:t>
      </w:r>
    </w:p>
    <w:p w:rsidR="009B1ECA" w:rsidRDefault="009B1ECA" w:rsidP="00E2675B">
      <w:pPr>
        <w:pStyle w:val="ListParagraph"/>
        <w:numPr>
          <w:ilvl w:val="0"/>
          <w:numId w:val="5"/>
        </w:numPr>
      </w:pPr>
      <w:r>
        <w:t>To investigate the trade barriers faced by SMEs in obtaining import licenses for drugs in Bangladesh.</w:t>
      </w:r>
    </w:p>
    <w:p w:rsidR="009B1ECA" w:rsidRDefault="009B1ECA" w:rsidP="00E2675B">
      <w:r>
        <w:t>The study is guided by the following research questions:</w:t>
      </w:r>
    </w:p>
    <w:p w:rsidR="00E2675B" w:rsidRDefault="009B1ECA" w:rsidP="00E2675B">
      <w:pPr>
        <w:pStyle w:val="ListParagraph"/>
        <w:numPr>
          <w:ilvl w:val="0"/>
          <w:numId w:val="5"/>
        </w:numPr>
      </w:pPr>
      <w:r>
        <w:t>What are the key trade barriers faced by SMEs in obtaining import licenses for drugs in Bangladesh?</w:t>
      </w:r>
    </w:p>
    <w:p w:rsidR="00E2675B" w:rsidRDefault="009B1ECA" w:rsidP="00E2675B">
      <w:pPr>
        <w:pStyle w:val="ListParagraph"/>
        <w:numPr>
          <w:ilvl w:val="0"/>
          <w:numId w:val="5"/>
        </w:numPr>
      </w:pPr>
      <w:r>
        <w:t>How do these barriers affect the operational efficiency of SMEs?</w:t>
      </w:r>
    </w:p>
    <w:p w:rsidR="009B1ECA" w:rsidRDefault="009B1ECA" w:rsidP="00E2675B">
      <w:pPr>
        <w:pStyle w:val="ListParagraph"/>
        <w:numPr>
          <w:ilvl w:val="0"/>
          <w:numId w:val="5"/>
        </w:numPr>
      </w:pPr>
      <w:r>
        <w:lastRenderedPageBreak/>
        <w:t>What policy changes can be recommended to mitigate these barriers?</w:t>
      </w:r>
    </w:p>
    <w:p w:rsidR="001A1432" w:rsidRDefault="001A1432" w:rsidP="001A1432">
      <w:pPr>
        <w:rPr>
          <w:b/>
        </w:rPr>
      </w:pPr>
      <w:r w:rsidRPr="001A1432">
        <w:t>Since the questions relating to the operation of the rules are interested in their practical functioning (such as the complexity of procedures, delays, compliance needs, and enforcement dynamics), the research does not consider the measurement of these phenomena with the help of primary-field instruments, but prefers to discover the interpretive knowledge based on documentary information.</w:t>
      </w:r>
    </w:p>
    <w:p w:rsidR="009B1ECA" w:rsidRDefault="00C9281B" w:rsidP="009B1ECA">
      <w:pPr>
        <w:pStyle w:val="Heading2"/>
      </w:pPr>
      <w:bookmarkStart w:id="55" w:name="_Toc220873931"/>
      <w:r>
        <w:t>3.3</w:t>
      </w:r>
      <w:r w:rsidR="009B1ECA">
        <w:t xml:space="preserve"> Research philosophy and epistemological stance</w:t>
      </w:r>
      <w:bookmarkEnd w:id="55"/>
    </w:p>
    <w:p w:rsidR="001A1432" w:rsidRPr="001A1432" w:rsidRDefault="001A1432" w:rsidP="001A1432">
      <w:r w:rsidRPr="001A1432">
        <w:t xml:space="preserve">The research is based on an </w:t>
      </w:r>
      <w:proofErr w:type="spellStart"/>
      <w:r w:rsidRPr="001A1432">
        <w:t>interpretivist</w:t>
      </w:r>
      <w:proofErr w:type="spellEnd"/>
      <w:r w:rsidRPr="001A1432">
        <w:t xml:space="preserve"> philosophical stance. </w:t>
      </w:r>
      <w:proofErr w:type="spellStart"/>
      <w:r w:rsidRPr="001A1432">
        <w:t>Interpretivism</w:t>
      </w:r>
      <w:proofErr w:type="spellEnd"/>
      <w:r w:rsidRPr="001A1432">
        <w:t xml:space="preserve"> is suitable in cases where the aim of the research is to comprehend the way actors and institutions build and utilize sense in a particular situation, as opposed to trying to measure universal laws of causation. The regulatory environment is approached as a socially organised system in this dissertation where formal rules (Acts, policies, guidelines) are involved in interactions with administrative routines (procedures, forms, approvals) and compliance expectations (quality standards, documentation, inspections) (Saunders et al., 2016). In line with the reasoning of the Research Onion, the </w:t>
      </w:r>
      <w:proofErr w:type="spellStart"/>
      <w:r w:rsidRPr="001A1432">
        <w:t>interpretivist</w:t>
      </w:r>
      <w:proofErr w:type="spellEnd"/>
      <w:r w:rsidRPr="001A1432">
        <w:t xml:space="preserve"> perspective can be used as it allows a qualitative design as the main activity is to interpret how regulatory texts, procedural requirements and official guidance are transformed into operational burdens of the SMEs.</w:t>
      </w:r>
    </w:p>
    <w:p w:rsidR="001A1432" w:rsidRDefault="001A1432" w:rsidP="001A1432">
      <w:pPr>
        <w:rPr>
          <w:b/>
        </w:rPr>
      </w:pPr>
      <w:r w:rsidRPr="001A1432">
        <w:t xml:space="preserve">This </w:t>
      </w:r>
      <w:proofErr w:type="spellStart"/>
      <w:r w:rsidRPr="001A1432">
        <w:t>interpretivism</w:t>
      </w:r>
      <w:proofErr w:type="spellEnd"/>
      <w:r w:rsidRPr="001A1432">
        <w:t xml:space="preserve"> approach is also suitable to the theoretical framing of the dissertation. The administrative burden lens emphasises the costs of learning and compliance-costs of government facing processes on an organisation which may establish unequal opportunities of smaller firms (Petersen and Hansen, 2022). Simultaneously, the Good Regulatory Practices (GRP) focus on transparency, proportionality, consistency, and the quality of the processes, which can be measured with the help of official regulatory documents and guidance materials, such as international GRP guidance and publications by national regulators.</w:t>
      </w:r>
    </w:p>
    <w:p w:rsidR="009B1ECA" w:rsidRDefault="00C9281B" w:rsidP="001A1432">
      <w:pPr>
        <w:pStyle w:val="Heading2"/>
      </w:pPr>
      <w:bookmarkStart w:id="56" w:name="_Toc220873932"/>
      <w:r>
        <w:t>3.4</w:t>
      </w:r>
      <w:r w:rsidR="009B1ECA">
        <w:t xml:space="preserve"> Research approach</w:t>
      </w:r>
      <w:bookmarkEnd w:id="56"/>
    </w:p>
    <w:p w:rsidR="001A1432" w:rsidRDefault="001A1432" w:rsidP="001A1432">
      <w:pPr>
        <w:rPr>
          <w:b/>
        </w:rPr>
      </w:pPr>
      <w:r w:rsidRPr="001A1432">
        <w:t xml:space="preserve">The dissertation adheres to inductive research approach. The use of inductive approach is based on the fact that the study is not aiming to test a single hypothesis based on </w:t>
      </w:r>
      <w:r w:rsidRPr="001A1432">
        <w:lastRenderedPageBreak/>
        <w:t>predetermined variables; it aims to discover repeated patterns of obstacles (like documentary repetition, time uncertainty, process ambiguity, disproportionate costs) and develop a consistent explanation based on the observed themes in a variety of reliable sources (Saunders et al., 2016). This corresponds to the Research Onion logic where the methodological decisions are made based on the nature of research problem as well as the kind of knowledge desired. Induction is especially well adapted to a policy-administration context in which the barrier is commonly created by the interplay of multiple factors (legal design, procedural steps, administrative capacity, and expectations of compliance). Secondly, inductive strategy is enhanced in this dissertation by using administrative burden framework as a sensitising concept to centre the attention of learning and compliance demands on, yet leave the emergence of new themes based on the data.</w:t>
      </w:r>
    </w:p>
    <w:p w:rsidR="009B1ECA" w:rsidRDefault="00C9281B" w:rsidP="009B1ECA">
      <w:pPr>
        <w:pStyle w:val="Heading2"/>
      </w:pPr>
      <w:bookmarkStart w:id="57" w:name="_Toc220873933"/>
      <w:r>
        <w:t>3.5</w:t>
      </w:r>
      <w:r w:rsidR="009B1ECA">
        <w:t xml:space="preserve"> Research strategy and design</w:t>
      </w:r>
      <w:bookmarkEnd w:id="57"/>
    </w:p>
    <w:p w:rsidR="001A1432" w:rsidRPr="001A1432" w:rsidRDefault="001A1432" w:rsidP="000537E6">
      <w:r w:rsidRPr="001A1432">
        <w:t>The research design is a qualitative documentary analysis study that involves the analysis of documents that are secondary in nature</w:t>
      </w:r>
      <w:r w:rsidR="00470C1E" w:rsidRPr="00470C1E">
        <w:t xml:space="preserve"> (</w:t>
      </w:r>
      <w:proofErr w:type="spellStart"/>
      <w:r w:rsidR="00470C1E" w:rsidRPr="00470C1E">
        <w:t>Gorsky</w:t>
      </w:r>
      <w:proofErr w:type="spellEnd"/>
      <w:r w:rsidR="00470C1E" w:rsidRPr="00470C1E">
        <w:t xml:space="preserve"> and </w:t>
      </w:r>
      <w:proofErr w:type="spellStart"/>
      <w:r w:rsidR="00470C1E" w:rsidRPr="00470C1E">
        <w:t>Mold</w:t>
      </w:r>
      <w:proofErr w:type="spellEnd"/>
      <w:r w:rsidR="00470C1E" w:rsidRPr="00470C1E">
        <w:t>, 2019)</w:t>
      </w:r>
      <w:r w:rsidRPr="001A1432">
        <w:t>. Document analysis is suitable when the object of inquiry is encrypted within written systems laws, policies, regulatory guidelines, official procedures, circulars, and reputable industry reports and when the choice, appraisal, and interpretation of texts are to be employed in a systematic procedure.</w:t>
      </w:r>
    </w:p>
    <w:p w:rsidR="001A1432" w:rsidRDefault="001A1432" w:rsidP="001A1432">
      <w:pPr>
        <w:rPr>
          <w:b/>
        </w:rPr>
      </w:pPr>
      <w:r w:rsidRPr="001A1432">
        <w:t>Interviews, focus groups and surveys are therefore not used in this dissertation. The choice not to use interviews is in line with limitations mentioned in the dissertation and the possibility of providing responses to the research questions based on high-quality written evidence</w:t>
      </w:r>
      <w:r w:rsidR="000537E6">
        <w:t xml:space="preserve"> </w:t>
      </w:r>
      <w:r w:rsidR="000537E6" w:rsidRPr="001A1432">
        <w:t>(Morrison, 2014)</w:t>
      </w:r>
      <w:r w:rsidRPr="001A1432">
        <w:t>. The licensing system is officially outlined in the official documents, and most of the operational effects (delays, compliance costs, complexity of the procedure) are articulated in peer-reviewed studies and authoritative institutional reports (</w:t>
      </w:r>
      <w:proofErr w:type="spellStart"/>
      <w:r w:rsidRPr="001A1432">
        <w:t>Nowell</w:t>
      </w:r>
      <w:proofErr w:type="spellEnd"/>
      <w:r w:rsidRPr="001A1432">
        <w:t xml:space="preserve"> et al., 2017). The design selection also helps in the replicability of the qualitative meaning: the reader can follow the documents that were used, the logic of coding, and the rationale between the themes and the research questions.</w:t>
      </w:r>
    </w:p>
    <w:p w:rsidR="009B1ECA" w:rsidRDefault="00C9281B" w:rsidP="001A1432">
      <w:pPr>
        <w:pStyle w:val="Heading2"/>
      </w:pPr>
      <w:bookmarkStart w:id="58" w:name="_Toc220873934"/>
      <w:r>
        <w:lastRenderedPageBreak/>
        <w:t>3.6</w:t>
      </w:r>
      <w:r w:rsidR="009B1ECA">
        <w:t xml:space="preserve"> Data types and documentary sources</w:t>
      </w:r>
      <w:bookmarkEnd w:id="58"/>
    </w:p>
    <w:p w:rsidR="001A1432" w:rsidRPr="001A1432" w:rsidRDefault="001A1432" w:rsidP="001A1432">
      <w:r w:rsidRPr="001A1432">
        <w:t>The paper relies on secondary documentary information since the research issue is essentially regarding regulatory structure and administrative practice. The documentary information comprises of four broad categories.</w:t>
      </w:r>
    </w:p>
    <w:p w:rsidR="001A1432" w:rsidRDefault="001A1432" w:rsidP="000537E6">
      <w:pPr>
        <w:rPr>
          <w:b/>
        </w:rPr>
      </w:pPr>
      <w:r w:rsidRPr="001A1432">
        <w:t xml:space="preserve">First, the formal requirements and the development of the regulatory framework, such as the existing legislation on drugs and cosmetics as well as the applicable national policy directions (e.g., Drug and Cosmetics Act 2023; National Drug Policy documentation where applicable), are established using legal and policy texts (Islam and Rahman, 2018). Second, the publications of regulatory authorities are the means to capture the processes and quality principles, which are stated by the regulator, such as DGDA guidelines, notices, and materials related to GRP (DGDA, 2023). Third, procedural </w:t>
      </w:r>
      <w:proofErr w:type="spellStart"/>
      <w:r w:rsidRPr="001A1432">
        <w:t>guidances</w:t>
      </w:r>
      <w:proofErr w:type="spellEnd"/>
      <w:r w:rsidRPr="001A1432">
        <w:t xml:space="preserve"> are official procedural descriptions of what businesses should do in practice such as the procedural </w:t>
      </w:r>
      <w:proofErr w:type="spellStart"/>
      <w:r w:rsidRPr="001A1432">
        <w:t>guidances</w:t>
      </w:r>
      <w:proofErr w:type="spellEnd"/>
      <w:r w:rsidRPr="001A1432">
        <w:t xml:space="preserve"> of the Bangladesh Trade Portal and step-by-step requirements where applicable to import licensing/approval procedures (Ministry of Commerce, 2017). Fourth, the triangulation of how the system is practiced, compliance burdens experienced, as well as impacts on smaller firms is done using peer-reviewed academic literature and credible institutional reports</w:t>
      </w:r>
      <w:r w:rsidR="000537E6">
        <w:t xml:space="preserve"> </w:t>
      </w:r>
      <w:r w:rsidR="000537E6" w:rsidRPr="001A1432">
        <w:t>(</w:t>
      </w:r>
      <w:proofErr w:type="spellStart"/>
      <w:r w:rsidR="000537E6" w:rsidRPr="001A1432">
        <w:t>Orubu</w:t>
      </w:r>
      <w:proofErr w:type="spellEnd"/>
      <w:r w:rsidR="000537E6" w:rsidRPr="001A1432">
        <w:t xml:space="preserve"> et al., 2022)</w:t>
      </w:r>
      <w:r w:rsidRPr="001A1432">
        <w:t>. Academic sources can also be used to review arguments presented in policy-making discussion and media coverage to offer evidence and methodological background.</w:t>
      </w:r>
    </w:p>
    <w:p w:rsidR="009B1ECA" w:rsidRDefault="009B1ECA" w:rsidP="00C9281B">
      <w:pPr>
        <w:pStyle w:val="Heading2"/>
      </w:pPr>
      <w:bookmarkStart w:id="59" w:name="_Toc220873935"/>
      <w:r>
        <w:t>3.</w:t>
      </w:r>
      <w:r w:rsidR="00C9281B">
        <w:t>7</w:t>
      </w:r>
      <w:r>
        <w:t xml:space="preserve"> Sampling strategy and document selection</w:t>
      </w:r>
      <w:bookmarkEnd w:id="59"/>
    </w:p>
    <w:p w:rsidR="001A1432" w:rsidRPr="001A1432" w:rsidRDefault="001A1432" w:rsidP="001A1432">
      <w:r w:rsidRPr="001A1432">
        <w:t>The sampling strategy is purposive document sampling since the unit of analysis is the document (not the participants). The purposive sampling is appropriate in the situation when documents are chosen based on their ability to address the research questions and shed light on the phenomenon of interest (Morrison, 2014). The dissertation uses explicit inclusion and exclusion logic to ensure that it safeguards rigour and minimises bias.</w:t>
      </w:r>
    </w:p>
    <w:p w:rsidR="000537E6" w:rsidRDefault="000537E6" w:rsidP="000537E6">
      <w:pPr>
        <w:rPr>
          <w:lang w:val="en-US" w:eastAsia="en-US"/>
        </w:rPr>
      </w:pPr>
      <w:r w:rsidRPr="000537E6">
        <w:rPr>
          <w:lang w:val="en-US" w:eastAsia="en-US"/>
        </w:rPr>
        <w:t xml:space="preserve">The inclusion will be through documents indicating, regulating, or evaluating the process of licensing or approval of drug imports in Bangladesh, deliberate on the administrative procedures, documentation, compliance expectations, timeframes, costs, or regulatory compliance, and have the potential to generate trustworthy evidence of effects on the </w:t>
      </w:r>
      <w:r w:rsidRPr="000537E6">
        <w:rPr>
          <w:lang w:val="en-US" w:eastAsia="en-US"/>
        </w:rPr>
        <w:lastRenderedPageBreak/>
        <w:t>SMEs or smaller licensing importers. Sources below the age of five have been prioritized because they present the present practices but the basic legal tools have also been used where needed to continue and offer interpretation to the regulation of the law.</w:t>
      </w:r>
    </w:p>
    <w:p w:rsidR="001A1432" w:rsidRDefault="001A1432" w:rsidP="001A1432">
      <w:pPr>
        <w:rPr>
          <w:b/>
          <w:bCs/>
          <w:i/>
          <w:iCs/>
        </w:rPr>
      </w:pPr>
      <w:r w:rsidRPr="001A1432">
        <w:t>Documents that are simply promotional, those without methodological transparency, or are making unsubstantiated claims; those that cannot be confirmed by credible sources; those that do not materially address the barriers to import licenses (such as documents that refer to non-comparable regulatory regimes, or other unrelated sectors).</w:t>
      </w:r>
    </w:p>
    <w:p w:rsidR="005A2FB1" w:rsidRDefault="005A2FB1" w:rsidP="001A1432">
      <w:pPr>
        <w:pStyle w:val="Caption"/>
      </w:pPr>
      <w:bookmarkStart w:id="60" w:name="_Toc217469700"/>
      <w:r>
        <w:t xml:space="preserve">Table </w:t>
      </w:r>
      <w:r>
        <w:fldChar w:fldCharType="begin"/>
      </w:r>
      <w:r>
        <w:instrText xml:space="preserve"> SEQ Table \* ARABIC </w:instrText>
      </w:r>
      <w:r>
        <w:fldChar w:fldCharType="separate"/>
      </w:r>
      <w:r w:rsidR="00BB5D78">
        <w:rPr>
          <w:noProof/>
        </w:rPr>
        <w:t>3</w:t>
      </w:r>
      <w:r>
        <w:fldChar w:fldCharType="end"/>
      </w:r>
      <w:r>
        <w:rPr>
          <w:lang w:val="en-US"/>
        </w:rPr>
        <w:t xml:space="preserve">: </w:t>
      </w:r>
      <w:r w:rsidRPr="0057044C">
        <w:rPr>
          <w:lang w:val="en-US"/>
        </w:rPr>
        <w:t xml:space="preserve">Documentary data sources and selection criteria </w:t>
      </w:r>
      <w:r w:rsidR="00DF5D80" w:rsidRPr="00DF5D80">
        <w:rPr>
          <w:lang w:val="en-US"/>
        </w:rPr>
        <w:t>(</w:t>
      </w:r>
      <w:proofErr w:type="spellStart"/>
      <w:r w:rsidR="00DF5D80" w:rsidRPr="00DF5D80">
        <w:rPr>
          <w:lang w:val="en-US"/>
        </w:rPr>
        <w:t>Babin</w:t>
      </w:r>
      <w:proofErr w:type="spellEnd"/>
      <w:r w:rsidR="00DF5D80" w:rsidRPr="00DF5D80">
        <w:rPr>
          <w:lang w:val="en-US"/>
        </w:rPr>
        <w:t xml:space="preserve"> et al., 2024)</w:t>
      </w:r>
      <w:bookmarkEnd w:id="60"/>
    </w:p>
    <w:tbl>
      <w:tblPr>
        <w:tblStyle w:val="GridTable1Light-Accent5"/>
        <w:tblW w:w="0" w:type="auto"/>
        <w:tblLook w:val="04A0" w:firstRow="1" w:lastRow="0" w:firstColumn="1" w:lastColumn="0" w:noHBand="0" w:noVBand="1"/>
      </w:tblPr>
      <w:tblGrid>
        <w:gridCol w:w="1781"/>
        <w:gridCol w:w="1879"/>
        <w:gridCol w:w="2646"/>
        <w:gridCol w:w="3044"/>
      </w:tblGrid>
      <w:tr w:rsidR="009B1ECA" w:rsidTr="005A2F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B1ECA" w:rsidRDefault="009B1ECA" w:rsidP="005A2FB1">
            <w:pPr>
              <w:rPr>
                <w:b w:val="0"/>
                <w:bCs w:val="0"/>
              </w:rPr>
            </w:pPr>
            <w:r>
              <w:rPr>
                <w:b w:val="0"/>
                <w:bCs w:val="0"/>
              </w:rPr>
              <w:t>Document category</w:t>
            </w:r>
          </w:p>
        </w:tc>
        <w:tc>
          <w:tcPr>
            <w:tcW w:w="0" w:type="auto"/>
            <w:hideMark/>
          </w:tcPr>
          <w:p w:rsidR="009B1ECA" w:rsidRDefault="009B1ECA" w:rsidP="005A2FB1">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Typical examples used in this study</w:t>
            </w:r>
          </w:p>
        </w:tc>
        <w:tc>
          <w:tcPr>
            <w:tcW w:w="0" w:type="auto"/>
            <w:hideMark/>
          </w:tcPr>
          <w:p w:rsidR="009B1ECA" w:rsidRDefault="009B1ECA" w:rsidP="005A2FB1">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Inclusion logic</w:t>
            </w:r>
          </w:p>
        </w:tc>
        <w:tc>
          <w:tcPr>
            <w:tcW w:w="0" w:type="auto"/>
            <w:hideMark/>
          </w:tcPr>
          <w:p w:rsidR="009B1ECA" w:rsidRDefault="009B1ECA" w:rsidP="005A2FB1">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Quality and credibility checks</w:t>
            </w:r>
          </w:p>
        </w:tc>
      </w:tr>
      <w:tr w:rsidR="009B1ECA" w:rsidTr="005A2FB1">
        <w:tc>
          <w:tcPr>
            <w:cnfStyle w:val="001000000000" w:firstRow="0" w:lastRow="0" w:firstColumn="1" w:lastColumn="0" w:oddVBand="0" w:evenVBand="0" w:oddHBand="0" w:evenHBand="0" w:firstRowFirstColumn="0" w:firstRowLastColumn="0" w:lastRowFirstColumn="0" w:lastRowLastColumn="0"/>
            <w:tcW w:w="0" w:type="auto"/>
            <w:hideMark/>
          </w:tcPr>
          <w:p w:rsidR="009B1ECA" w:rsidRDefault="009B1ECA" w:rsidP="005A2FB1">
            <w:r>
              <w:t>Legal and policy texts</w:t>
            </w:r>
          </w:p>
        </w:tc>
        <w:tc>
          <w:tcPr>
            <w:tcW w:w="0" w:type="auto"/>
            <w:hideMark/>
          </w:tcPr>
          <w:p w:rsidR="009B1ECA" w:rsidRDefault="009B1ECA" w:rsidP="005A2FB1">
            <w:pPr>
              <w:cnfStyle w:val="000000000000" w:firstRow="0" w:lastRow="0" w:firstColumn="0" w:lastColumn="0" w:oddVBand="0" w:evenVBand="0" w:oddHBand="0" w:evenHBand="0" w:firstRowFirstColumn="0" w:firstRowLastColumn="0" w:lastRowFirstColumn="0" w:lastRowLastColumn="0"/>
            </w:pPr>
            <w:r>
              <w:t>Acts, national policy documents, statutory instruments</w:t>
            </w:r>
          </w:p>
        </w:tc>
        <w:tc>
          <w:tcPr>
            <w:tcW w:w="0" w:type="auto"/>
            <w:hideMark/>
          </w:tcPr>
          <w:p w:rsidR="009B1ECA" w:rsidRDefault="009B1ECA" w:rsidP="005A2FB1">
            <w:pPr>
              <w:cnfStyle w:val="000000000000" w:firstRow="0" w:lastRow="0" w:firstColumn="0" w:lastColumn="0" w:oddVBand="0" w:evenVBand="0" w:oddHBand="0" w:evenHBand="0" w:firstRowFirstColumn="0" w:firstRowLastColumn="0" w:lastRowFirstColumn="0" w:lastRowLastColumn="0"/>
            </w:pPr>
            <w:r>
              <w:t>Establish formal legal duties and policy intent relevant to import licensing/approval</w:t>
            </w:r>
          </w:p>
        </w:tc>
        <w:tc>
          <w:tcPr>
            <w:tcW w:w="0" w:type="auto"/>
            <w:hideMark/>
          </w:tcPr>
          <w:p w:rsidR="009B1ECA" w:rsidRDefault="009B1ECA" w:rsidP="005A2FB1">
            <w:pPr>
              <w:cnfStyle w:val="000000000000" w:firstRow="0" w:lastRow="0" w:firstColumn="0" w:lastColumn="0" w:oddVBand="0" w:evenVBand="0" w:oddHBand="0" w:evenHBand="0" w:firstRowFirstColumn="0" w:firstRowLastColumn="0" w:lastRowFirstColumn="0" w:lastRowLastColumn="0"/>
            </w:pPr>
            <w:r>
              <w:t>Official publication source; version/date verified; cross-checked against regulator materials</w:t>
            </w:r>
          </w:p>
        </w:tc>
      </w:tr>
      <w:tr w:rsidR="009B1ECA" w:rsidTr="005A2FB1">
        <w:tc>
          <w:tcPr>
            <w:cnfStyle w:val="001000000000" w:firstRow="0" w:lastRow="0" w:firstColumn="1" w:lastColumn="0" w:oddVBand="0" w:evenVBand="0" w:oddHBand="0" w:evenHBand="0" w:firstRowFirstColumn="0" w:firstRowLastColumn="0" w:lastRowFirstColumn="0" w:lastRowLastColumn="0"/>
            <w:tcW w:w="0" w:type="auto"/>
            <w:hideMark/>
          </w:tcPr>
          <w:p w:rsidR="009B1ECA" w:rsidRDefault="009B1ECA" w:rsidP="005A2FB1">
            <w:r>
              <w:t>Regulator publications</w:t>
            </w:r>
          </w:p>
        </w:tc>
        <w:tc>
          <w:tcPr>
            <w:tcW w:w="0" w:type="auto"/>
            <w:hideMark/>
          </w:tcPr>
          <w:p w:rsidR="009B1ECA" w:rsidRDefault="009B1ECA" w:rsidP="005A2FB1">
            <w:pPr>
              <w:cnfStyle w:val="000000000000" w:firstRow="0" w:lastRow="0" w:firstColumn="0" w:lastColumn="0" w:oddVBand="0" w:evenVBand="0" w:oddHBand="0" w:evenHBand="0" w:firstRowFirstColumn="0" w:firstRowLastColumn="0" w:lastRowFirstColumn="0" w:lastRowLastColumn="0"/>
            </w:pPr>
            <w:r>
              <w:t>DGDA guidelines, GRP-related documents, notices, circulars</w:t>
            </w:r>
          </w:p>
        </w:tc>
        <w:tc>
          <w:tcPr>
            <w:tcW w:w="0" w:type="auto"/>
            <w:hideMark/>
          </w:tcPr>
          <w:p w:rsidR="009B1ECA" w:rsidRDefault="009B1ECA" w:rsidP="005A2FB1">
            <w:pPr>
              <w:cnfStyle w:val="000000000000" w:firstRow="0" w:lastRow="0" w:firstColumn="0" w:lastColumn="0" w:oddVBand="0" w:evenVBand="0" w:oddHBand="0" w:evenHBand="0" w:firstRowFirstColumn="0" w:firstRowLastColumn="0" w:lastRowFirstColumn="0" w:lastRowLastColumn="0"/>
            </w:pPr>
            <w:r>
              <w:t>Identify administrative steps, compliance expectations, stated service standards, and process-quality principles</w:t>
            </w:r>
          </w:p>
        </w:tc>
        <w:tc>
          <w:tcPr>
            <w:tcW w:w="0" w:type="auto"/>
            <w:hideMark/>
          </w:tcPr>
          <w:p w:rsidR="009B1ECA" w:rsidRDefault="009B1ECA" w:rsidP="005A2FB1">
            <w:pPr>
              <w:cnfStyle w:val="000000000000" w:firstRow="0" w:lastRow="0" w:firstColumn="0" w:lastColumn="0" w:oddVBand="0" w:evenVBand="0" w:oddHBand="0" w:evenHBand="0" w:firstRowFirstColumn="0" w:firstRowLastColumn="0" w:lastRowFirstColumn="0" w:lastRowLastColumn="0"/>
            </w:pPr>
            <w:r>
              <w:t>Official DGDA provenance; document integrity checked; corroborated by academic/institutional sources where possible</w:t>
            </w:r>
          </w:p>
        </w:tc>
      </w:tr>
      <w:tr w:rsidR="009B1ECA" w:rsidTr="005A2FB1">
        <w:tc>
          <w:tcPr>
            <w:cnfStyle w:val="001000000000" w:firstRow="0" w:lastRow="0" w:firstColumn="1" w:lastColumn="0" w:oddVBand="0" w:evenVBand="0" w:oddHBand="0" w:evenHBand="0" w:firstRowFirstColumn="0" w:firstRowLastColumn="0" w:lastRowFirstColumn="0" w:lastRowLastColumn="0"/>
            <w:tcW w:w="0" w:type="auto"/>
            <w:hideMark/>
          </w:tcPr>
          <w:p w:rsidR="009B1ECA" w:rsidRDefault="009B1ECA" w:rsidP="005A2FB1">
            <w:r>
              <w:t>Official procedure descriptions</w:t>
            </w:r>
          </w:p>
        </w:tc>
        <w:tc>
          <w:tcPr>
            <w:tcW w:w="0" w:type="auto"/>
            <w:hideMark/>
          </w:tcPr>
          <w:p w:rsidR="009B1ECA" w:rsidRDefault="009B1ECA" w:rsidP="005A2FB1">
            <w:pPr>
              <w:cnfStyle w:val="000000000000" w:firstRow="0" w:lastRow="0" w:firstColumn="0" w:lastColumn="0" w:oddVBand="0" w:evenVBand="0" w:oddHBand="0" w:evenHBand="0" w:firstRowFirstColumn="0" w:firstRowLastColumn="0" w:lastRowFirstColumn="0" w:lastRowLastColumn="0"/>
            </w:pPr>
            <w:r>
              <w:t>Bangladesh Trade Portal procedural steps and requirements</w:t>
            </w:r>
          </w:p>
        </w:tc>
        <w:tc>
          <w:tcPr>
            <w:tcW w:w="0" w:type="auto"/>
            <w:hideMark/>
          </w:tcPr>
          <w:p w:rsidR="009B1ECA" w:rsidRDefault="009B1ECA" w:rsidP="005A2FB1">
            <w:pPr>
              <w:cnfStyle w:val="000000000000" w:firstRow="0" w:lastRow="0" w:firstColumn="0" w:lastColumn="0" w:oddVBand="0" w:evenVBand="0" w:oddHBand="0" w:evenHBand="0" w:firstRowFirstColumn="0" w:firstRowLastColumn="0" w:lastRowFirstColumn="0" w:lastRowLastColumn="0"/>
            </w:pPr>
            <w:r>
              <w:t>Map required steps, documents, approvals, and institutional touchpoints</w:t>
            </w:r>
          </w:p>
        </w:tc>
        <w:tc>
          <w:tcPr>
            <w:tcW w:w="0" w:type="auto"/>
            <w:hideMark/>
          </w:tcPr>
          <w:p w:rsidR="009B1ECA" w:rsidRDefault="009B1ECA" w:rsidP="005A2FB1">
            <w:pPr>
              <w:cnfStyle w:val="000000000000" w:firstRow="0" w:lastRow="0" w:firstColumn="0" w:lastColumn="0" w:oddVBand="0" w:evenVBand="0" w:oddHBand="0" w:evenHBand="0" w:firstRowFirstColumn="0" w:firstRowLastColumn="0" w:lastRowFirstColumn="0" w:lastRowLastColumn="0"/>
            </w:pPr>
            <w:r>
              <w:t>Official portal provenance; consistency checked with DGDA guidance and academic discussion</w:t>
            </w:r>
          </w:p>
        </w:tc>
      </w:tr>
      <w:tr w:rsidR="009B1ECA" w:rsidTr="005A2FB1">
        <w:tc>
          <w:tcPr>
            <w:cnfStyle w:val="001000000000" w:firstRow="0" w:lastRow="0" w:firstColumn="1" w:lastColumn="0" w:oddVBand="0" w:evenVBand="0" w:oddHBand="0" w:evenHBand="0" w:firstRowFirstColumn="0" w:firstRowLastColumn="0" w:lastRowFirstColumn="0" w:lastRowLastColumn="0"/>
            <w:tcW w:w="0" w:type="auto"/>
            <w:hideMark/>
          </w:tcPr>
          <w:p w:rsidR="009B1ECA" w:rsidRDefault="009B1ECA" w:rsidP="005A2FB1">
            <w:r>
              <w:lastRenderedPageBreak/>
              <w:t>Research and institutional evidence</w:t>
            </w:r>
          </w:p>
        </w:tc>
        <w:tc>
          <w:tcPr>
            <w:tcW w:w="0" w:type="auto"/>
            <w:hideMark/>
          </w:tcPr>
          <w:p w:rsidR="009B1ECA" w:rsidRDefault="009B1ECA" w:rsidP="005A2FB1">
            <w:pPr>
              <w:cnfStyle w:val="000000000000" w:firstRow="0" w:lastRow="0" w:firstColumn="0" w:lastColumn="0" w:oddVBand="0" w:evenVBand="0" w:oddHBand="0" w:evenHBand="0" w:firstRowFirstColumn="0" w:firstRowLastColumn="0" w:lastRowFirstColumn="0" w:lastRowLastColumn="0"/>
            </w:pPr>
            <w:r>
              <w:t>Peer-reviewed papers; credible institutional reports</w:t>
            </w:r>
          </w:p>
        </w:tc>
        <w:tc>
          <w:tcPr>
            <w:tcW w:w="0" w:type="auto"/>
            <w:hideMark/>
          </w:tcPr>
          <w:p w:rsidR="009B1ECA" w:rsidRDefault="009B1ECA" w:rsidP="005A2FB1">
            <w:pPr>
              <w:cnfStyle w:val="000000000000" w:firstRow="0" w:lastRow="0" w:firstColumn="0" w:lastColumn="0" w:oddVBand="0" w:evenVBand="0" w:oddHBand="0" w:evenHBand="0" w:firstRowFirstColumn="0" w:firstRowLastColumn="0" w:lastRowFirstColumn="0" w:lastRowLastColumn="0"/>
            </w:pPr>
            <w:r>
              <w:t>Triangulate how barriers operate in practice and their operational effects on firms</w:t>
            </w:r>
          </w:p>
        </w:tc>
        <w:tc>
          <w:tcPr>
            <w:tcW w:w="0" w:type="auto"/>
            <w:hideMark/>
          </w:tcPr>
          <w:p w:rsidR="009B1ECA" w:rsidRDefault="009B1ECA" w:rsidP="005A2FB1">
            <w:pPr>
              <w:cnfStyle w:val="000000000000" w:firstRow="0" w:lastRow="0" w:firstColumn="0" w:lastColumn="0" w:oddVBand="0" w:evenVBand="0" w:oddHBand="0" w:evenHBand="0" w:firstRowFirstColumn="0" w:firstRowLastColumn="0" w:lastRowFirstColumn="0" w:lastRowLastColumn="0"/>
            </w:pPr>
            <w:r>
              <w:t xml:space="preserve">Peer review status and citation trail; institutional credibility; methodological clarity; </w:t>
            </w:r>
            <w:proofErr w:type="spellStart"/>
            <w:r>
              <w:t>recency</w:t>
            </w:r>
            <w:proofErr w:type="spellEnd"/>
          </w:p>
        </w:tc>
      </w:tr>
    </w:tbl>
    <w:p w:rsidR="009B1ECA" w:rsidRDefault="00C9281B" w:rsidP="009B1ECA">
      <w:pPr>
        <w:pStyle w:val="Heading2"/>
      </w:pPr>
      <w:bookmarkStart w:id="61" w:name="_Toc220873936"/>
      <w:r>
        <w:t>3.8</w:t>
      </w:r>
      <w:r w:rsidR="009B1ECA">
        <w:t xml:space="preserve"> Data collection procedures and data management</w:t>
      </w:r>
      <w:bookmarkEnd w:id="61"/>
    </w:p>
    <w:p w:rsidR="00DE3477" w:rsidRPr="00DE3477" w:rsidRDefault="00DE3477" w:rsidP="000537E6">
      <w:r w:rsidRPr="00DE3477">
        <w:t>Data were collected through a systematic retrieval of files in officially sanctioned regulator websites, official portals and scholarly databases. To note down all the metadata (title, author/organisation, year of publication, issuing body, type of document and relevance to particular research questions) of every item, a structured document register was developed</w:t>
      </w:r>
      <w:r w:rsidR="000537E6">
        <w:t xml:space="preserve"> </w:t>
      </w:r>
      <w:r w:rsidR="000537E6" w:rsidRPr="00DE3477">
        <w:t>(</w:t>
      </w:r>
      <w:proofErr w:type="spellStart"/>
      <w:r w:rsidR="000537E6" w:rsidRPr="00DE3477">
        <w:t>Nowell</w:t>
      </w:r>
      <w:proofErr w:type="spellEnd"/>
      <w:r w:rsidR="000537E6" w:rsidRPr="00DE3477">
        <w:t xml:space="preserve"> et al., 2017)</w:t>
      </w:r>
      <w:r w:rsidRPr="00DE3477">
        <w:t>. Such a register is an audit trail, which promotes transparency and allows an outside reader to comprehend the process of assembling the evidence base.</w:t>
      </w:r>
    </w:p>
    <w:p w:rsidR="000C7756" w:rsidRDefault="000C7756" w:rsidP="00E866B8">
      <w:pPr>
        <w:rPr>
          <w:b/>
        </w:rPr>
      </w:pPr>
      <w:r w:rsidRPr="000C7756">
        <w:t>To ensure that there was analytic consistency, a standard extraction template was used to summarize each document where feasible and the whole document was read. This process was to capture steps in licensing or approval, documentary conditions, schedule anticipations or uncertainties, plausible fee or cost references, compliance anticipations including in the event that there are GMP or quality assurance obligations, as well as the asserted effects on SMEs, including access limitations in the market, risks of disruption, or compliance expenses</w:t>
      </w:r>
      <w:r w:rsidR="00E866B8">
        <w:t xml:space="preserve"> </w:t>
      </w:r>
      <w:r w:rsidR="00E866B8" w:rsidRPr="000C7756">
        <w:t>(</w:t>
      </w:r>
      <w:proofErr w:type="spellStart"/>
      <w:r w:rsidR="00E866B8" w:rsidRPr="000C7756">
        <w:t>Babin</w:t>
      </w:r>
      <w:proofErr w:type="spellEnd"/>
      <w:r w:rsidR="00E866B8" w:rsidRPr="000C7756">
        <w:t xml:space="preserve"> et al., 2024)</w:t>
      </w:r>
      <w:r w:rsidRPr="000C7756">
        <w:t>. The tabular extraction will minimise the chances of selective reading since the same categories will be examined in all the documents used in the present investigation.</w:t>
      </w:r>
    </w:p>
    <w:p w:rsidR="009B1ECA" w:rsidRDefault="00C9281B" w:rsidP="00DE3477">
      <w:pPr>
        <w:pStyle w:val="Heading2"/>
      </w:pPr>
      <w:bookmarkStart w:id="62" w:name="_Toc220873937"/>
      <w:r>
        <w:t>3.9</w:t>
      </w:r>
      <w:r w:rsidR="009B1ECA">
        <w:t xml:space="preserve"> Data analysis procedures</w:t>
      </w:r>
      <w:bookmarkEnd w:id="62"/>
    </w:p>
    <w:p w:rsidR="00DE3477" w:rsidRPr="00DE3477" w:rsidRDefault="00DE3477" w:rsidP="00DE3477">
      <w:r w:rsidRPr="00DE3477">
        <w:t xml:space="preserve">The </w:t>
      </w:r>
      <w:proofErr w:type="spellStart"/>
      <w:r w:rsidRPr="00DE3477">
        <w:t>analyzed</w:t>
      </w:r>
      <w:proofErr w:type="spellEnd"/>
      <w:r w:rsidRPr="00DE3477">
        <w:t xml:space="preserve"> data is conducted by thematic analysis to reveal and extract common patterns in the documentary data. Theoretical analysis should be used when a researcher aims to derive well-substantiated themes to describe a phenomenon that is observed in a collection of qualitative data (</w:t>
      </w:r>
      <w:proofErr w:type="spellStart"/>
      <w:r w:rsidRPr="00DE3477">
        <w:t>Babin</w:t>
      </w:r>
      <w:proofErr w:type="spellEnd"/>
      <w:r w:rsidRPr="00DE3477">
        <w:t xml:space="preserve"> et al., 2024</w:t>
      </w:r>
      <w:proofErr w:type="gramStart"/>
      <w:r w:rsidRPr="00DE3477">
        <w:t>) .</w:t>
      </w:r>
      <w:proofErr w:type="gramEnd"/>
      <w:r w:rsidRPr="00DE3477">
        <w:t xml:space="preserve"> It is also consistent with the inductive logic of the dissertation since the themes are built based on repeated interactions with the data, as opposed to being foisted on it based on predetermined variables only.</w:t>
      </w:r>
    </w:p>
    <w:p w:rsidR="00DE3477" w:rsidRPr="00DE3477" w:rsidRDefault="00DE3477" w:rsidP="00DE3477">
      <w:r w:rsidRPr="00DE3477">
        <w:lastRenderedPageBreak/>
        <w:t>The analysis was done in a systematic way. The dataset was initially screened to create familiarity, in which patterns of the first nature were identified, i.e.: the complexity, ambiguity and compliance requirements in the procedure. Secondly, there was the coding of documents based on a mixture of inductive codes together with framework-informed codes. Codes that were informed by frameworks were based on administrative burden theory (e.g., learning costs, compliance costs, procedural friction) (Petersen and Hansen, 2022). Inductive codes also reflected new patterns that were not entirely expected by the framework, including inconsistencies in policy intent and procedural reality, or conflicting accounts on the enforcement descriptions within different sources.</w:t>
      </w:r>
    </w:p>
    <w:p w:rsidR="00DE3477" w:rsidRDefault="00DE3477" w:rsidP="00DE3477">
      <w:pPr>
        <w:rPr>
          <w:b/>
        </w:rPr>
      </w:pPr>
      <w:r w:rsidRPr="00DE3477">
        <w:t>Third, codes were grouped in to candidate themes that directly aligned with research questions: barriers (what they are and where they occur in the process), operational impacts (how barriers impact the time, cost, and the supply responsiveness) and policy improvement directions (what changes can be justified under GRP principles). Fourth, the reviews of the themes were done to understand their coherence and evidence presentation because each theme needed to be supported by a number of sources and not rely only on claims in one document (</w:t>
      </w:r>
      <w:proofErr w:type="spellStart"/>
      <w:r w:rsidRPr="00DE3477">
        <w:t>Babin</w:t>
      </w:r>
      <w:proofErr w:type="spellEnd"/>
      <w:r w:rsidRPr="00DE3477">
        <w:t xml:space="preserve"> et al., 2024). Lastly, the themes were emanated as analytic narratives that relate documentary evidence to theoretical lenses of dissertation and regulatory environment of Bangladesh.</w:t>
      </w:r>
    </w:p>
    <w:p w:rsidR="009B1ECA" w:rsidRDefault="00C9281B" w:rsidP="00DE3477">
      <w:pPr>
        <w:pStyle w:val="Heading2"/>
      </w:pPr>
      <w:bookmarkStart w:id="63" w:name="_Toc220873938"/>
      <w:r>
        <w:t>3.10</w:t>
      </w:r>
      <w:r w:rsidR="009B1ECA">
        <w:t xml:space="preserve"> Quality, credibility, and trustworthiness</w:t>
      </w:r>
      <w:bookmarkEnd w:id="63"/>
    </w:p>
    <w:p w:rsidR="00DE3477" w:rsidRDefault="00DE3477" w:rsidP="00DE3477">
      <w:pPr>
        <w:rPr>
          <w:b/>
        </w:rPr>
      </w:pPr>
      <w:r w:rsidRPr="00DE3477">
        <w:t>Since it is a qualitative research, quality is taken care of by trustworthiness, but not statistical reliability. Credibility, dependability, confirmability, and transferability are organising criteria that are used in the dissertation. Triangulation of document categories is used to gain credibility. The example is the cross-check of official procedural descriptions against regulator publications and the comparison of the latter with peer-reviewed studies, which assess the regulatory environment and integrity of the supply chain (</w:t>
      </w:r>
      <w:proofErr w:type="spellStart"/>
      <w:r w:rsidRPr="00DE3477">
        <w:t>Orubu</w:t>
      </w:r>
      <w:proofErr w:type="spellEnd"/>
      <w:r w:rsidRPr="00DE3477">
        <w:t xml:space="preserve"> et al., 2022). The reliability is enhanced with the help of the documented analytic procedure: a document register, standardized extraction template, and a clear method of coding provide a transparent path through the data to the results (</w:t>
      </w:r>
      <w:proofErr w:type="spellStart"/>
      <w:r w:rsidRPr="00DE3477">
        <w:t>Nowell</w:t>
      </w:r>
      <w:proofErr w:type="spellEnd"/>
      <w:r w:rsidRPr="00DE3477">
        <w:t xml:space="preserve"> et al., 2017). This is confirmed through reflexive consideration of the administrative burden and GRP lenses that may influence interpretation; the dissertation thus differentiates explicitly </w:t>
      </w:r>
      <w:r w:rsidRPr="00DE3477">
        <w:lastRenderedPageBreak/>
        <w:t>stated facts in documents, as opposed to the inferences made by the thematic synthesis of these facts. Transferability has been handled by giving the specific contextual information regarding the regulatory environment and institutional context of Bangladesh, which allows the reader to make a judgment of the extent to which the results can be generalized to similar regulated import contexts.</w:t>
      </w:r>
    </w:p>
    <w:p w:rsidR="00DE3477" w:rsidRPr="00DE3477" w:rsidRDefault="00C9281B" w:rsidP="00DE3477">
      <w:pPr>
        <w:pStyle w:val="Heading2"/>
      </w:pPr>
      <w:bookmarkStart w:id="64" w:name="_Toc220873939"/>
      <w:r>
        <w:t>3.11</w:t>
      </w:r>
      <w:r w:rsidR="009B1ECA">
        <w:t xml:space="preserve"> Ethical considerations</w:t>
      </w:r>
      <w:bookmarkEnd w:id="64"/>
    </w:p>
    <w:p w:rsidR="00DE3477" w:rsidRPr="00DE3477" w:rsidRDefault="00DE3477" w:rsidP="00DE3477">
      <w:r w:rsidRPr="00DE3477">
        <w:t xml:space="preserve">The documents and published research used in this dissertation are publicly available, which implies that the actual risks related to the involvement of the participants (the informed consent, the confidentiality, the harm, etc.) are not significant. Nonetheless, ethical rigour has a way to be relevant in three aspects. To begin with, official texts and research evidence should be properly represented; the study does not </w:t>
      </w:r>
      <w:proofErr w:type="gramStart"/>
      <w:r w:rsidRPr="00DE3477">
        <w:t>misquoted</w:t>
      </w:r>
      <w:proofErr w:type="gramEnd"/>
      <w:r w:rsidRPr="00DE3477">
        <w:t xml:space="preserve"> and displays the trails of citation. Second, the dissertation has not used defamatory or unprovable arguments about organizations or people and has used credible sources and made a clear distinction between evidence and interpretation (Creswell and </w:t>
      </w:r>
      <w:proofErr w:type="spellStart"/>
      <w:r w:rsidRPr="00DE3477">
        <w:t>Poth</w:t>
      </w:r>
      <w:proofErr w:type="spellEnd"/>
      <w:r w:rsidRPr="00DE3477">
        <w:t>, 2018). Thirdly, the use of data management practices will guarantee that the downloaded documents and notes are stored safely and are used only in academic activities as it is expected of a university to carry out responsible research practices.</w:t>
      </w:r>
    </w:p>
    <w:p w:rsidR="00DE3477" w:rsidRDefault="00DE3477" w:rsidP="00DE3477">
      <w:pPr>
        <w:rPr>
          <w:b/>
        </w:rPr>
      </w:pPr>
      <w:r w:rsidRPr="00DE3477">
        <w:t>In the instances where documentary research needs institutional ethical review, the dissertation adheres to the applicable procedure, and documentation of the decision (as to whether formal approval or exemption decision applies) is carried out, keeping transparency of which the ethical activity of the study.</w:t>
      </w:r>
    </w:p>
    <w:p w:rsidR="009B1ECA" w:rsidRDefault="00C9281B" w:rsidP="00DE3477">
      <w:pPr>
        <w:pStyle w:val="Heading2"/>
      </w:pPr>
      <w:bookmarkStart w:id="65" w:name="_Toc220873940"/>
      <w:r>
        <w:t>3.12</w:t>
      </w:r>
      <w:r w:rsidR="009B1ECA">
        <w:t xml:space="preserve"> Methodological limitations and mitigation</w:t>
      </w:r>
      <w:bookmarkEnd w:id="65"/>
    </w:p>
    <w:p w:rsidR="009B1ECA" w:rsidRDefault="00DE3477" w:rsidP="009B1ECA">
      <w:r w:rsidRPr="00DE3477">
        <w:t>A documentary approach provides excellent compliance with the research problem but poses restrictions. Above all, there is also a risk that informal practices, discretionary choices or workarounds that take place in the course of licensing procedures may not be reflected in secondary data. This can restrict the capacity of the dissertation to assign delays or costs to particular administrative behaviours and not to regulatory rules as such (</w:t>
      </w:r>
      <w:proofErr w:type="spellStart"/>
      <w:r w:rsidRPr="00DE3477">
        <w:t>Babin</w:t>
      </w:r>
      <w:proofErr w:type="spellEnd"/>
      <w:r w:rsidRPr="00DE3477">
        <w:t xml:space="preserve"> et al., 2024). The paper avoids this danger with the help of triangulation and source appraisal. In cases where there are assertions of lags, compliance costs, and disparity in </w:t>
      </w:r>
      <w:r w:rsidRPr="00DE3477">
        <w:lastRenderedPageBreak/>
        <w:t>enforcement, the dissertation focuses on corroboration of various sources of credibility and pays more analytical weight to peer-reviewed findings and official reports than commentary. The second weakness is the ability of legal and procedural texts to evolve with time; therefore, the dissertation favours recent documents to be used in operational interpretation whereas older instruments are utilized mainly as a historical parameter. Lastly, interpretive analysis can also result in researcher bias. This is taken care of by express coding procedure, maintenance of audit trail and systematic connection of themes with research questions and theoretical lenses.</w:t>
      </w:r>
    </w:p>
    <w:p w:rsidR="00C9281B" w:rsidRDefault="00C9281B" w:rsidP="00C9281B">
      <w:pPr>
        <w:pStyle w:val="Heading2"/>
      </w:pPr>
      <w:bookmarkStart w:id="66" w:name="_Toc220873941"/>
      <w:r>
        <w:t>3.13 Conclusion</w:t>
      </w:r>
      <w:bookmarkEnd w:id="66"/>
      <w:r>
        <w:t xml:space="preserve"> </w:t>
      </w:r>
    </w:p>
    <w:p w:rsidR="00C9281B" w:rsidRPr="00C9281B" w:rsidRDefault="00C9281B" w:rsidP="00C9281B">
      <w:pPr>
        <w:rPr>
          <w:lang w:val="en-US" w:eastAsia="en-US"/>
        </w:rPr>
      </w:pPr>
      <w:r>
        <w:rPr>
          <w:lang w:val="en-US" w:eastAsia="en-US"/>
        </w:rPr>
        <w:t>This</w:t>
      </w:r>
      <w:r w:rsidRPr="00C9281B">
        <w:rPr>
          <w:lang w:val="en-US" w:eastAsia="en-US"/>
        </w:rPr>
        <w:t xml:space="preserve"> chapter has justified the methodological choices underpinning the study and demonstrated their coherence with the research aim and questions. By adopting an </w:t>
      </w:r>
      <w:proofErr w:type="spellStart"/>
      <w:r w:rsidRPr="00C9281B">
        <w:rPr>
          <w:lang w:val="en-US" w:eastAsia="en-US"/>
        </w:rPr>
        <w:t>interpretivist</w:t>
      </w:r>
      <w:proofErr w:type="spellEnd"/>
      <w:r w:rsidRPr="00C9281B">
        <w:rPr>
          <w:lang w:val="en-US" w:eastAsia="en-US"/>
        </w:rPr>
        <w:t xml:space="preserve"> and inductive qualitative documentary approach, the study ensures analytical </w:t>
      </w:r>
      <w:proofErr w:type="spellStart"/>
      <w:r w:rsidRPr="00C9281B">
        <w:rPr>
          <w:lang w:val="en-US" w:eastAsia="en-US"/>
        </w:rPr>
        <w:t>rigour</w:t>
      </w:r>
      <w:proofErr w:type="spellEnd"/>
      <w:r w:rsidRPr="00C9281B">
        <w:rPr>
          <w:lang w:val="en-US" w:eastAsia="en-US"/>
        </w:rPr>
        <w:t>, transparency, and credibility. The procedures for data collection, analysis, and quality assurance provide a reliable foundation for the findings presented in the next chapter, while acknowledging methodological limitations and steps taken to mitigate potential bias.</w:t>
      </w:r>
    </w:p>
    <w:p w:rsidR="0092286D" w:rsidRDefault="0092286D" w:rsidP="00C9281B">
      <w:pPr>
        <w:pStyle w:val="Heading2"/>
      </w:pPr>
      <w:r>
        <w:br w:type="page"/>
      </w:r>
    </w:p>
    <w:p w:rsidR="00434669" w:rsidRDefault="0092286D" w:rsidP="0092286D">
      <w:pPr>
        <w:pStyle w:val="Heading1"/>
        <w:jc w:val="center"/>
      </w:pPr>
      <w:bookmarkStart w:id="67" w:name="_Toc220873942"/>
      <w:r>
        <w:lastRenderedPageBreak/>
        <w:t>Chapter 4</w:t>
      </w:r>
      <w:r w:rsidRPr="0092286D">
        <w:t>. Data Analysis</w:t>
      </w:r>
      <w:bookmarkEnd w:id="67"/>
    </w:p>
    <w:p w:rsidR="005A6361" w:rsidRPr="005A6361" w:rsidRDefault="005A6361" w:rsidP="005A6361">
      <w:pPr>
        <w:pStyle w:val="Heading2"/>
      </w:pPr>
      <w:bookmarkStart w:id="68" w:name="_Toc220873943"/>
      <w:r w:rsidRPr="005A6361">
        <w:rPr>
          <w:rStyle w:val="Strong"/>
          <w:b/>
          <w:bCs w:val="0"/>
        </w:rPr>
        <w:t>4.1 Introduction</w:t>
      </w:r>
      <w:bookmarkEnd w:id="68"/>
    </w:p>
    <w:p w:rsidR="009A40CE" w:rsidRDefault="009A40CE" w:rsidP="009A40CE">
      <w:pPr>
        <w:rPr>
          <w:b/>
        </w:rPr>
      </w:pPr>
      <w:r w:rsidRPr="009A40CE">
        <w:t>The chapter reveals the results of the documentary data analysis of trade related barriers in accessing drug import licences by the SMEs in Bangladesh. It records visible trends, recorded processes and statistical metrics based on legal documents, workflow reference manuals, official trade portals and published survey data. The chapter is organized according the research questions and is aimed at reporting what the data indicate and not interpreting and commenting on what is reported in the chapter.</w:t>
      </w:r>
    </w:p>
    <w:p w:rsidR="003633DF" w:rsidRDefault="00F04A85" w:rsidP="000F715B">
      <w:pPr>
        <w:pStyle w:val="Heading2"/>
      </w:pPr>
      <w:bookmarkStart w:id="69" w:name="_Toc220873944"/>
      <w:r>
        <w:t>4.2</w:t>
      </w:r>
      <w:r w:rsidR="003633DF">
        <w:t xml:space="preserve"> </w:t>
      </w:r>
      <w:r w:rsidR="000F715B" w:rsidRPr="000F715B">
        <w:t>Research Aim, Objectives, and Analytical Focus of the Chapter</w:t>
      </w:r>
      <w:bookmarkEnd w:id="69"/>
    </w:p>
    <w:p w:rsidR="00594501" w:rsidRDefault="00594501" w:rsidP="00594501">
      <w:r w:rsidRPr="00594501">
        <w:t>The chapter presents the result of the documentary data analysis of trade related barriers facing SMEs in acquiring drug import licences in Bangladesh. The analysis is designed to twist directly along with the general research objective and research questions of the study. It introduces documented processes, documented variables and patterns that were discovered within the chosen sources. The chapter is an evidence-reporting phase, and it offers a systematic ground on which further discussion can be made without the causal elucidation and judgement.</w:t>
      </w:r>
    </w:p>
    <w:p w:rsidR="003633DF" w:rsidRDefault="003633DF" w:rsidP="005A6361">
      <w:r>
        <w:t>Aim:</w:t>
      </w:r>
    </w:p>
    <w:p w:rsidR="003633DF" w:rsidRDefault="003633DF" w:rsidP="003633DF">
      <w:pPr>
        <w:pStyle w:val="ListParagraph"/>
        <w:numPr>
          <w:ilvl w:val="0"/>
          <w:numId w:val="8"/>
        </w:numPr>
      </w:pPr>
      <w:r>
        <w:t>To investigate the trade barriers faced by SMEs in obtaining import licenses for drugs in Bangladesh.</w:t>
      </w:r>
    </w:p>
    <w:p w:rsidR="003633DF" w:rsidRDefault="003633DF" w:rsidP="005A6361">
      <w:r>
        <w:t>Research questions:</w:t>
      </w:r>
    </w:p>
    <w:p w:rsidR="003633DF" w:rsidRDefault="003633DF" w:rsidP="008C52B6">
      <w:pPr>
        <w:pStyle w:val="ListParagraph"/>
        <w:numPr>
          <w:ilvl w:val="0"/>
          <w:numId w:val="8"/>
        </w:numPr>
      </w:pPr>
      <w:r>
        <w:t>What are the key trade barriers faced by SMEs in obtaining import licenses for drugs in Bangladesh?</w:t>
      </w:r>
    </w:p>
    <w:p w:rsidR="003633DF" w:rsidRDefault="003633DF" w:rsidP="008C52B6">
      <w:pPr>
        <w:pStyle w:val="ListParagraph"/>
        <w:numPr>
          <w:ilvl w:val="0"/>
          <w:numId w:val="8"/>
        </w:numPr>
      </w:pPr>
      <w:r>
        <w:t>How do these barriers affect the operational efficiency of SMEs?</w:t>
      </w:r>
    </w:p>
    <w:p w:rsidR="003633DF" w:rsidRDefault="003633DF" w:rsidP="008C52B6">
      <w:pPr>
        <w:pStyle w:val="ListParagraph"/>
        <w:numPr>
          <w:ilvl w:val="0"/>
          <w:numId w:val="8"/>
        </w:numPr>
      </w:pPr>
      <w:r>
        <w:t>What policy changes can be recommended to mitigate these barriers?</w:t>
      </w:r>
    </w:p>
    <w:p w:rsidR="003633DF" w:rsidRDefault="00F04A85" w:rsidP="003633DF">
      <w:pPr>
        <w:pStyle w:val="Heading2"/>
      </w:pPr>
      <w:bookmarkStart w:id="70" w:name="_Toc220873945"/>
      <w:r>
        <w:t>4.3</w:t>
      </w:r>
      <w:r w:rsidR="003633DF">
        <w:t xml:space="preserve"> Documentary dataset and sample characteristics</w:t>
      </w:r>
      <w:bookmarkEnd w:id="70"/>
    </w:p>
    <w:p w:rsidR="003950FF" w:rsidRDefault="003950FF" w:rsidP="003950FF">
      <w:pPr>
        <w:rPr>
          <w:b/>
          <w:bCs/>
          <w:i/>
          <w:iCs/>
          <w:lang w:val="en-US" w:eastAsia="en-US"/>
        </w:rPr>
      </w:pPr>
      <w:bookmarkStart w:id="71" w:name="_Toc217469701"/>
      <w:r w:rsidRPr="003950FF">
        <w:rPr>
          <w:lang w:val="en-US" w:eastAsia="en-US"/>
        </w:rPr>
        <w:t xml:space="preserve">The documentary data used in this chapter is purposely sampled secondary data dealing with drug import licensing in Bangladesh. They are identified by national legal and policy </w:t>
      </w:r>
      <w:r w:rsidRPr="003950FF">
        <w:rPr>
          <w:lang w:val="en-US" w:eastAsia="en-US"/>
        </w:rPr>
        <w:lastRenderedPageBreak/>
        <w:t xml:space="preserve">instruments that provide the statutory scope and authority of medicines importation (Ahmed, 2023). </w:t>
      </w:r>
      <w:proofErr w:type="spellStart"/>
      <w:r w:rsidRPr="003950FF">
        <w:rPr>
          <w:lang w:val="en-US" w:eastAsia="en-US"/>
        </w:rPr>
        <w:t>Digitised</w:t>
      </w:r>
      <w:proofErr w:type="spellEnd"/>
      <w:r w:rsidRPr="003950FF">
        <w:rPr>
          <w:lang w:val="en-US" w:eastAsia="en-US"/>
        </w:rPr>
        <w:t xml:space="preserve"> and regulated workflow manuals have step-by-step submission stages, system statuses, and query-resubmission features that are applied in practice (DGDA, 2023). The official trade and procedural instructions provide the sets of import documentation and a sequence in the overall clearance procedure (World Bank, 2020). According to the reports in empirical and institutional studies, there are quantified administrative indicators such as the average time of licensing and management time on regulatory compliance (</w:t>
      </w:r>
      <w:proofErr w:type="spellStart"/>
      <w:r w:rsidRPr="003950FF">
        <w:rPr>
          <w:lang w:val="en-US" w:eastAsia="en-US"/>
        </w:rPr>
        <w:t>Khondaker</w:t>
      </w:r>
      <w:proofErr w:type="spellEnd"/>
      <w:r w:rsidRPr="003950FF">
        <w:rPr>
          <w:lang w:val="en-US" w:eastAsia="en-US"/>
        </w:rPr>
        <w:t>, 2022). The documents cover publications back to 2017, and they represent the present regulatory arrangements and conditions of reported process characteristics.</w:t>
      </w:r>
    </w:p>
    <w:p w:rsidR="003633DF" w:rsidRDefault="003633DF" w:rsidP="003633DF">
      <w:pPr>
        <w:pStyle w:val="Caption"/>
      </w:pPr>
      <w:r>
        <w:t xml:space="preserve">Table </w:t>
      </w:r>
      <w:r>
        <w:fldChar w:fldCharType="begin"/>
      </w:r>
      <w:r>
        <w:instrText xml:space="preserve"> SEQ Table \* ARABIC </w:instrText>
      </w:r>
      <w:r>
        <w:fldChar w:fldCharType="separate"/>
      </w:r>
      <w:r w:rsidR="00BB5D78">
        <w:rPr>
          <w:noProof/>
        </w:rPr>
        <w:t>4</w:t>
      </w:r>
      <w:r>
        <w:fldChar w:fldCharType="end"/>
      </w:r>
      <w:r>
        <w:rPr>
          <w:lang w:val="en-US"/>
        </w:rPr>
        <w:t>:</w:t>
      </w:r>
      <w:r>
        <w:t xml:space="preserve"> </w:t>
      </w:r>
      <w:r w:rsidRPr="000878FF">
        <w:t>Profile of the documentary dataset</w:t>
      </w:r>
      <w:r w:rsidRPr="003633DF">
        <w:t xml:space="preserve"> (Ahmed, 2023)</w:t>
      </w:r>
      <w:bookmarkEnd w:id="71"/>
    </w:p>
    <w:tbl>
      <w:tblPr>
        <w:tblStyle w:val="GridTable1Light-Accent5"/>
        <w:tblW w:w="0" w:type="auto"/>
        <w:tblLook w:val="04A0" w:firstRow="1" w:lastRow="0" w:firstColumn="1" w:lastColumn="0" w:noHBand="0" w:noVBand="1"/>
      </w:tblPr>
      <w:tblGrid>
        <w:gridCol w:w="2141"/>
        <w:gridCol w:w="2443"/>
        <w:gridCol w:w="2068"/>
        <w:gridCol w:w="2698"/>
      </w:tblGrid>
      <w:tr w:rsidR="003633DF" w:rsidTr="003633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633DF" w:rsidRDefault="003633DF" w:rsidP="003633DF">
            <w:r>
              <w:rPr>
                <w:b w:val="0"/>
                <w:bCs w:val="0"/>
              </w:rPr>
              <w:t>Document group</w:t>
            </w:r>
          </w:p>
        </w:tc>
        <w:tc>
          <w:tcPr>
            <w:tcW w:w="0" w:type="auto"/>
            <w:hideMark/>
          </w:tcPr>
          <w:p w:rsidR="003633DF" w:rsidRDefault="003633DF" w:rsidP="003633DF">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Functional role in analysis</w:t>
            </w:r>
          </w:p>
        </w:tc>
        <w:tc>
          <w:tcPr>
            <w:tcW w:w="0" w:type="auto"/>
            <w:hideMark/>
          </w:tcPr>
          <w:p w:rsidR="003633DF" w:rsidRDefault="003633DF" w:rsidP="003633DF">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Examples within corpus</w:t>
            </w:r>
          </w:p>
        </w:tc>
        <w:tc>
          <w:tcPr>
            <w:tcW w:w="0" w:type="auto"/>
            <w:hideMark/>
          </w:tcPr>
          <w:p w:rsidR="003633DF" w:rsidRDefault="003633DF" w:rsidP="003633DF">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Analytical value for RQs</w:t>
            </w:r>
          </w:p>
        </w:tc>
      </w:tr>
      <w:tr w:rsidR="003633DF" w:rsidTr="003633DF">
        <w:tc>
          <w:tcPr>
            <w:cnfStyle w:val="001000000000" w:firstRow="0" w:lastRow="0" w:firstColumn="1" w:lastColumn="0" w:oddVBand="0" w:evenVBand="0" w:oddHBand="0" w:evenHBand="0" w:firstRowFirstColumn="0" w:firstRowLastColumn="0" w:lastRowFirstColumn="0" w:lastRowLastColumn="0"/>
            <w:tcW w:w="0" w:type="auto"/>
            <w:hideMark/>
          </w:tcPr>
          <w:p w:rsidR="003633DF" w:rsidRDefault="003633DF" w:rsidP="003633DF">
            <w:pPr>
              <w:rPr>
                <w:b w:val="0"/>
                <w:bCs w:val="0"/>
              </w:rPr>
            </w:pPr>
            <w:r>
              <w:t>Legal / institutional texts</w:t>
            </w:r>
          </w:p>
        </w:tc>
        <w:tc>
          <w:tcPr>
            <w:tcW w:w="0" w:type="auto"/>
            <w:hideMark/>
          </w:tcPr>
          <w:p w:rsidR="003633DF" w:rsidRDefault="003633DF" w:rsidP="003633DF">
            <w:pPr>
              <w:cnfStyle w:val="000000000000" w:firstRow="0" w:lastRow="0" w:firstColumn="0" w:lastColumn="0" w:oddVBand="0" w:evenVBand="0" w:oddHBand="0" w:evenHBand="0" w:firstRowFirstColumn="0" w:firstRowLastColumn="0" w:lastRowFirstColumn="0" w:lastRowLastColumn="0"/>
            </w:pPr>
            <w:r>
              <w:t>Establishes formal authority, scope of regulatory powers, and high-level obligations</w:t>
            </w:r>
          </w:p>
        </w:tc>
        <w:tc>
          <w:tcPr>
            <w:tcW w:w="0" w:type="auto"/>
            <w:hideMark/>
          </w:tcPr>
          <w:p w:rsidR="003633DF" w:rsidRDefault="003633DF" w:rsidP="003633DF">
            <w:pPr>
              <w:cnfStyle w:val="000000000000" w:firstRow="0" w:lastRow="0" w:firstColumn="0" w:lastColumn="0" w:oddVBand="0" w:evenVBand="0" w:oddHBand="0" w:evenHBand="0" w:firstRowFirstColumn="0" w:firstRowLastColumn="0" w:lastRowFirstColumn="0" w:lastRowLastColumn="0"/>
            </w:pPr>
            <w:r>
              <w:t>Drug and Cosmetics Act, 2023 (Act No. 29 of 2023)</w:t>
            </w:r>
          </w:p>
        </w:tc>
        <w:tc>
          <w:tcPr>
            <w:tcW w:w="0" w:type="auto"/>
            <w:hideMark/>
          </w:tcPr>
          <w:p w:rsidR="003633DF" w:rsidRDefault="003633DF" w:rsidP="003633DF">
            <w:pPr>
              <w:cnfStyle w:val="000000000000" w:firstRow="0" w:lastRow="0" w:firstColumn="0" w:lastColumn="0" w:oddVBand="0" w:evenVBand="0" w:oddHBand="0" w:evenHBand="0" w:firstRowFirstColumn="0" w:firstRowLastColumn="0" w:lastRowFirstColumn="0" w:lastRowLastColumn="0"/>
            </w:pPr>
            <w:r>
              <w:t>Frames the “regulatory gate” that importers must pass (RQ1)</w:t>
            </w:r>
          </w:p>
        </w:tc>
      </w:tr>
      <w:tr w:rsidR="003633DF" w:rsidTr="003633DF">
        <w:tc>
          <w:tcPr>
            <w:cnfStyle w:val="001000000000" w:firstRow="0" w:lastRow="0" w:firstColumn="1" w:lastColumn="0" w:oddVBand="0" w:evenVBand="0" w:oddHBand="0" w:evenHBand="0" w:firstRowFirstColumn="0" w:firstRowLastColumn="0" w:lastRowFirstColumn="0" w:lastRowLastColumn="0"/>
            <w:tcW w:w="0" w:type="auto"/>
            <w:hideMark/>
          </w:tcPr>
          <w:p w:rsidR="003633DF" w:rsidRDefault="003633DF" w:rsidP="003633DF">
            <w:r>
              <w:t>Procedural / workflow manuals</w:t>
            </w:r>
          </w:p>
        </w:tc>
        <w:tc>
          <w:tcPr>
            <w:tcW w:w="0" w:type="auto"/>
            <w:hideMark/>
          </w:tcPr>
          <w:p w:rsidR="003633DF" w:rsidRDefault="003633DF" w:rsidP="003633DF">
            <w:pPr>
              <w:cnfStyle w:val="000000000000" w:firstRow="0" w:lastRow="0" w:firstColumn="0" w:lastColumn="0" w:oddVBand="0" w:evenVBand="0" w:oddHBand="0" w:evenHBand="0" w:firstRowFirstColumn="0" w:firstRowLastColumn="0" w:lastRowFirstColumn="0" w:lastRowLastColumn="0"/>
            </w:pPr>
            <w:r>
              <w:t>Describes stepwise submission and processing logic (inputs, statuses, queries, approvals)</w:t>
            </w:r>
          </w:p>
        </w:tc>
        <w:tc>
          <w:tcPr>
            <w:tcW w:w="0" w:type="auto"/>
            <w:hideMark/>
          </w:tcPr>
          <w:p w:rsidR="003633DF" w:rsidRDefault="003633DF" w:rsidP="003633DF">
            <w:pPr>
              <w:cnfStyle w:val="000000000000" w:firstRow="0" w:lastRow="0" w:firstColumn="0" w:lastColumn="0" w:oddVBand="0" w:evenVBand="0" w:oddHBand="0" w:evenHBand="0" w:firstRowFirstColumn="0" w:firstRowLastColumn="0" w:lastRowFirstColumn="0" w:lastRowLastColumn="0"/>
            </w:pPr>
            <w:r>
              <w:t>Bangladesh Single Window DGDA module user manuals</w:t>
            </w:r>
          </w:p>
        </w:tc>
        <w:tc>
          <w:tcPr>
            <w:tcW w:w="0" w:type="auto"/>
            <w:hideMark/>
          </w:tcPr>
          <w:p w:rsidR="003633DF" w:rsidRDefault="003633DF" w:rsidP="003633DF">
            <w:pPr>
              <w:cnfStyle w:val="000000000000" w:firstRow="0" w:lastRow="0" w:firstColumn="0" w:lastColumn="0" w:oddVBand="0" w:evenVBand="0" w:oddHBand="0" w:evenHBand="0" w:firstRowFirstColumn="0" w:firstRowLastColumn="0" w:lastRowFirstColumn="0" w:lastRowLastColumn="0"/>
            </w:pPr>
            <w:r>
              <w:t xml:space="preserve">Provides process-level evidence of potential </w:t>
            </w:r>
            <w:r>
              <w:rPr>
                <w:rStyle w:val="Strong"/>
              </w:rPr>
              <w:t>learning</w:t>
            </w:r>
            <w:r>
              <w:t xml:space="preserve"> and </w:t>
            </w:r>
            <w:r>
              <w:rPr>
                <w:rStyle w:val="Strong"/>
              </w:rPr>
              <w:t>compliance</w:t>
            </w:r>
            <w:r>
              <w:t xml:space="preserve"> burdens (RQ1–RQ2)</w:t>
            </w:r>
          </w:p>
        </w:tc>
      </w:tr>
      <w:tr w:rsidR="003633DF" w:rsidTr="003633DF">
        <w:tc>
          <w:tcPr>
            <w:cnfStyle w:val="001000000000" w:firstRow="0" w:lastRow="0" w:firstColumn="1" w:lastColumn="0" w:oddVBand="0" w:evenVBand="0" w:oddHBand="0" w:evenHBand="0" w:firstRowFirstColumn="0" w:firstRowLastColumn="0" w:lastRowFirstColumn="0" w:lastRowLastColumn="0"/>
            <w:tcW w:w="0" w:type="auto"/>
            <w:hideMark/>
          </w:tcPr>
          <w:p w:rsidR="003633DF" w:rsidRDefault="003633DF" w:rsidP="003633DF">
            <w:r>
              <w:t>Trade process guidance</w:t>
            </w:r>
          </w:p>
        </w:tc>
        <w:tc>
          <w:tcPr>
            <w:tcW w:w="0" w:type="auto"/>
            <w:hideMark/>
          </w:tcPr>
          <w:p w:rsidR="003633DF" w:rsidRDefault="003633DF" w:rsidP="003633DF">
            <w:pPr>
              <w:cnfStyle w:val="000000000000" w:firstRow="0" w:lastRow="0" w:firstColumn="0" w:lastColumn="0" w:oddVBand="0" w:evenVBand="0" w:oddHBand="0" w:evenHBand="0" w:firstRowFirstColumn="0" w:firstRowLastColumn="0" w:lastRowFirstColumn="0" w:lastRowLastColumn="0"/>
            </w:pPr>
            <w:r>
              <w:t>Locates DGDA-related permissions within the broader import pathway</w:t>
            </w:r>
          </w:p>
        </w:tc>
        <w:tc>
          <w:tcPr>
            <w:tcW w:w="0" w:type="auto"/>
            <w:hideMark/>
          </w:tcPr>
          <w:p w:rsidR="003633DF" w:rsidRDefault="003633DF" w:rsidP="003633DF">
            <w:pPr>
              <w:cnfStyle w:val="000000000000" w:firstRow="0" w:lastRow="0" w:firstColumn="0" w:lastColumn="0" w:oddVBand="0" w:evenVBand="0" w:oddHBand="0" w:evenHBand="0" w:firstRowFirstColumn="0" w:firstRowLastColumn="0" w:lastRowFirstColumn="0" w:lastRowLastColumn="0"/>
            </w:pPr>
            <w:r>
              <w:t>Import procedure guidance for Bangladesh trade processes</w:t>
            </w:r>
          </w:p>
        </w:tc>
        <w:tc>
          <w:tcPr>
            <w:tcW w:w="0" w:type="auto"/>
            <w:hideMark/>
          </w:tcPr>
          <w:p w:rsidR="003633DF" w:rsidRDefault="003633DF" w:rsidP="003633DF">
            <w:pPr>
              <w:cnfStyle w:val="000000000000" w:firstRow="0" w:lastRow="0" w:firstColumn="0" w:lastColumn="0" w:oddVBand="0" w:evenVBand="0" w:oddHBand="0" w:evenHBand="0" w:firstRowFirstColumn="0" w:firstRowLastColumn="0" w:lastRowFirstColumn="0" w:lastRowLastColumn="0"/>
            </w:pPr>
            <w:r>
              <w:t xml:space="preserve">Highlights multi-stage administrative sequencing and documentary </w:t>
            </w:r>
            <w:r>
              <w:lastRenderedPageBreak/>
              <w:t>interdependencies (RQ1)</w:t>
            </w:r>
          </w:p>
        </w:tc>
      </w:tr>
      <w:tr w:rsidR="003633DF" w:rsidTr="003633DF">
        <w:tc>
          <w:tcPr>
            <w:cnfStyle w:val="001000000000" w:firstRow="0" w:lastRow="0" w:firstColumn="1" w:lastColumn="0" w:oddVBand="0" w:evenVBand="0" w:oddHBand="0" w:evenHBand="0" w:firstRowFirstColumn="0" w:firstRowLastColumn="0" w:lastRowFirstColumn="0" w:lastRowLastColumn="0"/>
            <w:tcW w:w="0" w:type="auto"/>
            <w:hideMark/>
          </w:tcPr>
          <w:p w:rsidR="003633DF" w:rsidRDefault="003633DF" w:rsidP="003633DF">
            <w:r>
              <w:lastRenderedPageBreak/>
              <w:t>Peer-reviewed / empirical literature</w:t>
            </w:r>
          </w:p>
        </w:tc>
        <w:tc>
          <w:tcPr>
            <w:tcW w:w="0" w:type="auto"/>
            <w:hideMark/>
          </w:tcPr>
          <w:p w:rsidR="003633DF" w:rsidRDefault="003633DF" w:rsidP="003633DF">
            <w:pPr>
              <w:cnfStyle w:val="000000000000" w:firstRow="0" w:lastRow="0" w:firstColumn="0" w:lastColumn="0" w:oddVBand="0" w:evenVBand="0" w:oddHBand="0" w:evenHBand="0" w:firstRowFirstColumn="0" w:firstRowLastColumn="0" w:lastRowFirstColumn="0" w:lastRowLastColumn="0"/>
            </w:pPr>
            <w:r>
              <w:t>Provides evidence on regulatory constraints and operational consequences (e.g., supply integrity, access risks)</w:t>
            </w:r>
          </w:p>
        </w:tc>
        <w:tc>
          <w:tcPr>
            <w:tcW w:w="0" w:type="auto"/>
            <w:hideMark/>
          </w:tcPr>
          <w:p w:rsidR="003633DF" w:rsidRDefault="003633DF" w:rsidP="003633DF">
            <w:pPr>
              <w:cnfStyle w:val="000000000000" w:firstRow="0" w:lastRow="0" w:firstColumn="0" w:lastColumn="0" w:oddVBand="0" w:evenVBand="0" w:oddHBand="0" w:evenHBand="0" w:firstRowFirstColumn="0" w:firstRowLastColumn="0" w:lastRowFirstColumn="0" w:lastRowLastColumn="0"/>
            </w:pPr>
            <w:r>
              <w:t>Studies on Bangladesh medicines systems and supply integrity</w:t>
            </w:r>
          </w:p>
        </w:tc>
        <w:tc>
          <w:tcPr>
            <w:tcW w:w="0" w:type="auto"/>
            <w:hideMark/>
          </w:tcPr>
          <w:p w:rsidR="003633DF" w:rsidRDefault="003633DF" w:rsidP="003633DF">
            <w:pPr>
              <w:cnfStyle w:val="000000000000" w:firstRow="0" w:lastRow="0" w:firstColumn="0" w:lastColumn="0" w:oddVBand="0" w:evenVBand="0" w:oddHBand="0" w:evenHBand="0" w:firstRowFirstColumn="0" w:firstRowLastColumn="0" w:lastRowFirstColumn="0" w:lastRowLastColumn="0"/>
            </w:pPr>
            <w:r>
              <w:t>Supports reporting of operational impacts without attributing causality (RQ2)</w:t>
            </w:r>
          </w:p>
        </w:tc>
      </w:tr>
      <w:tr w:rsidR="003633DF" w:rsidTr="003633DF">
        <w:tc>
          <w:tcPr>
            <w:cnfStyle w:val="001000000000" w:firstRow="0" w:lastRow="0" w:firstColumn="1" w:lastColumn="0" w:oddVBand="0" w:evenVBand="0" w:oddHBand="0" w:evenHBand="0" w:firstRowFirstColumn="0" w:firstRowLastColumn="0" w:lastRowFirstColumn="0" w:lastRowLastColumn="0"/>
            <w:tcW w:w="0" w:type="auto"/>
            <w:hideMark/>
          </w:tcPr>
          <w:p w:rsidR="003633DF" w:rsidRDefault="003633DF" w:rsidP="003633DF">
            <w:r>
              <w:t>Conceptual administrative-burden literature</w:t>
            </w:r>
          </w:p>
        </w:tc>
        <w:tc>
          <w:tcPr>
            <w:tcW w:w="0" w:type="auto"/>
            <w:hideMark/>
          </w:tcPr>
          <w:p w:rsidR="003633DF" w:rsidRDefault="003633DF" w:rsidP="003633DF">
            <w:pPr>
              <w:cnfStyle w:val="000000000000" w:firstRow="0" w:lastRow="0" w:firstColumn="0" w:lastColumn="0" w:oddVBand="0" w:evenVBand="0" w:oddHBand="0" w:evenHBand="0" w:firstRowFirstColumn="0" w:firstRowLastColumn="0" w:lastRowFirstColumn="0" w:lastRowLastColumn="0"/>
            </w:pPr>
            <w:r>
              <w:t>Supplies analytic vocabulary for reporting observed burdens as “learning” and “compliance” costs</w:t>
            </w:r>
          </w:p>
        </w:tc>
        <w:tc>
          <w:tcPr>
            <w:tcW w:w="0" w:type="auto"/>
            <w:hideMark/>
          </w:tcPr>
          <w:p w:rsidR="003633DF" w:rsidRDefault="003633DF" w:rsidP="003633DF">
            <w:pPr>
              <w:cnfStyle w:val="000000000000" w:firstRow="0" w:lastRow="0" w:firstColumn="0" w:lastColumn="0" w:oddVBand="0" w:evenVBand="0" w:oddHBand="0" w:evenHBand="0" w:firstRowFirstColumn="0" w:firstRowLastColumn="0" w:lastRowFirstColumn="0" w:lastRowLastColumn="0"/>
            </w:pPr>
            <w:r>
              <w:t>Administrative burden of doing business with government</w:t>
            </w:r>
          </w:p>
        </w:tc>
        <w:tc>
          <w:tcPr>
            <w:tcW w:w="0" w:type="auto"/>
            <w:hideMark/>
          </w:tcPr>
          <w:p w:rsidR="003633DF" w:rsidRDefault="003633DF" w:rsidP="003633DF">
            <w:pPr>
              <w:cnfStyle w:val="000000000000" w:firstRow="0" w:lastRow="0" w:firstColumn="0" w:lastColumn="0" w:oddVBand="0" w:evenVBand="0" w:oddHBand="0" w:evenHBand="0" w:firstRowFirstColumn="0" w:firstRowLastColumn="0" w:lastRowFirstColumn="0" w:lastRowLastColumn="0"/>
            </w:pPr>
            <w:r>
              <w:t>Enables transparent classification of documentary evidence into burden types (RQ1–RQ2)</w:t>
            </w:r>
          </w:p>
        </w:tc>
      </w:tr>
    </w:tbl>
    <w:p w:rsidR="00594501" w:rsidRDefault="00594501" w:rsidP="00594501"/>
    <w:p w:rsidR="003633DF" w:rsidRDefault="00F04A85" w:rsidP="00F04A85">
      <w:pPr>
        <w:pStyle w:val="Heading2"/>
      </w:pPr>
      <w:bookmarkStart w:id="72" w:name="_Toc220873946"/>
      <w:r>
        <w:t>4.5</w:t>
      </w:r>
      <w:r w:rsidR="003633DF">
        <w:t xml:space="preserve"> Analytical approach and coding procedure</w:t>
      </w:r>
      <w:bookmarkEnd w:id="72"/>
    </w:p>
    <w:p w:rsidR="009A3AF7" w:rsidRDefault="009A3AF7" w:rsidP="009A3AF7">
      <w:r w:rsidRPr="009A3AF7">
        <w:t xml:space="preserve">It was </w:t>
      </w:r>
      <w:proofErr w:type="spellStart"/>
      <w:r w:rsidRPr="009A3AF7">
        <w:t>analyzed</w:t>
      </w:r>
      <w:proofErr w:type="spellEnd"/>
      <w:r w:rsidRPr="009A3AF7">
        <w:t xml:space="preserve"> using reflexive thematic analysis on documentary data: documentary material was read several times, identified the content that was relevant to barriers, and subsequently sorted into themes that remained consistent across a number of sources (Campbell et al., 2021). To ensure transparency and replicability, the procedure was executed as a form of documented audit trail, which is in compliance with the principles of qualitative document analysis.</w:t>
      </w:r>
    </w:p>
    <w:p w:rsidR="003633DF" w:rsidRDefault="003633DF" w:rsidP="003633DF">
      <w:pPr>
        <w:keepNext/>
        <w:jc w:val="center"/>
      </w:pPr>
      <w:r>
        <w:rPr>
          <w:noProof/>
          <w:lang w:val="en-US" w:eastAsia="en-US"/>
        </w:rPr>
        <w:lastRenderedPageBreak/>
        <w:drawing>
          <wp:inline distT="0" distB="0" distL="0" distR="0" wp14:anchorId="388C02AE" wp14:editId="6E4FA314">
            <wp:extent cx="3838575" cy="2551524"/>
            <wp:effectExtent l="19050" t="19050" r="9525" b="20320"/>
            <wp:docPr id="1" name="Picture 1" descr="Phases of Reflexive Thematic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ases of Reflexive Thematic Analysi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49355" cy="2558689"/>
                    </a:xfrm>
                    <a:prstGeom prst="rect">
                      <a:avLst/>
                    </a:prstGeom>
                    <a:noFill/>
                    <a:ln>
                      <a:solidFill>
                        <a:schemeClr val="tx1"/>
                      </a:solidFill>
                    </a:ln>
                  </pic:spPr>
                </pic:pic>
              </a:graphicData>
            </a:graphic>
          </wp:inline>
        </w:drawing>
      </w:r>
    </w:p>
    <w:p w:rsidR="00340E02" w:rsidRDefault="003633DF" w:rsidP="003633DF">
      <w:pPr>
        <w:pStyle w:val="Caption"/>
        <w:rPr>
          <w:lang w:val="en-US"/>
        </w:rPr>
      </w:pPr>
      <w:bookmarkStart w:id="73" w:name="_Toc219634728"/>
      <w:bookmarkStart w:id="74" w:name="_Toc217469620"/>
      <w:r>
        <w:t xml:space="preserve">Figure </w:t>
      </w:r>
      <w:r>
        <w:fldChar w:fldCharType="begin"/>
      </w:r>
      <w:r>
        <w:instrText xml:space="preserve"> SEQ Figure \* ARABIC </w:instrText>
      </w:r>
      <w:r>
        <w:fldChar w:fldCharType="separate"/>
      </w:r>
      <w:r w:rsidR="00BB62E9">
        <w:rPr>
          <w:noProof/>
        </w:rPr>
        <w:t>1</w:t>
      </w:r>
      <w:r>
        <w:fldChar w:fldCharType="end"/>
      </w:r>
      <w:r>
        <w:rPr>
          <w:lang w:val="en-US"/>
        </w:rPr>
        <w:t xml:space="preserve">: </w:t>
      </w:r>
      <w:r w:rsidRPr="00317FD2">
        <w:rPr>
          <w:lang w:val="en-US"/>
        </w:rPr>
        <w:t>Reflexive Thematic Analysis</w:t>
      </w:r>
      <w:bookmarkEnd w:id="73"/>
      <w:r>
        <w:rPr>
          <w:lang w:val="en-US"/>
        </w:rPr>
        <w:t xml:space="preserve"> </w:t>
      </w:r>
    </w:p>
    <w:p w:rsidR="003633DF" w:rsidRDefault="003633DF" w:rsidP="003633DF">
      <w:pPr>
        <w:pStyle w:val="Caption"/>
      </w:pPr>
      <w:r>
        <w:rPr>
          <w:lang w:val="en-US"/>
        </w:rPr>
        <w:t>Source:</w:t>
      </w:r>
      <w:r w:rsidRPr="003633DF">
        <w:t xml:space="preserve"> </w:t>
      </w:r>
      <w:r w:rsidRPr="003633DF">
        <w:rPr>
          <w:lang w:val="en-US"/>
        </w:rPr>
        <w:t>(Campbell et al., 2021)</w:t>
      </w:r>
      <w:bookmarkEnd w:id="74"/>
    </w:p>
    <w:p w:rsidR="005D07CA" w:rsidRDefault="005D07CA" w:rsidP="005D07CA">
      <w:pPr>
        <w:rPr>
          <w:b/>
          <w:bCs/>
          <w:i/>
          <w:iCs/>
        </w:rPr>
      </w:pPr>
      <w:bookmarkStart w:id="75" w:name="_Toc217469702"/>
      <w:r w:rsidRPr="005D07CA">
        <w:t xml:space="preserve">At the first step of analysis, all documentary materials have been brought through repeated familiarisation reading. The outcome of this process was structured extraction notes that contained discernible aspects in the documents, such as the count and sequence of the steps of the procedure, the amount of documents needed in the procedure, the workflow decision points, such as submission, query, return and approval status and any reference made to processing time, documented costs or any administrative capacity measure. These extraction notes were put together in a standard manner to ascertain uniformity in all the documents. It was coded and a combination method was employed in the coding stage. The requirements were identified using theory-informed codes, with requirements of the learning-related activities and compliance-related tasks categorised based on administrative-burden terminologies (Petersen and Hansen, 2022). Simultaneously, data-driven codes were created directly out of recurring procedural language in workflow manuals and authoritative guidance, which included such references as resubmission cycles, multi-module navigation, and status-based processing logic. Frequency of coding was also measured in different categories of documents in order to trace the frequency of repetition of features identified. Only after the same aspect was found in a variety of document types, including regulatory manuals and empirical research, and every theme could be identified to explicit passages, descriptions of workflow, or numerical values. The last group of themes was </w:t>
      </w:r>
      <w:r w:rsidRPr="005D07CA">
        <w:lastRenderedPageBreak/>
        <w:t>superimposed onto the research questions to organize the presentation of the results based on the evidence on record instead of speculative nomination.</w:t>
      </w:r>
    </w:p>
    <w:p w:rsidR="00623961" w:rsidRDefault="00623961" w:rsidP="00623961">
      <w:pPr>
        <w:pStyle w:val="Caption"/>
      </w:pPr>
      <w:r>
        <w:t xml:space="preserve">Table </w:t>
      </w:r>
      <w:r>
        <w:fldChar w:fldCharType="begin"/>
      </w:r>
      <w:r>
        <w:instrText xml:space="preserve"> SEQ Table \* ARABIC </w:instrText>
      </w:r>
      <w:r>
        <w:fldChar w:fldCharType="separate"/>
      </w:r>
      <w:r w:rsidR="00BB5D78">
        <w:rPr>
          <w:noProof/>
        </w:rPr>
        <w:t>5</w:t>
      </w:r>
      <w:r>
        <w:fldChar w:fldCharType="end"/>
      </w:r>
      <w:r>
        <w:rPr>
          <w:lang w:val="en-US"/>
        </w:rPr>
        <w:t xml:space="preserve">: </w:t>
      </w:r>
      <w:r w:rsidRPr="00765CDD">
        <w:rPr>
          <w:lang w:val="en-US"/>
        </w:rPr>
        <w:t>Coding framework aligned to administrative-burden concepts and process evidence</w:t>
      </w:r>
      <w:r w:rsidRPr="00623961">
        <w:t xml:space="preserve"> </w:t>
      </w:r>
      <w:r w:rsidRPr="00623961">
        <w:rPr>
          <w:lang w:val="en-US"/>
        </w:rPr>
        <w:t>(</w:t>
      </w:r>
      <w:proofErr w:type="spellStart"/>
      <w:r w:rsidRPr="00623961">
        <w:rPr>
          <w:lang w:val="en-US"/>
        </w:rPr>
        <w:t>Veiga</w:t>
      </w:r>
      <w:proofErr w:type="spellEnd"/>
      <w:r w:rsidRPr="00623961">
        <w:rPr>
          <w:lang w:val="en-US"/>
        </w:rPr>
        <w:t xml:space="preserve"> and </w:t>
      </w:r>
      <w:proofErr w:type="spellStart"/>
      <w:r w:rsidRPr="00623961">
        <w:rPr>
          <w:lang w:val="en-US"/>
        </w:rPr>
        <w:t>Janowski</w:t>
      </w:r>
      <w:proofErr w:type="spellEnd"/>
      <w:r w:rsidRPr="00623961">
        <w:rPr>
          <w:lang w:val="en-US"/>
        </w:rPr>
        <w:t>, 2016)</w:t>
      </w:r>
      <w:bookmarkEnd w:id="75"/>
    </w:p>
    <w:tbl>
      <w:tblPr>
        <w:tblStyle w:val="GridTable1Light-Accent5"/>
        <w:tblW w:w="0" w:type="auto"/>
        <w:tblLook w:val="04A0" w:firstRow="1" w:lastRow="0" w:firstColumn="1" w:lastColumn="0" w:noHBand="0" w:noVBand="1"/>
      </w:tblPr>
      <w:tblGrid>
        <w:gridCol w:w="1995"/>
        <w:gridCol w:w="2544"/>
        <w:gridCol w:w="3153"/>
        <w:gridCol w:w="1658"/>
      </w:tblGrid>
      <w:tr w:rsidR="003633DF" w:rsidTr="006239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633DF" w:rsidRDefault="003633DF" w:rsidP="00623961">
            <w:pPr>
              <w:rPr>
                <w:b w:val="0"/>
                <w:bCs w:val="0"/>
              </w:rPr>
            </w:pPr>
            <w:r>
              <w:rPr>
                <w:b w:val="0"/>
                <w:bCs w:val="0"/>
              </w:rPr>
              <w:t>Code family</w:t>
            </w:r>
          </w:p>
        </w:tc>
        <w:tc>
          <w:tcPr>
            <w:tcW w:w="0" w:type="auto"/>
            <w:hideMark/>
          </w:tcPr>
          <w:p w:rsidR="003633DF" w:rsidRDefault="003633DF" w:rsidP="00623961">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Operational definition in this study</w:t>
            </w:r>
          </w:p>
        </w:tc>
        <w:tc>
          <w:tcPr>
            <w:tcW w:w="0" w:type="auto"/>
            <w:hideMark/>
          </w:tcPr>
          <w:p w:rsidR="003633DF" w:rsidRDefault="003633DF" w:rsidP="00623961">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Typical documentary indicators</w:t>
            </w:r>
          </w:p>
        </w:tc>
        <w:tc>
          <w:tcPr>
            <w:tcW w:w="0" w:type="auto"/>
            <w:hideMark/>
          </w:tcPr>
          <w:p w:rsidR="003633DF" w:rsidRDefault="003633DF" w:rsidP="00623961">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Link to RQs</w:t>
            </w:r>
          </w:p>
        </w:tc>
      </w:tr>
      <w:tr w:rsidR="003633DF" w:rsidTr="00623961">
        <w:tc>
          <w:tcPr>
            <w:cnfStyle w:val="001000000000" w:firstRow="0" w:lastRow="0" w:firstColumn="1" w:lastColumn="0" w:oddVBand="0" w:evenVBand="0" w:oddHBand="0" w:evenHBand="0" w:firstRowFirstColumn="0" w:firstRowLastColumn="0" w:lastRowFirstColumn="0" w:lastRowLastColumn="0"/>
            <w:tcW w:w="0" w:type="auto"/>
            <w:hideMark/>
          </w:tcPr>
          <w:p w:rsidR="003633DF" w:rsidRDefault="003633DF" w:rsidP="00623961">
            <w:r>
              <w:rPr>
                <w:rStyle w:val="Strong"/>
              </w:rPr>
              <w:t>Learning costs</w:t>
            </w:r>
          </w:p>
        </w:tc>
        <w:tc>
          <w:tcPr>
            <w:tcW w:w="0" w:type="auto"/>
            <w:hideMark/>
          </w:tcPr>
          <w:p w:rsidR="003633DF" w:rsidRDefault="003633DF" w:rsidP="00623961">
            <w:pPr>
              <w:cnfStyle w:val="000000000000" w:firstRow="0" w:lastRow="0" w:firstColumn="0" w:lastColumn="0" w:oddVBand="0" w:evenVBand="0" w:oddHBand="0" w:evenHBand="0" w:firstRowFirstColumn="0" w:firstRowLastColumn="0" w:lastRowFirstColumn="0" w:lastRowLastColumn="0"/>
            </w:pPr>
            <w:r>
              <w:t>Time/effort required to understand requirements and navigate submission logic</w:t>
            </w:r>
          </w:p>
        </w:tc>
        <w:tc>
          <w:tcPr>
            <w:tcW w:w="0" w:type="auto"/>
            <w:hideMark/>
          </w:tcPr>
          <w:p w:rsidR="003633DF" w:rsidRDefault="003633DF" w:rsidP="00623961">
            <w:pPr>
              <w:cnfStyle w:val="000000000000" w:firstRow="0" w:lastRow="0" w:firstColumn="0" w:lastColumn="0" w:oddVBand="0" w:evenVBand="0" w:oddHBand="0" w:evenHBand="0" w:firstRowFirstColumn="0" w:firstRowLastColumn="0" w:lastRowFirstColumn="0" w:lastRowLastColumn="0"/>
            </w:pPr>
            <w:r>
              <w:t>Multi-step instructions, role-based permissions, required attachments across modules, clarification cycles</w:t>
            </w:r>
          </w:p>
        </w:tc>
        <w:tc>
          <w:tcPr>
            <w:tcW w:w="0" w:type="auto"/>
            <w:hideMark/>
          </w:tcPr>
          <w:p w:rsidR="003633DF" w:rsidRDefault="003633DF" w:rsidP="00623961">
            <w:pPr>
              <w:cnfStyle w:val="000000000000" w:firstRow="0" w:lastRow="0" w:firstColumn="0" w:lastColumn="0" w:oddVBand="0" w:evenVBand="0" w:oddHBand="0" w:evenHBand="0" w:firstRowFirstColumn="0" w:firstRowLastColumn="0" w:lastRowFirstColumn="0" w:lastRowLastColumn="0"/>
            </w:pPr>
            <w:r>
              <w:t>RQ1, RQ2</w:t>
            </w:r>
          </w:p>
        </w:tc>
      </w:tr>
      <w:tr w:rsidR="003633DF" w:rsidTr="00623961">
        <w:tc>
          <w:tcPr>
            <w:cnfStyle w:val="001000000000" w:firstRow="0" w:lastRow="0" w:firstColumn="1" w:lastColumn="0" w:oddVBand="0" w:evenVBand="0" w:oddHBand="0" w:evenHBand="0" w:firstRowFirstColumn="0" w:firstRowLastColumn="0" w:lastRowFirstColumn="0" w:lastRowLastColumn="0"/>
            <w:tcW w:w="0" w:type="auto"/>
            <w:hideMark/>
          </w:tcPr>
          <w:p w:rsidR="003633DF" w:rsidRDefault="003633DF" w:rsidP="00623961">
            <w:r>
              <w:rPr>
                <w:rStyle w:val="Strong"/>
              </w:rPr>
              <w:t>Compliance costs</w:t>
            </w:r>
          </w:p>
        </w:tc>
        <w:tc>
          <w:tcPr>
            <w:tcW w:w="0" w:type="auto"/>
            <w:hideMark/>
          </w:tcPr>
          <w:p w:rsidR="003633DF" w:rsidRDefault="003633DF" w:rsidP="00623961">
            <w:pPr>
              <w:cnfStyle w:val="000000000000" w:firstRow="0" w:lastRow="0" w:firstColumn="0" w:lastColumn="0" w:oddVBand="0" w:evenVBand="0" w:oddHBand="0" w:evenHBand="0" w:firstRowFirstColumn="0" w:firstRowLastColumn="0" w:lastRowFirstColumn="0" w:lastRowLastColumn="0"/>
            </w:pPr>
            <w:r>
              <w:t>Resource demands arising from fulfilling procedural and documentary requirements</w:t>
            </w:r>
          </w:p>
        </w:tc>
        <w:tc>
          <w:tcPr>
            <w:tcW w:w="0" w:type="auto"/>
            <w:hideMark/>
          </w:tcPr>
          <w:p w:rsidR="003633DF" w:rsidRDefault="003633DF" w:rsidP="00623961">
            <w:pPr>
              <w:cnfStyle w:val="000000000000" w:firstRow="0" w:lastRow="0" w:firstColumn="0" w:lastColumn="0" w:oddVBand="0" w:evenVBand="0" w:oddHBand="0" w:evenHBand="0" w:firstRowFirstColumn="0" w:firstRowLastColumn="0" w:lastRowFirstColumn="0" w:lastRowLastColumn="0"/>
            </w:pPr>
            <w:r>
              <w:t>Repeated document uploads, supporting certificates, re-submissions after queries, record-keeping requirements</w:t>
            </w:r>
          </w:p>
        </w:tc>
        <w:tc>
          <w:tcPr>
            <w:tcW w:w="0" w:type="auto"/>
            <w:hideMark/>
          </w:tcPr>
          <w:p w:rsidR="003633DF" w:rsidRDefault="003633DF" w:rsidP="00623961">
            <w:pPr>
              <w:cnfStyle w:val="000000000000" w:firstRow="0" w:lastRow="0" w:firstColumn="0" w:lastColumn="0" w:oddVBand="0" w:evenVBand="0" w:oddHBand="0" w:evenHBand="0" w:firstRowFirstColumn="0" w:firstRowLastColumn="0" w:lastRowFirstColumn="0" w:lastRowLastColumn="0"/>
            </w:pPr>
            <w:r>
              <w:t>RQ1, RQ2</w:t>
            </w:r>
          </w:p>
        </w:tc>
      </w:tr>
      <w:tr w:rsidR="003633DF" w:rsidTr="00623961">
        <w:tc>
          <w:tcPr>
            <w:cnfStyle w:val="001000000000" w:firstRow="0" w:lastRow="0" w:firstColumn="1" w:lastColumn="0" w:oddVBand="0" w:evenVBand="0" w:oddHBand="0" w:evenHBand="0" w:firstRowFirstColumn="0" w:firstRowLastColumn="0" w:lastRowFirstColumn="0" w:lastRowLastColumn="0"/>
            <w:tcW w:w="0" w:type="auto"/>
            <w:hideMark/>
          </w:tcPr>
          <w:p w:rsidR="003633DF" w:rsidRDefault="003633DF" w:rsidP="00623961">
            <w:r>
              <w:t>Procedural complexity</w:t>
            </w:r>
          </w:p>
        </w:tc>
        <w:tc>
          <w:tcPr>
            <w:tcW w:w="0" w:type="auto"/>
            <w:hideMark/>
          </w:tcPr>
          <w:p w:rsidR="003633DF" w:rsidRDefault="003633DF" w:rsidP="00623961">
            <w:pPr>
              <w:cnfStyle w:val="000000000000" w:firstRow="0" w:lastRow="0" w:firstColumn="0" w:lastColumn="0" w:oddVBand="0" w:evenVBand="0" w:oddHBand="0" w:evenHBand="0" w:firstRowFirstColumn="0" w:firstRowLastColumn="0" w:lastRowFirstColumn="0" w:lastRowLastColumn="0"/>
            </w:pPr>
            <w:r>
              <w:t>Number and sequencing of steps and decision points that condition approval</w:t>
            </w:r>
          </w:p>
        </w:tc>
        <w:tc>
          <w:tcPr>
            <w:tcW w:w="0" w:type="auto"/>
            <w:hideMark/>
          </w:tcPr>
          <w:p w:rsidR="003633DF" w:rsidRDefault="003633DF" w:rsidP="00623961">
            <w:pPr>
              <w:cnfStyle w:val="000000000000" w:firstRow="0" w:lastRow="0" w:firstColumn="0" w:lastColumn="0" w:oddVBand="0" w:evenVBand="0" w:oddHBand="0" w:evenHBand="0" w:firstRowFirstColumn="0" w:firstRowLastColumn="0" w:lastRowFirstColumn="0" w:lastRowLastColumn="0"/>
            </w:pPr>
            <w:r>
              <w:t>Separate submission and processing workflows; multiple status changes; conditional routing</w:t>
            </w:r>
          </w:p>
        </w:tc>
        <w:tc>
          <w:tcPr>
            <w:tcW w:w="0" w:type="auto"/>
            <w:hideMark/>
          </w:tcPr>
          <w:p w:rsidR="003633DF" w:rsidRDefault="003633DF" w:rsidP="00623961">
            <w:pPr>
              <w:cnfStyle w:val="000000000000" w:firstRow="0" w:lastRow="0" w:firstColumn="0" w:lastColumn="0" w:oddVBand="0" w:evenVBand="0" w:oddHBand="0" w:evenHBand="0" w:firstRowFirstColumn="0" w:firstRowLastColumn="0" w:lastRowFirstColumn="0" w:lastRowLastColumn="0"/>
            </w:pPr>
            <w:r>
              <w:t>RQ1</w:t>
            </w:r>
          </w:p>
        </w:tc>
      </w:tr>
      <w:tr w:rsidR="003633DF" w:rsidTr="00623961">
        <w:tc>
          <w:tcPr>
            <w:cnfStyle w:val="001000000000" w:firstRow="0" w:lastRow="0" w:firstColumn="1" w:lastColumn="0" w:oddVBand="0" w:evenVBand="0" w:oddHBand="0" w:evenHBand="0" w:firstRowFirstColumn="0" w:firstRowLastColumn="0" w:lastRowFirstColumn="0" w:lastRowLastColumn="0"/>
            <w:tcW w:w="0" w:type="auto"/>
            <w:hideMark/>
          </w:tcPr>
          <w:p w:rsidR="003633DF" w:rsidRDefault="003633DF" w:rsidP="00623961">
            <w:r>
              <w:t>Rework / iteration</w:t>
            </w:r>
          </w:p>
        </w:tc>
        <w:tc>
          <w:tcPr>
            <w:tcW w:w="0" w:type="auto"/>
            <w:hideMark/>
          </w:tcPr>
          <w:p w:rsidR="003633DF" w:rsidRDefault="003633DF" w:rsidP="00623961">
            <w:pPr>
              <w:cnfStyle w:val="000000000000" w:firstRow="0" w:lastRow="0" w:firstColumn="0" w:lastColumn="0" w:oddVBand="0" w:evenVBand="0" w:oddHBand="0" w:evenHBand="0" w:firstRowFirstColumn="0" w:firstRowLastColumn="0" w:lastRowFirstColumn="0" w:lastRowLastColumn="0"/>
            </w:pPr>
            <w:r>
              <w:t>Evidence that applications may return to the applicant for correction or further information</w:t>
            </w:r>
          </w:p>
        </w:tc>
        <w:tc>
          <w:tcPr>
            <w:tcW w:w="0" w:type="auto"/>
            <w:hideMark/>
          </w:tcPr>
          <w:p w:rsidR="003633DF" w:rsidRDefault="003633DF" w:rsidP="00623961">
            <w:pPr>
              <w:cnfStyle w:val="000000000000" w:firstRow="0" w:lastRow="0" w:firstColumn="0" w:lastColumn="0" w:oddVBand="0" w:evenVBand="0" w:oddHBand="0" w:evenHBand="0" w:firstRowFirstColumn="0" w:firstRowLastColumn="0" w:lastRowFirstColumn="0" w:lastRowLastColumn="0"/>
            </w:pPr>
            <w:r>
              <w:t>“Query”, “return”, “resubmit” steps embedded in workflow manuals</w:t>
            </w:r>
          </w:p>
        </w:tc>
        <w:tc>
          <w:tcPr>
            <w:tcW w:w="0" w:type="auto"/>
            <w:hideMark/>
          </w:tcPr>
          <w:p w:rsidR="003633DF" w:rsidRDefault="003633DF" w:rsidP="00623961">
            <w:pPr>
              <w:cnfStyle w:val="000000000000" w:firstRow="0" w:lastRow="0" w:firstColumn="0" w:lastColumn="0" w:oddVBand="0" w:evenVBand="0" w:oddHBand="0" w:evenHBand="0" w:firstRowFirstColumn="0" w:firstRowLastColumn="0" w:lastRowFirstColumn="0" w:lastRowLastColumn="0"/>
            </w:pPr>
            <w:r>
              <w:t>RQ1, RQ2</w:t>
            </w:r>
          </w:p>
        </w:tc>
      </w:tr>
      <w:tr w:rsidR="003633DF" w:rsidTr="00623961">
        <w:tc>
          <w:tcPr>
            <w:cnfStyle w:val="001000000000" w:firstRow="0" w:lastRow="0" w:firstColumn="1" w:lastColumn="0" w:oddVBand="0" w:evenVBand="0" w:oddHBand="0" w:evenHBand="0" w:firstRowFirstColumn="0" w:firstRowLastColumn="0" w:lastRowFirstColumn="0" w:lastRowLastColumn="0"/>
            <w:tcW w:w="0" w:type="auto"/>
            <w:hideMark/>
          </w:tcPr>
          <w:p w:rsidR="003633DF" w:rsidRDefault="003633DF" w:rsidP="00623961">
            <w:r>
              <w:lastRenderedPageBreak/>
              <w:t>Timing uncertainty</w:t>
            </w:r>
          </w:p>
        </w:tc>
        <w:tc>
          <w:tcPr>
            <w:tcW w:w="0" w:type="auto"/>
            <w:hideMark/>
          </w:tcPr>
          <w:p w:rsidR="003633DF" w:rsidRDefault="003633DF" w:rsidP="00623961">
            <w:pPr>
              <w:cnfStyle w:val="000000000000" w:firstRow="0" w:lastRow="0" w:firstColumn="0" w:lastColumn="0" w:oddVBand="0" w:evenVBand="0" w:oddHBand="0" w:evenHBand="0" w:firstRowFirstColumn="0" w:firstRowLastColumn="0" w:lastRowFirstColumn="0" w:lastRowLastColumn="0"/>
            </w:pPr>
            <w:r>
              <w:t>Absence of stable, user-visible service standards or variable turnaround references</w:t>
            </w:r>
          </w:p>
        </w:tc>
        <w:tc>
          <w:tcPr>
            <w:tcW w:w="0" w:type="auto"/>
            <w:hideMark/>
          </w:tcPr>
          <w:p w:rsidR="003633DF" w:rsidRDefault="003633DF" w:rsidP="00623961">
            <w:pPr>
              <w:cnfStyle w:val="000000000000" w:firstRow="0" w:lastRow="0" w:firstColumn="0" w:lastColumn="0" w:oddVBand="0" w:evenVBand="0" w:oddHBand="0" w:evenHBand="0" w:firstRowFirstColumn="0" w:firstRowLastColumn="0" w:lastRowFirstColumn="0" w:lastRowLastColumn="0"/>
            </w:pPr>
            <w:r>
              <w:t>Documents describing delays or uncertainty; workflow that allows repeated iterations</w:t>
            </w:r>
          </w:p>
        </w:tc>
        <w:tc>
          <w:tcPr>
            <w:tcW w:w="0" w:type="auto"/>
            <w:hideMark/>
          </w:tcPr>
          <w:p w:rsidR="003633DF" w:rsidRDefault="003633DF" w:rsidP="00623961">
            <w:pPr>
              <w:cnfStyle w:val="000000000000" w:firstRow="0" w:lastRow="0" w:firstColumn="0" w:lastColumn="0" w:oddVBand="0" w:evenVBand="0" w:oddHBand="0" w:evenHBand="0" w:firstRowFirstColumn="0" w:firstRowLastColumn="0" w:lastRowFirstColumn="0" w:lastRowLastColumn="0"/>
            </w:pPr>
            <w:r>
              <w:t>RQ1, RQ2</w:t>
            </w:r>
          </w:p>
        </w:tc>
      </w:tr>
      <w:tr w:rsidR="003633DF" w:rsidTr="00623961">
        <w:tc>
          <w:tcPr>
            <w:cnfStyle w:val="001000000000" w:firstRow="0" w:lastRow="0" w:firstColumn="1" w:lastColumn="0" w:oddVBand="0" w:evenVBand="0" w:oddHBand="0" w:evenHBand="0" w:firstRowFirstColumn="0" w:firstRowLastColumn="0" w:lastRowFirstColumn="0" w:lastRowLastColumn="0"/>
            <w:tcW w:w="0" w:type="auto"/>
            <w:hideMark/>
          </w:tcPr>
          <w:p w:rsidR="003633DF" w:rsidRDefault="003633DF" w:rsidP="00623961">
            <w:r>
              <w:t>System consequences</w:t>
            </w:r>
          </w:p>
        </w:tc>
        <w:tc>
          <w:tcPr>
            <w:tcW w:w="0" w:type="auto"/>
            <w:hideMark/>
          </w:tcPr>
          <w:p w:rsidR="003633DF" w:rsidRDefault="003633DF" w:rsidP="00623961">
            <w:pPr>
              <w:cnfStyle w:val="000000000000" w:firstRow="0" w:lastRow="0" w:firstColumn="0" w:lastColumn="0" w:oddVBand="0" w:evenVBand="0" w:oddHBand="0" w:evenHBand="0" w:firstRowFirstColumn="0" w:firstRowLastColumn="0" w:lastRowFirstColumn="0" w:lastRowLastColumn="0"/>
            </w:pPr>
            <w:r>
              <w:t>Reported operational outcomes linked to regulatory friction (without interpretation)</w:t>
            </w:r>
          </w:p>
        </w:tc>
        <w:tc>
          <w:tcPr>
            <w:tcW w:w="0" w:type="auto"/>
            <w:hideMark/>
          </w:tcPr>
          <w:p w:rsidR="003633DF" w:rsidRDefault="003633DF" w:rsidP="00623961">
            <w:pPr>
              <w:cnfStyle w:val="000000000000" w:firstRow="0" w:lastRow="0" w:firstColumn="0" w:lastColumn="0" w:oddVBand="0" w:evenVBand="0" w:oddHBand="0" w:evenHBand="0" w:firstRowFirstColumn="0" w:firstRowLastColumn="0" w:lastRowFirstColumn="0" w:lastRowLastColumn="0"/>
            </w:pPr>
            <w:r>
              <w:t>Stock disruption concerns, integrity risks, access constraints noted in empirical literature</w:t>
            </w:r>
          </w:p>
        </w:tc>
        <w:tc>
          <w:tcPr>
            <w:tcW w:w="0" w:type="auto"/>
            <w:hideMark/>
          </w:tcPr>
          <w:p w:rsidR="003633DF" w:rsidRDefault="003633DF" w:rsidP="00623961">
            <w:pPr>
              <w:cnfStyle w:val="000000000000" w:firstRow="0" w:lastRow="0" w:firstColumn="0" w:lastColumn="0" w:oddVBand="0" w:evenVBand="0" w:oddHBand="0" w:evenHBand="0" w:firstRowFirstColumn="0" w:firstRowLastColumn="0" w:lastRowFirstColumn="0" w:lastRowLastColumn="0"/>
            </w:pPr>
            <w:r>
              <w:t>RQ2</w:t>
            </w:r>
          </w:p>
        </w:tc>
      </w:tr>
      <w:tr w:rsidR="003633DF" w:rsidTr="00623961">
        <w:tc>
          <w:tcPr>
            <w:cnfStyle w:val="001000000000" w:firstRow="0" w:lastRow="0" w:firstColumn="1" w:lastColumn="0" w:oddVBand="0" w:evenVBand="0" w:oddHBand="0" w:evenHBand="0" w:firstRowFirstColumn="0" w:firstRowLastColumn="0" w:lastRowFirstColumn="0" w:lastRowLastColumn="0"/>
            <w:tcW w:w="0" w:type="auto"/>
            <w:hideMark/>
          </w:tcPr>
          <w:p w:rsidR="003633DF" w:rsidRDefault="003633DF" w:rsidP="00623961">
            <w:r>
              <w:t>Stated reform measures</w:t>
            </w:r>
          </w:p>
        </w:tc>
        <w:tc>
          <w:tcPr>
            <w:tcW w:w="0" w:type="auto"/>
            <w:hideMark/>
          </w:tcPr>
          <w:p w:rsidR="003633DF" w:rsidRDefault="003633DF" w:rsidP="00623961">
            <w:pPr>
              <w:cnfStyle w:val="000000000000" w:firstRow="0" w:lastRow="0" w:firstColumn="0" w:lastColumn="0" w:oddVBand="0" w:evenVBand="0" w:oddHBand="0" w:evenHBand="0" w:firstRowFirstColumn="0" w:firstRowLastColumn="0" w:lastRowFirstColumn="0" w:lastRowLastColumn="0"/>
            </w:pPr>
            <w:r>
              <w:t>Reforms or improvements explicitly stated in documents</w:t>
            </w:r>
          </w:p>
        </w:tc>
        <w:tc>
          <w:tcPr>
            <w:tcW w:w="0" w:type="auto"/>
            <w:hideMark/>
          </w:tcPr>
          <w:p w:rsidR="003633DF" w:rsidRDefault="003633DF" w:rsidP="00623961">
            <w:pPr>
              <w:cnfStyle w:val="000000000000" w:firstRow="0" w:lastRow="0" w:firstColumn="0" w:lastColumn="0" w:oddVBand="0" w:evenVBand="0" w:oddHBand="0" w:evenHBand="0" w:firstRowFirstColumn="0" w:firstRowLastColumn="0" w:lastRowFirstColumn="0" w:lastRowLastColumn="0"/>
            </w:pPr>
            <w:r>
              <w:t>Digitisation/Single Window mechanisms; procedural standardisation language</w:t>
            </w:r>
          </w:p>
        </w:tc>
        <w:tc>
          <w:tcPr>
            <w:tcW w:w="0" w:type="auto"/>
            <w:hideMark/>
          </w:tcPr>
          <w:p w:rsidR="003633DF" w:rsidRDefault="003633DF" w:rsidP="00623961">
            <w:pPr>
              <w:cnfStyle w:val="000000000000" w:firstRow="0" w:lastRow="0" w:firstColumn="0" w:lastColumn="0" w:oddVBand="0" w:evenVBand="0" w:oddHBand="0" w:evenHBand="0" w:firstRowFirstColumn="0" w:firstRowLastColumn="0" w:lastRowFirstColumn="0" w:lastRowLastColumn="0"/>
            </w:pPr>
            <w:r>
              <w:t>RQ3 (as “evidence of proposals”)</w:t>
            </w:r>
          </w:p>
        </w:tc>
      </w:tr>
    </w:tbl>
    <w:p w:rsidR="00623961" w:rsidRDefault="00623961" w:rsidP="00623961"/>
    <w:p w:rsidR="003633DF" w:rsidRDefault="00F04A85" w:rsidP="00623961">
      <w:pPr>
        <w:pStyle w:val="Heading2"/>
      </w:pPr>
      <w:bookmarkStart w:id="76" w:name="_Toc220873947"/>
      <w:r>
        <w:t>4.6</w:t>
      </w:r>
      <w:r w:rsidR="003633DF">
        <w:t xml:space="preserve"> Findings organised by research question</w:t>
      </w:r>
      <w:bookmarkEnd w:id="76"/>
    </w:p>
    <w:p w:rsidR="0057166D" w:rsidRDefault="00F04A85" w:rsidP="0057166D">
      <w:pPr>
        <w:pStyle w:val="Heading3"/>
        <w:rPr>
          <w:rFonts w:ascii="Times New Roman" w:hAnsi="Times New Roman"/>
          <w:sz w:val="27"/>
          <w:lang w:val="en-US" w:eastAsia="en-US"/>
        </w:rPr>
      </w:pPr>
      <w:bookmarkStart w:id="77" w:name="_Toc220873948"/>
      <w:r>
        <w:t>4.6</w:t>
      </w:r>
      <w:r w:rsidR="0057166D">
        <w:t>.1 RQ1: Key trade barriers faced by SMEs in obtaining import licenses for drugs in Bangladesh</w:t>
      </w:r>
      <w:bookmarkEnd w:id="77"/>
    </w:p>
    <w:p w:rsidR="00F95C1E" w:rsidRDefault="00F95C1E" w:rsidP="00F95C1E">
      <w:r w:rsidRPr="00F95C1E">
        <w:t>In the documentary data set, the indicators have been recorded and reveal that the process of import licensing and clearance require numerous steps and documented time requirements. According to Enterprise Survey, the average number of days spent by firms in Bangladesh to get an import licence is 49 days (World Bank, 2022). The identical data indicate that 5 percent of firms surveyed note that business licences and permits are an impediment and 3 percent of firms note that customs and trade regulations are an impediment (World Bank, 2022). These numbers measure the percentage of companies that report administrative problems involving licensing and give quantitative indicators of the time that it takes to obtain an import licence in the reported regulatory environment.</w:t>
      </w:r>
    </w:p>
    <w:p w:rsidR="00E8129F" w:rsidRDefault="00E8129F" w:rsidP="00E8129F">
      <w:pPr>
        <w:keepNext/>
        <w:jc w:val="center"/>
      </w:pPr>
      <w:r w:rsidRPr="00E8129F">
        <w:rPr>
          <w:noProof/>
          <w:lang w:val="en-US" w:eastAsia="en-US"/>
        </w:rPr>
        <w:lastRenderedPageBreak/>
        <w:drawing>
          <wp:inline distT="0" distB="0" distL="0" distR="0" wp14:anchorId="00301641" wp14:editId="4FD262F3">
            <wp:extent cx="5943600" cy="1920240"/>
            <wp:effectExtent l="19050" t="19050" r="19050" b="228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1920240"/>
                    </a:xfrm>
                    <a:prstGeom prst="rect">
                      <a:avLst/>
                    </a:prstGeom>
                    <a:ln>
                      <a:solidFill>
                        <a:schemeClr val="tx1"/>
                      </a:solidFill>
                    </a:ln>
                  </pic:spPr>
                </pic:pic>
              </a:graphicData>
            </a:graphic>
          </wp:inline>
        </w:drawing>
      </w:r>
    </w:p>
    <w:p w:rsidR="00E8129F" w:rsidRDefault="00E8129F" w:rsidP="00E8129F">
      <w:pPr>
        <w:pStyle w:val="Caption"/>
        <w:rPr>
          <w:lang w:val="en-US"/>
        </w:rPr>
      </w:pPr>
      <w:bookmarkStart w:id="78" w:name="_Toc217469621"/>
      <w:bookmarkStart w:id="79" w:name="_Toc219634729"/>
      <w:r>
        <w:t xml:space="preserve">Figure </w:t>
      </w:r>
      <w:r>
        <w:fldChar w:fldCharType="begin"/>
      </w:r>
      <w:r>
        <w:instrText xml:space="preserve"> SEQ Figure \* ARABIC </w:instrText>
      </w:r>
      <w:r>
        <w:fldChar w:fldCharType="separate"/>
      </w:r>
      <w:r w:rsidR="00BB62E9">
        <w:rPr>
          <w:noProof/>
        </w:rPr>
        <w:t>2</w:t>
      </w:r>
      <w:r>
        <w:fldChar w:fldCharType="end"/>
      </w:r>
      <w:r>
        <w:rPr>
          <w:lang w:val="en-US"/>
        </w:rPr>
        <w:t xml:space="preserve">: </w:t>
      </w:r>
      <w:r w:rsidRPr="00442F0D">
        <w:rPr>
          <w:lang w:val="en-US"/>
        </w:rPr>
        <w:t>Starting a Business in Dhaka – Procedure, Time and Cost</w:t>
      </w:r>
      <w:bookmarkEnd w:id="78"/>
      <w:bookmarkEnd w:id="79"/>
      <w:r>
        <w:rPr>
          <w:lang w:val="en-US"/>
        </w:rPr>
        <w:t xml:space="preserve"> </w:t>
      </w:r>
    </w:p>
    <w:p w:rsidR="00E8129F" w:rsidRDefault="00E8129F" w:rsidP="00E8129F">
      <w:pPr>
        <w:pStyle w:val="Caption"/>
      </w:pPr>
      <w:r>
        <w:rPr>
          <w:lang w:val="en-US"/>
        </w:rPr>
        <w:t>Source:</w:t>
      </w:r>
      <w:r w:rsidRPr="00E8129F">
        <w:t xml:space="preserve"> </w:t>
      </w:r>
      <w:r w:rsidRPr="00E8129F">
        <w:rPr>
          <w:lang w:val="en-US"/>
        </w:rPr>
        <w:t>(World Bank, 2020)</w:t>
      </w:r>
    </w:p>
    <w:p w:rsidR="006078AA" w:rsidRDefault="006078AA" w:rsidP="006078AA">
      <w:pPr>
        <w:rPr>
          <w:b/>
          <w:bCs/>
          <w:i/>
          <w:iCs/>
        </w:rPr>
      </w:pPr>
      <w:bookmarkStart w:id="80" w:name="_Toc217469703"/>
      <w:r w:rsidRPr="006078AA">
        <w:t>Measures of cross-border processes show documented and quantified requirements of compliance with imports into Bangladesh. In doing business 2020, documentation compliance, 144 hours with a cost of USD 370 and border compliance, 216 hours at the cost of USD 900 apply to imports (World Bank, 2020). The same source mentions ten various documents associated with the import process, such as customs declaration and bill of lading, letters of credit, certificates, and handling receipts (World Bank, 2020). These indicators define the time, cost and documentation element that are recorded of import procedures. The process-design aspects are also reflected in the materials of the DGDA Bangladesh Single Window. The user manuals present the concept of multi-stage submission and review processes, which comprise pre-set approval steps, formalised query, return and resubmission positions in the licensing channel (DGDA, 2023). The recorded approval process describes the steps of navigation, status tracking, and resubmission of the document, which are module-based.</w:t>
      </w:r>
    </w:p>
    <w:p w:rsidR="0057166D" w:rsidRDefault="0057166D" w:rsidP="00FB19C5">
      <w:pPr>
        <w:pStyle w:val="Caption"/>
      </w:pPr>
      <w:r>
        <w:t xml:space="preserve">Table </w:t>
      </w:r>
      <w:r>
        <w:fldChar w:fldCharType="begin"/>
      </w:r>
      <w:r>
        <w:instrText xml:space="preserve"> SEQ Table \* ARABIC </w:instrText>
      </w:r>
      <w:r>
        <w:fldChar w:fldCharType="separate"/>
      </w:r>
      <w:r w:rsidR="00BB5D78">
        <w:rPr>
          <w:noProof/>
        </w:rPr>
        <w:t>6</w:t>
      </w:r>
      <w:r>
        <w:fldChar w:fldCharType="end"/>
      </w:r>
      <w:r>
        <w:rPr>
          <w:lang w:val="en-US"/>
        </w:rPr>
        <w:t xml:space="preserve">: </w:t>
      </w:r>
      <w:r w:rsidRPr="004117E8">
        <w:rPr>
          <w:lang w:val="en-US"/>
        </w:rPr>
        <w:t>Evidence matrix—quantified indicators linked to documented barrier themes</w:t>
      </w:r>
      <w:r w:rsidR="005B2888">
        <w:rPr>
          <w:lang w:val="en-US"/>
        </w:rPr>
        <w:t xml:space="preserve"> </w:t>
      </w:r>
      <w:r w:rsidR="005B2888" w:rsidRPr="005B2888">
        <w:rPr>
          <w:lang w:val="en-US"/>
        </w:rPr>
        <w:t>(World Bank, 2020; World Bank)</w:t>
      </w:r>
      <w:bookmarkEnd w:id="80"/>
    </w:p>
    <w:tbl>
      <w:tblPr>
        <w:tblStyle w:val="GridTable1Light-Accent5"/>
        <w:tblW w:w="0" w:type="auto"/>
        <w:tblLook w:val="04A0" w:firstRow="1" w:lastRow="0" w:firstColumn="1" w:lastColumn="0" w:noHBand="0" w:noVBand="1"/>
      </w:tblPr>
      <w:tblGrid>
        <w:gridCol w:w="2381"/>
        <w:gridCol w:w="2748"/>
        <w:gridCol w:w="4221"/>
      </w:tblGrid>
      <w:tr w:rsidR="0057166D" w:rsidTr="005716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7166D" w:rsidRDefault="0057166D" w:rsidP="0057166D">
            <w:r>
              <w:rPr>
                <w:b w:val="0"/>
                <w:bCs w:val="0"/>
              </w:rPr>
              <w:t>Barrier theme (reported)</w:t>
            </w:r>
          </w:p>
        </w:tc>
        <w:tc>
          <w:tcPr>
            <w:tcW w:w="0" w:type="auto"/>
            <w:hideMark/>
          </w:tcPr>
          <w:p w:rsidR="0057166D" w:rsidRDefault="0057166D" w:rsidP="0057166D">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Quantified/observable indicator</w:t>
            </w:r>
          </w:p>
        </w:tc>
        <w:tc>
          <w:tcPr>
            <w:tcW w:w="0" w:type="auto"/>
            <w:hideMark/>
          </w:tcPr>
          <w:p w:rsidR="0057166D" w:rsidRDefault="0057166D" w:rsidP="0057166D">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What the data shows (reported, not interpreted)</w:t>
            </w:r>
          </w:p>
        </w:tc>
      </w:tr>
      <w:tr w:rsidR="0057166D" w:rsidTr="0057166D">
        <w:tc>
          <w:tcPr>
            <w:cnfStyle w:val="001000000000" w:firstRow="0" w:lastRow="0" w:firstColumn="1" w:lastColumn="0" w:oddVBand="0" w:evenVBand="0" w:oddHBand="0" w:evenHBand="0" w:firstRowFirstColumn="0" w:firstRowLastColumn="0" w:lastRowFirstColumn="0" w:lastRowLastColumn="0"/>
            <w:tcW w:w="0" w:type="auto"/>
            <w:hideMark/>
          </w:tcPr>
          <w:p w:rsidR="0057166D" w:rsidRDefault="0057166D" w:rsidP="0057166D">
            <w:pPr>
              <w:rPr>
                <w:b w:val="0"/>
                <w:bCs w:val="0"/>
              </w:rPr>
            </w:pPr>
            <w:r>
              <w:rPr>
                <w:rStyle w:val="Strong"/>
              </w:rPr>
              <w:t>Timing exposure</w:t>
            </w:r>
          </w:p>
        </w:tc>
        <w:tc>
          <w:tcPr>
            <w:tcW w:w="0" w:type="auto"/>
            <w:hideMark/>
          </w:tcPr>
          <w:p w:rsidR="0057166D" w:rsidRPr="00CA0114" w:rsidRDefault="0057166D" w:rsidP="0057166D">
            <w:pPr>
              <w:cnfStyle w:val="000000000000" w:firstRow="0" w:lastRow="0" w:firstColumn="0" w:lastColumn="0" w:oddVBand="0" w:evenVBand="0" w:oddHBand="0" w:evenHBand="0" w:firstRowFirstColumn="0" w:firstRowLastColumn="0" w:lastRowFirstColumn="0" w:lastRowLastColumn="0"/>
              <w:rPr>
                <w:b/>
                <w:bCs/>
              </w:rPr>
            </w:pPr>
            <w:r w:rsidRPr="00CA0114">
              <w:rPr>
                <w:rStyle w:val="Strong"/>
                <w:b w:val="0"/>
                <w:bCs w:val="0"/>
              </w:rPr>
              <w:t>49 days</w:t>
            </w:r>
          </w:p>
        </w:tc>
        <w:tc>
          <w:tcPr>
            <w:tcW w:w="0" w:type="auto"/>
            <w:hideMark/>
          </w:tcPr>
          <w:p w:rsidR="0057166D" w:rsidRDefault="0057166D" w:rsidP="0057166D">
            <w:pPr>
              <w:cnfStyle w:val="000000000000" w:firstRow="0" w:lastRow="0" w:firstColumn="0" w:lastColumn="0" w:oddVBand="0" w:evenVBand="0" w:oddHBand="0" w:evenHBand="0" w:firstRowFirstColumn="0" w:firstRowLastColumn="0" w:lastRowFirstColumn="0" w:lastRowLastColumn="0"/>
            </w:pPr>
            <w:r>
              <w:t>Average time to obtain an import licence</w:t>
            </w:r>
          </w:p>
        </w:tc>
      </w:tr>
      <w:tr w:rsidR="0057166D" w:rsidTr="0057166D">
        <w:tc>
          <w:tcPr>
            <w:cnfStyle w:val="001000000000" w:firstRow="0" w:lastRow="0" w:firstColumn="1" w:lastColumn="0" w:oddVBand="0" w:evenVBand="0" w:oddHBand="0" w:evenHBand="0" w:firstRowFirstColumn="0" w:firstRowLastColumn="0" w:lastRowFirstColumn="0" w:lastRowLastColumn="0"/>
            <w:tcW w:w="0" w:type="auto"/>
            <w:hideMark/>
          </w:tcPr>
          <w:p w:rsidR="0057166D" w:rsidRDefault="0057166D" w:rsidP="0057166D">
            <w:r>
              <w:rPr>
                <w:rStyle w:val="Strong"/>
              </w:rPr>
              <w:lastRenderedPageBreak/>
              <w:t>Documentary burden</w:t>
            </w:r>
          </w:p>
        </w:tc>
        <w:tc>
          <w:tcPr>
            <w:tcW w:w="0" w:type="auto"/>
            <w:hideMark/>
          </w:tcPr>
          <w:p w:rsidR="0057166D" w:rsidRPr="00CA0114" w:rsidRDefault="0057166D" w:rsidP="0057166D">
            <w:pPr>
              <w:cnfStyle w:val="000000000000" w:firstRow="0" w:lastRow="0" w:firstColumn="0" w:lastColumn="0" w:oddVBand="0" w:evenVBand="0" w:oddHBand="0" w:evenHBand="0" w:firstRowFirstColumn="0" w:firstRowLastColumn="0" w:lastRowFirstColumn="0" w:lastRowLastColumn="0"/>
              <w:rPr>
                <w:b/>
                <w:bCs/>
              </w:rPr>
            </w:pPr>
            <w:r w:rsidRPr="00CA0114">
              <w:rPr>
                <w:rStyle w:val="Strong"/>
                <w:b w:val="0"/>
                <w:bCs w:val="0"/>
              </w:rPr>
              <w:t>144 hours; USD 370</w:t>
            </w:r>
          </w:p>
        </w:tc>
        <w:tc>
          <w:tcPr>
            <w:tcW w:w="0" w:type="auto"/>
            <w:hideMark/>
          </w:tcPr>
          <w:p w:rsidR="0057166D" w:rsidRDefault="0057166D" w:rsidP="0057166D">
            <w:pPr>
              <w:cnfStyle w:val="000000000000" w:firstRow="0" w:lastRow="0" w:firstColumn="0" w:lastColumn="0" w:oddVBand="0" w:evenVBand="0" w:oddHBand="0" w:evenHBand="0" w:firstRowFirstColumn="0" w:firstRowLastColumn="0" w:lastRowFirstColumn="0" w:lastRowLastColumn="0"/>
            </w:pPr>
            <w:r>
              <w:t>Import documentary compliance time and cost</w:t>
            </w:r>
          </w:p>
        </w:tc>
      </w:tr>
      <w:tr w:rsidR="0057166D" w:rsidTr="0057166D">
        <w:tc>
          <w:tcPr>
            <w:cnfStyle w:val="001000000000" w:firstRow="0" w:lastRow="0" w:firstColumn="1" w:lastColumn="0" w:oddVBand="0" w:evenVBand="0" w:oddHBand="0" w:evenHBand="0" w:firstRowFirstColumn="0" w:firstRowLastColumn="0" w:lastRowFirstColumn="0" w:lastRowLastColumn="0"/>
            <w:tcW w:w="0" w:type="auto"/>
            <w:hideMark/>
          </w:tcPr>
          <w:p w:rsidR="0057166D" w:rsidRDefault="0057166D" w:rsidP="0057166D">
            <w:r>
              <w:rPr>
                <w:rStyle w:val="Strong"/>
              </w:rPr>
              <w:t>Border process burden</w:t>
            </w:r>
          </w:p>
        </w:tc>
        <w:tc>
          <w:tcPr>
            <w:tcW w:w="0" w:type="auto"/>
            <w:hideMark/>
          </w:tcPr>
          <w:p w:rsidR="0057166D" w:rsidRPr="00CA0114" w:rsidRDefault="0057166D" w:rsidP="0057166D">
            <w:pPr>
              <w:cnfStyle w:val="000000000000" w:firstRow="0" w:lastRow="0" w:firstColumn="0" w:lastColumn="0" w:oddVBand="0" w:evenVBand="0" w:oddHBand="0" w:evenHBand="0" w:firstRowFirstColumn="0" w:firstRowLastColumn="0" w:lastRowFirstColumn="0" w:lastRowLastColumn="0"/>
              <w:rPr>
                <w:b/>
                <w:bCs/>
              </w:rPr>
            </w:pPr>
            <w:r w:rsidRPr="00CA0114">
              <w:rPr>
                <w:rStyle w:val="Strong"/>
                <w:b w:val="0"/>
                <w:bCs w:val="0"/>
              </w:rPr>
              <w:t>216 hours; USD 900</w:t>
            </w:r>
          </w:p>
        </w:tc>
        <w:tc>
          <w:tcPr>
            <w:tcW w:w="0" w:type="auto"/>
            <w:hideMark/>
          </w:tcPr>
          <w:p w:rsidR="0057166D" w:rsidRDefault="0057166D" w:rsidP="0057166D">
            <w:pPr>
              <w:cnfStyle w:val="000000000000" w:firstRow="0" w:lastRow="0" w:firstColumn="0" w:lastColumn="0" w:oddVBand="0" w:evenVBand="0" w:oddHBand="0" w:evenHBand="0" w:firstRowFirstColumn="0" w:firstRowLastColumn="0" w:lastRowFirstColumn="0" w:lastRowLastColumn="0"/>
            </w:pPr>
            <w:r>
              <w:t>Import border compliance time and cost</w:t>
            </w:r>
          </w:p>
        </w:tc>
      </w:tr>
      <w:tr w:rsidR="0057166D" w:rsidTr="0057166D">
        <w:tc>
          <w:tcPr>
            <w:cnfStyle w:val="001000000000" w:firstRow="0" w:lastRow="0" w:firstColumn="1" w:lastColumn="0" w:oddVBand="0" w:evenVBand="0" w:oddHBand="0" w:evenHBand="0" w:firstRowFirstColumn="0" w:firstRowLastColumn="0" w:lastRowFirstColumn="0" w:lastRowLastColumn="0"/>
            <w:tcW w:w="0" w:type="auto"/>
            <w:hideMark/>
          </w:tcPr>
          <w:p w:rsidR="0057166D" w:rsidRDefault="0057166D" w:rsidP="0057166D">
            <w:r>
              <w:rPr>
                <w:rStyle w:val="Strong"/>
              </w:rPr>
              <w:t>Complex documentation set</w:t>
            </w:r>
          </w:p>
        </w:tc>
        <w:tc>
          <w:tcPr>
            <w:tcW w:w="0" w:type="auto"/>
            <w:hideMark/>
          </w:tcPr>
          <w:p w:rsidR="0057166D" w:rsidRPr="00CA0114" w:rsidRDefault="0057166D" w:rsidP="0057166D">
            <w:pPr>
              <w:cnfStyle w:val="000000000000" w:firstRow="0" w:lastRow="0" w:firstColumn="0" w:lastColumn="0" w:oddVBand="0" w:evenVBand="0" w:oddHBand="0" w:evenHBand="0" w:firstRowFirstColumn="0" w:firstRowLastColumn="0" w:lastRowFirstColumn="0" w:lastRowLastColumn="0"/>
              <w:rPr>
                <w:b/>
                <w:bCs/>
              </w:rPr>
            </w:pPr>
            <w:r w:rsidRPr="00CA0114">
              <w:rPr>
                <w:rStyle w:val="Strong"/>
                <w:b w:val="0"/>
                <w:bCs w:val="0"/>
              </w:rPr>
              <w:t>10 documents</w:t>
            </w:r>
          </w:p>
        </w:tc>
        <w:tc>
          <w:tcPr>
            <w:tcW w:w="0" w:type="auto"/>
            <w:hideMark/>
          </w:tcPr>
          <w:p w:rsidR="0057166D" w:rsidRDefault="0057166D" w:rsidP="0057166D">
            <w:pPr>
              <w:cnfStyle w:val="000000000000" w:firstRow="0" w:lastRow="0" w:firstColumn="0" w:lastColumn="0" w:oddVBand="0" w:evenVBand="0" w:oddHBand="0" w:evenHBand="0" w:firstRowFirstColumn="0" w:firstRowLastColumn="0" w:lastRowFirstColumn="0" w:lastRowLastColumn="0"/>
            </w:pPr>
            <w:r>
              <w:t>Number of listed documents required/used for import process completion</w:t>
            </w:r>
          </w:p>
        </w:tc>
      </w:tr>
      <w:tr w:rsidR="0057166D" w:rsidTr="0057166D">
        <w:tc>
          <w:tcPr>
            <w:cnfStyle w:val="001000000000" w:firstRow="0" w:lastRow="0" w:firstColumn="1" w:lastColumn="0" w:oddVBand="0" w:evenVBand="0" w:oddHBand="0" w:evenHBand="0" w:firstRowFirstColumn="0" w:firstRowLastColumn="0" w:lastRowFirstColumn="0" w:lastRowLastColumn="0"/>
            <w:tcW w:w="0" w:type="auto"/>
            <w:hideMark/>
          </w:tcPr>
          <w:p w:rsidR="0057166D" w:rsidRDefault="0057166D" w:rsidP="0057166D">
            <w:r>
              <w:rPr>
                <w:rStyle w:val="Strong"/>
              </w:rPr>
              <w:t>Workflow iteration / rework potential</w:t>
            </w:r>
          </w:p>
        </w:tc>
        <w:tc>
          <w:tcPr>
            <w:tcW w:w="0" w:type="auto"/>
            <w:hideMark/>
          </w:tcPr>
          <w:p w:rsidR="0057166D" w:rsidRDefault="0057166D" w:rsidP="0057166D">
            <w:pPr>
              <w:cnfStyle w:val="000000000000" w:firstRow="0" w:lastRow="0" w:firstColumn="0" w:lastColumn="0" w:oddVBand="0" w:evenVBand="0" w:oddHBand="0" w:evenHBand="0" w:firstRowFirstColumn="0" w:firstRowLastColumn="0" w:lastRowFirstColumn="0" w:lastRowLastColumn="0"/>
            </w:pPr>
            <w:r>
              <w:t>Recorded workflow feature</w:t>
            </w:r>
          </w:p>
        </w:tc>
        <w:tc>
          <w:tcPr>
            <w:tcW w:w="0" w:type="auto"/>
            <w:hideMark/>
          </w:tcPr>
          <w:p w:rsidR="0057166D" w:rsidRDefault="0057166D" w:rsidP="0057166D">
            <w:pPr>
              <w:cnfStyle w:val="000000000000" w:firstRow="0" w:lastRow="0" w:firstColumn="0" w:lastColumn="0" w:oddVBand="0" w:evenVBand="0" w:oddHBand="0" w:evenHBand="0" w:firstRowFirstColumn="0" w:firstRowLastColumn="0" w:lastRowFirstColumn="0" w:lastRowLastColumn="0"/>
            </w:pPr>
            <w:r>
              <w:t>Formalised query/return/resubmission steps across approval pathway</w:t>
            </w:r>
          </w:p>
        </w:tc>
      </w:tr>
      <w:tr w:rsidR="0057166D" w:rsidTr="0057166D">
        <w:tc>
          <w:tcPr>
            <w:cnfStyle w:val="001000000000" w:firstRow="0" w:lastRow="0" w:firstColumn="1" w:lastColumn="0" w:oddVBand="0" w:evenVBand="0" w:oddHBand="0" w:evenHBand="0" w:firstRowFirstColumn="0" w:firstRowLastColumn="0" w:lastRowFirstColumn="0" w:lastRowLastColumn="0"/>
            <w:tcW w:w="0" w:type="auto"/>
            <w:hideMark/>
          </w:tcPr>
          <w:p w:rsidR="0057166D" w:rsidRDefault="0057166D" w:rsidP="0057166D">
            <w:r>
              <w:rPr>
                <w:rStyle w:val="Strong"/>
              </w:rPr>
              <w:t>Learning and compliance cost mechanism</w:t>
            </w:r>
          </w:p>
        </w:tc>
        <w:tc>
          <w:tcPr>
            <w:tcW w:w="0" w:type="auto"/>
            <w:hideMark/>
          </w:tcPr>
          <w:p w:rsidR="0057166D" w:rsidRDefault="0057166D" w:rsidP="0057166D">
            <w:pPr>
              <w:cnfStyle w:val="000000000000" w:firstRow="0" w:lastRow="0" w:firstColumn="0" w:lastColumn="0" w:oddVBand="0" w:evenVBand="0" w:oddHBand="0" w:evenHBand="0" w:firstRowFirstColumn="0" w:firstRowLastColumn="0" w:lastRowFirstColumn="0" w:lastRowLastColumn="0"/>
            </w:pPr>
            <w:r>
              <w:t>Conceptual typology</w:t>
            </w:r>
          </w:p>
        </w:tc>
        <w:tc>
          <w:tcPr>
            <w:tcW w:w="0" w:type="auto"/>
            <w:hideMark/>
          </w:tcPr>
          <w:p w:rsidR="0057166D" w:rsidRDefault="0057166D" w:rsidP="0057166D">
            <w:pPr>
              <w:cnfStyle w:val="000000000000" w:firstRow="0" w:lastRow="0" w:firstColumn="0" w:lastColumn="0" w:oddVBand="0" w:evenVBand="0" w:oddHBand="0" w:evenHBand="0" w:firstRowFirstColumn="0" w:firstRowLastColumn="0" w:lastRowFirstColumn="0" w:lastRowLastColumn="0"/>
            </w:pPr>
            <w:r>
              <w:t>Administrative burden framework specifying learning and compliance cost channels</w:t>
            </w:r>
          </w:p>
        </w:tc>
      </w:tr>
    </w:tbl>
    <w:p w:rsidR="00E8129F" w:rsidRDefault="00F04A85" w:rsidP="00E8129F">
      <w:pPr>
        <w:pStyle w:val="Heading3"/>
        <w:rPr>
          <w:rFonts w:ascii="Times New Roman" w:hAnsi="Times New Roman"/>
          <w:sz w:val="27"/>
          <w:lang w:val="en-US" w:eastAsia="en-US"/>
        </w:rPr>
      </w:pPr>
      <w:bookmarkStart w:id="81" w:name="_Toc220873949"/>
      <w:r>
        <w:t>4.6</w:t>
      </w:r>
      <w:r w:rsidR="00E8129F">
        <w:t>.2 RQ2: How these barriers affect SMEs’ operational efficiency</w:t>
      </w:r>
      <w:bookmarkEnd w:id="81"/>
    </w:p>
    <w:p w:rsidR="00AB6E7D" w:rsidRDefault="00AB6E7D" w:rsidP="00AB6E7D">
      <w:r w:rsidRPr="00AB6E7D">
        <w:t>Throughout the data set, there are documented indicators which are connected to time spent on regulatory communication, documented lead-times on the permits and border procedures, and workflow characteristics like repetitive submission and monitoring processes. According to the report of survey data related to firms at the level of senior managers, in Bangladesh, the average time that senior managers spend in regulatory requirements is 13.3% (</w:t>
      </w:r>
      <w:proofErr w:type="spellStart"/>
      <w:r w:rsidRPr="00AB6E7D">
        <w:t>Khondaker</w:t>
      </w:r>
      <w:proofErr w:type="spellEnd"/>
      <w:r w:rsidRPr="00AB6E7D">
        <w:t>, 2022). Managerial time allocation among regulatory compliance activities are operated in the same dataset without the time use is disaggregated based on specific operation functions.</w:t>
      </w:r>
    </w:p>
    <w:p w:rsidR="00BB62E9" w:rsidRDefault="00BB62E9" w:rsidP="00BB62E9">
      <w:pPr>
        <w:keepNext/>
        <w:jc w:val="center"/>
      </w:pPr>
      <w:r w:rsidRPr="00BB62E9">
        <w:rPr>
          <w:noProof/>
          <w:lang w:val="en-US" w:eastAsia="en-US"/>
        </w:rPr>
        <w:lastRenderedPageBreak/>
        <w:drawing>
          <wp:inline distT="0" distB="0" distL="0" distR="0" wp14:anchorId="552AEBFB" wp14:editId="6AABCD07">
            <wp:extent cx="5744377" cy="3953427"/>
            <wp:effectExtent l="19050" t="19050" r="27940"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44377" cy="3953427"/>
                    </a:xfrm>
                    <a:prstGeom prst="rect">
                      <a:avLst/>
                    </a:prstGeom>
                    <a:ln>
                      <a:solidFill>
                        <a:schemeClr val="tx1"/>
                      </a:solidFill>
                    </a:ln>
                  </pic:spPr>
                </pic:pic>
              </a:graphicData>
            </a:graphic>
          </wp:inline>
        </w:drawing>
      </w:r>
    </w:p>
    <w:p w:rsidR="00BB62E9" w:rsidRDefault="00BB62E9" w:rsidP="00BB62E9">
      <w:pPr>
        <w:pStyle w:val="Caption"/>
        <w:rPr>
          <w:lang w:val="en-US"/>
        </w:rPr>
      </w:pPr>
      <w:bookmarkStart w:id="82" w:name="_Toc217469622"/>
      <w:bookmarkStart w:id="83" w:name="_Toc219634730"/>
      <w:r>
        <w:t xml:space="preserve">Figure </w:t>
      </w:r>
      <w:r>
        <w:fldChar w:fldCharType="begin"/>
      </w:r>
      <w:r>
        <w:instrText xml:space="preserve"> SEQ Figure \* ARABIC </w:instrText>
      </w:r>
      <w:r>
        <w:fldChar w:fldCharType="separate"/>
      </w:r>
      <w:r>
        <w:rPr>
          <w:noProof/>
        </w:rPr>
        <w:t>3</w:t>
      </w:r>
      <w:r>
        <w:fldChar w:fldCharType="end"/>
      </w:r>
      <w:r>
        <w:rPr>
          <w:lang w:val="en-US"/>
        </w:rPr>
        <w:t xml:space="preserve">: </w:t>
      </w:r>
      <w:r w:rsidRPr="004342F9">
        <w:rPr>
          <w:lang w:val="en-US"/>
        </w:rPr>
        <w:t xml:space="preserve"> C</w:t>
      </w:r>
      <w:r>
        <w:rPr>
          <w:lang w:val="en-US"/>
        </w:rPr>
        <w:t>haracteristics of firms</w:t>
      </w:r>
      <w:bookmarkEnd w:id="82"/>
      <w:bookmarkEnd w:id="83"/>
      <w:r>
        <w:rPr>
          <w:lang w:val="en-US"/>
        </w:rPr>
        <w:t xml:space="preserve"> </w:t>
      </w:r>
    </w:p>
    <w:p w:rsidR="009A0250" w:rsidRPr="009A0250" w:rsidRDefault="00BB62E9" w:rsidP="009A0250">
      <w:pPr>
        <w:pStyle w:val="Caption"/>
      </w:pPr>
      <w:r>
        <w:rPr>
          <w:lang w:val="en-US"/>
        </w:rPr>
        <w:t>source:</w:t>
      </w:r>
      <w:r w:rsidRPr="00BB62E9">
        <w:t xml:space="preserve"> </w:t>
      </w:r>
      <w:r w:rsidRPr="00BB62E9">
        <w:rPr>
          <w:lang w:val="en-US"/>
        </w:rPr>
        <w:t>(</w:t>
      </w:r>
      <w:proofErr w:type="spellStart"/>
      <w:r w:rsidRPr="00BB62E9">
        <w:rPr>
          <w:lang w:val="en-US"/>
        </w:rPr>
        <w:t>Khondaker</w:t>
      </w:r>
      <w:proofErr w:type="spellEnd"/>
      <w:r w:rsidRPr="00BB62E9">
        <w:rPr>
          <w:lang w:val="en-US"/>
        </w:rPr>
        <w:t>, 2022)</w:t>
      </w:r>
    </w:p>
    <w:p w:rsidR="00F20B12" w:rsidRDefault="00F20B12" w:rsidP="00F20B12">
      <w:pPr>
        <w:rPr>
          <w:b/>
          <w:bCs/>
          <w:i/>
          <w:iCs/>
        </w:rPr>
      </w:pPr>
      <w:bookmarkStart w:id="84" w:name="_Toc217469704"/>
      <w:r w:rsidRPr="00F20B12">
        <w:t>Data set records in the lead time indicators are associated with licensing and border clearance processes. According to the reports of the Bangladesh Enterprise Survey, the average period of acquiring an import licence is 48.8 days, and the average of import clearance at the customs is 11.3 days (</w:t>
      </w:r>
      <w:proofErr w:type="spellStart"/>
      <w:r w:rsidRPr="00F20B12">
        <w:t>Khondaker</w:t>
      </w:r>
      <w:proofErr w:type="spellEnd"/>
      <w:r w:rsidRPr="00F20B12">
        <w:t xml:space="preserve">, 2022). These are the figures of the reported administrative time in connection with the import approval and clearance processes. Other benchmark indicators are the Trading Across Borders measures, which provide compliance time and cost of importing procedures. Doing Business 2020 captures 144 hours of documentary compliance and 216 hours of border compliance and the cost of these is USD 370 and USD 900, respectively (World Bank, 2020). These indicators are based on an obsolete dataset because the World Bank abandoned the reports on Doing Business in 2021 (World Bank, 2022). The dataset as such includes the clearance time measurements of various reporting periods and sources. Process level documentation also captures workflow attributes of Bangladesh Single Window system. The user </w:t>
      </w:r>
      <w:r w:rsidRPr="00F20B12">
        <w:lastRenderedPageBreak/>
        <w:t>manuals of the DGDA module outline the sequential nature of processing stages, such as status change, formal query response and resubmission processes in the approval workflow (DGDA, 2023). Extended literature in medicines-systems contains administrative procedures with documented indicators of supply-related at least non-causal.</w:t>
      </w:r>
    </w:p>
    <w:p w:rsidR="003135D8" w:rsidRDefault="003135D8" w:rsidP="003135D8">
      <w:pPr>
        <w:pStyle w:val="Caption"/>
      </w:pPr>
      <w:r>
        <w:t xml:space="preserve">Table </w:t>
      </w:r>
      <w:r>
        <w:fldChar w:fldCharType="begin"/>
      </w:r>
      <w:r>
        <w:instrText xml:space="preserve"> SEQ Table \* ARABIC </w:instrText>
      </w:r>
      <w:r>
        <w:fldChar w:fldCharType="separate"/>
      </w:r>
      <w:r w:rsidR="00BB5D78">
        <w:rPr>
          <w:noProof/>
        </w:rPr>
        <w:t>7</w:t>
      </w:r>
      <w:r>
        <w:fldChar w:fldCharType="end"/>
      </w:r>
      <w:r>
        <w:rPr>
          <w:lang w:val="en-US"/>
        </w:rPr>
        <w:t xml:space="preserve">: </w:t>
      </w:r>
      <w:r w:rsidRPr="003A37E5">
        <w:rPr>
          <w:lang w:val="en-US"/>
        </w:rPr>
        <w:t>Operational-efficiency impacts evidenced in the dataset (World Bank, 2022; World Bank, 2020).</w:t>
      </w:r>
      <w:bookmarkEnd w:id="84"/>
    </w:p>
    <w:tbl>
      <w:tblPr>
        <w:tblStyle w:val="GridTable1Light-Accent5"/>
        <w:tblW w:w="0" w:type="auto"/>
        <w:tblLook w:val="04A0" w:firstRow="1" w:lastRow="0" w:firstColumn="1" w:lastColumn="0" w:noHBand="0" w:noVBand="1"/>
      </w:tblPr>
      <w:tblGrid>
        <w:gridCol w:w="3288"/>
        <w:gridCol w:w="2816"/>
        <w:gridCol w:w="3246"/>
      </w:tblGrid>
      <w:tr w:rsidR="003135D8" w:rsidTr="003135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135D8" w:rsidRDefault="003135D8" w:rsidP="003135D8">
            <w:r>
              <w:rPr>
                <w:b w:val="0"/>
                <w:bCs w:val="0"/>
              </w:rPr>
              <w:t>Operational-efficiency dimension</w:t>
            </w:r>
          </w:p>
        </w:tc>
        <w:tc>
          <w:tcPr>
            <w:tcW w:w="0" w:type="auto"/>
            <w:hideMark/>
          </w:tcPr>
          <w:p w:rsidR="003135D8" w:rsidRDefault="003135D8" w:rsidP="003135D8">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Measurable indicator / documentary signal</w:t>
            </w:r>
          </w:p>
        </w:tc>
        <w:tc>
          <w:tcPr>
            <w:tcW w:w="0" w:type="auto"/>
            <w:hideMark/>
          </w:tcPr>
          <w:p w:rsidR="003135D8" w:rsidRDefault="003135D8" w:rsidP="003135D8">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What the data shows (reported, not interpreted)</w:t>
            </w:r>
          </w:p>
        </w:tc>
      </w:tr>
      <w:tr w:rsidR="003135D8" w:rsidTr="003135D8">
        <w:tc>
          <w:tcPr>
            <w:cnfStyle w:val="001000000000" w:firstRow="0" w:lastRow="0" w:firstColumn="1" w:lastColumn="0" w:oddVBand="0" w:evenVBand="0" w:oddHBand="0" w:evenHBand="0" w:firstRowFirstColumn="0" w:firstRowLastColumn="0" w:lastRowFirstColumn="0" w:lastRowLastColumn="0"/>
            <w:tcW w:w="0" w:type="auto"/>
            <w:hideMark/>
          </w:tcPr>
          <w:p w:rsidR="003135D8" w:rsidRDefault="003135D8" w:rsidP="003135D8">
            <w:pPr>
              <w:rPr>
                <w:b w:val="0"/>
                <w:bCs w:val="0"/>
              </w:rPr>
            </w:pPr>
            <w:r>
              <w:t>Regulatory time burden</w:t>
            </w:r>
          </w:p>
        </w:tc>
        <w:tc>
          <w:tcPr>
            <w:tcW w:w="0" w:type="auto"/>
            <w:hideMark/>
          </w:tcPr>
          <w:p w:rsidR="003135D8" w:rsidRDefault="003135D8" w:rsidP="003135D8">
            <w:pPr>
              <w:cnfStyle w:val="000000000000" w:firstRow="0" w:lastRow="0" w:firstColumn="0" w:lastColumn="0" w:oddVBand="0" w:evenVBand="0" w:oddHBand="0" w:evenHBand="0" w:firstRowFirstColumn="0" w:firstRowLastColumn="0" w:lastRowFirstColumn="0" w:lastRowLastColumn="0"/>
            </w:pPr>
            <w:r>
              <w:t>Senior management time on regulations</w:t>
            </w:r>
          </w:p>
        </w:tc>
        <w:tc>
          <w:tcPr>
            <w:tcW w:w="0" w:type="auto"/>
            <w:hideMark/>
          </w:tcPr>
          <w:p w:rsidR="003135D8" w:rsidRDefault="003135D8" w:rsidP="003135D8">
            <w:pPr>
              <w:cnfStyle w:val="000000000000" w:firstRow="0" w:lastRow="0" w:firstColumn="0" w:lastColumn="0" w:oddVBand="0" w:evenVBand="0" w:oddHBand="0" w:evenHBand="0" w:firstRowFirstColumn="0" w:firstRowLastColumn="0" w:lastRowFirstColumn="0" w:lastRowLastColumn="0"/>
            </w:pPr>
            <w:r>
              <w:t>13.3% of senior management time spent on regulatory requirements</w:t>
            </w:r>
          </w:p>
        </w:tc>
      </w:tr>
      <w:tr w:rsidR="003135D8" w:rsidTr="003135D8">
        <w:tc>
          <w:tcPr>
            <w:cnfStyle w:val="001000000000" w:firstRow="0" w:lastRow="0" w:firstColumn="1" w:lastColumn="0" w:oddVBand="0" w:evenVBand="0" w:oddHBand="0" w:evenHBand="0" w:firstRowFirstColumn="0" w:firstRowLastColumn="0" w:lastRowFirstColumn="0" w:lastRowLastColumn="0"/>
            <w:tcW w:w="0" w:type="auto"/>
            <w:hideMark/>
          </w:tcPr>
          <w:p w:rsidR="003135D8" w:rsidRDefault="003135D8" w:rsidP="003135D8">
            <w:r>
              <w:t>Licensing lead-time</w:t>
            </w:r>
          </w:p>
        </w:tc>
        <w:tc>
          <w:tcPr>
            <w:tcW w:w="0" w:type="auto"/>
            <w:hideMark/>
          </w:tcPr>
          <w:p w:rsidR="003135D8" w:rsidRDefault="003135D8" w:rsidP="003135D8">
            <w:pPr>
              <w:cnfStyle w:val="000000000000" w:firstRow="0" w:lastRow="0" w:firstColumn="0" w:lastColumn="0" w:oddVBand="0" w:evenVBand="0" w:oddHBand="0" w:evenHBand="0" w:firstRowFirstColumn="0" w:firstRowLastColumn="0" w:lastRowFirstColumn="0" w:lastRowLastColumn="0"/>
            </w:pPr>
            <w:r>
              <w:t>Days to obtain an import licence</w:t>
            </w:r>
          </w:p>
        </w:tc>
        <w:tc>
          <w:tcPr>
            <w:tcW w:w="0" w:type="auto"/>
            <w:hideMark/>
          </w:tcPr>
          <w:p w:rsidR="003135D8" w:rsidRDefault="003135D8" w:rsidP="003135D8">
            <w:pPr>
              <w:cnfStyle w:val="000000000000" w:firstRow="0" w:lastRow="0" w:firstColumn="0" w:lastColumn="0" w:oddVBand="0" w:evenVBand="0" w:oddHBand="0" w:evenHBand="0" w:firstRowFirstColumn="0" w:firstRowLastColumn="0" w:lastRowFirstColumn="0" w:lastRowLastColumn="0"/>
            </w:pPr>
            <w:r>
              <w:t>48.8 days (average)</w:t>
            </w:r>
          </w:p>
        </w:tc>
      </w:tr>
      <w:tr w:rsidR="003135D8" w:rsidTr="003135D8">
        <w:tc>
          <w:tcPr>
            <w:cnfStyle w:val="001000000000" w:firstRow="0" w:lastRow="0" w:firstColumn="1" w:lastColumn="0" w:oddVBand="0" w:evenVBand="0" w:oddHBand="0" w:evenHBand="0" w:firstRowFirstColumn="0" w:firstRowLastColumn="0" w:lastRowFirstColumn="0" w:lastRowLastColumn="0"/>
            <w:tcW w:w="0" w:type="auto"/>
            <w:hideMark/>
          </w:tcPr>
          <w:p w:rsidR="003135D8" w:rsidRDefault="003135D8" w:rsidP="003135D8">
            <w:r>
              <w:t>Border delay</w:t>
            </w:r>
          </w:p>
        </w:tc>
        <w:tc>
          <w:tcPr>
            <w:tcW w:w="0" w:type="auto"/>
            <w:hideMark/>
          </w:tcPr>
          <w:p w:rsidR="003135D8" w:rsidRDefault="003135D8" w:rsidP="003135D8">
            <w:pPr>
              <w:cnfStyle w:val="000000000000" w:firstRow="0" w:lastRow="0" w:firstColumn="0" w:lastColumn="0" w:oddVBand="0" w:evenVBand="0" w:oddHBand="0" w:evenHBand="0" w:firstRowFirstColumn="0" w:firstRowLastColumn="0" w:lastRowFirstColumn="0" w:lastRowLastColumn="0"/>
            </w:pPr>
            <w:r>
              <w:t>Days to clear imports through customs</w:t>
            </w:r>
          </w:p>
        </w:tc>
        <w:tc>
          <w:tcPr>
            <w:tcW w:w="0" w:type="auto"/>
            <w:hideMark/>
          </w:tcPr>
          <w:p w:rsidR="003135D8" w:rsidRDefault="003135D8" w:rsidP="003135D8">
            <w:pPr>
              <w:cnfStyle w:val="000000000000" w:firstRow="0" w:lastRow="0" w:firstColumn="0" w:lastColumn="0" w:oddVBand="0" w:evenVBand="0" w:oddHBand="0" w:evenHBand="0" w:firstRowFirstColumn="0" w:firstRowLastColumn="0" w:lastRowFirstColumn="0" w:lastRowLastColumn="0"/>
            </w:pPr>
            <w:r>
              <w:t>11.3 days (average)</w:t>
            </w:r>
          </w:p>
        </w:tc>
      </w:tr>
      <w:tr w:rsidR="003135D8" w:rsidTr="003135D8">
        <w:tc>
          <w:tcPr>
            <w:cnfStyle w:val="001000000000" w:firstRow="0" w:lastRow="0" w:firstColumn="1" w:lastColumn="0" w:oddVBand="0" w:evenVBand="0" w:oddHBand="0" w:evenHBand="0" w:firstRowFirstColumn="0" w:firstRowLastColumn="0" w:lastRowFirstColumn="0" w:lastRowLastColumn="0"/>
            <w:tcW w:w="0" w:type="auto"/>
            <w:hideMark/>
          </w:tcPr>
          <w:p w:rsidR="003135D8" w:rsidRDefault="003135D8" w:rsidP="003135D8">
            <w:r>
              <w:t>Compliance time and cost burden (benchmark)</w:t>
            </w:r>
          </w:p>
        </w:tc>
        <w:tc>
          <w:tcPr>
            <w:tcW w:w="0" w:type="auto"/>
            <w:hideMark/>
          </w:tcPr>
          <w:p w:rsidR="003135D8" w:rsidRDefault="003135D8" w:rsidP="003135D8">
            <w:pPr>
              <w:cnfStyle w:val="000000000000" w:firstRow="0" w:lastRow="0" w:firstColumn="0" w:lastColumn="0" w:oddVBand="0" w:evenVBand="0" w:oddHBand="0" w:evenHBand="0" w:firstRowFirstColumn="0" w:firstRowLastColumn="0" w:lastRowFirstColumn="0" w:lastRowLastColumn="0"/>
            </w:pPr>
            <w:r>
              <w:t>Import documentary and border compliance time/cost</w:t>
            </w:r>
          </w:p>
        </w:tc>
        <w:tc>
          <w:tcPr>
            <w:tcW w:w="0" w:type="auto"/>
            <w:hideMark/>
          </w:tcPr>
          <w:p w:rsidR="003135D8" w:rsidRDefault="003135D8" w:rsidP="003135D8">
            <w:pPr>
              <w:cnfStyle w:val="000000000000" w:firstRow="0" w:lastRow="0" w:firstColumn="0" w:lastColumn="0" w:oddVBand="0" w:evenVBand="0" w:oddHBand="0" w:evenHBand="0" w:firstRowFirstColumn="0" w:firstRowLastColumn="0" w:lastRowFirstColumn="0" w:lastRowLastColumn="0"/>
            </w:pPr>
            <w:r>
              <w:t>144h + 216h; USD 370 + USD 900</w:t>
            </w:r>
          </w:p>
        </w:tc>
      </w:tr>
      <w:tr w:rsidR="003135D8" w:rsidTr="003135D8">
        <w:tc>
          <w:tcPr>
            <w:cnfStyle w:val="001000000000" w:firstRow="0" w:lastRow="0" w:firstColumn="1" w:lastColumn="0" w:oddVBand="0" w:evenVBand="0" w:oddHBand="0" w:evenHBand="0" w:firstRowFirstColumn="0" w:firstRowLastColumn="0" w:lastRowFirstColumn="0" w:lastRowLastColumn="0"/>
            <w:tcW w:w="0" w:type="auto"/>
            <w:hideMark/>
          </w:tcPr>
          <w:p w:rsidR="003135D8" w:rsidRDefault="003135D8" w:rsidP="003135D8">
            <w:r>
              <w:t>Rework/monitoring workload</w:t>
            </w:r>
          </w:p>
        </w:tc>
        <w:tc>
          <w:tcPr>
            <w:tcW w:w="0" w:type="auto"/>
            <w:hideMark/>
          </w:tcPr>
          <w:p w:rsidR="003135D8" w:rsidRDefault="003135D8" w:rsidP="003135D8">
            <w:pPr>
              <w:cnfStyle w:val="000000000000" w:firstRow="0" w:lastRow="0" w:firstColumn="0" w:lastColumn="0" w:oddVBand="0" w:evenVBand="0" w:oddHBand="0" w:evenHBand="0" w:firstRowFirstColumn="0" w:firstRowLastColumn="0" w:lastRowFirstColumn="0" w:lastRowLastColumn="0"/>
            </w:pPr>
            <w:r>
              <w:t>Workflow statuses, queries, resubmission logic</w:t>
            </w:r>
          </w:p>
        </w:tc>
        <w:tc>
          <w:tcPr>
            <w:tcW w:w="0" w:type="auto"/>
            <w:hideMark/>
          </w:tcPr>
          <w:p w:rsidR="003135D8" w:rsidRDefault="003135D8" w:rsidP="003135D8">
            <w:pPr>
              <w:cnfStyle w:val="000000000000" w:firstRow="0" w:lastRow="0" w:firstColumn="0" w:lastColumn="0" w:oddVBand="0" w:evenVBand="0" w:oddHBand="0" w:evenHBand="0" w:firstRowFirstColumn="0" w:firstRowLastColumn="0" w:lastRowFirstColumn="0" w:lastRowLastColumn="0"/>
            </w:pPr>
            <w:r>
              <w:t>Formalised steps that can generate iterative admin cycles</w:t>
            </w:r>
          </w:p>
        </w:tc>
      </w:tr>
    </w:tbl>
    <w:p w:rsidR="0057166D" w:rsidRDefault="0057166D" w:rsidP="0057166D"/>
    <w:p w:rsidR="00CB5686" w:rsidRPr="00CB5686" w:rsidRDefault="00414AB1" w:rsidP="00CB5686">
      <w:pPr>
        <w:pStyle w:val="Heading3"/>
      </w:pPr>
      <w:bookmarkStart w:id="85" w:name="_Toc220873950"/>
      <w:r>
        <w:rPr>
          <w:rStyle w:val="Strong"/>
          <w:b/>
          <w:bCs w:val="0"/>
        </w:rPr>
        <w:t>4.6</w:t>
      </w:r>
      <w:r w:rsidR="0063707D" w:rsidRPr="0063707D">
        <w:rPr>
          <w:rStyle w:val="Strong"/>
          <w:b/>
          <w:bCs w:val="0"/>
        </w:rPr>
        <w:t>.3 RQ3: Documented policy changes proposed to mitigate barriers</w:t>
      </w:r>
      <w:bookmarkEnd w:id="85"/>
    </w:p>
    <w:p w:rsidR="00451226" w:rsidRPr="00451226" w:rsidRDefault="00451226" w:rsidP="00451226">
      <w:pPr>
        <w:rPr>
          <w:lang w:val="en-US" w:eastAsia="en-US"/>
        </w:rPr>
      </w:pPr>
      <w:r w:rsidRPr="00451226">
        <w:rPr>
          <w:lang w:val="en-US" w:eastAsia="en-US"/>
        </w:rPr>
        <w:t xml:space="preserve">Documentary sources capture </w:t>
      </w:r>
      <w:proofErr w:type="spellStart"/>
      <w:r w:rsidRPr="00451226">
        <w:rPr>
          <w:lang w:val="en-US" w:eastAsia="en-US"/>
        </w:rPr>
        <w:t>digitisation</w:t>
      </w:r>
      <w:proofErr w:type="spellEnd"/>
      <w:r w:rsidRPr="00451226">
        <w:rPr>
          <w:lang w:val="en-US" w:eastAsia="en-US"/>
        </w:rPr>
        <w:t xml:space="preserve"> and procedural </w:t>
      </w:r>
      <w:proofErr w:type="spellStart"/>
      <w:r w:rsidRPr="00451226">
        <w:rPr>
          <w:lang w:val="en-US" w:eastAsia="en-US"/>
        </w:rPr>
        <w:t>standardisation</w:t>
      </w:r>
      <w:proofErr w:type="spellEnd"/>
      <w:r w:rsidRPr="00451226">
        <w:rPr>
          <w:lang w:val="en-US" w:eastAsia="en-US"/>
        </w:rPr>
        <w:t xml:space="preserve"> as enshrined reform action in the import approval system. At the policy level, the documentation of the project presents the Bangladesh National Single Window as a national reform </w:t>
      </w:r>
      <w:proofErr w:type="spellStart"/>
      <w:r w:rsidRPr="00451226">
        <w:rPr>
          <w:lang w:val="en-US" w:eastAsia="en-US"/>
        </w:rPr>
        <w:lastRenderedPageBreak/>
        <w:t>programme</w:t>
      </w:r>
      <w:proofErr w:type="spellEnd"/>
      <w:r w:rsidRPr="00451226">
        <w:rPr>
          <w:lang w:val="en-US" w:eastAsia="en-US"/>
        </w:rPr>
        <w:t xml:space="preserve">, which incorporates the system design, system configuration, user training, and the operational support parts (NBR, 2022). The introduction of a </w:t>
      </w:r>
      <w:proofErr w:type="spellStart"/>
      <w:r w:rsidRPr="00451226">
        <w:rPr>
          <w:lang w:val="en-US" w:eastAsia="en-US"/>
        </w:rPr>
        <w:t>centralised</w:t>
      </w:r>
      <w:proofErr w:type="spellEnd"/>
      <w:r w:rsidRPr="00451226">
        <w:rPr>
          <w:lang w:val="en-US" w:eastAsia="en-US"/>
        </w:rPr>
        <w:t xml:space="preserve"> electronic platform of the processing trade-related permissions is documented.</w:t>
      </w:r>
    </w:p>
    <w:p w:rsidR="00451226" w:rsidRPr="00451226" w:rsidRDefault="00451226" w:rsidP="00451226">
      <w:pPr>
        <w:rPr>
          <w:lang w:val="en-US" w:eastAsia="en-US"/>
        </w:rPr>
      </w:pPr>
      <w:r w:rsidRPr="00451226">
        <w:rPr>
          <w:lang w:val="en-US" w:eastAsia="en-US"/>
        </w:rPr>
        <w:t xml:space="preserve">Bangladesh Single Window user manuals are at the implementation level and document the </w:t>
      </w:r>
      <w:proofErr w:type="spellStart"/>
      <w:r w:rsidRPr="00451226">
        <w:rPr>
          <w:lang w:val="en-US" w:eastAsia="en-US"/>
        </w:rPr>
        <w:t>standardised</w:t>
      </w:r>
      <w:proofErr w:type="spellEnd"/>
      <w:r w:rsidRPr="00451226">
        <w:rPr>
          <w:lang w:val="en-US" w:eastAsia="en-US"/>
        </w:rPr>
        <w:t xml:space="preserve"> digital submission forms of applications which are related to licensing. The CLP submission guide provides the portal navigation in steps, predetermined fields of data, mandatory section of document upload, and the bilingual interface option between </w:t>
      </w:r>
      <w:proofErr w:type="spellStart"/>
      <w:r w:rsidRPr="00451226">
        <w:rPr>
          <w:lang w:val="en-US" w:eastAsia="en-US"/>
        </w:rPr>
        <w:t>Bangali</w:t>
      </w:r>
      <w:proofErr w:type="spellEnd"/>
      <w:r w:rsidRPr="00451226">
        <w:rPr>
          <w:lang w:val="en-US" w:eastAsia="en-US"/>
        </w:rPr>
        <w:t xml:space="preserve"> and English (BAW, 2024). Application status categories such as submission, payment, query, response, and approval are also recorded in the manuals and search and status-tracking functions are recorded in the system.</w:t>
      </w:r>
    </w:p>
    <w:p w:rsidR="00451226" w:rsidRDefault="00451226" w:rsidP="00451226">
      <w:pPr>
        <w:rPr>
          <w:b/>
          <w:lang w:val="en-US" w:eastAsia="en-US"/>
        </w:rPr>
      </w:pPr>
      <w:r w:rsidRPr="00451226">
        <w:rPr>
          <w:lang w:val="en-US" w:eastAsia="en-US"/>
        </w:rPr>
        <w:t>Additional documentation processes capture system integration functionality connecting DGDA approvals and customs systems. Bangladesh Single Window documents contain information on automated delivery of approved NOC or CLP documents to ASYCUDA World after regulatory decisions are made and electronic notification to applicants (</w:t>
      </w:r>
      <w:proofErr w:type="spellStart"/>
      <w:r w:rsidRPr="00451226">
        <w:rPr>
          <w:lang w:val="en-US" w:eastAsia="en-US"/>
        </w:rPr>
        <w:t>Aushadh</w:t>
      </w:r>
      <w:proofErr w:type="spellEnd"/>
      <w:r w:rsidRPr="00451226">
        <w:rPr>
          <w:lang w:val="en-US" w:eastAsia="en-US"/>
        </w:rPr>
        <w:t xml:space="preserve">, 2024). Additional DGDA records capture the working of the Automated Drug Licensing and Renewal System (ADLRS) in managing </w:t>
      </w:r>
      <w:proofErr w:type="spellStart"/>
      <w:r w:rsidRPr="00451226">
        <w:rPr>
          <w:lang w:val="en-US" w:eastAsia="en-US"/>
        </w:rPr>
        <w:t>licences</w:t>
      </w:r>
      <w:proofErr w:type="spellEnd"/>
      <w:r w:rsidRPr="00451226">
        <w:rPr>
          <w:lang w:val="en-US" w:eastAsia="en-US"/>
        </w:rPr>
        <w:t xml:space="preserve">, the Bangladesh Trade Portal is recorded as a formal vehicle of bringing procedural information along with regulations of </w:t>
      </w:r>
      <w:proofErr w:type="gramStart"/>
      <w:r w:rsidRPr="00451226">
        <w:rPr>
          <w:lang w:val="en-US" w:eastAsia="en-US"/>
        </w:rPr>
        <w:t>traders</w:t>
      </w:r>
      <w:proofErr w:type="gramEnd"/>
      <w:r w:rsidRPr="00451226">
        <w:rPr>
          <w:lang w:val="en-US" w:eastAsia="en-US"/>
        </w:rPr>
        <w:t xml:space="preserve"> requirement.</w:t>
      </w:r>
    </w:p>
    <w:p w:rsidR="003633DF" w:rsidRDefault="003633DF" w:rsidP="00451226">
      <w:pPr>
        <w:pStyle w:val="Heading2"/>
      </w:pPr>
      <w:bookmarkStart w:id="86" w:name="_Toc220873951"/>
      <w:r>
        <w:t>4</w:t>
      </w:r>
      <w:r w:rsidR="00414AB1">
        <w:t>.7</w:t>
      </w:r>
      <w:r>
        <w:t xml:space="preserve"> Convergence, contradictions, and evidential weight</w:t>
      </w:r>
      <w:bookmarkEnd w:id="86"/>
    </w:p>
    <w:p w:rsidR="00F82CCE" w:rsidRPr="00F82CCE" w:rsidRDefault="00F82CCE" w:rsidP="00F82CCE">
      <w:r w:rsidRPr="00F82CCE">
        <w:t>The documentary data set documents variation in document types in the areas of analytical focus and level of detail. Workflow manuals are the main documents describing formally defined processes, such as a set of actions, steps in a sequence of processes, and states of the system that can be linked to the process of licensing and approval (DGDA, 2023). These sources provide the procedural information in an organised and standardised format. Conversely, the administrative needs and features of processes obtained through empirical and conceptual research are documented with the help of aggregated indicators and category descriptions, with references to documented learning-related and compliance-related work (Jennie D., 2024).</w:t>
      </w:r>
    </w:p>
    <w:p w:rsidR="00F82CCE" w:rsidRDefault="00F82CCE" w:rsidP="00F82CCE">
      <w:pPr>
        <w:rPr>
          <w:b/>
        </w:rPr>
      </w:pPr>
      <w:r w:rsidRPr="00F82CCE">
        <w:lastRenderedPageBreak/>
        <w:t>The evidential granularity differences also exist in the dataset. Procedural manuals describe workflow logic, steps of submission and system transitions in detail and do not always report measured values of processing time, cost or distribution in the firm. Operational indicators and constraints reported by empirical literature, however, are based on survey-based data or secondary benchmarks and are not correlated with particular micro-steps of the procedure in the licensing processes (</w:t>
      </w:r>
      <w:proofErr w:type="spellStart"/>
      <w:r w:rsidRPr="00F82CCE">
        <w:t>Orubu</w:t>
      </w:r>
      <w:proofErr w:type="spellEnd"/>
      <w:r w:rsidRPr="00F82CCE">
        <w:t xml:space="preserve"> et al., 2022). In combination, these documented changes explain the composition, extent and limits of evidence of the documentary resources examined in this chapter.</w:t>
      </w:r>
    </w:p>
    <w:p w:rsidR="003633DF" w:rsidRDefault="003428CE" w:rsidP="00F82CCE">
      <w:pPr>
        <w:pStyle w:val="Heading2"/>
      </w:pPr>
      <w:bookmarkStart w:id="87" w:name="_Toc220873952"/>
      <w:r>
        <w:t>4.8</w:t>
      </w:r>
      <w:r w:rsidR="003633DF">
        <w:t xml:space="preserve"> Analysis limitations specific to this chapter</w:t>
      </w:r>
      <w:bookmarkEnd w:id="87"/>
    </w:p>
    <w:p w:rsidR="005B2954" w:rsidRDefault="005B2954" w:rsidP="005B2954">
      <w:r w:rsidRPr="005B2954">
        <w:t>There are a few limitations that are documented in connection with the documentary nature of the dataset that is analysed in this chapter. To begin with, there are no clear standards of service, timelines of process and elaborate schedules of cost of licensing and approval of imports that are always available in the public and official records. Workflow manuals mainly outline the specifications of submissions, the steps to be followed, and system conditions, but do not provide a systematic measure of the variation in turnaround time and delays across applications (</w:t>
      </w:r>
      <w:proofErr w:type="spellStart"/>
      <w:r w:rsidRPr="005B2954">
        <w:t>Murshid</w:t>
      </w:r>
      <w:proofErr w:type="spellEnd"/>
      <w:r w:rsidRPr="005B2954">
        <w:t xml:space="preserve"> and </w:t>
      </w:r>
      <w:proofErr w:type="spellStart"/>
      <w:r w:rsidRPr="005B2954">
        <w:t>Haque</w:t>
      </w:r>
      <w:proofErr w:type="spellEnd"/>
      <w:r w:rsidRPr="005B2954">
        <w:t>, 2019). Consequently, the data set includes elaborate descriptions of the procedures without any corresponding quantitative values of processing variance. Second, the documentary corpus lacks firm-level accounting data of SMEs, including administrative personnel hours spent in compliance, consultancy-related expenses, or financial amounts of regulatory paperwork. The sources available contain administrative procedures and aggregate measures but do not break them down by firm size or align them with particular workflow events. As a result, comparative data of administrative exposure among firms or procedure elements are not quantitative in the dataset. These restrictions determine the scope of evidence of the documentary materials reviewed in this chapter.</w:t>
      </w:r>
    </w:p>
    <w:p w:rsidR="00D03AE8" w:rsidRDefault="00594BE7" w:rsidP="00BB002A">
      <w:r w:rsidRPr="00594BE7">
        <w:t xml:space="preserve">Another weakness of this chapter is related to the lack of corruption as a direct empirical result of the investigation of drug import licensing in Bangladesh. Although corruption has been commonly the subject of research on the administration of the state and trade regulations in Bangladesh, recent findings suggest that corruption occurs mostly informally and are not written in official regulatory documents, procedural guides, or digital </w:t>
      </w:r>
      <w:r w:rsidRPr="00594BE7">
        <w:lastRenderedPageBreak/>
        <w:t>workflow management (TIB, 2022). Because of this fact, the documentary analysis is structurally limited to the study of formalised processes instead of informal administrative behaviour.</w:t>
      </w:r>
      <w:r w:rsidR="00BB002A">
        <w:t xml:space="preserve"> </w:t>
      </w:r>
      <w:r w:rsidRPr="00594BE7">
        <w:t>Empirical studies of the regulatory context in Bangladesh show that survey of firms, perception indices, and in-depth qualitative interviews are the most effective methods to identify corruption since they identify unofficial payments and discretionary facilitation outside official procedures (World Bank, 2020). Nevertheless, the research builds only on publicly available laws, DGDA guidelines, and official systems of trade facilitation, none of which offers and verifiable, systematic data on corruption in the licensing process. Any introduction of corruption as a finding would thus run the risk of being a speculative interpretation as opposed to an analysis based on evidence.</w:t>
      </w:r>
    </w:p>
    <w:p w:rsidR="003633DF" w:rsidRDefault="003428CE" w:rsidP="00CB5686">
      <w:pPr>
        <w:pStyle w:val="Heading2"/>
      </w:pPr>
      <w:bookmarkStart w:id="88" w:name="_Toc220873953"/>
      <w:r>
        <w:t>4.9</w:t>
      </w:r>
      <w:r w:rsidR="003633DF">
        <w:t xml:space="preserve"> </w:t>
      </w:r>
      <w:r w:rsidR="00CB5686">
        <w:t>Conclusion</w:t>
      </w:r>
      <w:bookmarkEnd w:id="88"/>
    </w:p>
    <w:p w:rsidR="0092286D" w:rsidRPr="0092286D" w:rsidRDefault="00FF719E" w:rsidP="00FF719E">
      <w:r w:rsidRPr="00FF719E">
        <w:t>Overall, the documentary data shows a list of recurrent impediments which might be reported without inference: procedural complicacy, embedded learning expenses, compliance expenses, and workflow-driven iteration/rework seems to be consistent themes throughout process manuals and administrative-burden literature (</w:t>
      </w:r>
      <w:proofErr w:type="spellStart"/>
      <w:r w:rsidRPr="00FF719E">
        <w:t>Hoque</w:t>
      </w:r>
      <w:proofErr w:type="spellEnd"/>
      <w:r w:rsidRPr="00FF719E">
        <w:t xml:space="preserve"> et al., 2020). The effects of operational efficiency are reflected in the characteristics of the process that logically imply the cost of staff time and organisational attention, as well as the peer-reviewed literature that reports system-level restrictions which are applicable to medicines availability and integrity. Lastly, digitisation and standardisation of the procedure is also present in the corpus as the documented directions of the reform, specifically in the existence and composition of the Single Window mechanisms, which are reflected here as findings to be interpreted and measured later on.</w:t>
      </w:r>
    </w:p>
    <w:p w:rsidR="0015741E" w:rsidRDefault="0015741E">
      <w:pPr>
        <w:spacing w:before="0" w:after="160" w:line="259" w:lineRule="auto"/>
        <w:jc w:val="left"/>
      </w:pPr>
      <w:r>
        <w:br w:type="page"/>
      </w:r>
    </w:p>
    <w:p w:rsidR="00B07B0D" w:rsidRPr="00531A78" w:rsidRDefault="001828B8" w:rsidP="001828B8">
      <w:pPr>
        <w:pStyle w:val="Heading1"/>
        <w:jc w:val="center"/>
      </w:pPr>
      <w:bookmarkStart w:id="89" w:name="_Toc220873954"/>
      <w:r>
        <w:lastRenderedPageBreak/>
        <w:t>Chapter 5: Discussion</w:t>
      </w:r>
      <w:bookmarkEnd w:id="89"/>
    </w:p>
    <w:p w:rsidR="004F7062" w:rsidRDefault="004F7062" w:rsidP="004F7062">
      <w:pPr>
        <w:pStyle w:val="Heading2"/>
      </w:pPr>
      <w:bookmarkStart w:id="90" w:name="_Toc220873955"/>
      <w:r>
        <w:t>5.1 Introduction</w:t>
      </w:r>
      <w:bookmarkEnd w:id="90"/>
      <w:r>
        <w:t xml:space="preserve"> </w:t>
      </w:r>
    </w:p>
    <w:p w:rsidR="00685802" w:rsidRDefault="00685802" w:rsidP="00685802">
      <w:pPr>
        <w:rPr>
          <w:b/>
          <w:lang w:val="en-US" w:eastAsia="en-US"/>
        </w:rPr>
      </w:pPr>
      <w:r w:rsidRPr="00685802">
        <w:rPr>
          <w:lang w:val="en-US" w:eastAsia="en-US"/>
        </w:rPr>
        <w:t xml:space="preserve">This chapter explains the implications of findings of Chapter 4 as far as SMEs are concerned who want to import </w:t>
      </w:r>
      <w:proofErr w:type="spellStart"/>
      <w:r w:rsidRPr="00685802">
        <w:rPr>
          <w:lang w:val="en-US" w:eastAsia="en-US"/>
        </w:rPr>
        <w:t>licences</w:t>
      </w:r>
      <w:proofErr w:type="spellEnd"/>
      <w:r w:rsidRPr="00685802">
        <w:rPr>
          <w:lang w:val="en-US" w:eastAsia="en-US"/>
        </w:rPr>
        <w:t xml:space="preserve"> of drugs in Bangladesh. It restates the research problem and analyses the barriers identified and their effects of operation and the implications of suggested reforms. Through the Administrative Burden and Good Regulatory Practices (GRP) lenses, the chapter links documentary evidence to the broader literature, critically analyzes the strength of evidence and explicates how process design, delays and compliance requirements can be used as non-tariff trade barriers.</w:t>
      </w:r>
    </w:p>
    <w:p w:rsidR="001828B8" w:rsidRDefault="004F7062" w:rsidP="001828B8">
      <w:pPr>
        <w:pStyle w:val="Heading2"/>
      </w:pPr>
      <w:bookmarkStart w:id="91" w:name="_Toc220873956"/>
      <w:r>
        <w:t>5.2</w:t>
      </w:r>
      <w:r w:rsidR="001828B8">
        <w:t xml:space="preserve"> Re-stating the research problem, aim and research questions</w:t>
      </w:r>
      <w:bookmarkEnd w:id="91"/>
    </w:p>
    <w:p w:rsidR="009E4566" w:rsidRDefault="009E4566" w:rsidP="009E4566">
      <w:pPr>
        <w:rPr>
          <w:b/>
        </w:rPr>
      </w:pPr>
      <w:r w:rsidRPr="009E4566">
        <w:t>This dissertation discusses the research problem, that SMEs in Bangladesh might encounter trade barriers in form of non-tariff barriers to licensing/approvals to import drugs where procedural complexity, documentation requirements, delay and compliance requirements may act as practicable constraints to market entry and survival. The general objective is to research the emergence of these trade barriers in the existing medicines-import regulatory setting, and how they influence SMEs capability to secure the necessary permits. The discussion will be based on three guiding questions that are as follows: what barriers are most salient in the licensing pathway, how the barriers influence the operational efficiency of SMEs and what changes in policies or processes would decrease unnecessary friction without compromising regulatory protection. Although Chapter 4 presented the documentary findings in an evidence-based and systematic way, Chapter 5 discusses the meaning that the results give, using the Administrative Burden and the Good Regulatory Practices (GRP) as the framework and connecting the findings to the literature review and the research gap identified.</w:t>
      </w:r>
    </w:p>
    <w:p w:rsidR="00FE63D4" w:rsidRDefault="004F7062" w:rsidP="00FE63D4">
      <w:pPr>
        <w:pStyle w:val="Heading2"/>
      </w:pPr>
      <w:bookmarkStart w:id="92" w:name="_Toc220873957"/>
      <w:r>
        <w:t>5.3</w:t>
      </w:r>
      <w:r w:rsidR="00FE63D4">
        <w:t xml:space="preserve"> Concise synthesis of key findings from Chapter 4</w:t>
      </w:r>
      <w:bookmarkEnd w:id="92"/>
      <w:r w:rsidR="00FE63D4">
        <w:t xml:space="preserve"> </w:t>
      </w:r>
    </w:p>
    <w:p w:rsidR="009E4566" w:rsidRPr="009E4566" w:rsidRDefault="009E4566" w:rsidP="00CA0114">
      <w:r w:rsidRPr="009E4566">
        <w:t xml:space="preserve">Chapter 4 demonstrated that complex procedures were observed when drug-import permissions were placed in a broader, multistage importation route and not a single approval. Cross-border standards showed that time and paperwork were significantly high </w:t>
      </w:r>
      <w:r w:rsidRPr="009E4566">
        <w:lastRenderedPageBreak/>
        <w:t>regarding importing, which is signalling that licensing-based approvals run in parallel with the rest of the administrative sequencing and compliance mandates (World Bank, 2020). To complement these indicators, the Bangladesh Single Window process document shows that there are structured, stage-based workflows that transfer applications between different statuses, which supports the results of sequencing as a barrier to work when long, interdependent, or complex.</w:t>
      </w:r>
    </w:p>
    <w:p w:rsidR="009E4566" w:rsidRPr="009E4566" w:rsidRDefault="009E4566" w:rsidP="00CA0114">
      <w:r w:rsidRPr="009E4566">
        <w:t>Learning costs and information barriers that were also emphasized in the corpus include that applicants have to interpret submission rules, module boundaries and status logic before they can complete compliant applications</w:t>
      </w:r>
      <w:r w:rsidR="00CA0114">
        <w:t xml:space="preserve"> </w:t>
      </w:r>
      <w:r w:rsidR="00CA0114" w:rsidRPr="009E4566">
        <w:t>(DGDA, 2023)</w:t>
      </w:r>
      <w:r w:rsidRPr="009E4566">
        <w:t>. This is an informational barrier, which can have a disproportionately negative impact on SMEs with poor regulatory-specialist capacity, which are governed by administrative burden theory (Petersen and Hansen, 2022). In parallel with this, compliance expenses were displayed in terms of documentary requirements and redundant attachment processing, and benchmarking information showed that there is a high level of documentary and border compliance requirements in the larger import procedure.</w:t>
      </w:r>
    </w:p>
    <w:p w:rsidR="009E4566" w:rsidRDefault="009E4566" w:rsidP="00CA0114">
      <w:pPr>
        <w:rPr>
          <w:b/>
        </w:rPr>
      </w:pPr>
      <w:r w:rsidRPr="009E4566">
        <w:t xml:space="preserve">Another repetitive observation was embedded iteration/rework that was identified by formalised query return resubmit loops that introduce timing uncertainty and expand staff time in regulatory engagement (DGDA, 2023). This was operationally congruent with the reported administrative lead-times and the capacity diversion, such as the average days to get import licences and quantifiable senior-management time spent on regulatory demands, which exacerbates planning uncertainty in SMEs (World Bank, 2022; </w:t>
      </w:r>
      <w:proofErr w:type="spellStart"/>
      <w:r w:rsidRPr="009E4566">
        <w:t>Khondaker</w:t>
      </w:r>
      <w:proofErr w:type="spellEnd"/>
      <w:r w:rsidRPr="009E4566">
        <w:t>, 2022). Governance-related weaknesses of access and supply are also reported to exist at system level, which means that firm-level resistance may also be present together with more extensive medicines-system vulnerabilities (</w:t>
      </w:r>
      <w:proofErr w:type="spellStart"/>
      <w:r w:rsidRPr="009E4566">
        <w:t>Orubu</w:t>
      </w:r>
      <w:proofErr w:type="spellEnd"/>
      <w:r w:rsidRPr="009E4566">
        <w:t xml:space="preserve"> et al., 2022).</w:t>
      </w:r>
      <w:r w:rsidR="00CA0114">
        <w:t xml:space="preserve"> </w:t>
      </w:r>
      <w:r w:rsidRPr="009E4566">
        <w:t>Lastly, Chapter 4 reported reform-like actions that were focused around digitisation, Single Window integration and procedural standardisation, as demonstrated by national trade modernisation programs and portal-facilitated submission, tracking and system-to-system transmission functionality.</w:t>
      </w:r>
    </w:p>
    <w:p w:rsidR="00DC0C6A" w:rsidRDefault="004F7062" w:rsidP="00DC0C6A">
      <w:pPr>
        <w:pStyle w:val="Heading2"/>
      </w:pPr>
      <w:bookmarkStart w:id="93" w:name="_Toc220873958"/>
      <w:r>
        <w:lastRenderedPageBreak/>
        <w:t>5.4</w:t>
      </w:r>
      <w:r w:rsidR="00BB295F">
        <w:t xml:space="preserve"> Interpreting RQ1 through the Theoretical Lenses</w:t>
      </w:r>
      <w:bookmarkEnd w:id="93"/>
    </w:p>
    <w:p w:rsidR="00DC0C6A" w:rsidRPr="00DC0C6A" w:rsidRDefault="00DC0C6A" w:rsidP="00DC0C6A">
      <w:r>
        <w:t xml:space="preserve">RQ1: </w:t>
      </w:r>
      <w:r w:rsidRPr="00DC0C6A">
        <w:rPr>
          <w:i/>
          <w:iCs/>
        </w:rPr>
        <w:t>What are the key trade barriers faced by SMEs in obtaining import licenses for drugs in Bangladesh?</w:t>
      </w:r>
    </w:p>
    <w:p w:rsidR="00BB295F" w:rsidRPr="00BB295F" w:rsidRDefault="004F7062" w:rsidP="00BF6D78">
      <w:pPr>
        <w:pStyle w:val="Heading3"/>
      </w:pPr>
      <w:bookmarkStart w:id="94" w:name="_Toc220873959"/>
      <w:r>
        <w:t>5.4</w:t>
      </w:r>
      <w:r w:rsidR="00BB295F" w:rsidRPr="00BB295F">
        <w:t>.1 What the Barriers Mean in Practice</w:t>
      </w:r>
      <w:bookmarkEnd w:id="94"/>
    </w:p>
    <w:p w:rsidR="009E4566" w:rsidRDefault="009E4566" w:rsidP="00CA0114">
      <w:pPr>
        <w:rPr>
          <w:b/>
        </w:rPr>
      </w:pPr>
      <w:r w:rsidRPr="009E4566">
        <w:t>The evidence shows that procedural complexity is a non-tariff trade barrier not only because of how many approval steps there are but also because of the accumulation of administrative exposure which it creates. The multi-step sequencing in the process of obtaining drug importation approvals raises the checkpoints and possible interruptions, enhancing the likelihood of delays, reworking of documents and time uncertainty. Every procedural tier is a waste of both time and human resources especially in SMEs where the number of administrative employees is few. Empirical evidence by World Bank (2022) indicates that Bangladesh firms take an average of 49 days to get import licence, and a higher percentage of senior management (more than 13 percent) is wasted in compliance and administrative processes. This time cost is converted into an objective cost that competitiveness is undermined (UN ESCAP, 2023).</w:t>
      </w:r>
      <w:r w:rsidR="00CA0114">
        <w:t xml:space="preserve"> </w:t>
      </w:r>
      <w:r w:rsidRPr="009E4566">
        <w:t>Additionally, approval workflows contain query-return cycles, which cause iterative re-submissions in addition to uncertainty. SMEs are affected by these delays in a more severe way since they do not have the buffer capital and logistical flexibility of larger companies. The procedural architecture, which is meant to facilitate quality assurance, is thereby a systemic friction. Other studies on the same topic in South Asia also verify that complicated regulatory frameworks may increase trade activities of SMEs by 1215% as transaction costs (OECD, 2021). These results explain how regulatory design, which is fragmented or opaque, can serve as an invisible source of cost that can limit the access of smaller importers to pharmaceutical markets.</w:t>
      </w:r>
    </w:p>
    <w:p w:rsidR="00BB295F" w:rsidRDefault="004F7062" w:rsidP="009E4566">
      <w:pPr>
        <w:pStyle w:val="Heading3"/>
      </w:pPr>
      <w:bookmarkStart w:id="95" w:name="_Toc220873960"/>
      <w:r>
        <w:t>5.4</w:t>
      </w:r>
      <w:r w:rsidR="00BB295F">
        <w:t>.2 Administrative Burden Interpretation: Learning Costs and Compliance Costs</w:t>
      </w:r>
      <w:bookmarkEnd w:id="95"/>
    </w:p>
    <w:p w:rsidR="009E4566" w:rsidRPr="009E4566" w:rsidRDefault="009E4566" w:rsidP="00CA0114">
      <w:r w:rsidRPr="009E4566">
        <w:t xml:space="preserve">Using the Administrative Burden framework, it is easier to understand why the same formal rules have dissimilar impacts based on the size of the firm. Liu et al., (2021) have suggested that administrative burden is made up of three cost interconnected costs, such as learning, compliance, and psychological that consume cognitive and material costs. In </w:t>
      </w:r>
      <w:r w:rsidRPr="009E4566">
        <w:lastRenderedPageBreak/>
        <w:t xml:space="preserve">the example of Bangladeshi pharmaceutical importers, the cost of learning is caused by the effort to familiarize oneself with the processes of DGDA, go through online modules, and interpret changing documentation requirements. Lack of dedicated regulatory personnel in the SMEs forces the managers to spend managerial time to understand procedural logic hence increasing opportunity </w:t>
      </w:r>
      <w:proofErr w:type="gramStart"/>
      <w:r w:rsidRPr="009E4566">
        <w:t>costs</w:t>
      </w:r>
      <w:r w:rsidR="00CA0114" w:rsidRPr="009E4566">
        <w:t>(</w:t>
      </w:r>
      <w:proofErr w:type="gramEnd"/>
      <w:r w:rsidR="00CA0114" w:rsidRPr="009E4566">
        <w:t>NBR, 2022)</w:t>
      </w:r>
      <w:r w:rsidRPr="009E4566">
        <w:t>.</w:t>
      </w:r>
      <w:r w:rsidR="00CA0114">
        <w:t xml:space="preserve"> </w:t>
      </w:r>
      <w:r w:rsidRPr="009E4566">
        <w:t xml:space="preserve">The compliance costs arise when the firms are already in the system. The repetitive clerical work is required by the necessity of uploading more than one certificate, record versions, answering questions posed by the regulators. According to the Regulatory Studies </w:t>
      </w:r>
      <w:proofErr w:type="spellStart"/>
      <w:r w:rsidRPr="009E4566">
        <w:t>Center</w:t>
      </w:r>
      <w:proofErr w:type="spellEnd"/>
      <w:r w:rsidRPr="009E4566">
        <w:t xml:space="preserve"> (2022), this repetition is disproportionately detrimental to smaller companies since fixed documentation activities take a larger portion of their small capacity. Additionally, according to the data provided by UNESCAP (2023), digitisation and Single Window reforms have the potential to help reduce administrative expenses to 2530 percent, which confirms that the clarity of the process and automation of its components can alleviate compliance pressures.</w:t>
      </w:r>
    </w:p>
    <w:p w:rsidR="009E4566" w:rsidRDefault="009E4566" w:rsidP="009E4566">
      <w:pPr>
        <w:rPr>
          <w:b/>
        </w:rPr>
      </w:pPr>
      <w:r w:rsidRPr="009E4566">
        <w:t>This is also in line with the idea of Good Regulatory Practices (GRP), which promote transparency, proportionality, and predictability in the design of the regulations. GRP principles implemented into licensing systems can foster a balance between safety and efficiency of the procedure (Wang et al., 2025). The difference between the ideals of GRP and the actual delay of processes indicates that the gap in governance has occurred: the rules aimed at supervision have developed into obstacles to the involvement of SMEs.</w:t>
      </w:r>
    </w:p>
    <w:p w:rsidR="00BB295F" w:rsidRDefault="004F7062" w:rsidP="009E4566">
      <w:pPr>
        <w:pStyle w:val="Heading3"/>
      </w:pPr>
      <w:bookmarkStart w:id="96" w:name="_Toc220873961"/>
      <w:r>
        <w:t>5.4</w:t>
      </w:r>
      <w:r w:rsidR="00BB295F">
        <w:t>.3 Contradictions and Boundary Conditions</w:t>
      </w:r>
      <w:bookmarkEnd w:id="96"/>
    </w:p>
    <w:p w:rsidR="00342B82" w:rsidRPr="00342B82" w:rsidRDefault="00342B82" w:rsidP="00342B82">
      <w:r w:rsidRPr="00342B82">
        <w:t>It is important to note that some of the indicators recorded like import-clearance time and documentary compliance cost are not specific to drugs but general to the sector. Subsequently, pharmaceutical regulation cannot be considered as the cause of all the delays identified. The drug industry is however likely to aggravate these burdens due to its closer regime of quality control where extra certification and tests are required. This increases learning and compliance expenses.</w:t>
      </w:r>
    </w:p>
    <w:p w:rsidR="00342B82" w:rsidRDefault="00342B82" w:rsidP="00342B82">
      <w:pPr>
        <w:rPr>
          <w:b/>
          <w:bCs/>
          <w:i/>
          <w:iCs/>
        </w:rPr>
      </w:pPr>
      <w:r w:rsidRPr="00342B82">
        <w:t xml:space="preserve">The partial mitigation measures include digitisation initiatives, including the Bangladesh Single Window System. The report of the UNESCAP (2023) states that in developing economies, paperless trade mechanisms may decrease the cost of transactions by </w:t>
      </w:r>
      <w:r w:rsidRPr="00342B82">
        <w:lastRenderedPageBreak/>
        <w:t>almost a third. However, in absence of sufficient training and clear procedure, SMEs remain to still experience learning barriers even in digital systems. Thus, the technology does not necessarily eliminate the complexity beneath it, but it should be accompanied by clear and proportional regulatory activities.</w:t>
      </w:r>
    </w:p>
    <w:p w:rsidR="00BB295F" w:rsidRDefault="00BB295F" w:rsidP="00342B82">
      <w:pPr>
        <w:pStyle w:val="Caption"/>
      </w:pPr>
      <w:bookmarkStart w:id="97" w:name="_Toc217469705"/>
      <w:r>
        <w:t xml:space="preserve">Table </w:t>
      </w:r>
      <w:r>
        <w:fldChar w:fldCharType="begin"/>
      </w:r>
      <w:r>
        <w:instrText xml:space="preserve"> SEQ Table \* ARABIC </w:instrText>
      </w:r>
      <w:r>
        <w:fldChar w:fldCharType="separate"/>
      </w:r>
      <w:r w:rsidR="00BB5D78">
        <w:rPr>
          <w:noProof/>
        </w:rPr>
        <w:t>8</w:t>
      </w:r>
      <w:r>
        <w:fldChar w:fldCharType="end"/>
      </w:r>
      <w:r>
        <w:rPr>
          <w:lang w:val="en-US"/>
        </w:rPr>
        <w:t xml:space="preserve">: </w:t>
      </w:r>
      <w:r w:rsidRPr="00A95594">
        <w:rPr>
          <w:lang w:val="en-US"/>
        </w:rPr>
        <w:t>Barrier–Mechanism–Theory Alignment Matrix</w:t>
      </w:r>
      <w:r w:rsidRPr="00BB295F">
        <w:t xml:space="preserve"> </w:t>
      </w:r>
      <w:r w:rsidRPr="00BB295F">
        <w:rPr>
          <w:lang w:val="en-US"/>
        </w:rPr>
        <w:t>(OECD, 2021)</w:t>
      </w:r>
      <w:bookmarkEnd w:id="97"/>
    </w:p>
    <w:tbl>
      <w:tblPr>
        <w:tblStyle w:val="GridTable1Light-Accent5"/>
        <w:tblW w:w="0" w:type="auto"/>
        <w:tblLook w:val="04A0" w:firstRow="1" w:lastRow="0" w:firstColumn="1" w:lastColumn="0" w:noHBand="0" w:noVBand="1"/>
      </w:tblPr>
      <w:tblGrid>
        <w:gridCol w:w="2107"/>
        <w:gridCol w:w="2172"/>
        <w:gridCol w:w="2261"/>
        <w:gridCol w:w="2810"/>
      </w:tblGrid>
      <w:tr w:rsidR="00BB295F" w:rsidTr="00BB29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B295F" w:rsidRDefault="00BB295F" w:rsidP="00BB295F">
            <w:r>
              <w:rPr>
                <w:rStyle w:val="Strong"/>
              </w:rPr>
              <w:t>Barrier Theme</w:t>
            </w:r>
          </w:p>
        </w:tc>
        <w:tc>
          <w:tcPr>
            <w:tcW w:w="0" w:type="auto"/>
            <w:hideMark/>
          </w:tcPr>
          <w:p w:rsidR="00BB295F" w:rsidRDefault="00BB295F" w:rsidP="00BB295F">
            <w:pPr>
              <w:cnfStyle w:val="100000000000" w:firstRow="1" w:lastRow="0" w:firstColumn="0" w:lastColumn="0" w:oddVBand="0" w:evenVBand="0" w:oddHBand="0" w:evenHBand="0" w:firstRowFirstColumn="0" w:firstRowLastColumn="0" w:lastRowFirstColumn="0" w:lastRowLastColumn="0"/>
              <w:rPr>
                <w:b w:val="0"/>
                <w:bCs w:val="0"/>
              </w:rPr>
            </w:pPr>
            <w:r>
              <w:rPr>
                <w:rStyle w:val="Strong"/>
              </w:rPr>
              <w:t>Observable Indicator</w:t>
            </w:r>
          </w:p>
        </w:tc>
        <w:tc>
          <w:tcPr>
            <w:tcW w:w="0" w:type="auto"/>
            <w:hideMark/>
          </w:tcPr>
          <w:p w:rsidR="00BB295F" w:rsidRDefault="00BB295F" w:rsidP="00BB295F">
            <w:pPr>
              <w:cnfStyle w:val="100000000000" w:firstRow="1" w:lastRow="0" w:firstColumn="0" w:lastColumn="0" w:oddVBand="0" w:evenVBand="0" w:oddHBand="0" w:evenHBand="0" w:firstRowFirstColumn="0" w:firstRowLastColumn="0" w:lastRowFirstColumn="0" w:lastRowLastColumn="0"/>
              <w:rPr>
                <w:b w:val="0"/>
                <w:bCs w:val="0"/>
              </w:rPr>
            </w:pPr>
            <w:r>
              <w:rPr>
                <w:rStyle w:val="Strong"/>
              </w:rPr>
              <w:t>Administrative-Burden Mechanism</w:t>
            </w:r>
          </w:p>
        </w:tc>
        <w:tc>
          <w:tcPr>
            <w:tcW w:w="0" w:type="auto"/>
            <w:hideMark/>
          </w:tcPr>
          <w:p w:rsidR="00BB295F" w:rsidRDefault="00BB295F" w:rsidP="00BB295F">
            <w:pPr>
              <w:cnfStyle w:val="100000000000" w:firstRow="1" w:lastRow="0" w:firstColumn="0" w:lastColumn="0" w:oddVBand="0" w:evenVBand="0" w:oddHBand="0" w:evenHBand="0" w:firstRowFirstColumn="0" w:firstRowLastColumn="0" w:lastRowFirstColumn="0" w:lastRowLastColumn="0"/>
              <w:rPr>
                <w:b w:val="0"/>
                <w:bCs w:val="0"/>
              </w:rPr>
            </w:pPr>
            <w:r>
              <w:rPr>
                <w:rStyle w:val="Strong"/>
              </w:rPr>
              <w:t>Why SMEs Are Disproportionately Exposed</w:t>
            </w:r>
          </w:p>
        </w:tc>
      </w:tr>
      <w:tr w:rsidR="00BB295F" w:rsidTr="00BB295F">
        <w:tc>
          <w:tcPr>
            <w:cnfStyle w:val="001000000000" w:firstRow="0" w:lastRow="0" w:firstColumn="1" w:lastColumn="0" w:oddVBand="0" w:evenVBand="0" w:oddHBand="0" w:evenHBand="0" w:firstRowFirstColumn="0" w:firstRowLastColumn="0" w:lastRowFirstColumn="0" w:lastRowLastColumn="0"/>
            <w:tcW w:w="0" w:type="auto"/>
            <w:hideMark/>
          </w:tcPr>
          <w:p w:rsidR="00BB295F" w:rsidRDefault="00BB295F" w:rsidP="00BB295F">
            <w:pPr>
              <w:rPr>
                <w:b w:val="0"/>
                <w:bCs w:val="0"/>
              </w:rPr>
            </w:pPr>
            <w:r>
              <w:t>Procedural complexity</w:t>
            </w:r>
          </w:p>
        </w:tc>
        <w:tc>
          <w:tcPr>
            <w:tcW w:w="0" w:type="auto"/>
            <w:hideMark/>
          </w:tcPr>
          <w:p w:rsidR="00BB295F" w:rsidRDefault="00BB295F" w:rsidP="00BB295F">
            <w:pPr>
              <w:cnfStyle w:val="000000000000" w:firstRow="0" w:lastRow="0" w:firstColumn="0" w:lastColumn="0" w:oddVBand="0" w:evenVBand="0" w:oddHBand="0" w:evenHBand="0" w:firstRowFirstColumn="0" w:firstRowLastColumn="0" w:lastRowFirstColumn="0" w:lastRowLastColumn="0"/>
            </w:pPr>
            <w:r>
              <w:t>Average 49-day licensing time; multiple approvals</w:t>
            </w:r>
          </w:p>
        </w:tc>
        <w:tc>
          <w:tcPr>
            <w:tcW w:w="0" w:type="auto"/>
            <w:hideMark/>
          </w:tcPr>
          <w:p w:rsidR="00BB295F" w:rsidRDefault="00BB295F" w:rsidP="00BB295F">
            <w:pPr>
              <w:cnfStyle w:val="000000000000" w:firstRow="0" w:lastRow="0" w:firstColumn="0" w:lastColumn="0" w:oddVBand="0" w:evenVBand="0" w:oddHBand="0" w:evenHBand="0" w:firstRowFirstColumn="0" w:firstRowLastColumn="0" w:lastRowFirstColumn="0" w:lastRowLastColumn="0"/>
            </w:pPr>
            <w:r>
              <w:t>Learning + Compliance costs</w:t>
            </w:r>
          </w:p>
        </w:tc>
        <w:tc>
          <w:tcPr>
            <w:tcW w:w="0" w:type="auto"/>
            <w:hideMark/>
          </w:tcPr>
          <w:p w:rsidR="00BB295F" w:rsidRDefault="00BB295F" w:rsidP="00BB295F">
            <w:pPr>
              <w:cnfStyle w:val="000000000000" w:firstRow="0" w:lastRow="0" w:firstColumn="0" w:lastColumn="0" w:oddVBand="0" w:evenVBand="0" w:oddHBand="0" w:evenHBand="0" w:firstRowFirstColumn="0" w:firstRowLastColumn="0" w:lastRowFirstColumn="0" w:lastRowLastColumn="0"/>
            </w:pPr>
            <w:r>
              <w:t>SMEs lack regulatory specialists and administrative staff</w:t>
            </w:r>
          </w:p>
        </w:tc>
      </w:tr>
      <w:tr w:rsidR="00BB295F" w:rsidTr="00BB295F">
        <w:tc>
          <w:tcPr>
            <w:cnfStyle w:val="001000000000" w:firstRow="0" w:lastRow="0" w:firstColumn="1" w:lastColumn="0" w:oddVBand="0" w:evenVBand="0" w:oddHBand="0" w:evenHBand="0" w:firstRowFirstColumn="0" w:firstRowLastColumn="0" w:lastRowFirstColumn="0" w:lastRowLastColumn="0"/>
            <w:tcW w:w="0" w:type="auto"/>
            <w:hideMark/>
          </w:tcPr>
          <w:p w:rsidR="00BB295F" w:rsidRDefault="00BB295F" w:rsidP="00BB295F">
            <w:r>
              <w:t>Timing uncertainty</w:t>
            </w:r>
          </w:p>
        </w:tc>
        <w:tc>
          <w:tcPr>
            <w:tcW w:w="0" w:type="auto"/>
            <w:hideMark/>
          </w:tcPr>
          <w:p w:rsidR="00BB295F" w:rsidRDefault="00BB295F" w:rsidP="00BB295F">
            <w:pPr>
              <w:cnfStyle w:val="000000000000" w:firstRow="0" w:lastRow="0" w:firstColumn="0" w:lastColumn="0" w:oddVBand="0" w:evenVBand="0" w:oddHBand="0" w:evenHBand="0" w:firstRowFirstColumn="0" w:firstRowLastColumn="0" w:lastRowFirstColumn="0" w:lastRowLastColumn="0"/>
            </w:pPr>
            <w:r>
              <w:t>Iterative query-return cycles</w:t>
            </w:r>
          </w:p>
        </w:tc>
        <w:tc>
          <w:tcPr>
            <w:tcW w:w="0" w:type="auto"/>
            <w:hideMark/>
          </w:tcPr>
          <w:p w:rsidR="00BB295F" w:rsidRDefault="00BB295F" w:rsidP="00BB295F">
            <w:pPr>
              <w:cnfStyle w:val="000000000000" w:firstRow="0" w:lastRow="0" w:firstColumn="0" w:lastColumn="0" w:oddVBand="0" w:evenVBand="0" w:oddHBand="0" w:evenHBand="0" w:firstRowFirstColumn="0" w:firstRowLastColumn="0" w:lastRowFirstColumn="0" w:lastRowLastColumn="0"/>
            </w:pPr>
            <w:r>
              <w:t>Compliance time becomes cost exposure</w:t>
            </w:r>
          </w:p>
        </w:tc>
        <w:tc>
          <w:tcPr>
            <w:tcW w:w="0" w:type="auto"/>
            <w:hideMark/>
          </w:tcPr>
          <w:p w:rsidR="00BB295F" w:rsidRDefault="00BB295F" w:rsidP="00BB295F">
            <w:pPr>
              <w:cnfStyle w:val="000000000000" w:firstRow="0" w:lastRow="0" w:firstColumn="0" w:lastColumn="0" w:oddVBand="0" w:evenVBand="0" w:oddHBand="0" w:evenHBand="0" w:firstRowFirstColumn="0" w:firstRowLastColumn="0" w:lastRowFirstColumn="0" w:lastRowLastColumn="0"/>
            </w:pPr>
            <w:r>
              <w:t>Limited working capital to absorb delays</w:t>
            </w:r>
          </w:p>
        </w:tc>
      </w:tr>
      <w:tr w:rsidR="00BB295F" w:rsidTr="00BB295F">
        <w:tc>
          <w:tcPr>
            <w:cnfStyle w:val="001000000000" w:firstRow="0" w:lastRow="0" w:firstColumn="1" w:lastColumn="0" w:oddVBand="0" w:evenVBand="0" w:oddHBand="0" w:evenHBand="0" w:firstRowFirstColumn="0" w:firstRowLastColumn="0" w:lastRowFirstColumn="0" w:lastRowLastColumn="0"/>
            <w:tcW w:w="0" w:type="auto"/>
            <w:hideMark/>
          </w:tcPr>
          <w:p w:rsidR="00BB295F" w:rsidRDefault="00BB295F" w:rsidP="00BB295F">
            <w:r>
              <w:t>Documentation burden</w:t>
            </w:r>
          </w:p>
        </w:tc>
        <w:tc>
          <w:tcPr>
            <w:tcW w:w="0" w:type="auto"/>
            <w:hideMark/>
          </w:tcPr>
          <w:p w:rsidR="00BB295F" w:rsidRDefault="00BB295F" w:rsidP="00BB295F">
            <w:pPr>
              <w:cnfStyle w:val="000000000000" w:firstRow="0" w:lastRow="0" w:firstColumn="0" w:lastColumn="0" w:oddVBand="0" w:evenVBand="0" w:oddHBand="0" w:evenHBand="0" w:firstRowFirstColumn="0" w:firstRowLastColumn="0" w:lastRowFirstColumn="0" w:lastRowLastColumn="0"/>
            </w:pPr>
            <w:r>
              <w:t>Multiple attachments and certificates</w:t>
            </w:r>
          </w:p>
        </w:tc>
        <w:tc>
          <w:tcPr>
            <w:tcW w:w="0" w:type="auto"/>
            <w:hideMark/>
          </w:tcPr>
          <w:p w:rsidR="00BB295F" w:rsidRDefault="00BB295F" w:rsidP="00BB295F">
            <w:pPr>
              <w:cnfStyle w:val="000000000000" w:firstRow="0" w:lastRow="0" w:firstColumn="0" w:lastColumn="0" w:oddVBand="0" w:evenVBand="0" w:oddHBand="0" w:evenHBand="0" w:firstRowFirstColumn="0" w:firstRowLastColumn="0" w:lastRowFirstColumn="0" w:lastRowLastColumn="0"/>
            </w:pPr>
            <w:r>
              <w:t>Learning and compliance overlap</w:t>
            </w:r>
          </w:p>
        </w:tc>
        <w:tc>
          <w:tcPr>
            <w:tcW w:w="0" w:type="auto"/>
            <w:hideMark/>
          </w:tcPr>
          <w:p w:rsidR="00BB295F" w:rsidRDefault="00BB295F" w:rsidP="00BB295F">
            <w:pPr>
              <w:cnfStyle w:val="000000000000" w:firstRow="0" w:lastRow="0" w:firstColumn="0" w:lastColumn="0" w:oddVBand="0" w:evenVBand="0" w:oddHBand="0" w:evenHBand="0" w:firstRowFirstColumn="0" w:firstRowLastColumn="0" w:lastRowFirstColumn="0" w:lastRowLastColumn="0"/>
            </w:pPr>
            <w:r>
              <w:t>Fixed paperwork absorbs larger capacity share</w:t>
            </w:r>
          </w:p>
        </w:tc>
      </w:tr>
      <w:tr w:rsidR="00BB295F" w:rsidTr="00BB295F">
        <w:tc>
          <w:tcPr>
            <w:cnfStyle w:val="001000000000" w:firstRow="0" w:lastRow="0" w:firstColumn="1" w:lastColumn="0" w:oddVBand="0" w:evenVBand="0" w:oddHBand="0" w:evenHBand="0" w:firstRowFirstColumn="0" w:firstRowLastColumn="0" w:lastRowFirstColumn="0" w:lastRowLastColumn="0"/>
            <w:tcW w:w="0" w:type="auto"/>
            <w:hideMark/>
          </w:tcPr>
          <w:p w:rsidR="00BB295F" w:rsidRDefault="00BB295F" w:rsidP="00BB295F">
            <w:r>
              <w:t>Limited digital literacy</w:t>
            </w:r>
          </w:p>
        </w:tc>
        <w:tc>
          <w:tcPr>
            <w:tcW w:w="0" w:type="auto"/>
            <w:hideMark/>
          </w:tcPr>
          <w:p w:rsidR="00BB295F" w:rsidRDefault="00BB295F" w:rsidP="00BB295F">
            <w:pPr>
              <w:cnfStyle w:val="000000000000" w:firstRow="0" w:lastRow="0" w:firstColumn="0" w:lastColumn="0" w:oddVBand="0" w:evenVBand="0" w:oddHBand="0" w:evenHBand="0" w:firstRowFirstColumn="0" w:firstRowLastColumn="0" w:lastRowFirstColumn="0" w:lastRowLastColumn="0"/>
            </w:pPr>
            <w:r>
              <w:t>Manual navigation of portals</w:t>
            </w:r>
          </w:p>
        </w:tc>
        <w:tc>
          <w:tcPr>
            <w:tcW w:w="0" w:type="auto"/>
            <w:hideMark/>
          </w:tcPr>
          <w:p w:rsidR="00BB295F" w:rsidRDefault="00BB295F" w:rsidP="00BB295F">
            <w:pPr>
              <w:cnfStyle w:val="000000000000" w:firstRow="0" w:lastRow="0" w:firstColumn="0" w:lastColumn="0" w:oddVBand="0" w:evenVBand="0" w:oddHBand="0" w:evenHBand="0" w:firstRowFirstColumn="0" w:firstRowLastColumn="0" w:lastRowFirstColumn="0" w:lastRowLastColumn="0"/>
            </w:pPr>
            <w:r>
              <w:t>Learning cost magnified by skill gap</w:t>
            </w:r>
          </w:p>
        </w:tc>
        <w:tc>
          <w:tcPr>
            <w:tcW w:w="0" w:type="auto"/>
            <w:hideMark/>
          </w:tcPr>
          <w:p w:rsidR="00BB295F" w:rsidRDefault="00BB295F" w:rsidP="00BB295F">
            <w:pPr>
              <w:cnfStyle w:val="000000000000" w:firstRow="0" w:lastRow="0" w:firstColumn="0" w:lastColumn="0" w:oddVBand="0" w:evenVBand="0" w:oddHBand="0" w:evenHBand="0" w:firstRowFirstColumn="0" w:firstRowLastColumn="0" w:lastRowFirstColumn="0" w:lastRowLastColumn="0"/>
            </w:pPr>
            <w:r>
              <w:t>SMEs require more time to interpret online workflows</w:t>
            </w:r>
          </w:p>
        </w:tc>
      </w:tr>
    </w:tbl>
    <w:p w:rsidR="00BB295F" w:rsidRDefault="00BB295F" w:rsidP="00BB295F"/>
    <w:p w:rsidR="00342B82" w:rsidRDefault="00342B82" w:rsidP="00342B82">
      <w:pPr>
        <w:rPr>
          <w:b/>
        </w:rPr>
      </w:pPr>
      <w:r w:rsidRPr="00342B82">
        <w:t>The matrix strengthens the role of Administrative Burden mechanisms in explaining the process of translation of procedural rules to operational costs. It also presents triangulation of empirical (licensing time, volume of documentation) and theoretical (learning and compliance costs) data. Nonetheless, the firm-level causality cannot be completely established unless there are micro-data on the allocation of resources to SMEs and therefore the analysis is still inferential and not deterministic.</w:t>
      </w:r>
    </w:p>
    <w:p w:rsidR="00BF6D78" w:rsidRDefault="004F7062" w:rsidP="00BF6D78">
      <w:pPr>
        <w:pStyle w:val="Heading2"/>
      </w:pPr>
      <w:bookmarkStart w:id="98" w:name="_Toc220873962"/>
      <w:r>
        <w:lastRenderedPageBreak/>
        <w:t>5.5</w:t>
      </w:r>
      <w:r w:rsidR="00BF6D78">
        <w:t xml:space="preserve"> Interpreting RQ2: Operational efficiency effects and why they matter</w:t>
      </w:r>
      <w:bookmarkEnd w:id="98"/>
    </w:p>
    <w:p w:rsidR="00DC0C6A" w:rsidRPr="00DC0C6A" w:rsidRDefault="00DC0C6A" w:rsidP="00DC0C6A">
      <w:r w:rsidRPr="00DC0C6A">
        <w:t>RQ2</w:t>
      </w:r>
      <w:r>
        <w:t xml:space="preserve">: </w:t>
      </w:r>
      <w:r w:rsidRPr="00DC0C6A">
        <w:rPr>
          <w:i/>
          <w:iCs/>
        </w:rPr>
        <w:t>How do these barriers affect the operational efficiency of SMEs?</w:t>
      </w:r>
    </w:p>
    <w:p w:rsidR="00BF6D78" w:rsidRDefault="004F7062" w:rsidP="007B2318">
      <w:pPr>
        <w:pStyle w:val="Heading3"/>
      </w:pPr>
      <w:bookmarkStart w:id="99" w:name="_Toc220873963"/>
      <w:r>
        <w:t>5.5</w:t>
      </w:r>
      <w:r w:rsidR="00BF6D78">
        <w:t>.1 efficiency effects at firm level</w:t>
      </w:r>
      <w:bookmarkEnd w:id="99"/>
    </w:p>
    <w:p w:rsidR="00342B82" w:rsidRDefault="00342B82" w:rsidP="00342B82">
      <w:pPr>
        <w:rPr>
          <w:b/>
        </w:rPr>
      </w:pPr>
      <w:r w:rsidRPr="00342B82">
        <w:t>This evidence suggests that operational efficiency is not limited by one delay point, but rather by a balancing effect of administrative lead-times, monitoring workload and iteration. With an average time of 49 days to receive an import licence and import clearance on top of that, businesses experience a long lead-time horizon that must be consumed by either ordering (or receiving) earlier or maintaining higher stock levels or relying on expedited procurement channels (</w:t>
      </w:r>
      <w:proofErr w:type="spellStart"/>
      <w:r w:rsidRPr="00342B82">
        <w:t>Khondaker</w:t>
      </w:r>
      <w:proofErr w:type="spellEnd"/>
      <w:r w:rsidRPr="00342B82">
        <w:t>, 2022). Repeated status checks and correction loops that are inherent to digitised workflows put more strain on the capacity in SMEs with generally lean administrative functions (DGDA, 2023). These pressures under an administrative burden perception result in the efficiency losses are hidden: staff time is diverted to documentation creation and re-submission, senior decision-makers are sucked into coordinating with the regulator: the reported 13.3% senior management time on regulatory requirements is thus operationally significant because it increases the cost of managerial attention to the planning, supplier management, and cash management (Petersen and Hansen, 2022). Practically, extended and less predictable licensing cycles can sluggish cash conversion cycle, increasing the time between paying suppliers and cash realisation of sales, putting more working-capital pressure even in the case of stable demand.</w:t>
      </w:r>
    </w:p>
    <w:p w:rsidR="00BF6D78" w:rsidRDefault="004F7062" w:rsidP="00BF6D78">
      <w:pPr>
        <w:pStyle w:val="Heading3"/>
      </w:pPr>
      <w:bookmarkStart w:id="100" w:name="_Toc220873964"/>
      <w:r>
        <w:t>5.5</w:t>
      </w:r>
      <w:r w:rsidR="00BF6D78">
        <w:t>.2 Systems-level consequences and “</w:t>
      </w:r>
      <w:proofErr w:type="spellStart"/>
      <w:r w:rsidR="00BF6D78">
        <w:t>spillovers</w:t>
      </w:r>
      <w:proofErr w:type="spellEnd"/>
      <w:r w:rsidR="00BF6D78">
        <w:t>”</w:t>
      </w:r>
      <w:bookmarkEnd w:id="100"/>
    </w:p>
    <w:p w:rsidR="00342B82" w:rsidRDefault="00342B82" w:rsidP="00342B82">
      <w:pPr>
        <w:rPr>
          <w:b/>
        </w:rPr>
      </w:pPr>
      <w:r w:rsidRPr="00342B82">
        <w:t>Its importance is not just limited to the firm since the market of medicines is susceptible to availability and sustainability of supply. The evidence in the world indicates that the shortage of drugs can be intensified by both the supply shock and the administrative frictions that influence the normal care provided to patients and stability in procurements (</w:t>
      </w:r>
      <w:proofErr w:type="spellStart"/>
      <w:r w:rsidRPr="00342B82">
        <w:t>Badreldin</w:t>
      </w:r>
      <w:proofErr w:type="spellEnd"/>
      <w:r w:rsidRPr="00342B82">
        <w:t xml:space="preserve"> and </w:t>
      </w:r>
      <w:proofErr w:type="spellStart"/>
      <w:r w:rsidRPr="00342B82">
        <w:t>Atallah</w:t>
      </w:r>
      <w:proofErr w:type="spellEnd"/>
      <w:r w:rsidRPr="00342B82">
        <w:t xml:space="preserve">, 2021). More recent synthesis efforts also conceptualize shortages as a repetitive issue of supply-chain governance supply chain bottlenecks, including delays and compliance bottlenecks may collaborate with procurement and distribution </w:t>
      </w:r>
      <w:r w:rsidRPr="00342B82">
        <w:lastRenderedPageBreak/>
        <w:t>weaknesses instead of acting independently (</w:t>
      </w:r>
      <w:proofErr w:type="spellStart"/>
      <w:r w:rsidRPr="00342B82">
        <w:t>Kanan</w:t>
      </w:r>
      <w:proofErr w:type="spellEnd"/>
      <w:r w:rsidRPr="00342B82">
        <w:t xml:space="preserve"> et al., 2025). Such </w:t>
      </w:r>
      <w:proofErr w:type="spellStart"/>
      <w:r w:rsidRPr="00342B82">
        <w:t>spillovers</w:t>
      </w:r>
      <w:proofErr w:type="spellEnd"/>
      <w:r w:rsidRPr="00342B82">
        <w:t xml:space="preserve"> are important in a controlled medicines landscape since SMEs frequently deal with niche goods or second-level delivery chains; in case the import cycles they participate in are slowing down or getting more unsafe, the resilience of the system can be impaired due to the lack of supplier diversity and slower responsiveness to replenishment (</w:t>
      </w:r>
      <w:proofErr w:type="spellStart"/>
      <w:r w:rsidRPr="00342B82">
        <w:t>Orubu</w:t>
      </w:r>
      <w:proofErr w:type="spellEnd"/>
      <w:r w:rsidRPr="00342B82">
        <w:t xml:space="preserve"> et al., 2022). This does not suggest that licensing delays are causally related to shortages, but it elucidates the importance of firm-level inefficiency to pharmaceutical policy: any small induced shock can lead to more significant risks of access.</w:t>
      </w:r>
    </w:p>
    <w:p w:rsidR="00BF6D78" w:rsidRDefault="004F7062" w:rsidP="00BF6D78">
      <w:pPr>
        <w:pStyle w:val="Heading3"/>
      </w:pPr>
      <w:bookmarkStart w:id="101" w:name="_Toc220873965"/>
      <w:r>
        <w:t>5.5</w:t>
      </w:r>
      <w:r w:rsidR="00BF6D78">
        <w:t>.3 Critical evaluation of evidence strength</w:t>
      </w:r>
      <w:bookmarkEnd w:id="101"/>
    </w:p>
    <w:p w:rsidR="00342B82" w:rsidRDefault="00342B82" w:rsidP="00342B82">
      <w:pPr>
        <w:rPr>
          <w:b/>
          <w:bCs/>
          <w:i/>
          <w:iCs/>
        </w:rPr>
      </w:pPr>
      <w:r w:rsidRPr="00342B82">
        <w:t>The interpretation has the strongest interpretation when the evidence of documentary and survey is combined: licensing time exposure, compliance-time benchmark, and workflow features are credible as a cause of why an administrative process can become turned into a measurable capacity diversion (World Bank, 2020; World Bank, 2022). Evidence is less strong in estimating SME-specific financial amounts (e.g. actual staff-hours or cash-flow expenditures), since documentary designs do not often look inward through internal accounting. Other explanations are also still consistent such as variations in firm capability (specialist staffing), informality and documentation readiness and market power in going through procedures- so the discussion considers downstream efficiency consequences to be a mechanism-based inferences and not a causal evidence.</w:t>
      </w:r>
    </w:p>
    <w:p w:rsidR="00B56633" w:rsidRDefault="00B56633" w:rsidP="00B56633">
      <w:pPr>
        <w:pStyle w:val="Caption"/>
      </w:pPr>
      <w:bookmarkStart w:id="102" w:name="_Toc217469706"/>
      <w:r>
        <w:t xml:space="preserve">Table </w:t>
      </w:r>
      <w:r>
        <w:fldChar w:fldCharType="begin"/>
      </w:r>
      <w:r>
        <w:instrText xml:space="preserve"> SEQ Table \* ARABIC </w:instrText>
      </w:r>
      <w:r>
        <w:fldChar w:fldCharType="separate"/>
      </w:r>
      <w:r w:rsidR="00BB5D78">
        <w:rPr>
          <w:noProof/>
        </w:rPr>
        <w:t>9</w:t>
      </w:r>
      <w:r>
        <w:fldChar w:fldCharType="end"/>
      </w:r>
      <w:r>
        <w:rPr>
          <w:lang w:val="en-US"/>
        </w:rPr>
        <w:t xml:space="preserve">: </w:t>
      </w:r>
      <w:r w:rsidRPr="0012330E">
        <w:rPr>
          <w:lang w:val="en-US"/>
        </w:rPr>
        <w:t>SME Operational Efficiency Impact Pathway (Evidence-to-Effect Mapping)</w:t>
      </w:r>
      <w:bookmarkEnd w:id="102"/>
    </w:p>
    <w:tbl>
      <w:tblPr>
        <w:tblStyle w:val="GridTable1Light-Accent5"/>
        <w:tblW w:w="0" w:type="auto"/>
        <w:tblLook w:val="04A0" w:firstRow="1" w:lastRow="0" w:firstColumn="1" w:lastColumn="0" w:noHBand="0" w:noVBand="1"/>
      </w:tblPr>
      <w:tblGrid>
        <w:gridCol w:w="2296"/>
        <w:gridCol w:w="1651"/>
        <w:gridCol w:w="1870"/>
        <w:gridCol w:w="2210"/>
        <w:gridCol w:w="1323"/>
      </w:tblGrid>
      <w:tr w:rsidR="00BF6D78" w:rsidTr="00B566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F6D78" w:rsidRDefault="00BF6D78" w:rsidP="00B56633">
            <w:r>
              <w:rPr>
                <w:b w:val="0"/>
                <w:bCs w:val="0"/>
              </w:rPr>
              <w:t>Evidence item (quant/</w:t>
            </w:r>
            <w:proofErr w:type="spellStart"/>
            <w:r>
              <w:rPr>
                <w:b w:val="0"/>
                <w:bCs w:val="0"/>
              </w:rPr>
              <w:t>qual</w:t>
            </w:r>
            <w:proofErr w:type="spellEnd"/>
            <w:r>
              <w:rPr>
                <w:b w:val="0"/>
                <w:bCs w:val="0"/>
              </w:rPr>
              <w:t>)</w:t>
            </w:r>
          </w:p>
        </w:tc>
        <w:tc>
          <w:tcPr>
            <w:tcW w:w="0" w:type="auto"/>
            <w:hideMark/>
          </w:tcPr>
          <w:p w:rsidR="00BF6D78" w:rsidRDefault="00BF6D78" w:rsidP="00B56633">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Immediate operational effect</w:t>
            </w:r>
          </w:p>
        </w:tc>
        <w:tc>
          <w:tcPr>
            <w:tcW w:w="0" w:type="auto"/>
            <w:hideMark/>
          </w:tcPr>
          <w:p w:rsidR="00BF6D78" w:rsidRDefault="00BF6D78" w:rsidP="00B56633">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Likely downstream efficiency consequence</w:t>
            </w:r>
          </w:p>
        </w:tc>
        <w:tc>
          <w:tcPr>
            <w:tcW w:w="0" w:type="auto"/>
            <w:hideMark/>
          </w:tcPr>
          <w:p w:rsidR="00BF6D78" w:rsidRDefault="00BF6D78" w:rsidP="00B56633">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Where it is evidenced (document type)</w:t>
            </w:r>
          </w:p>
        </w:tc>
        <w:tc>
          <w:tcPr>
            <w:tcW w:w="0" w:type="auto"/>
            <w:hideMark/>
          </w:tcPr>
          <w:p w:rsidR="00BF6D78" w:rsidRDefault="00BF6D78" w:rsidP="00B56633">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Confidence note</w:t>
            </w:r>
          </w:p>
        </w:tc>
      </w:tr>
      <w:tr w:rsidR="00BF6D78" w:rsidTr="00B56633">
        <w:tc>
          <w:tcPr>
            <w:cnfStyle w:val="001000000000" w:firstRow="0" w:lastRow="0" w:firstColumn="1" w:lastColumn="0" w:oddVBand="0" w:evenVBand="0" w:oddHBand="0" w:evenHBand="0" w:firstRowFirstColumn="0" w:firstRowLastColumn="0" w:lastRowFirstColumn="0" w:lastRowLastColumn="0"/>
            <w:tcW w:w="0" w:type="auto"/>
            <w:hideMark/>
          </w:tcPr>
          <w:p w:rsidR="00BF6D78" w:rsidRDefault="00BF6D78" w:rsidP="00B56633">
            <w:pPr>
              <w:rPr>
                <w:b w:val="0"/>
                <w:bCs w:val="0"/>
              </w:rPr>
            </w:pPr>
            <w:r>
              <w:t>~49 days to obtain an import licence (World Bank, 2022)</w:t>
            </w:r>
          </w:p>
        </w:tc>
        <w:tc>
          <w:tcPr>
            <w:tcW w:w="0" w:type="auto"/>
            <w:hideMark/>
          </w:tcPr>
          <w:p w:rsidR="00BF6D78" w:rsidRDefault="00BF6D78" w:rsidP="00B56633">
            <w:pPr>
              <w:cnfStyle w:val="000000000000" w:firstRow="0" w:lastRow="0" w:firstColumn="0" w:lastColumn="0" w:oddVBand="0" w:evenVBand="0" w:oddHBand="0" w:evenHBand="0" w:firstRowFirstColumn="0" w:firstRowLastColumn="0" w:lastRowFirstColumn="0" w:lastRowLastColumn="0"/>
            </w:pPr>
            <w:r>
              <w:t xml:space="preserve">Extended administrative </w:t>
            </w:r>
            <w:r w:rsidRPr="00CA0114">
              <w:rPr>
                <w:rStyle w:val="Strong"/>
                <w:b w:val="0"/>
                <w:bCs w:val="0"/>
              </w:rPr>
              <w:t>lead-time</w:t>
            </w:r>
          </w:p>
        </w:tc>
        <w:tc>
          <w:tcPr>
            <w:tcW w:w="0" w:type="auto"/>
            <w:hideMark/>
          </w:tcPr>
          <w:p w:rsidR="00BF6D78" w:rsidRDefault="00BF6D78" w:rsidP="00B56633">
            <w:pPr>
              <w:cnfStyle w:val="000000000000" w:firstRow="0" w:lastRow="0" w:firstColumn="0" w:lastColumn="0" w:oddVBand="0" w:evenVBand="0" w:oddHBand="0" w:evenHBand="0" w:firstRowFirstColumn="0" w:firstRowLastColumn="0" w:lastRowFirstColumn="0" w:lastRowLastColumn="0"/>
            </w:pPr>
            <w:r>
              <w:t xml:space="preserve">Higher inventory buffers, slower </w:t>
            </w:r>
            <w:r w:rsidRPr="00CA0114">
              <w:rPr>
                <w:rStyle w:val="Strong"/>
                <w:b w:val="0"/>
                <w:bCs w:val="0"/>
              </w:rPr>
              <w:t xml:space="preserve">cash </w:t>
            </w:r>
            <w:r w:rsidRPr="00CA0114">
              <w:rPr>
                <w:rStyle w:val="Strong"/>
                <w:b w:val="0"/>
                <w:bCs w:val="0"/>
              </w:rPr>
              <w:lastRenderedPageBreak/>
              <w:t>conversion cycle</w:t>
            </w:r>
          </w:p>
        </w:tc>
        <w:tc>
          <w:tcPr>
            <w:tcW w:w="0" w:type="auto"/>
            <w:hideMark/>
          </w:tcPr>
          <w:p w:rsidR="00BF6D78" w:rsidRDefault="00BF6D78" w:rsidP="00B56633">
            <w:pPr>
              <w:cnfStyle w:val="000000000000" w:firstRow="0" w:lastRow="0" w:firstColumn="0" w:lastColumn="0" w:oddVBand="0" w:evenVBand="0" w:oddHBand="0" w:evenHBand="0" w:firstRowFirstColumn="0" w:firstRowLastColumn="0" w:lastRowFirstColumn="0" w:lastRowLastColumn="0"/>
            </w:pPr>
            <w:r>
              <w:lastRenderedPageBreak/>
              <w:t>Survey statistics</w:t>
            </w:r>
          </w:p>
        </w:tc>
        <w:tc>
          <w:tcPr>
            <w:tcW w:w="0" w:type="auto"/>
            <w:hideMark/>
          </w:tcPr>
          <w:p w:rsidR="00BF6D78" w:rsidRDefault="00BF6D78" w:rsidP="00B56633">
            <w:pPr>
              <w:cnfStyle w:val="000000000000" w:firstRow="0" w:lastRow="0" w:firstColumn="0" w:lastColumn="0" w:oddVBand="0" w:evenVBand="0" w:oddHBand="0" w:evenHBand="0" w:firstRowFirstColumn="0" w:firstRowLastColumn="0" w:lastRowFirstColumn="0" w:lastRowLastColumn="0"/>
            </w:pPr>
            <w:r>
              <w:t>High</w:t>
            </w:r>
          </w:p>
        </w:tc>
      </w:tr>
      <w:tr w:rsidR="00BF6D78" w:rsidTr="00B56633">
        <w:tc>
          <w:tcPr>
            <w:cnfStyle w:val="001000000000" w:firstRow="0" w:lastRow="0" w:firstColumn="1" w:lastColumn="0" w:oddVBand="0" w:evenVBand="0" w:oddHBand="0" w:evenHBand="0" w:firstRowFirstColumn="0" w:firstRowLastColumn="0" w:lastRowFirstColumn="0" w:lastRowLastColumn="0"/>
            <w:tcW w:w="0" w:type="auto"/>
            <w:hideMark/>
          </w:tcPr>
          <w:p w:rsidR="00BF6D78" w:rsidRDefault="00BF6D78" w:rsidP="00B56633">
            <w:r>
              <w:lastRenderedPageBreak/>
              <w:t>13.3% senior management time on regulatory requirements (</w:t>
            </w:r>
            <w:proofErr w:type="spellStart"/>
            <w:r>
              <w:t>Khondaker</w:t>
            </w:r>
            <w:proofErr w:type="spellEnd"/>
            <w:r>
              <w:t>, 2022)</w:t>
            </w:r>
          </w:p>
        </w:tc>
        <w:tc>
          <w:tcPr>
            <w:tcW w:w="0" w:type="auto"/>
            <w:hideMark/>
          </w:tcPr>
          <w:p w:rsidR="00BF6D78" w:rsidRDefault="00BF6D78" w:rsidP="00B56633">
            <w:pPr>
              <w:cnfStyle w:val="000000000000" w:firstRow="0" w:lastRow="0" w:firstColumn="0" w:lastColumn="0" w:oddVBand="0" w:evenVBand="0" w:oddHBand="0" w:evenHBand="0" w:firstRowFirstColumn="0" w:firstRowLastColumn="0" w:lastRowFirstColumn="0" w:lastRowLastColumn="0"/>
            </w:pPr>
            <w:r>
              <w:t>Managerial attention diverted to compliance coordination</w:t>
            </w:r>
          </w:p>
        </w:tc>
        <w:tc>
          <w:tcPr>
            <w:tcW w:w="0" w:type="auto"/>
            <w:hideMark/>
          </w:tcPr>
          <w:p w:rsidR="00BF6D78" w:rsidRDefault="00BF6D78" w:rsidP="00B56633">
            <w:pPr>
              <w:cnfStyle w:val="000000000000" w:firstRow="0" w:lastRow="0" w:firstColumn="0" w:lastColumn="0" w:oddVBand="0" w:evenVBand="0" w:oddHBand="0" w:evenHBand="0" w:firstRowFirstColumn="0" w:firstRowLastColumn="0" w:lastRowFirstColumn="0" w:lastRowLastColumn="0"/>
            </w:pPr>
            <w:r>
              <w:t>Reduced planning/supplier negotiation bandwidth</w:t>
            </w:r>
          </w:p>
        </w:tc>
        <w:tc>
          <w:tcPr>
            <w:tcW w:w="0" w:type="auto"/>
            <w:hideMark/>
          </w:tcPr>
          <w:p w:rsidR="00BF6D78" w:rsidRDefault="00BF6D78" w:rsidP="00B56633">
            <w:pPr>
              <w:cnfStyle w:val="000000000000" w:firstRow="0" w:lastRow="0" w:firstColumn="0" w:lastColumn="0" w:oddVBand="0" w:evenVBand="0" w:oddHBand="0" w:evenHBand="0" w:firstRowFirstColumn="0" w:firstRowLastColumn="0" w:lastRowFirstColumn="0" w:lastRowLastColumn="0"/>
            </w:pPr>
            <w:r>
              <w:t>Survey-based study</w:t>
            </w:r>
          </w:p>
        </w:tc>
        <w:tc>
          <w:tcPr>
            <w:tcW w:w="0" w:type="auto"/>
            <w:hideMark/>
          </w:tcPr>
          <w:p w:rsidR="00BF6D78" w:rsidRDefault="00BF6D78" w:rsidP="00B56633">
            <w:pPr>
              <w:cnfStyle w:val="000000000000" w:firstRow="0" w:lastRow="0" w:firstColumn="0" w:lastColumn="0" w:oddVBand="0" w:evenVBand="0" w:oddHBand="0" w:evenHBand="0" w:firstRowFirstColumn="0" w:firstRowLastColumn="0" w:lastRowFirstColumn="0" w:lastRowLastColumn="0"/>
            </w:pPr>
            <w:r>
              <w:t>High</w:t>
            </w:r>
          </w:p>
        </w:tc>
      </w:tr>
      <w:tr w:rsidR="00BF6D78" w:rsidTr="00B56633">
        <w:tc>
          <w:tcPr>
            <w:cnfStyle w:val="001000000000" w:firstRow="0" w:lastRow="0" w:firstColumn="1" w:lastColumn="0" w:oddVBand="0" w:evenVBand="0" w:oddHBand="0" w:evenHBand="0" w:firstRowFirstColumn="0" w:firstRowLastColumn="0" w:lastRowFirstColumn="0" w:lastRowLastColumn="0"/>
            <w:tcW w:w="0" w:type="auto"/>
            <w:hideMark/>
          </w:tcPr>
          <w:p w:rsidR="00BF6D78" w:rsidRDefault="00BF6D78" w:rsidP="00B56633">
            <w:r>
              <w:t>Import documentary and border compliance time/cost benchmarks (World Bank, 2020)</w:t>
            </w:r>
          </w:p>
        </w:tc>
        <w:tc>
          <w:tcPr>
            <w:tcW w:w="0" w:type="auto"/>
            <w:hideMark/>
          </w:tcPr>
          <w:p w:rsidR="00BF6D78" w:rsidRDefault="00BF6D78" w:rsidP="00B56633">
            <w:pPr>
              <w:cnfStyle w:val="000000000000" w:firstRow="0" w:lastRow="0" w:firstColumn="0" w:lastColumn="0" w:oddVBand="0" w:evenVBand="0" w:oddHBand="0" w:evenHBand="0" w:firstRowFirstColumn="0" w:firstRowLastColumn="0" w:lastRowFirstColumn="0" w:lastRowLastColumn="0"/>
            </w:pPr>
            <w:r>
              <w:t>High documentation effort and clearance workload</w:t>
            </w:r>
          </w:p>
        </w:tc>
        <w:tc>
          <w:tcPr>
            <w:tcW w:w="0" w:type="auto"/>
            <w:hideMark/>
          </w:tcPr>
          <w:p w:rsidR="00BF6D78" w:rsidRDefault="00BF6D78" w:rsidP="00B56633">
            <w:pPr>
              <w:cnfStyle w:val="000000000000" w:firstRow="0" w:lastRow="0" w:firstColumn="0" w:lastColumn="0" w:oddVBand="0" w:evenVBand="0" w:oddHBand="0" w:evenHBand="0" w:firstRowFirstColumn="0" w:firstRowLastColumn="0" w:lastRowFirstColumn="0" w:lastRowLastColumn="0"/>
            </w:pPr>
            <w:r>
              <w:t>Increased administrative overhead per shipment</w:t>
            </w:r>
          </w:p>
        </w:tc>
        <w:tc>
          <w:tcPr>
            <w:tcW w:w="0" w:type="auto"/>
            <w:hideMark/>
          </w:tcPr>
          <w:p w:rsidR="00BF6D78" w:rsidRDefault="00BF6D78" w:rsidP="00B56633">
            <w:pPr>
              <w:cnfStyle w:val="000000000000" w:firstRow="0" w:lastRow="0" w:firstColumn="0" w:lastColumn="0" w:oddVBand="0" w:evenVBand="0" w:oddHBand="0" w:evenHBand="0" w:firstRowFirstColumn="0" w:firstRowLastColumn="0" w:lastRowFirstColumn="0" w:lastRowLastColumn="0"/>
            </w:pPr>
            <w:r>
              <w:t>International benchmark indicators</w:t>
            </w:r>
          </w:p>
        </w:tc>
        <w:tc>
          <w:tcPr>
            <w:tcW w:w="0" w:type="auto"/>
            <w:hideMark/>
          </w:tcPr>
          <w:p w:rsidR="00BF6D78" w:rsidRDefault="00BF6D78" w:rsidP="00B56633">
            <w:pPr>
              <w:cnfStyle w:val="000000000000" w:firstRow="0" w:lastRow="0" w:firstColumn="0" w:lastColumn="0" w:oddVBand="0" w:evenVBand="0" w:oddHBand="0" w:evenHBand="0" w:firstRowFirstColumn="0" w:firstRowLastColumn="0" w:lastRowFirstColumn="0" w:lastRowLastColumn="0"/>
            </w:pPr>
            <w:r>
              <w:t>Medium</w:t>
            </w:r>
          </w:p>
        </w:tc>
      </w:tr>
      <w:tr w:rsidR="00BF6D78" w:rsidTr="00B56633">
        <w:tc>
          <w:tcPr>
            <w:cnfStyle w:val="001000000000" w:firstRow="0" w:lastRow="0" w:firstColumn="1" w:lastColumn="0" w:oddVBand="0" w:evenVBand="0" w:oddHBand="0" w:evenHBand="0" w:firstRowFirstColumn="0" w:firstRowLastColumn="0" w:lastRowFirstColumn="0" w:lastRowLastColumn="0"/>
            <w:tcW w:w="0" w:type="auto"/>
            <w:hideMark/>
          </w:tcPr>
          <w:p w:rsidR="00BF6D78" w:rsidRDefault="00BF6D78" w:rsidP="00B56633">
            <w:r>
              <w:t>Digitised workflow steps with query/resubmission logic (DGDA, 2023)</w:t>
            </w:r>
          </w:p>
        </w:tc>
        <w:tc>
          <w:tcPr>
            <w:tcW w:w="0" w:type="auto"/>
            <w:hideMark/>
          </w:tcPr>
          <w:p w:rsidR="00BF6D78" w:rsidRDefault="00BF6D78" w:rsidP="00B56633">
            <w:pPr>
              <w:cnfStyle w:val="000000000000" w:firstRow="0" w:lastRow="0" w:firstColumn="0" w:lastColumn="0" w:oddVBand="0" w:evenVBand="0" w:oddHBand="0" w:evenHBand="0" w:firstRowFirstColumn="0" w:firstRowLastColumn="0" w:lastRowFirstColumn="0" w:lastRowLastColumn="0"/>
            </w:pPr>
            <w:r w:rsidRPr="00CA0114">
              <w:rPr>
                <w:rStyle w:val="Strong"/>
                <w:b w:val="0"/>
                <w:bCs w:val="0"/>
              </w:rPr>
              <w:t>Iteration</w:t>
            </w:r>
            <w:r>
              <w:t xml:space="preserve"> and monitoring workload</w:t>
            </w:r>
          </w:p>
        </w:tc>
        <w:tc>
          <w:tcPr>
            <w:tcW w:w="0" w:type="auto"/>
            <w:hideMark/>
          </w:tcPr>
          <w:p w:rsidR="00BF6D78" w:rsidRDefault="00BF6D78" w:rsidP="00B56633">
            <w:pPr>
              <w:cnfStyle w:val="000000000000" w:firstRow="0" w:lastRow="0" w:firstColumn="0" w:lastColumn="0" w:oddVBand="0" w:evenVBand="0" w:oddHBand="0" w:evenHBand="0" w:firstRowFirstColumn="0" w:firstRowLastColumn="0" w:lastRowFirstColumn="0" w:lastRowLastColumn="0"/>
            </w:pPr>
            <w:r>
              <w:t>Rework cycles, schedule volatility</w:t>
            </w:r>
          </w:p>
        </w:tc>
        <w:tc>
          <w:tcPr>
            <w:tcW w:w="0" w:type="auto"/>
            <w:hideMark/>
          </w:tcPr>
          <w:p w:rsidR="00BF6D78" w:rsidRDefault="00BF6D78" w:rsidP="00B56633">
            <w:pPr>
              <w:cnfStyle w:val="000000000000" w:firstRow="0" w:lastRow="0" w:firstColumn="0" w:lastColumn="0" w:oddVBand="0" w:evenVBand="0" w:oddHBand="0" w:evenHBand="0" w:firstRowFirstColumn="0" w:firstRowLastColumn="0" w:lastRowFirstColumn="0" w:lastRowLastColumn="0"/>
            </w:pPr>
            <w:r>
              <w:t>Workflow/procedural manuals</w:t>
            </w:r>
          </w:p>
        </w:tc>
        <w:tc>
          <w:tcPr>
            <w:tcW w:w="0" w:type="auto"/>
            <w:hideMark/>
          </w:tcPr>
          <w:p w:rsidR="00BF6D78" w:rsidRDefault="00BF6D78" w:rsidP="00B56633">
            <w:pPr>
              <w:cnfStyle w:val="000000000000" w:firstRow="0" w:lastRow="0" w:firstColumn="0" w:lastColumn="0" w:oddVBand="0" w:evenVBand="0" w:oddHBand="0" w:evenHBand="0" w:firstRowFirstColumn="0" w:firstRowLastColumn="0" w:lastRowFirstColumn="0" w:lastRowLastColumn="0"/>
            </w:pPr>
            <w:r>
              <w:t>Medium</w:t>
            </w:r>
          </w:p>
        </w:tc>
      </w:tr>
      <w:tr w:rsidR="00BF6D78" w:rsidTr="00B56633">
        <w:tc>
          <w:tcPr>
            <w:cnfStyle w:val="001000000000" w:firstRow="0" w:lastRow="0" w:firstColumn="1" w:lastColumn="0" w:oddVBand="0" w:evenVBand="0" w:oddHBand="0" w:evenHBand="0" w:firstRowFirstColumn="0" w:firstRowLastColumn="0" w:lastRowFirstColumn="0" w:lastRowLastColumn="0"/>
            <w:tcW w:w="0" w:type="auto"/>
            <w:hideMark/>
          </w:tcPr>
          <w:p w:rsidR="00BF6D78" w:rsidRDefault="00BF6D78" w:rsidP="00B56633">
            <w:r>
              <w:t xml:space="preserve">Drug shortages framed as systemic supply-chain risk </w:t>
            </w:r>
            <w:r w:rsidR="00B56633" w:rsidRPr="00B56633">
              <w:t>(</w:t>
            </w:r>
            <w:proofErr w:type="spellStart"/>
            <w:r w:rsidR="00B56633" w:rsidRPr="00B56633">
              <w:t>Kanan</w:t>
            </w:r>
            <w:proofErr w:type="spellEnd"/>
            <w:r w:rsidR="00B56633" w:rsidRPr="00B56633">
              <w:t xml:space="preserve"> et al., 2025)</w:t>
            </w:r>
          </w:p>
        </w:tc>
        <w:tc>
          <w:tcPr>
            <w:tcW w:w="0" w:type="auto"/>
            <w:hideMark/>
          </w:tcPr>
          <w:p w:rsidR="00BF6D78" w:rsidRDefault="00BF6D78" w:rsidP="00B56633">
            <w:pPr>
              <w:cnfStyle w:val="000000000000" w:firstRow="0" w:lastRow="0" w:firstColumn="0" w:lastColumn="0" w:oddVBand="0" w:evenVBand="0" w:oddHBand="0" w:evenHBand="0" w:firstRowFirstColumn="0" w:firstRowLastColumn="0" w:lastRowFirstColumn="0" w:lastRowLastColumn="0"/>
            </w:pPr>
            <w:r>
              <w:t>Procurement instability under shock/friction</w:t>
            </w:r>
          </w:p>
        </w:tc>
        <w:tc>
          <w:tcPr>
            <w:tcW w:w="0" w:type="auto"/>
            <w:hideMark/>
          </w:tcPr>
          <w:p w:rsidR="00BF6D78" w:rsidRDefault="00BF6D78" w:rsidP="00B56633">
            <w:pPr>
              <w:cnfStyle w:val="000000000000" w:firstRow="0" w:lastRow="0" w:firstColumn="0" w:lastColumn="0" w:oddVBand="0" w:evenVBand="0" w:oddHBand="0" w:evenHBand="0" w:firstRowFirstColumn="0" w:firstRowLastColumn="0" w:lastRowFirstColumn="0" w:lastRowLastColumn="0"/>
            </w:pPr>
            <w:r>
              <w:t>Potential access risks via reduced responsiveness</w:t>
            </w:r>
          </w:p>
        </w:tc>
        <w:tc>
          <w:tcPr>
            <w:tcW w:w="0" w:type="auto"/>
            <w:hideMark/>
          </w:tcPr>
          <w:p w:rsidR="00BF6D78" w:rsidRDefault="00BF6D78" w:rsidP="00B56633">
            <w:pPr>
              <w:cnfStyle w:val="000000000000" w:firstRow="0" w:lastRow="0" w:firstColumn="0" w:lastColumn="0" w:oddVBand="0" w:evenVBand="0" w:oddHBand="0" w:evenHBand="0" w:firstRowFirstColumn="0" w:firstRowLastColumn="0" w:lastRowFirstColumn="0" w:lastRowLastColumn="0"/>
            </w:pPr>
            <w:r>
              <w:t>Peer-reviewed literature (review/protocol)</w:t>
            </w:r>
          </w:p>
        </w:tc>
        <w:tc>
          <w:tcPr>
            <w:tcW w:w="0" w:type="auto"/>
            <w:hideMark/>
          </w:tcPr>
          <w:p w:rsidR="00BF6D78" w:rsidRDefault="00BF6D78" w:rsidP="00B56633">
            <w:pPr>
              <w:cnfStyle w:val="000000000000" w:firstRow="0" w:lastRow="0" w:firstColumn="0" w:lastColumn="0" w:oddVBand="0" w:evenVBand="0" w:oddHBand="0" w:evenHBand="0" w:firstRowFirstColumn="0" w:firstRowLastColumn="0" w:lastRowFirstColumn="0" w:lastRowLastColumn="0"/>
            </w:pPr>
            <w:r>
              <w:t>Medium</w:t>
            </w:r>
          </w:p>
        </w:tc>
      </w:tr>
    </w:tbl>
    <w:p w:rsidR="00FB2409" w:rsidRDefault="00FB2409" w:rsidP="00B56633"/>
    <w:p w:rsidR="00342B82" w:rsidRDefault="00342B82" w:rsidP="00342B82">
      <w:pPr>
        <w:rPr>
          <w:b/>
        </w:rPr>
      </w:pPr>
      <w:r w:rsidRPr="00342B82">
        <w:lastRenderedPageBreak/>
        <w:t>The table reinforces the argument in that every efficiency claim can be associated with a particular type of evidence, which minimizes the possibility of over-interpreting. Nonetheless, it also explains the limit of what is claimable: despite the fact that survey and benchmark indicators are used to support time-exposure and workload channels, the transformation of workload into specific SME cost totals is not observed but rather inferential due to the lack of observation of internal cost accounting. This is also effectively handled by regarding downstream effects (e.g. working-capital strain) as the theoretically motivated mechanisms in line with administrative burden logic, and not as the measured result of any particular procedure.</w:t>
      </w:r>
    </w:p>
    <w:p w:rsidR="00FB2409" w:rsidRDefault="004F7062" w:rsidP="00FB2409">
      <w:pPr>
        <w:pStyle w:val="Heading2"/>
      </w:pPr>
      <w:bookmarkStart w:id="103" w:name="_Toc220873966"/>
      <w:r>
        <w:t>5.6</w:t>
      </w:r>
      <w:r w:rsidR="00FB2409">
        <w:t xml:space="preserve"> Interpreting RQ3: What the documented reform direction implies</w:t>
      </w:r>
      <w:bookmarkEnd w:id="103"/>
    </w:p>
    <w:p w:rsidR="00DC0C6A" w:rsidRPr="00DC0C6A" w:rsidRDefault="00DC0C6A" w:rsidP="00DC0C6A">
      <w:r>
        <w:t>RQ3: What policy changes can be recommended to mitigate these barriers?</w:t>
      </w:r>
    </w:p>
    <w:p w:rsidR="00FB2409" w:rsidRDefault="004F7062" w:rsidP="00DA4C6E">
      <w:pPr>
        <w:pStyle w:val="Heading3"/>
      </w:pPr>
      <w:bookmarkStart w:id="104" w:name="_Toc220873967"/>
      <w:r>
        <w:t>5.6</w:t>
      </w:r>
      <w:r w:rsidR="00FB2409">
        <w:t>.1 Digitisation and standardisation as reform modalities</w:t>
      </w:r>
      <w:bookmarkEnd w:id="104"/>
    </w:p>
    <w:p w:rsidR="00203563" w:rsidRPr="00203563" w:rsidRDefault="00203563" w:rsidP="00203563">
      <w:r w:rsidRPr="00203563">
        <w:t>The recorded reform agenda of National Single Window and increased digital standardisation of workflows can be viewed as an effort to minimise the fragmentation that typically spurred administrative excess in the context of import-related permissions. One of the fundamental implications is an enhanced traceability: routing submissions, queries, payments, and approvals in one interface allows firms to gain a clearer understanding of progress and have less unnecessary uncertainty and redundant effort (</w:t>
      </w:r>
      <w:proofErr w:type="spellStart"/>
      <w:r w:rsidRPr="00203563">
        <w:t>Njatrijani</w:t>
      </w:r>
      <w:proofErr w:type="spellEnd"/>
      <w:r w:rsidRPr="00203563">
        <w:t xml:space="preserve">, </w:t>
      </w:r>
      <w:proofErr w:type="spellStart"/>
      <w:r w:rsidRPr="00203563">
        <w:t>Salsabila</w:t>
      </w:r>
      <w:proofErr w:type="spellEnd"/>
      <w:r w:rsidRPr="00203563">
        <w:t xml:space="preserve"> and </w:t>
      </w:r>
      <w:proofErr w:type="spellStart"/>
      <w:r w:rsidRPr="00203563">
        <w:t>Rahmanda</w:t>
      </w:r>
      <w:proofErr w:type="spellEnd"/>
      <w:r w:rsidRPr="00203563">
        <w:t>, 2022). Limited experience in similar National Single Window environments shows that relocating documentation to an electronic portal can transform import export processing into something more efficient and faster, although implementation frictions still exist.</w:t>
      </w:r>
    </w:p>
    <w:p w:rsidR="00203563" w:rsidRDefault="00203563" w:rsidP="00203563">
      <w:pPr>
        <w:rPr>
          <w:b/>
        </w:rPr>
      </w:pPr>
      <w:r w:rsidRPr="00203563">
        <w:t>Digitisation does not however make the underlying rules any simpler. The most plausible explanation is that digital systems have the potential to mitigate the paper-based redundancy and enhance standardisation of operations, although process redesign must be undertaken in parallelogram (</w:t>
      </w:r>
      <w:proofErr w:type="spellStart"/>
      <w:r w:rsidRPr="00203563">
        <w:t>Nowell</w:t>
      </w:r>
      <w:proofErr w:type="spellEnd"/>
      <w:r w:rsidRPr="00203563">
        <w:t xml:space="preserve"> et al., 2017). Otherwise, technology will run the risk of digitising complexity by translating the multi-step requirements in online forms. This is important to the SMEs since portal-based compliance transfers some of the burden on information-handling capability (understanding fields, providing evidence in the right form, </w:t>
      </w:r>
      <w:r w:rsidRPr="00203563">
        <w:lastRenderedPageBreak/>
        <w:t>responding to queries on time) which can enhance disadvantages in the setting where firms have limited regulatory capacity.</w:t>
      </w:r>
    </w:p>
    <w:p w:rsidR="00FB2409" w:rsidRDefault="004F7062" w:rsidP="00203563">
      <w:pPr>
        <w:pStyle w:val="Heading3"/>
      </w:pPr>
      <w:bookmarkStart w:id="105" w:name="_Toc220873968"/>
      <w:r>
        <w:t>5.6</w:t>
      </w:r>
      <w:r w:rsidR="00FB2409">
        <w:t>.2 GRP lens: Assessing reform “fit” against process-quality principles</w:t>
      </w:r>
      <w:bookmarkEnd w:id="105"/>
    </w:p>
    <w:p w:rsidR="006C3A1F" w:rsidRPr="006C3A1F" w:rsidRDefault="006C3A1F" w:rsidP="006C3A1F">
      <w:r w:rsidRPr="006C3A1F">
        <w:t>In terms of Good Regulatory Practices, the direction of reform should be interpreted as the trend towards enhanced transparency and greater procedural signalling, as it is promoted in better regulation agendas at the international level (</w:t>
      </w:r>
      <w:proofErr w:type="spellStart"/>
      <w:r w:rsidRPr="006C3A1F">
        <w:t>Nizeyimana</w:t>
      </w:r>
      <w:proofErr w:type="spellEnd"/>
      <w:r w:rsidRPr="006C3A1F">
        <w:t xml:space="preserve"> and Luc De </w:t>
      </w:r>
      <w:proofErr w:type="spellStart"/>
      <w:r w:rsidRPr="006C3A1F">
        <w:t>Wulf</w:t>
      </w:r>
      <w:proofErr w:type="spellEnd"/>
      <w:r w:rsidRPr="006C3A1F">
        <w:t>, 2015). Timeliness may also be facilitated by digitisation when it minimises handoffs through the manual system and defines the queues, but better timing is required through the control of the decision point, not the interface. In medicines regulation more generally, research on regulatory process enhancement emphasizes that predictable well-communicated processes are relevant to continuity and preventing unnecessary disruption.</w:t>
      </w:r>
    </w:p>
    <w:p w:rsidR="006C3A1F" w:rsidRDefault="006C3A1F" w:rsidP="006C3A1F">
      <w:pPr>
        <w:rPr>
          <w:b/>
          <w:bCs/>
          <w:i/>
          <w:iCs/>
        </w:rPr>
      </w:pPr>
      <w:r w:rsidRPr="006C3A1F">
        <w:t>The digital exclusion is a critical risk. When the access to the stable connectivity, skills, or trustable portals is not distributed equally, digitisation may increase the load instead of decreasing it. It has been empirically demonstrated that digital divide trends in e-government adoption indicate that unequal access to public services due to unequal digital potential can be reproduced, and this directly applies to SME facing compliance systems (</w:t>
      </w:r>
      <w:proofErr w:type="spellStart"/>
      <w:r w:rsidRPr="006C3A1F">
        <w:t>Botrić</w:t>
      </w:r>
      <w:proofErr w:type="spellEnd"/>
      <w:r w:rsidRPr="006C3A1F">
        <w:t xml:space="preserve"> and </w:t>
      </w:r>
      <w:proofErr w:type="spellStart"/>
      <w:r w:rsidRPr="006C3A1F">
        <w:t>Božica</w:t>
      </w:r>
      <w:proofErr w:type="spellEnd"/>
      <w:r w:rsidRPr="006C3A1F">
        <w:t>, 2021). This means that the use of GRP-fit is conditional: Reforms may lead to the enhancement of the quality of processes, but also new bottlenecks may emerge in case usability, support, and consistency of implementation are insufficient.</w:t>
      </w:r>
    </w:p>
    <w:p w:rsidR="00BB5D78" w:rsidRDefault="00BB5D78" w:rsidP="006C3A1F">
      <w:pPr>
        <w:pStyle w:val="Caption"/>
      </w:pPr>
      <w:bookmarkStart w:id="106" w:name="_Toc217469707"/>
      <w:r>
        <w:t xml:space="preserve">Table </w:t>
      </w:r>
      <w:r>
        <w:fldChar w:fldCharType="begin"/>
      </w:r>
      <w:r>
        <w:instrText xml:space="preserve"> SEQ Table \* ARABIC </w:instrText>
      </w:r>
      <w:r>
        <w:fldChar w:fldCharType="separate"/>
      </w:r>
      <w:r>
        <w:rPr>
          <w:noProof/>
        </w:rPr>
        <w:t>10</w:t>
      </w:r>
      <w:r>
        <w:fldChar w:fldCharType="end"/>
      </w:r>
      <w:r>
        <w:rPr>
          <w:lang w:val="en-US"/>
        </w:rPr>
        <w:t>:</w:t>
      </w:r>
      <w:r w:rsidRPr="00BC1CDB">
        <w:rPr>
          <w:lang w:val="en-US"/>
        </w:rPr>
        <w:t>GRP Diagnostic Table—Process Features vs GRP Principles</w:t>
      </w:r>
      <w:r w:rsidR="00E23A89">
        <w:rPr>
          <w:lang w:val="en-US"/>
        </w:rPr>
        <w:t xml:space="preserve"> </w:t>
      </w:r>
      <w:r w:rsidR="00E23A89" w:rsidRPr="00E23A89">
        <w:rPr>
          <w:lang w:val="en-US"/>
        </w:rPr>
        <w:t>(</w:t>
      </w:r>
      <w:proofErr w:type="spellStart"/>
      <w:r w:rsidR="00E23A89" w:rsidRPr="00E23A89">
        <w:rPr>
          <w:lang w:val="en-US"/>
        </w:rPr>
        <w:t>Njatrijani</w:t>
      </w:r>
      <w:proofErr w:type="spellEnd"/>
      <w:r w:rsidR="00E23A89" w:rsidRPr="00E23A89">
        <w:rPr>
          <w:lang w:val="en-US"/>
        </w:rPr>
        <w:t xml:space="preserve">, </w:t>
      </w:r>
      <w:proofErr w:type="spellStart"/>
      <w:r w:rsidR="00E23A89" w:rsidRPr="00E23A89">
        <w:rPr>
          <w:lang w:val="en-US"/>
        </w:rPr>
        <w:t>Salsabila</w:t>
      </w:r>
      <w:proofErr w:type="spellEnd"/>
      <w:r w:rsidR="00E23A89" w:rsidRPr="00E23A89">
        <w:rPr>
          <w:lang w:val="en-US"/>
        </w:rPr>
        <w:t xml:space="preserve"> and </w:t>
      </w:r>
      <w:proofErr w:type="spellStart"/>
      <w:r w:rsidR="00E23A89" w:rsidRPr="00E23A89">
        <w:rPr>
          <w:lang w:val="en-US"/>
        </w:rPr>
        <w:t>Rahmanda</w:t>
      </w:r>
      <w:proofErr w:type="spellEnd"/>
      <w:r w:rsidR="00E23A89" w:rsidRPr="00E23A89">
        <w:rPr>
          <w:lang w:val="en-US"/>
        </w:rPr>
        <w:t>, 2022)</w:t>
      </w:r>
      <w:bookmarkEnd w:id="106"/>
    </w:p>
    <w:tbl>
      <w:tblPr>
        <w:tblStyle w:val="GridTable1Light-Accent5"/>
        <w:tblW w:w="0" w:type="auto"/>
        <w:tblLook w:val="04A0" w:firstRow="1" w:lastRow="0" w:firstColumn="1" w:lastColumn="0" w:noHBand="0" w:noVBand="1"/>
      </w:tblPr>
      <w:tblGrid>
        <w:gridCol w:w="1923"/>
        <w:gridCol w:w="2453"/>
        <w:gridCol w:w="2033"/>
        <w:gridCol w:w="2941"/>
      </w:tblGrid>
      <w:tr w:rsidR="00FB2409" w:rsidTr="00BB5D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B2409" w:rsidRDefault="00FB2409" w:rsidP="00BB5D78">
            <w:r>
              <w:rPr>
                <w:b w:val="0"/>
                <w:bCs w:val="0"/>
              </w:rPr>
              <w:t>GRP principle</w:t>
            </w:r>
          </w:p>
        </w:tc>
        <w:tc>
          <w:tcPr>
            <w:tcW w:w="0" w:type="auto"/>
            <w:hideMark/>
          </w:tcPr>
          <w:p w:rsidR="00FB2409" w:rsidRDefault="00FB2409" w:rsidP="00BB5D78">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Relevant process feature (documented reform direction)</w:t>
            </w:r>
          </w:p>
        </w:tc>
        <w:tc>
          <w:tcPr>
            <w:tcW w:w="0" w:type="auto"/>
            <w:hideMark/>
          </w:tcPr>
          <w:p w:rsidR="00FB2409" w:rsidRDefault="00FB2409" w:rsidP="00BB5D78">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How digitisation could improve</w:t>
            </w:r>
          </w:p>
        </w:tc>
        <w:tc>
          <w:tcPr>
            <w:tcW w:w="0" w:type="auto"/>
            <w:hideMark/>
          </w:tcPr>
          <w:p w:rsidR="00FB2409" w:rsidRDefault="00FB2409" w:rsidP="00BB5D78">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What could still fail</w:t>
            </w:r>
          </w:p>
        </w:tc>
      </w:tr>
      <w:tr w:rsidR="00FB2409" w:rsidTr="00BB5D78">
        <w:tc>
          <w:tcPr>
            <w:cnfStyle w:val="001000000000" w:firstRow="0" w:lastRow="0" w:firstColumn="1" w:lastColumn="0" w:oddVBand="0" w:evenVBand="0" w:oddHBand="0" w:evenHBand="0" w:firstRowFirstColumn="0" w:firstRowLastColumn="0" w:lastRowFirstColumn="0" w:lastRowLastColumn="0"/>
            <w:tcW w:w="0" w:type="auto"/>
            <w:hideMark/>
          </w:tcPr>
          <w:p w:rsidR="00FB2409" w:rsidRDefault="00FB2409" w:rsidP="00BB5D78">
            <w:pPr>
              <w:rPr>
                <w:b w:val="0"/>
                <w:bCs w:val="0"/>
              </w:rPr>
            </w:pPr>
            <w:r>
              <w:t>Transparency</w:t>
            </w:r>
          </w:p>
        </w:tc>
        <w:tc>
          <w:tcPr>
            <w:tcW w:w="0" w:type="auto"/>
            <w:hideMark/>
          </w:tcPr>
          <w:p w:rsidR="00FB2409" w:rsidRDefault="00FB2409" w:rsidP="00BB5D78">
            <w:pPr>
              <w:cnfStyle w:val="000000000000" w:firstRow="0" w:lastRow="0" w:firstColumn="0" w:lastColumn="0" w:oddVBand="0" w:evenVBand="0" w:oddHBand="0" w:evenHBand="0" w:firstRowFirstColumn="0" w:firstRowLastColumn="0" w:lastRowFirstColumn="0" w:lastRowLastColumn="0"/>
            </w:pPr>
            <w:r>
              <w:t>Central portal, trackable statuses</w:t>
            </w:r>
          </w:p>
        </w:tc>
        <w:tc>
          <w:tcPr>
            <w:tcW w:w="0" w:type="auto"/>
            <w:hideMark/>
          </w:tcPr>
          <w:p w:rsidR="00FB2409" w:rsidRDefault="00FB2409" w:rsidP="00BB5D78">
            <w:pPr>
              <w:cnfStyle w:val="000000000000" w:firstRow="0" w:lastRow="0" w:firstColumn="0" w:lastColumn="0" w:oddVBand="0" w:evenVBand="0" w:oddHBand="0" w:evenHBand="0" w:firstRowFirstColumn="0" w:firstRowLastColumn="0" w:lastRowFirstColumn="0" w:lastRowLastColumn="0"/>
            </w:pPr>
            <w:r>
              <w:t>Clearer visibility of steps/queues</w:t>
            </w:r>
          </w:p>
        </w:tc>
        <w:tc>
          <w:tcPr>
            <w:tcW w:w="0" w:type="auto"/>
            <w:hideMark/>
          </w:tcPr>
          <w:p w:rsidR="00FB2409" w:rsidRDefault="00FB2409" w:rsidP="00BB5D78">
            <w:pPr>
              <w:cnfStyle w:val="000000000000" w:firstRow="0" w:lastRow="0" w:firstColumn="0" w:lastColumn="0" w:oddVBand="0" w:evenVBand="0" w:oddHBand="0" w:evenHBand="0" w:firstRowFirstColumn="0" w:firstRowLastColumn="0" w:lastRowFirstColumn="0" w:lastRowLastColumn="0"/>
            </w:pPr>
            <w:r>
              <w:t>“Black-box” decision points remain opaque</w:t>
            </w:r>
          </w:p>
        </w:tc>
      </w:tr>
      <w:tr w:rsidR="00FB2409" w:rsidTr="00BB5D78">
        <w:tc>
          <w:tcPr>
            <w:cnfStyle w:val="001000000000" w:firstRow="0" w:lastRow="0" w:firstColumn="1" w:lastColumn="0" w:oddVBand="0" w:evenVBand="0" w:oddHBand="0" w:evenHBand="0" w:firstRowFirstColumn="0" w:firstRowLastColumn="0" w:lastRowFirstColumn="0" w:lastRowLastColumn="0"/>
            <w:tcW w:w="0" w:type="auto"/>
            <w:hideMark/>
          </w:tcPr>
          <w:p w:rsidR="00FB2409" w:rsidRDefault="00FB2409" w:rsidP="00BB5D78">
            <w:r>
              <w:lastRenderedPageBreak/>
              <w:t>Consistency</w:t>
            </w:r>
          </w:p>
        </w:tc>
        <w:tc>
          <w:tcPr>
            <w:tcW w:w="0" w:type="auto"/>
            <w:hideMark/>
          </w:tcPr>
          <w:p w:rsidR="00FB2409" w:rsidRDefault="00FB2409" w:rsidP="00BB5D78">
            <w:pPr>
              <w:cnfStyle w:val="000000000000" w:firstRow="0" w:lastRow="0" w:firstColumn="0" w:lastColumn="0" w:oddVBand="0" w:evenVBand="0" w:oddHBand="0" w:evenHBand="0" w:firstRowFirstColumn="0" w:firstRowLastColumn="0" w:lastRowFirstColumn="0" w:lastRowLastColumn="0"/>
            </w:pPr>
            <w:r>
              <w:t>Standardised fields/forms</w:t>
            </w:r>
          </w:p>
        </w:tc>
        <w:tc>
          <w:tcPr>
            <w:tcW w:w="0" w:type="auto"/>
            <w:hideMark/>
          </w:tcPr>
          <w:p w:rsidR="00FB2409" w:rsidRDefault="00FB2409" w:rsidP="00BB5D78">
            <w:pPr>
              <w:cnfStyle w:val="000000000000" w:firstRow="0" w:lastRow="0" w:firstColumn="0" w:lastColumn="0" w:oddVBand="0" w:evenVBand="0" w:oddHBand="0" w:evenHBand="0" w:firstRowFirstColumn="0" w:firstRowLastColumn="0" w:lastRowFirstColumn="0" w:lastRowLastColumn="0"/>
            </w:pPr>
            <w:r>
              <w:t>Reduced variation in submissions</w:t>
            </w:r>
          </w:p>
        </w:tc>
        <w:tc>
          <w:tcPr>
            <w:tcW w:w="0" w:type="auto"/>
            <w:hideMark/>
          </w:tcPr>
          <w:p w:rsidR="00FB2409" w:rsidRDefault="00FB2409" w:rsidP="00BB5D78">
            <w:pPr>
              <w:cnfStyle w:val="000000000000" w:firstRow="0" w:lastRow="0" w:firstColumn="0" w:lastColumn="0" w:oddVBand="0" w:evenVBand="0" w:oddHBand="0" w:evenHBand="0" w:firstRowFirstColumn="0" w:firstRowLastColumn="0" w:lastRowFirstColumn="0" w:lastRowLastColumn="0"/>
            </w:pPr>
            <w:r>
              <w:t>Uneven staff practice across units persists</w:t>
            </w:r>
          </w:p>
        </w:tc>
      </w:tr>
      <w:tr w:rsidR="00FB2409" w:rsidTr="00BB5D78">
        <w:tc>
          <w:tcPr>
            <w:cnfStyle w:val="001000000000" w:firstRow="0" w:lastRow="0" w:firstColumn="1" w:lastColumn="0" w:oddVBand="0" w:evenVBand="0" w:oddHBand="0" w:evenHBand="0" w:firstRowFirstColumn="0" w:firstRowLastColumn="0" w:lastRowFirstColumn="0" w:lastRowLastColumn="0"/>
            <w:tcW w:w="0" w:type="auto"/>
            <w:hideMark/>
          </w:tcPr>
          <w:p w:rsidR="00FB2409" w:rsidRDefault="00FB2409" w:rsidP="00BB5D78">
            <w:r>
              <w:t>Proportionality</w:t>
            </w:r>
          </w:p>
        </w:tc>
        <w:tc>
          <w:tcPr>
            <w:tcW w:w="0" w:type="auto"/>
            <w:hideMark/>
          </w:tcPr>
          <w:p w:rsidR="00FB2409" w:rsidRDefault="00FB2409" w:rsidP="00BB5D78">
            <w:pPr>
              <w:cnfStyle w:val="000000000000" w:firstRow="0" w:lastRow="0" w:firstColumn="0" w:lastColumn="0" w:oddVBand="0" w:evenVBand="0" w:oddHBand="0" w:evenHBand="0" w:firstRowFirstColumn="0" w:firstRowLastColumn="0" w:lastRowFirstColumn="0" w:lastRowLastColumn="0"/>
            </w:pPr>
            <w:r>
              <w:t>Risk of uniform requirements</w:t>
            </w:r>
          </w:p>
        </w:tc>
        <w:tc>
          <w:tcPr>
            <w:tcW w:w="0" w:type="auto"/>
            <w:hideMark/>
          </w:tcPr>
          <w:p w:rsidR="00FB2409" w:rsidRDefault="00FB2409" w:rsidP="00BB5D78">
            <w:pPr>
              <w:cnfStyle w:val="000000000000" w:firstRow="0" w:lastRow="0" w:firstColumn="0" w:lastColumn="0" w:oddVBand="0" w:evenVBand="0" w:oddHBand="0" w:evenHBand="0" w:firstRowFirstColumn="0" w:firstRowLastColumn="0" w:lastRowFirstColumn="0" w:lastRowLastColumn="0"/>
            </w:pPr>
            <w:r>
              <w:t>Potential for risk-based routing</w:t>
            </w:r>
          </w:p>
        </w:tc>
        <w:tc>
          <w:tcPr>
            <w:tcW w:w="0" w:type="auto"/>
            <w:hideMark/>
          </w:tcPr>
          <w:p w:rsidR="00FB2409" w:rsidRDefault="00FB2409" w:rsidP="00BB5D78">
            <w:pPr>
              <w:cnfStyle w:val="000000000000" w:firstRow="0" w:lastRow="0" w:firstColumn="0" w:lastColumn="0" w:oddVBand="0" w:evenVBand="0" w:oddHBand="0" w:evenHBand="0" w:firstRowFirstColumn="0" w:firstRowLastColumn="0" w:lastRowFirstColumn="0" w:lastRowLastColumn="0"/>
            </w:pPr>
            <w:r>
              <w:t>Same evidence burden applied regardless of SME capacity</w:t>
            </w:r>
          </w:p>
        </w:tc>
      </w:tr>
      <w:tr w:rsidR="00FB2409" w:rsidTr="00BB5D78">
        <w:tc>
          <w:tcPr>
            <w:cnfStyle w:val="001000000000" w:firstRow="0" w:lastRow="0" w:firstColumn="1" w:lastColumn="0" w:oddVBand="0" w:evenVBand="0" w:oddHBand="0" w:evenHBand="0" w:firstRowFirstColumn="0" w:firstRowLastColumn="0" w:lastRowFirstColumn="0" w:lastRowLastColumn="0"/>
            <w:tcW w:w="0" w:type="auto"/>
            <w:hideMark/>
          </w:tcPr>
          <w:p w:rsidR="00FB2409" w:rsidRDefault="00FB2409" w:rsidP="00BB5D78">
            <w:r>
              <w:t>Accountability</w:t>
            </w:r>
          </w:p>
        </w:tc>
        <w:tc>
          <w:tcPr>
            <w:tcW w:w="0" w:type="auto"/>
            <w:hideMark/>
          </w:tcPr>
          <w:p w:rsidR="00FB2409" w:rsidRDefault="00FB2409" w:rsidP="00BB5D78">
            <w:pPr>
              <w:cnfStyle w:val="000000000000" w:firstRow="0" w:lastRow="0" w:firstColumn="0" w:lastColumn="0" w:oddVBand="0" w:evenVBand="0" w:oddHBand="0" w:evenHBand="0" w:firstRowFirstColumn="0" w:firstRowLastColumn="0" w:lastRowFirstColumn="0" w:lastRowLastColumn="0"/>
            </w:pPr>
            <w:r>
              <w:t>Digital audit trail</w:t>
            </w:r>
          </w:p>
        </w:tc>
        <w:tc>
          <w:tcPr>
            <w:tcW w:w="0" w:type="auto"/>
            <w:hideMark/>
          </w:tcPr>
          <w:p w:rsidR="00FB2409" w:rsidRDefault="00FB2409" w:rsidP="00BB5D78">
            <w:pPr>
              <w:cnfStyle w:val="000000000000" w:firstRow="0" w:lastRow="0" w:firstColumn="0" w:lastColumn="0" w:oddVBand="0" w:evenVBand="0" w:oddHBand="0" w:evenHBand="0" w:firstRowFirstColumn="0" w:firstRowLastColumn="0" w:lastRowFirstColumn="0" w:lastRowLastColumn="0"/>
            </w:pPr>
            <w:r>
              <w:t>Stronger traceability of actions</w:t>
            </w:r>
          </w:p>
        </w:tc>
        <w:tc>
          <w:tcPr>
            <w:tcW w:w="0" w:type="auto"/>
            <w:hideMark/>
          </w:tcPr>
          <w:p w:rsidR="00FB2409" w:rsidRDefault="00FB2409" w:rsidP="00BB5D78">
            <w:pPr>
              <w:cnfStyle w:val="000000000000" w:firstRow="0" w:lastRow="0" w:firstColumn="0" w:lastColumn="0" w:oddVBand="0" w:evenVBand="0" w:oddHBand="0" w:evenHBand="0" w:firstRowFirstColumn="0" w:firstRowLastColumn="0" w:lastRowFirstColumn="0" w:lastRowLastColumn="0"/>
            </w:pPr>
            <w:r>
              <w:t>Responsibility diffused across agencies/modules</w:t>
            </w:r>
          </w:p>
        </w:tc>
      </w:tr>
      <w:tr w:rsidR="00FB2409" w:rsidTr="00BB5D78">
        <w:tc>
          <w:tcPr>
            <w:cnfStyle w:val="001000000000" w:firstRow="0" w:lastRow="0" w:firstColumn="1" w:lastColumn="0" w:oddVBand="0" w:evenVBand="0" w:oddHBand="0" w:evenHBand="0" w:firstRowFirstColumn="0" w:firstRowLastColumn="0" w:lastRowFirstColumn="0" w:lastRowLastColumn="0"/>
            <w:tcW w:w="0" w:type="auto"/>
            <w:hideMark/>
          </w:tcPr>
          <w:p w:rsidR="00FB2409" w:rsidRDefault="00FB2409" w:rsidP="00BB5D78">
            <w:r>
              <w:t>Timeliness</w:t>
            </w:r>
          </w:p>
        </w:tc>
        <w:tc>
          <w:tcPr>
            <w:tcW w:w="0" w:type="auto"/>
            <w:hideMark/>
          </w:tcPr>
          <w:p w:rsidR="00FB2409" w:rsidRDefault="00FB2409" w:rsidP="00BB5D78">
            <w:pPr>
              <w:cnfStyle w:val="000000000000" w:firstRow="0" w:lastRow="0" w:firstColumn="0" w:lastColumn="0" w:oddVBand="0" w:evenVBand="0" w:oddHBand="0" w:evenHBand="0" w:firstRowFirstColumn="0" w:firstRowLastColumn="0" w:lastRowFirstColumn="0" w:lastRowLastColumn="0"/>
            </w:pPr>
            <w:r>
              <w:t>Reduced manual handoffs</w:t>
            </w:r>
          </w:p>
        </w:tc>
        <w:tc>
          <w:tcPr>
            <w:tcW w:w="0" w:type="auto"/>
            <w:hideMark/>
          </w:tcPr>
          <w:p w:rsidR="00FB2409" w:rsidRDefault="00FB2409" w:rsidP="00BB5D78">
            <w:pPr>
              <w:cnfStyle w:val="000000000000" w:firstRow="0" w:lastRow="0" w:firstColumn="0" w:lastColumn="0" w:oddVBand="0" w:evenVBand="0" w:oddHBand="0" w:evenHBand="0" w:firstRowFirstColumn="0" w:firstRowLastColumn="0" w:lastRowFirstColumn="0" w:lastRowLastColumn="0"/>
            </w:pPr>
            <w:r>
              <w:t>Faster routing and fewer repeats</w:t>
            </w:r>
          </w:p>
        </w:tc>
        <w:tc>
          <w:tcPr>
            <w:tcW w:w="0" w:type="auto"/>
            <w:hideMark/>
          </w:tcPr>
          <w:p w:rsidR="00FB2409" w:rsidRDefault="00FB2409" w:rsidP="00BB5D78">
            <w:pPr>
              <w:cnfStyle w:val="000000000000" w:firstRow="0" w:lastRow="0" w:firstColumn="0" w:lastColumn="0" w:oddVBand="0" w:evenVBand="0" w:oddHBand="0" w:evenHBand="0" w:firstRowFirstColumn="0" w:firstRowLastColumn="0" w:lastRowFirstColumn="0" w:lastRowLastColumn="0"/>
            </w:pPr>
            <w:r>
              <w:t>Backlogs shift online; delays remain if capacity unchanged</w:t>
            </w:r>
          </w:p>
        </w:tc>
      </w:tr>
    </w:tbl>
    <w:p w:rsidR="006C3A1F" w:rsidRDefault="006C3A1F" w:rsidP="006C3A1F">
      <w:pPr>
        <w:rPr>
          <w:b/>
        </w:rPr>
      </w:pPr>
      <w:r w:rsidRPr="006C3A1F">
        <w:t>This table reinforces the claim that digitisation can be aligned with GRP by enhancing visibility and auditability and standardisation (</w:t>
      </w:r>
      <w:proofErr w:type="spellStart"/>
      <w:r w:rsidRPr="006C3A1F">
        <w:t>Nizeyimana</w:t>
      </w:r>
      <w:proofErr w:type="spellEnd"/>
      <w:r w:rsidRPr="006C3A1F">
        <w:t xml:space="preserve"> and Luc De </w:t>
      </w:r>
      <w:proofErr w:type="spellStart"/>
      <w:r w:rsidRPr="006C3A1F">
        <w:t>Wulf</w:t>
      </w:r>
      <w:proofErr w:type="spellEnd"/>
      <w:r w:rsidRPr="006C3A1F">
        <w:t>, 2015), and by facilitating the predictability in processes that is significant in regulated product systems. Nevertheless, it cannot prove that the results will be improved among SMEs without other interventions: the portal-access and usability issues, which need training and support, are also reported in the evidence of Single Window environments (</w:t>
      </w:r>
      <w:proofErr w:type="spellStart"/>
      <w:r w:rsidRPr="006C3A1F">
        <w:t>Njatrijani</w:t>
      </w:r>
      <w:proofErr w:type="spellEnd"/>
      <w:r w:rsidRPr="006C3A1F">
        <w:t xml:space="preserve">, </w:t>
      </w:r>
      <w:proofErr w:type="spellStart"/>
      <w:r w:rsidRPr="006C3A1F">
        <w:t>Salsabila</w:t>
      </w:r>
      <w:proofErr w:type="spellEnd"/>
      <w:r w:rsidRPr="006C3A1F">
        <w:t xml:space="preserve"> and </w:t>
      </w:r>
      <w:proofErr w:type="spellStart"/>
      <w:r w:rsidRPr="006C3A1F">
        <w:t>Rahmanda</w:t>
      </w:r>
      <w:proofErr w:type="spellEnd"/>
      <w:r w:rsidRPr="006C3A1F">
        <w:t>, 2022), and the evidence of the digital divide suggests that the benefits will not be distributed evenly.</w:t>
      </w:r>
    </w:p>
    <w:p w:rsidR="006C3A1F" w:rsidRDefault="008E121D" w:rsidP="006C3A1F">
      <w:pPr>
        <w:pStyle w:val="Heading2"/>
      </w:pPr>
      <w:bookmarkStart w:id="107" w:name="_Toc220873969"/>
      <w:r w:rsidRPr="008E121D">
        <w:t>5.7 Critical reflection: limitations shaping interpretation</w:t>
      </w:r>
      <w:bookmarkEnd w:id="107"/>
    </w:p>
    <w:p w:rsidR="006C3A1F" w:rsidRDefault="006C3A1F" w:rsidP="006C3A1F">
      <w:r>
        <w:t xml:space="preserve">The documentary design of this dissertation makes this study more transparent in terms of process mapping and tracking the intentions of policies, but it also limits what the user can assert about SME-specific outcomes. Since the dataset is constructed out of legislation, official guidance, digitised workflow materials and peer-reviewed literature, it offers good indications of the way the licensing environment is formally designed and how the administrative burden can be conceivably generated by the costs of learning and the costs of compliance (Petersen and Hansen, 2022). But the literature on the SME level </w:t>
      </w:r>
      <w:r>
        <w:lastRenderedPageBreak/>
        <w:t>costs (such as staff hours, expenditures on consultants, or cash-flow consequences) is seldom documented in a disaggregated way, so these burden allocation is difficult to measure and delays cannot be apportioned with specificity to specific decision points.</w:t>
      </w:r>
    </w:p>
    <w:p w:rsidR="003E05A7" w:rsidRDefault="006C3A1F" w:rsidP="006C3A1F">
      <w:r>
        <w:t>The second weakness is that a number of quantified indicators taken as benchmarks are economy-wide (e.g., import licensing lead-times), as opposed to being drug-specific, and this dilutes the inference about sector uniqueness even in the situation where medicines context may drive a shift towards compliance expectations (Saunders et al., 2016). Third, informal practices, discretionary behaviours and workarounds, which constitute real approval experiences, may not be well defined by written procedures. Lastly, the evidence base represents various genres having various incentives: manuals explain how the process is supposed to work, whereas empirical studies explain constraints and threats. To guard against over-causation interpretation then needs to be carefully triangulated and exercised separation between that which is evidenced and that which is inferred.</w:t>
      </w:r>
    </w:p>
    <w:p w:rsidR="004F7062" w:rsidRDefault="004F7062" w:rsidP="004F7062">
      <w:pPr>
        <w:pStyle w:val="Heading2"/>
      </w:pPr>
      <w:bookmarkStart w:id="108" w:name="_Toc220873970"/>
      <w:r>
        <w:t>5.8 Conclusion</w:t>
      </w:r>
      <w:bookmarkEnd w:id="108"/>
      <w:r>
        <w:t xml:space="preserve"> </w:t>
      </w:r>
    </w:p>
    <w:p w:rsidR="003E05A7" w:rsidRDefault="003B5B00" w:rsidP="003B5B00">
      <w:r w:rsidRPr="003B5B00">
        <w:rPr>
          <w:lang w:val="en-US" w:eastAsia="en-US"/>
        </w:rPr>
        <w:t xml:space="preserve">The discussion demonstrates that the issues faced by SMEs are more due to process-related frictions that include complex sequencing, documentation intensity and repetitive query-resubmission processes and not due to formal tariff measures. The features are interpreted to create disproportional learning and compliance costs, which spoil operational efficiency and predictability in planning, through Administrative Burden. With the help of the GRP lens, </w:t>
      </w:r>
      <w:proofErr w:type="spellStart"/>
      <w:r w:rsidRPr="003B5B00">
        <w:rPr>
          <w:lang w:val="en-US" w:eastAsia="en-US"/>
        </w:rPr>
        <w:t>digitisation</w:t>
      </w:r>
      <w:proofErr w:type="spellEnd"/>
      <w:r w:rsidRPr="003B5B00">
        <w:rPr>
          <w:lang w:val="en-US" w:eastAsia="en-US"/>
        </w:rPr>
        <w:t xml:space="preserve"> and </w:t>
      </w:r>
      <w:proofErr w:type="spellStart"/>
      <w:r w:rsidRPr="003B5B00">
        <w:rPr>
          <w:lang w:val="en-US" w:eastAsia="en-US"/>
        </w:rPr>
        <w:t>standardisation</w:t>
      </w:r>
      <w:proofErr w:type="spellEnd"/>
      <w:r w:rsidRPr="003B5B00">
        <w:rPr>
          <w:lang w:val="en-US" w:eastAsia="en-US"/>
        </w:rPr>
        <w:t xml:space="preserve"> seem potentially good but conditional on usability, proportionality, and a uniform implementation process. There is also the recognition of the limits of the evidence and non-over-claim of causality in the chapter.</w:t>
      </w:r>
      <w:r w:rsidR="003E05A7">
        <w:br w:type="page"/>
      </w:r>
    </w:p>
    <w:p w:rsidR="00CE3E11" w:rsidRDefault="00CE3E11" w:rsidP="00CE3E11">
      <w:pPr>
        <w:pStyle w:val="Heading1"/>
        <w:jc w:val="center"/>
        <w:rPr>
          <w:rFonts w:ascii="Times New Roman" w:hAnsi="Times New Roman"/>
          <w:sz w:val="36"/>
          <w:lang w:val="en-US" w:eastAsia="en-US"/>
        </w:rPr>
      </w:pPr>
      <w:bookmarkStart w:id="109" w:name="_Toc220873971"/>
      <w:r>
        <w:lastRenderedPageBreak/>
        <w:t>Chapter 6. Conclusion</w:t>
      </w:r>
      <w:bookmarkEnd w:id="109"/>
    </w:p>
    <w:p w:rsidR="006E45C3" w:rsidRDefault="006E45C3" w:rsidP="006E45C3">
      <w:pPr>
        <w:pStyle w:val="Heading2"/>
      </w:pPr>
      <w:bookmarkStart w:id="110" w:name="_Toc220873972"/>
      <w:r>
        <w:t>6.1 Introduction</w:t>
      </w:r>
      <w:bookmarkEnd w:id="110"/>
      <w:r>
        <w:t xml:space="preserve"> </w:t>
      </w:r>
    </w:p>
    <w:p w:rsidR="00460A4F" w:rsidRDefault="00460A4F" w:rsidP="00460A4F">
      <w:pPr>
        <w:rPr>
          <w:b/>
          <w:lang w:val="en-US" w:eastAsia="en-US"/>
        </w:rPr>
      </w:pPr>
      <w:r w:rsidRPr="00460A4F">
        <w:rPr>
          <w:lang w:val="en-US" w:eastAsia="en-US"/>
        </w:rPr>
        <w:t xml:space="preserve">This chapter will be the concluding part of the dissertation reiterating the research aim and questions as well as </w:t>
      </w:r>
      <w:proofErr w:type="spellStart"/>
      <w:r w:rsidRPr="00460A4F">
        <w:rPr>
          <w:lang w:val="en-US" w:eastAsia="en-US"/>
        </w:rPr>
        <w:t>summarising</w:t>
      </w:r>
      <w:proofErr w:type="spellEnd"/>
      <w:r w:rsidRPr="00460A4F">
        <w:rPr>
          <w:lang w:val="en-US" w:eastAsia="en-US"/>
        </w:rPr>
        <w:t xml:space="preserve"> the key findings of the documentary analysis. It </w:t>
      </w:r>
      <w:proofErr w:type="spellStart"/>
      <w:r w:rsidRPr="00460A4F">
        <w:rPr>
          <w:lang w:val="en-US" w:eastAsia="en-US"/>
        </w:rPr>
        <w:t>generalises</w:t>
      </w:r>
      <w:proofErr w:type="spellEnd"/>
      <w:r w:rsidRPr="00460A4F">
        <w:rPr>
          <w:lang w:val="en-US" w:eastAsia="en-US"/>
        </w:rPr>
        <w:t xml:space="preserve"> the effect of non-tariff barriers associated with processes, including procedural complexity, documentations and timing uncertainty, on SMEs access to drug import </w:t>
      </w:r>
      <w:proofErr w:type="spellStart"/>
      <w:r w:rsidRPr="00460A4F">
        <w:rPr>
          <w:lang w:val="en-US" w:eastAsia="en-US"/>
        </w:rPr>
        <w:t>licences</w:t>
      </w:r>
      <w:proofErr w:type="spellEnd"/>
      <w:r w:rsidRPr="00460A4F">
        <w:rPr>
          <w:lang w:val="en-US" w:eastAsia="en-US"/>
        </w:rPr>
        <w:t xml:space="preserve"> in Bangladesh. The chapter also shows the contribution of the study to the literature and presents practical suggestions to the regulators and SME managers and considers limitations and priorities of future research.</w:t>
      </w:r>
    </w:p>
    <w:p w:rsidR="00CE3E11" w:rsidRDefault="006E45C3" w:rsidP="006E45C3">
      <w:pPr>
        <w:pStyle w:val="Heading2"/>
      </w:pPr>
      <w:bookmarkStart w:id="111" w:name="_Toc220873973"/>
      <w:r>
        <w:t>6.2</w:t>
      </w:r>
      <w:r w:rsidR="00CE3E11">
        <w:t xml:space="preserve"> </w:t>
      </w:r>
      <w:r w:rsidR="00CE3E11" w:rsidRPr="00CE3E11">
        <w:t>Restatement of research aim and research questions</w:t>
      </w:r>
      <w:bookmarkEnd w:id="111"/>
    </w:p>
    <w:p w:rsidR="00E678C6" w:rsidRDefault="00E678C6" w:rsidP="00E678C6">
      <w:r>
        <w:t>This study sought to explore the trade barriers to the acquisition of import licences of drugs by the SMEs in Bangladesh with the view to examining how regulatory processes are converted to the operational burdens. The study addressed:</w:t>
      </w:r>
    </w:p>
    <w:p w:rsidR="00CE3E11" w:rsidRDefault="00CE3E11" w:rsidP="00E678C6">
      <w:pPr>
        <w:pStyle w:val="ListParagraph"/>
        <w:numPr>
          <w:ilvl w:val="0"/>
          <w:numId w:val="12"/>
        </w:numPr>
      </w:pPr>
      <w:r>
        <w:rPr>
          <w:rStyle w:val="Strong"/>
        </w:rPr>
        <w:t>RQ1:</w:t>
      </w:r>
      <w:r>
        <w:t xml:space="preserve"> What are the key trade barriers faced by SMEs in obtaining import licences for drugs in Bangladesh?</w:t>
      </w:r>
    </w:p>
    <w:p w:rsidR="00CE3E11" w:rsidRDefault="00CE3E11" w:rsidP="00CE3E11">
      <w:pPr>
        <w:pStyle w:val="ListParagraph"/>
        <w:numPr>
          <w:ilvl w:val="0"/>
          <w:numId w:val="12"/>
        </w:numPr>
      </w:pPr>
      <w:r>
        <w:rPr>
          <w:rStyle w:val="Strong"/>
        </w:rPr>
        <w:t>RQ2:</w:t>
      </w:r>
      <w:r>
        <w:t xml:space="preserve"> How do these barriers affect the operational efficiency of SMEs?</w:t>
      </w:r>
    </w:p>
    <w:p w:rsidR="00CE3E11" w:rsidRDefault="00CE3E11" w:rsidP="00CE3E11">
      <w:pPr>
        <w:pStyle w:val="ListParagraph"/>
        <w:numPr>
          <w:ilvl w:val="0"/>
          <w:numId w:val="12"/>
        </w:numPr>
        <w:tabs>
          <w:tab w:val="left" w:pos="8565"/>
        </w:tabs>
      </w:pPr>
      <w:r>
        <w:rPr>
          <w:rStyle w:val="Strong"/>
        </w:rPr>
        <w:t>RQ3:</w:t>
      </w:r>
      <w:r>
        <w:t xml:space="preserve"> What policy changes can be recommended to mitigate these barriers?</w:t>
      </w:r>
    </w:p>
    <w:p w:rsidR="00CE3E11" w:rsidRDefault="006E45C3" w:rsidP="00CE3E11">
      <w:pPr>
        <w:pStyle w:val="Heading2"/>
      </w:pPr>
      <w:bookmarkStart w:id="112" w:name="_Toc220873974"/>
      <w:r>
        <w:t>6.3</w:t>
      </w:r>
      <w:r w:rsidR="00CE3E11">
        <w:t xml:space="preserve"> Key findings and answers to the research questions</w:t>
      </w:r>
      <w:bookmarkEnd w:id="112"/>
    </w:p>
    <w:p w:rsidR="00FC52A1" w:rsidRPr="00FC52A1" w:rsidRDefault="00FC52A1" w:rsidP="00FC52A1">
      <w:pPr>
        <w:rPr>
          <w:lang w:val="en-US" w:eastAsia="en-US"/>
        </w:rPr>
      </w:pPr>
      <w:r w:rsidRPr="00FC52A1">
        <w:rPr>
          <w:lang w:val="en-US" w:eastAsia="en-US"/>
        </w:rPr>
        <w:t xml:space="preserve">The evidence shows that process-related barriers that do not involve tariff barriers lead to the greatest constraints of SMEs. Complexity of the procedural process is observed in multi-stage licensing system, which has many decision points that enhance the chances of delays. DGDA workflow documents indicate that there are repetitive cycles of clarifying, returning and re-submission, which extend the approval timelines (DGDA, 2023). Further, the documentary requirements are also excessive with a high level of compliance in the overall process of pharmaceutical importation (World Bank, 2020). The uncertainty of processing time only adds to these problems, which subject SMEs to the operational disruption and increased planning expenses relative to larger companies with </w:t>
      </w:r>
      <w:proofErr w:type="spellStart"/>
      <w:r w:rsidRPr="00FC52A1">
        <w:rPr>
          <w:lang w:val="en-US" w:eastAsia="en-US"/>
        </w:rPr>
        <w:t>specialised</w:t>
      </w:r>
      <w:proofErr w:type="spellEnd"/>
      <w:r w:rsidRPr="00FC52A1">
        <w:rPr>
          <w:lang w:val="en-US" w:eastAsia="en-US"/>
        </w:rPr>
        <w:t xml:space="preserve"> compliance capacity.</w:t>
      </w:r>
    </w:p>
    <w:p w:rsidR="00FC52A1" w:rsidRPr="00FC52A1" w:rsidRDefault="00FC52A1" w:rsidP="00FC52A1">
      <w:pPr>
        <w:rPr>
          <w:lang w:val="en-US" w:eastAsia="en-US"/>
        </w:rPr>
      </w:pPr>
      <w:r w:rsidRPr="00FC52A1">
        <w:rPr>
          <w:lang w:val="en-US" w:eastAsia="en-US"/>
        </w:rPr>
        <w:lastRenderedPageBreak/>
        <w:t>This is because these barriers lead to low effectiveness in operations through rising lead times, management focus, and constant checks and rectifications. The evidence of surveys indicates that a significant portion of time spent on regulatory compliance is paid by the senior management in SMEs, which creates opportunity costs because of focusing on core business activities (</w:t>
      </w:r>
      <w:proofErr w:type="spellStart"/>
      <w:r w:rsidRPr="00FC52A1">
        <w:rPr>
          <w:lang w:val="en-US" w:eastAsia="en-US"/>
        </w:rPr>
        <w:t>Khondaker</w:t>
      </w:r>
      <w:proofErr w:type="spellEnd"/>
      <w:r w:rsidRPr="00FC52A1">
        <w:rPr>
          <w:lang w:val="en-US" w:eastAsia="en-US"/>
        </w:rPr>
        <w:t>, 2022). In order to deal with uncertainty, SMEs will tend to use buffers like increased inventory, longer timelines, or contingency spending that limits the working capital and flexibility in operations (World Bank, 2022). Staffing is also very limited which adds to the necessity of regular follow-ups and speedy response to regulatory requests.</w:t>
      </w:r>
    </w:p>
    <w:p w:rsidR="00FC52A1" w:rsidRDefault="00FC52A1" w:rsidP="00FC52A1">
      <w:pPr>
        <w:rPr>
          <w:b/>
          <w:lang w:val="en-US" w:eastAsia="en-US"/>
        </w:rPr>
      </w:pPr>
      <w:r w:rsidRPr="00FC52A1">
        <w:rPr>
          <w:lang w:val="en-US" w:eastAsia="en-US"/>
        </w:rPr>
        <w:t xml:space="preserve">The literature identifies mitigation as increased </w:t>
      </w:r>
      <w:proofErr w:type="spellStart"/>
      <w:r w:rsidRPr="00FC52A1">
        <w:rPr>
          <w:lang w:val="en-US" w:eastAsia="en-US"/>
        </w:rPr>
        <w:t>standardisation</w:t>
      </w:r>
      <w:proofErr w:type="spellEnd"/>
      <w:r w:rsidRPr="00FC52A1">
        <w:rPr>
          <w:lang w:val="en-US" w:eastAsia="en-US"/>
        </w:rPr>
        <w:t>, transparency and computer-facilitation. The National Single Window programs focus on submissions via the internet, tracking the status, and better coordination between agencies, which meet the principles of e-government based on making submissions more predictable and less fragmented (NBR, 2022). Nevertheless, the evidence highlights the fact that successful reform should not only be digital but also procedural simplification and better user support to successfully decrease the compliance cost of the SMEs.</w:t>
      </w:r>
    </w:p>
    <w:p w:rsidR="00CE3E11" w:rsidRDefault="006E45C3" w:rsidP="00FC52A1">
      <w:pPr>
        <w:pStyle w:val="Heading2"/>
      </w:pPr>
      <w:bookmarkStart w:id="113" w:name="_Toc220873975"/>
      <w:r>
        <w:t>6.4</w:t>
      </w:r>
      <w:r w:rsidR="00CE3E11">
        <w:t xml:space="preserve"> Addressing the literature gap and demonstrating contribution</w:t>
      </w:r>
      <w:bookmarkEnd w:id="113"/>
    </w:p>
    <w:p w:rsidR="00E678C6" w:rsidRDefault="00E678C6" w:rsidP="00E678C6">
      <w:pPr>
        <w:rPr>
          <w:b/>
        </w:rPr>
      </w:pPr>
      <w:r w:rsidRPr="00E678C6">
        <w:t>The given gap that has prompted the present dissertation development is the fact that the obstacles associated with SMEs in the process of licensing of medicines import are often under-researched in the context of more general debates concerning pharmaceutical regulations and trade facilitation (</w:t>
      </w:r>
      <w:proofErr w:type="spellStart"/>
      <w:r w:rsidRPr="00E678C6">
        <w:t>Fatin</w:t>
      </w:r>
      <w:proofErr w:type="spellEnd"/>
      <w:r w:rsidRPr="00E678C6">
        <w:t xml:space="preserve"> </w:t>
      </w:r>
      <w:proofErr w:type="spellStart"/>
      <w:r w:rsidRPr="00E678C6">
        <w:t>Alshibli</w:t>
      </w:r>
      <w:proofErr w:type="spellEnd"/>
      <w:r w:rsidRPr="00E678C6">
        <w:t xml:space="preserve"> and Khaled </w:t>
      </w:r>
      <w:proofErr w:type="spellStart"/>
      <w:r w:rsidRPr="00E678C6">
        <w:t>Alqarni</w:t>
      </w:r>
      <w:proofErr w:type="spellEnd"/>
      <w:r w:rsidRPr="00E678C6">
        <w:t>, 2024). The study elucidates the barriers caused by formal requirements and process design through the lens of the administrative burden by the combination of the regulator-facing workflow documentation with the administrative burden lens (DGDA, 2023; Petersen and Hansen, 2022). It also foreshadows an SME viewpoint of identifying how a small capacity (not having a sufficient number of specialist employees, poor compliance infrastructure, and greater susceptibility to delays) changes procedural uncertainty and reworking as disproportional operational overheads.</w:t>
      </w:r>
    </w:p>
    <w:p w:rsidR="00CE3E11" w:rsidRDefault="006E45C3" w:rsidP="00CE3E11">
      <w:pPr>
        <w:pStyle w:val="Heading2"/>
      </w:pPr>
      <w:bookmarkStart w:id="114" w:name="_Toc220873976"/>
      <w:r>
        <w:lastRenderedPageBreak/>
        <w:t>6.5</w:t>
      </w:r>
      <w:r w:rsidR="00CE3E11">
        <w:t xml:space="preserve"> Practical recommendations</w:t>
      </w:r>
      <w:bookmarkEnd w:id="114"/>
    </w:p>
    <w:p w:rsidR="00CE3E11" w:rsidRDefault="006E45C3" w:rsidP="00CE3E11">
      <w:pPr>
        <w:pStyle w:val="Heading3"/>
      </w:pPr>
      <w:bookmarkStart w:id="115" w:name="_Toc220873977"/>
      <w:r>
        <w:t>6.5</w:t>
      </w:r>
      <w:r w:rsidR="00CE3E11">
        <w:t>.1 Recommendations for regulators and policymakers</w:t>
      </w:r>
      <w:bookmarkEnd w:id="115"/>
      <w:r w:rsidR="00CE3E11">
        <w:t xml:space="preserve"> </w:t>
      </w:r>
    </w:p>
    <w:p w:rsidR="00451DF7" w:rsidRDefault="00451DF7" w:rsidP="00451DF7">
      <w:r w:rsidRPr="00451DF7">
        <w:t>The following recommendations will support lessening the unfair administrative tax on SMEs but still guarantee regulatory certainty and health precautions to the population.</w:t>
      </w:r>
    </w:p>
    <w:p w:rsidR="00CE3E11" w:rsidRDefault="00CE3E11" w:rsidP="00451DF7">
      <w:pPr>
        <w:pStyle w:val="ListParagraph"/>
        <w:numPr>
          <w:ilvl w:val="0"/>
          <w:numId w:val="13"/>
        </w:numPr>
      </w:pPr>
      <w:r>
        <w:rPr>
          <w:rStyle w:val="Strong"/>
        </w:rPr>
        <w:t>Publish clear service standards</w:t>
      </w:r>
      <w:r>
        <w:t xml:space="preserve"> (stage-by-stage target timelines and query-handling time limits) to reduce uncertainty and improve planning predictability (World Bank, 2022).</w:t>
      </w:r>
    </w:p>
    <w:p w:rsidR="00CE3E11" w:rsidRDefault="00CE3E11" w:rsidP="00CE3E11">
      <w:pPr>
        <w:pStyle w:val="ListParagraph"/>
        <w:numPr>
          <w:ilvl w:val="0"/>
          <w:numId w:val="13"/>
        </w:numPr>
      </w:pPr>
      <w:r>
        <w:rPr>
          <w:rStyle w:val="Strong"/>
        </w:rPr>
        <w:t>Standardise documentation</w:t>
      </w:r>
      <w:r>
        <w:t xml:space="preserve"> through checklists and templates and add pre-submission validation to reduce incomplete applications and avoidable resubmissions (DGDA, 2023).</w:t>
      </w:r>
    </w:p>
    <w:p w:rsidR="00CE3E11" w:rsidRDefault="00CE3E11" w:rsidP="00CE3E11">
      <w:pPr>
        <w:pStyle w:val="ListParagraph"/>
        <w:numPr>
          <w:ilvl w:val="0"/>
          <w:numId w:val="13"/>
        </w:numPr>
      </w:pPr>
      <w:r>
        <w:rPr>
          <w:rStyle w:val="Strong"/>
        </w:rPr>
        <w:t>Apply proportional, risk-based documentary requirements</w:t>
      </w:r>
      <w:r>
        <w:t xml:space="preserve"> so evidence demands reflect product risk and importer profile rather than uniform burdens.</w:t>
      </w:r>
    </w:p>
    <w:p w:rsidR="00CE3E11" w:rsidRDefault="00CE3E11" w:rsidP="00CE3E11">
      <w:pPr>
        <w:pStyle w:val="ListParagraph"/>
        <w:numPr>
          <w:ilvl w:val="0"/>
          <w:numId w:val="13"/>
        </w:numPr>
      </w:pPr>
      <w:r>
        <w:rPr>
          <w:rStyle w:val="Strong"/>
        </w:rPr>
        <w:t>Strengthen Single Window usability and SME-facing support</w:t>
      </w:r>
      <w:r>
        <w:t xml:space="preserve"> (helpdesk, plain-language guidance, short training) to lower learning costs (BAW, 2024).</w:t>
      </w:r>
    </w:p>
    <w:p w:rsidR="00CE3E11" w:rsidRDefault="00CE3E11" w:rsidP="00CE3E11">
      <w:pPr>
        <w:pStyle w:val="ListParagraph"/>
        <w:numPr>
          <w:ilvl w:val="0"/>
          <w:numId w:val="13"/>
        </w:numPr>
      </w:pPr>
      <w:r>
        <w:rPr>
          <w:rStyle w:val="Strong"/>
        </w:rPr>
        <w:t>Improve inter-agency coordination and system integration</w:t>
      </w:r>
      <w:r>
        <w:t xml:space="preserve"> to reduce duplication and manual follow-up, including clearer visibility of interdependent approvals (</w:t>
      </w:r>
      <w:proofErr w:type="spellStart"/>
      <w:r>
        <w:t>Aushadh</w:t>
      </w:r>
      <w:proofErr w:type="spellEnd"/>
      <w:r>
        <w:t>, 2024).</w:t>
      </w:r>
    </w:p>
    <w:p w:rsidR="00CE3E11" w:rsidRDefault="006E45C3" w:rsidP="00CE3E11">
      <w:pPr>
        <w:pStyle w:val="Heading3"/>
      </w:pPr>
      <w:bookmarkStart w:id="116" w:name="_Toc220873978"/>
      <w:r>
        <w:t>6.5</w:t>
      </w:r>
      <w:r w:rsidR="00CE3E11">
        <w:t>.2 Recommendations for SME managers/importers</w:t>
      </w:r>
      <w:bookmarkEnd w:id="116"/>
    </w:p>
    <w:p w:rsidR="00451DF7" w:rsidRDefault="00451DF7" w:rsidP="00451DF7">
      <w:r w:rsidRPr="00451DF7">
        <w:t>Even though systemic reform is a necessary thing to do, internal preparedness and drilling process can help SMEs to cut down the unnecessary learning and compliance costs.</w:t>
      </w:r>
    </w:p>
    <w:p w:rsidR="00CE3E11" w:rsidRDefault="00CE3E11" w:rsidP="00451DF7">
      <w:pPr>
        <w:pStyle w:val="ListParagraph"/>
        <w:numPr>
          <w:ilvl w:val="0"/>
          <w:numId w:val="14"/>
        </w:numPr>
      </w:pPr>
      <w:r>
        <w:rPr>
          <w:rStyle w:val="Strong"/>
        </w:rPr>
        <w:t>Maintain a structured compliance documentation pack</w:t>
      </w:r>
      <w:r>
        <w:t xml:space="preserve"> (current certificates, standard attachments, version control) to reduce delays and query risk (DGDA, 2023).</w:t>
      </w:r>
    </w:p>
    <w:p w:rsidR="00CE3E11" w:rsidRDefault="00CE3E11" w:rsidP="00CE3E11">
      <w:pPr>
        <w:pStyle w:val="ListParagraph"/>
        <w:numPr>
          <w:ilvl w:val="0"/>
          <w:numId w:val="14"/>
        </w:numPr>
      </w:pPr>
      <w:r>
        <w:rPr>
          <w:rStyle w:val="Strong"/>
        </w:rPr>
        <w:t>Assign a named compliance focal person</w:t>
      </w:r>
      <w:r>
        <w:t xml:space="preserve"> to manage portal workflows and deadlines, reducing diversion of senior management time (</w:t>
      </w:r>
      <w:proofErr w:type="spellStart"/>
      <w:r>
        <w:t>Khondaker</w:t>
      </w:r>
      <w:proofErr w:type="spellEnd"/>
      <w:r>
        <w:t>, 2022).</w:t>
      </w:r>
    </w:p>
    <w:p w:rsidR="00CE3E11" w:rsidRDefault="00CE3E11" w:rsidP="00CE3E11">
      <w:pPr>
        <w:pStyle w:val="ListParagraph"/>
        <w:numPr>
          <w:ilvl w:val="0"/>
          <w:numId w:val="14"/>
        </w:numPr>
      </w:pPr>
      <w:r>
        <w:rPr>
          <w:rStyle w:val="Strong"/>
        </w:rPr>
        <w:t>Use simple tracking</w:t>
      </w:r>
      <w:r>
        <w:t xml:space="preserve"> (submission logs, query dates, response times) to manage iteration cycles and improve on-time correction and resubmission (DGDA, 2023).</w:t>
      </w:r>
    </w:p>
    <w:p w:rsidR="00CE3E11" w:rsidRDefault="006E45C3" w:rsidP="00CE3E11">
      <w:pPr>
        <w:pStyle w:val="Heading2"/>
        <w:rPr>
          <w:rFonts w:ascii="Times New Roman" w:hAnsi="Times New Roman"/>
          <w:sz w:val="27"/>
          <w:lang w:val="en-US" w:eastAsia="en-US"/>
        </w:rPr>
      </w:pPr>
      <w:bookmarkStart w:id="117" w:name="_Toc220873979"/>
      <w:r>
        <w:lastRenderedPageBreak/>
        <w:t>6.6</w:t>
      </w:r>
      <w:r w:rsidR="00CE3E11">
        <w:t xml:space="preserve"> Limitations and Future Research Directions</w:t>
      </w:r>
      <w:bookmarkEnd w:id="117"/>
      <w:r w:rsidR="00CE3E11">
        <w:t xml:space="preserve"> </w:t>
      </w:r>
    </w:p>
    <w:p w:rsidR="00E26838" w:rsidRDefault="00E26838" w:rsidP="00E26838">
      <w:pPr>
        <w:rPr>
          <w:b/>
          <w:lang w:val="en-US" w:eastAsia="en-US"/>
        </w:rPr>
      </w:pPr>
      <w:r w:rsidRPr="00E26838">
        <w:rPr>
          <w:lang w:val="en-US" w:eastAsia="en-US"/>
        </w:rPr>
        <w:t xml:space="preserve">The documentary methodology that will be used in this research increases the transparency and traceability, at the cost of significant limitations that influence the interpretation of the results. Informal practices, discretionary </w:t>
      </w:r>
      <w:proofErr w:type="spellStart"/>
      <w:r w:rsidRPr="00E26838">
        <w:rPr>
          <w:lang w:val="en-US" w:eastAsia="en-US"/>
        </w:rPr>
        <w:t>behaviour</w:t>
      </w:r>
      <w:proofErr w:type="spellEnd"/>
      <w:r w:rsidRPr="00E26838">
        <w:rPr>
          <w:lang w:val="en-US" w:eastAsia="en-US"/>
        </w:rPr>
        <w:t>, or unrecorded workarounds that affect licensing experiences can never be fully registered in documentary analysis, especially in cases where implementation is not conducted in line with the formal processes (</w:t>
      </w:r>
      <w:proofErr w:type="spellStart"/>
      <w:r w:rsidRPr="00E26838">
        <w:rPr>
          <w:lang w:val="en-US" w:eastAsia="en-US"/>
        </w:rPr>
        <w:t>Babin</w:t>
      </w:r>
      <w:proofErr w:type="spellEnd"/>
      <w:r w:rsidRPr="00E26838">
        <w:rPr>
          <w:lang w:val="en-US" w:eastAsia="en-US"/>
        </w:rPr>
        <w:t xml:space="preserve"> et al., 2024). Consequently, reports tend to give an insight into the way processes are supposed to operate as opposed to the actual manner in which they work. Moreover, there are no micro-level cost data disaggregated at the SME level to make a specific evaluation of compliance burdens, such as staff time, consultancy fees, and delay effects on cash flows (</w:t>
      </w:r>
      <w:proofErr w:type="spellStart"/>
      <w:r w:rsidRPr="00E26838">
        <w:rPr>
          <w:lang w:val="en-US" w:eastAsia="en-US"/>
        </w:rPr>
        <w:t>Nowell</w:t>
      </w:r>
      <w:proofErr w:type="spellEnd"/>
      <w:r w:rsidRPr="00E26838">
        <w:rPr>
          <w:lang w:val="en-US" w:eastAsia="en-US"/>
        </w:rPr>
        <w:t xml:space="preserve"> et al., 2017). In line with this, the results can determine evidence-based patterns as opposed to firm-level causal effects. Future studies must include primary data of SME importers and regulators to directly quantify the compliance costs, conduct a comparative firm-level analysis, and assess whether the Single Window </w:t>
      </w:r>
      <w:proofErr w:type="spellStart"/>
      <w:r w:rsidRPr="00E26838">
        <w:rPr>
          <w:lang w:val="en-US" w:eastAsia="en-US"/>
        </w:rPr>
        <w:t>digitisation</w:t>
      </w:r>
      <w:proofErr w:type="spellEnd"/>
      <w:r w:rsidRPr="00E26838">
        <w:rPr>
          <w:lang w:val="en-US" w:eastAsia="en-US"/>
        </w:rPr>
        <w:t xml:space="preserve"> of regulations places fewer regulatory burdens in reality.</w:t>
      </w:r>
    </w:p>
    <w:p w:rsidR="00CE3E11" w:rsidRDefault="00CE3E11" w:rsidP="009B70D0">
      <w:pPr>
        <w:pStyle w:val="Heading2"/>
        <w:rPr>
          <w:rFonts w:ascii="Times New Roman" w:hAnsi="Times New Roman"/>
          <w:sz w:val="27"/>
          <w:lang w:val="en-US" w:eastAsia="en-US"/>
        </w:rPr>
      </w:pPr>
      <w:r>
        <w:t xml:space="preserve"> </w:t>
      </w:r>
      <w:bookmarkStart w:id="118" w:name="_Toc220873980"/>
      <w:r w:rsidR="006E45C3">
        <w:t>6.7</w:t>
      </w:r>
      <w:r>
        <w:t xml:space="preserve"> Final reflective statement</w:t>
      </w:r>
      <w:bookmarkEnd w:id="118"/>
      <w:r>
        <w:t xml:space="preserve"> </w:t>
      </w:r>
    </w:p>
    <w:p w:rsidR="00FE3B49" w:rsidRPr="00FE3B49" w:rsidRDefault="00FE3B49" w:rsidP="00FE3B49">
      <w:pPr>
        <w:rPr>
          <w:lang w:val="en-US" w:eastAsia="en-US"/>
        </w:rPr>
      </w:pPr>
      <w:r w:rsidRPr="00FE3B49">
        <w:rPr>
          <w:lang w:val="en-US" w:eastAsia="en-US"/>
        </w:rPr>
        <w:t xml:space="preserve">This dissertation shows that the challenges encountered by SMEs in gaining access to pharmaceutical import </w:t>
      </w:r>
      <w:proofErr w:type="spellStart"/>
      <w:r w:rsidRPr="00FE3B49">
        <w:rPr>
          <w:lang w:val="en-US" w:eastAsia="en-US"/>
        </w:rPr>
        <w:t>licences</w:t>
      </w:r>
      <w:proofErr w:type="spellEnd"/>
      <w:r w:rsidRPr="00FE3B49">
        <w:rPr>
          <w:lang w:val="en-US" w:eastAsia="en-US"/>
        </w:rPr>
        <w:t xml:space="preserve"> in Bangladesh are less related to the formal tariff restrictions and rather to friction in the process that are entrenched in the licensing and approval processes. Procedural complexity, voluminous documentation and cycle query-response are emphasized in documentary evidence, which extends the lead times and introduces uncertainty in firms with low administrative capacity (DGDA, 2023). According to the Administrative Burden perspective, these frictions are reflected in learning and compliance costs which are disproportionate, consuming managerial time and </w:t>
      </w:r>
      <w:proofErr w:type="spellStart"/>
      <w:r w:rsidRPr="00FE3B49">
        <w:rPr>
          <w:lang w:val="en-US" w:eastAsia="en-US"/>
        </w:rPr>
        <w:t>organisational</w:t>
      </w:r>
      <w:proofErr w:type="spellEnd"/>
      <w:r w:rsidRPr="00FE3B49">
        <w:rPr>
          <w:lang w:val="en-US" w:eastAsia="en-US"/>
        </w:rPr>
        <w:t xml:space="preserve"> resources among the smaller importers who do not have the </w:t>
      </w:r>
      <w:proofErr w:type="spellStart"/>
      <w:r w:rsidRPr="00FE3B49">
        <w:rPr>
          <w:lang w:val="en-US" w:eastAsia="en-US"/>
        </w:rPr>
        <w:t>specialised</w:t>
      </w:r>
      <w:proofErr w:type="spellEnd"/>
      <w:r w:rsidRPr="00FE3B49">
        <w:rPr>
          <w:lang w:val="en-US" w:eastAsia="en-US"/>
        </w:rPr>
        <w:t xml:space="preserve"> regulatory know-how.</w:t>
      </w:r>
    </w:p>
    <w:p w:rsidR="00FE3B49" w:rsidRDefault="00FE3B49" w:rsidP="00FE3B49">
      <w:pPr>
        <w:rPr>
          <w:b/>
          <w:lang w:val="en-US" w:eastAsia="en-US"/>
        </w:rPr>
      </w:pPr>
      <w:r w:rsidRPr="00FE3B49">
        <w:rPr>
          <w:lang w:val="en-US" w:eastAsia="en-US"/>
        </w:rPr>
        <w:t xml:space="preserve">Outside the organizational impacts, the presence of these delays and uncertainty is also systemic in the highly controlled medicines environment, where procurement planning is inhibited, and supply may be interrupted (DGDA, 2023). The results highlight the </w:t>
      </w:r>
      <w:r w:rsidRPr="00FE3B49">
        <w:rPr>
          <w:lang w:val="en-US" w:eastAsia="en-US"/>
        </w:rPr>
        <w:lastRenderedPageBreak/>
        <w:t xml:space="preserve">importance of licensing in ensuring the safety of the populace but deregulation should not be practiced. Alternatively, unnecessary burdens can be </w:t>
      </w:r>
      <w:proofErr w:type="spellStart"/>
      <w:r w:rsidRPr="00FE3B49">
        <w:rPr>
          <w:lang w:val="en-US" w:eastAsia="en-US"/>
        </w:rPr>
        <w:t>minimised</w:t>
      </w:r>
      <w:proofErr w:type="spellEnd"/>
      <w:r w:rsidRPr="00FE3B49">
        <w:rPr>
          <w:lang w:val="en-US" w:eastAsia="en-US"/>
        </w:rPr>
        <w:t xml:space="preserve"> without compromising regulatory protection by enhancing the consistency, transparency, adequacy of evidence demanded and competent </w:t>
      </w:r>
      <w:proofErr w:type="spellStart"/>
      <w:r w:rsidRPr="00FE3B49">
        <w:rPr>
          <w:lang w:val="en-US" w:eastAsia="en-US"/>
        </w:rPr>
        <w:t>digitisation</w:t>
      </w:r>
      <w:proofErr w:type="spellEnd"/>
      <w:r w:rsidRPr="00FE3B49">
        <w:rPr>
          <w:lang w:val="en-US" w:eastAsia="en-US"/>
        </w:rPr>
        <w:t>.</w:t>
      </w:r>
    </w:p>
    <w:p w:rsidR="006E45C3" w:rsidRDefault="006E45C3" w:rsidP="00FE3B49">
      <w:pPr>
        <w:pStyle w:val="Heading2"/>
      </w:pPr>
      <w:bookmarkStart w:id="119" w:name="_Toc220873981"/>
      <w:r>
        <w:t>6.8 Conclusion</w:t>
      </w:r>
      <w:bookmarkEnd w:id="119"/>
      <w:r>
        <w:t xml:space="preserve"> </w:t>
      </w:r>
    </w:p>
    <w:p w:rsidR="001828B8" w:rsidRDefault="00896FF3" w:rsidP="00896FF3">
      <w:pPr>
        <w:rPr>
          <w:sz w:val="32"/>
          <w:szCs w:val="32"/>
        </w:rPr>
      </w:pPr>
      <w:r w:rsidRPr="00896FF3">
        <w:rPr>
          <w:lang w:val="en-US" w:eastAsia="en-US"/>
        </w:rPr>
        <w:t xml:space="preserve">The dissertation determines that the challenges facing SMEs in obtaining import </w:t>
      </w:r>
      <w:proofErr w:type="spellStart"/>
      <w:r w:rsidRPr="00896FF3">
        <w:rPr>
          <w:lang w:val="en-US" w:eastAsia="en-US"/>
        </w:rPr>
        <w:t>licences</w:t>
      </w:r>
      <w:proofErr w:type="spellEnd"/>
      <w:r w:rsidRPr="00896FF3">
        <w:rPr>
          <w:lang w:val="en-US" w:eastAsia="en-US"/>
        </w:rPr>
        <w:t xml:space="preserve"> are mainly as a result of administrative frictions which create learning and compliance costs which are disproportionately high. These loads decrease the efficiency of operation and can cause the expansion of the medicines-system risks due to the lowered predictability and responsiveness. Instead of deregulation, the analysis recommends regulatory enhancement along with the principles of Good Regulatory Practices such as coherent service standards, proportionality, and user-oriented </w:t>
      </w:r>
      <w:proofErr w:type="spellStart"/>
      <w:r w:rsidRPr="00896FF3">
        <w:rPr>
          <w:lang w:val="en-US" w:eastAsia="en-US"/>
        </w:rPr>
        <w:t>digitalisation</w:t>
      </w:r>
      <w:proofErr w:type="spellEnd"/>
      <w:r w:rsidRPr="00896FF3">
        <w:rPr>
          <w:lang w:val="en-US" w:eastAsia="en-US"/>
        </w:rPr>
        <w:t>. Although documentary evidence restricts the cause and effect statement and the micro-cost quantification, the results provide a plausible ground on which the reform and the research can be based.</w:t>
      </w:r>
      <w:r w:rsidR="001828B8">
        <w:br w:type="page"/>
      </w:r>
    </w:p>
    <w:p w:rsidR="00B07B0D" w:rsidRDefault="00B07B0D" w:rsidP="00B07B0D">
      <w:pPr>
        <w:pStyle w:val="Heading1"/>
        <w:jc w:val="center"/>
      </w:pPr>
      <w:bookmarkStart w:id="120" w:name="_Toc220873982"/>
      <w:r>
        <w:lastRenderedPageBreak/>
        <w:t>References</w:t>
      </w:r>
      <w:bookmarkEnd w:id="120"/>
    </w:p>
    <w:p w:rsidR="00E576D6" w:rsidRPr="008F7319" w:rsidRDefault="00E576D6" w:rsidP="00E576D6">
      <w:pPr>
        <w:ind w:hanging="720"/>
        <w:rPr>
          <w:lang w:val="en-US" w:eastAsia="en-US"/>
        </w:rPr>
      </w:pPr>
      <w:r w:rsidRPr="008F7319">
        <w:rPr>
          <w:lang w:val="en-US" w:eastAsia="en-US"/>
        </w:rPr>
        <w:t xml:space="preserve">Ahmed, E. (2023). </w:t>
      </w:r>
      <w:r w:rsidRPr="008F7319">
        <w:rPr>
          <w:i/>
          <w:iCs/>
          <w:lang w:val="en-US" w:eastAsia="en-US"/>
        </w:rPr>
        <w:t>‘The Drug and Cosmetics Act 2023’, Act No. 29 dated 18 September 2023 passed by the Bangladesh Parliament | VDB | LOI</w:t>
      </w:r>
      <w:r w:rsidRPr="008F7319">
        <w:rPr>
          <w:lang w:val="en-US" w:eastAsia="en-US"/>
        </w:rPr>
        <w:t>. [online] www.vdb-loi.com. Available at: https://www.vdb-loi.com/bd_publications/the-drug-and-cosmetics-act-2023-act-no-29-dated-18-september-2023-passed-by-the-bangladesh-parliament/ [Accessed 12 Dec. 2025].</w:t>
      </w:r>
    </w:p>
    <w:p w:rsidR="00E576D6" w:rsidRPr="008F7319" w:rsidRDefault="00E576D6" w:rsidP="00E576D6">
      <w:pPr>
        <w:ind w:hanging="720"/>
        <w:rPr>
          <w:lang w:val="en-US" w:eastAsia="en-US"/>
        </w:rPr>
      </w:pPr>
      <w:r w:rsidRPr="008F7319">
        <w:rPr>
          <w:lang w:val="en-US" w:eastAsia="en-US"/>
        </w:rPr>
        <w:t xml:space="preserve">Ahmed, F.U. (2024). Drug Control in Bangladesh: A Comparative Analysis Between Domestic Legal Mechanisms and International Standards. </w:t>
      </w:r>
      <w:r w:rsidRPr="008F7319">
        <w:rPr>
          <w:i/>
          <w:iCs/>
          <w:lang w:val="en-US" w:eastAsia="en-US"/>
        </w:rPr>
        <w:t>133.167.11</w:t>
      </w:r>
      <w:r w:rsidRPr="008F7319">
        <w:rPr>
          <w:lang w:val="en-US" w:eastAsia="en-US"/>
        </w:rPr>
        <w:t xml:space="preserve">. [online] </w:t>
      </w:r>
      <w:proofErr w:type="spellStart"/>
      <w:r w:rsidRPr="008F7319">
        <w:rPr>
          <w:lang w:val="en-US" w:eastAsia="en-US"/>
        </w:rPr>
        <w:t>doi:http</w:t>
      </w:r>
      <w:proofErr w:type="spellEnd"/>
      <w:r w:rsidRPr="008F7319">
        <w:rPr>
          <w:lang w:val="en-US" w:eastAsia="en-US"/>
        </w:rPr>
        <w:t>://dspace.ewubd.edu:8080/handle/123456789/4253.</w:t>
      </w:r>
    </w:p>
    <w:p w:rsidR="00E576D6" w:rsidRPr="008F7319" w:rsidRDefault="00E576D6" w:rsidP="00E576D6">
      <w:pPr>
        <w:ind w:hanging="720"/>
        <w:rPr>
          <w:rFonts w:asciiTheme="minorBidi" w:hAnsiTheme="minorBidi" w:cstheme="minorBidi"/>
        </w:rPr>
      </w:pPr>
      <w:proofErr w:type="spellStart"/>
      <w:r w:rsidRPr="008F7319">
        <w:rPr>
          <w:rFonts w:asciiTheme="minorBidi" w:hAnsiTheme="minorBidi" w:cstheme="minorBidi"/>
        </w:rPr>
        <w:t>Alshibli</w:t>
      </w:r>
      <w:proofErr w:type="spellEnd"/>
      <w:r w:rsidRPr="008F7319">
        <w:rPr>
          <w:rFonts w:asciiTheme="minorBidi" w:hAnsiTheme="minorBidi" w:cstheme="minorBidi"/>
        </w:rPr>
        <w:t xml:space="preserve">, F. and </w:t>
      </w:r>
      <w:proofErr w:type="spellStart"/>
      <w:r w:rsidRPr="008F7319">
        <w:rPr>
          <w:rFonts w:asciiTheme="minorBidi" w:hAnsiTheme="minorBidi" w:cstheme="minorBidi"/>
        </w:rPr>
        <w:t>Alqarni</w:t>
      </w:r>
      <w:proofErr w:type="spellEnd"/>
      <w:r w:rsidRPr="008F7319">
        <w:rPr>
          <w:rFonts w:asciiTheme="minorBidi" w:hAnsiTheme="minorBidi" w:cstheme="minorBidi"/>
        </w:rPr>
        <w:t xml:space="preserve">, K. (2024). </w:t>
      </w:r>
      <w:proofErr w:type="spellStart"/>
      <w:r w:rsidRPr="008F7319">
        <w:rPr>
          <w:rFonts w:asciiTheme="minorBidi" w:hAnsiTheme="minorBidi" w:cstheme="minorBidi"/>
        </w:rPr>
        <w:t>Analyzing</w:t>
      </w:r>
      <w:proofErr w:type="spellEnd"/>
      <w:r w:rsidRPr="008F7319">
        <w:rPr>
          <w:rFonts w:asciiTheme="minorBidi" w:hAnsiTheme="minorBidi" w:cstheme="minorBidi"/>
        </w:rPr>
        <w:t xml:space="preserve"> the Causes and Impact of Essential Medicines and Supplies Shortages in the Supply Chain of the Ministry of Health in Saudi Arabia: A Quantitative Survey Study. </w:t>
      </w:r>
      <w:r w:rsidRPr="008F7319">
        <w:rPr>
          <w:rStyle w:val="Emphasis"/>
          <w:rFonts w:asciiTheme="minorBidi" w:eastAsiaTheme="majorEastAsia" w:hAnsiTheme="minorBidi" w:cstheme="minorBidi"/>
          <w:szCs w:val="24"/>
        </w:rPr>
        <w:t>Informatics in Medicine Unlocked</w:t>
      </w:r>
      <w:r w:rsidRPr="008F7319">
        <w:rPr>
          <w:rFonts w:asciiTheme="minorBidi" w:hAnsiTheme="minorBidi" w:cstheme="minorBidi"/>
        </w:rPr>
        <w:t xml:space="preserve">, pp.101457–101457. </w:t>
      </w:r>
      <w:proofErr w:type="spellStart"/>
      <w:r w:rsidRPr="008F7319">
        <w:rPr>
          <w:rFonts w:asciiTheme="minorBidi" w:hAnsiTheme="minorBidi" w:cstheme="minorBidi"/>
        </w:rPr>
        <w:t>doi</w:t>
      </w:r>
      <w:proofErr w:type="spellEnd"/>
      <w:r w:rsidRPr="008F7319">
        <w:rPr>
          <w:rFonts w:asciiTheme="minorBidi" w:hAnsiTheme="minorBidi" w:cstheme="minorBidi"/>
        </w:rPr>
        <w:t xml:space="preserve">: </w:t>
      </w:r>
      <w:hyperlink r:id="rId14" w:history="1">
        <w:r w:rsidRPr="008F7319">
          <w:rPr>
            <w:rFonts w:asciiTheme="minorBidi" w:eastAsiaTheme="majorEastAsia" w:hAnsiTheme="minorBidi" w:cstheme="minorBidi"/>
          </w:rPr>
          <w:t>https://doi.org/10.1016/j.imu.2024.101457</w:t>
        </w:r>
      </w:hyperlink>
    </w:p>
    <w:p w:rsidR="00E576D6" w:rsidRPr="008F7319" w:rsidRDefault="00E576D6" w:rsidP="00E576D6">
      <w:pPr>
        <w:ind w:hanging="720"/>
        <w:rPr>
          <w:lang w:val="en-US" w:eastAsia="en-US"/>
        </w:rPr>
      </w:pPr>
      <w:proofErr w:type="spellStart"/>
      <w:r w:rsidRPr="008F7319">
        <w:rPr>
          <w:lang w:val="en-US" w:eastAsia="en-US"/>
        </w:rPr>
        <w:t>Aushadh</w:t>
      </w:r>
      <w:proofErr w:type="spellEnd"/>
      <w:r w:rsidRPr="008F7319">
        <w:rPr>
          <w:lang w:val="en-US" w:eastAsia="en-US"/>
        </w:rPr>
        <w:t xml:space="preserve"> (2024). Guideline for quality assurance of locally sourced medical products for public health priority disease Directorate General of Drug Administration Supported by. [online] Available at: https://dgda.portal.gov.bd/sites/default/files/files/dgda.portal.gov.bd/policies/0f8aa3d5_7b80_4528_8391_f2229dc4ffc2/2025-01-14-06-35-7b53a990bcf4b3e1017d21b910f06ecc.pdf [Accessed 12 Dec. 2025].</w:t>
      </w:r>
    </w:p>
    <w:p w:rsidR="00E576D6" w:rsidRPr="008F7319" w:rsidRDefault="00E576D6" w:rsidP="00E576D6">
      <w:pPr>
        <w:ind w:hanging="720"/>
        <w:rPr>
          <w:lang w:val="en-US" w:eastAsia="en-US"/>
        </w:rPr>
      </w:pPr>
      <w:proofErr w:type="spellStart"/>
      <w:r w:rsidRPr="008F7319">
        <w:rPr>
          <w:lang w:val="en-US" w:eastAsia="en-US"/>
        </w:rPr>
        <w:t>Babin</w:t>
      </w:r>
      <w:proofErr w:type="spellEnd"/>
      <w:r w:rsidRPr="008F7319">
        <w:rPr>
          <w:lang w:val="en-US" w:eastAsia="en-US"/>
        </w:rPr>
        <w:t xml:space="preserve">, B.J., </w:t>
      </w:r>
      <w:proofErr w:type="spellStart"/>
      <w:r w:rsidRPr="008F7319">
        <w:rPr>
          <w:lang w:val="en-US" w:eastAsia="en-US"/>
        </w:rPr>
        <w:t>Zikmund</w:t>
      </w:r>
      <w:proofErr w:type="spellEnd"/>
      <w:r w:rsidRPr="008F7319">
        <w:rPr>
          <w:lang w:val="en-US" w:eastAsia="en-US"/>
        </w:rPr>
        <w:t xml:space="preserve">, W.G., Quinlan, C., </w:t>
      </w:r>
      <w:proofErr w:type="spellStart"/>
      <w:r w:rsidRPr="008F7319">
        <w:rPr>
          <w:lang w:val="en-US" w:eastAsia="en-US"/>
        </w:rPr>
        <w:t>Carr</w:t>
      </w:r>
      <w:proofErr w:type="spellEnd"/>
      <w:r w:rsidRPr="008F7319">
        <w:rPr>
          <w:lang w:val="en-US" w:eastAsia="en-US"/>
        </w:rPr>
        <w:t>, J.C. and Griffin, M. (2024). Business Research Methods. 2nd ed. Andover: Cengage Learning.</w:t>
      </w:r>
    </w:p>
    <w:p w:rsidR="00E576D6" w:rsidRPr="00D01562" w:rsidRDefault="00E576D6" w:rsidP="00E576D6">
      <w:pPr>
        <w:ind w:hanging="720"/>
      </w:pPr>
      <w:proofErr w:type="spellStart"/>
      <w:r w:rsidRPr="00D01562">
        <w:t>Badreldin</w:t>
      </w:r>
      <w:proofErr w:type="spellEnd"/>
      <w:r w:rsidRPr="00D01562">
        <w:t xml:space="preserve">, H.A. and </w:t>
      </w:r>
      <w:proofErr w:type="spellStart"/>
      <w:r w:rsidRPr="00D01562">
        <w:t>Atallah</w:t>
      </w:r>
      <w:proofErr w:type="spellEnd"/>
      <w:r w:rsidRPr="00D01562">
        <w:t xml:space="preserve">, B. (2021) ‘Global drug shortages due to COVID-19: Impact on patient care and mitigation strategies’, </w:t>
      </w:r>
      <w:r w:rsidRPr="008F7319">
        <w:rPr>
          <w:rStyle w:val="Emphasis"/>
          <w:rFonts w:asciiTheme="minorBidi" w:eastAsiaTheme="majorEastAsia" w:hAnsiTheme="minorBidi" w:cstheme="minorBidi"/>
          <w:szCs w:val="24"/>
        </w:rPr>
        <w:t>Research in Social and Administrative Pharmacy</w:t>
      </w:r>
      <w:r w:rsidRPr="00D01562">
        <w:t>. Available at: https://doi.org/10.1016/j.sapharm.2020.05.017 (Accessed: 23 December 2025).</w:t>
      </w:r>
    </w:p>
    <w:p w:rsidR="00E576D6" w:rsidRPr="008F7319" w:rsidRDefault="00E576D6" w:rsidP="00E576D6">
      <w:pPr>
        <w:ind w:hanging="720"/>
        <w:rPr>
          <w:lang w:val="en-US" w:eastAsia="en-US"/>
        </w:rPr>
      </w:pPr>
      <w:r w:rsidRPr="008F7319">
        <w:rPr>
          <w:lang w:val="en-US" w:eastAsia="en-US"/>
        </w:rPr>
        <w:t>Bangladesh Bureau of Statistics (2025). BANGLADESH STATE OF THE ECONOMY 2025. [online] Available at: https://gedkp.gov.bd/wp-content/uploads/2025/12/Bangladesh-State-of-the-Economy-2025-Final.pdf [Accessed 19 Dec. 2025].</w:t>
      </w:r>
    </w:p>
    <w:p w:rsidR="00E576D6" w:rsidRPr="008F7319" w:rsidRDefault="00E576D6" w:rsidP="00E576D6">
      <w:pPr>
        <w:ind w:hanging="720"/>
        <w:rPr>
          <w:lang w:val="en-US" w:eastAsia="en-US"/>
        </w:rPr>
      </w:pPr>
      <w:r w:rsidRPr="008F7319">
        <w:rPr>
          <w:lang w:val="en-US" w:eastAsia="en-US"/>
        </w:rPr>
        <w:lastRenderedPageBreak/>
        <w:t xml:space="preserve">BAW (2024). </w:t>
      </w:r>
      <w:r w:rsidRPr="008F7319">
        <w:rPr>
          <w:i/>
          <w:iCs/>
          <w:lang w:val="en-US" w:eastAsia="en-US"/>
        </w:rPr>
        <w:t>Bangladesh Single Window User Manual for CLP Submission Department of Environment (</w:t>
      </w:r>
      <w:proofErr w:type="spellStart"/>
      <w:r w:rsidRPr="008F7319">
        <w:rPr>
          <w:i/>
          <w:iCs/>
          <w:lang w:val="en-US" w:eastAsia="en-US"/>
        </w:rPr>
        <w:t>DoEN</w:t>
      </w:r>
      <w:proofErr w:type="spellEnd"/>
      <w:r w:rsidRPr="008F7319">
        <w:rPr>
          <w:i/>
          <w:iCs/>
          <w:lang w:val="en-US" w:eastAsia="en-US"/>
        </w:rPr>
        <w:t>)</w:t>
      </w:r>
      <w:r w:rsidRPr="008F7319">
        <w:rPr>
          <w:lang w:val="en-US" w:eastAsia="en-US"/>
        </w:rPr>
        <w:t>. [online] Available at: https://bswnbr.gov.bd/trade-server/wp-content/uploads/2024/06/3.-CLP-Submission-User-Manual.pdf [Accessed 21 Dec. 2025].</w:t>
      </w:r>
    </w:p>
    <w:p w:rsidR="00E576D6" w:rsidRPr="008F7319" w:rsidRDefault="00E576D6" w:rsidP="00E576D6">
      <w:pPr>
        <w:ind w:hanging="720"/>
        <w:rPr>
          <w:lang w:val="en-US" w:eastAsia="en-US"/>
        </w:rPr>
      </w:pPr>
      <w:proofErr w:type="spellStart"/>
      <w:r w:rsidRPr="008F7319">
        <w:rPr>
          <w:lang w:val="en-US" w:eastAsia="en-US"/>
        </w:rPr>
        <w:t>Botrić</w:t>
      </w:r>
      <w:proofErr w:type="spellEnd"/>
      <w:r w:rsidRPr="008F7319">
        <w:rPr>
          <w:lang w:val="en-US" w:eastAsia="en-US"/>
        </w:rPr>
        <w:t xml:space="preserve">, V. and </w:t>
      </w:r>
      <w:proofErr w:type="spellStart"/>
      <w:r w:rsidRPr="008F7319">
        <w:rPr>
          <w:lang w:val="en-US" w:eastAsia="en-US"/>
        </w:rPr>
        <w:t>Božić</w:t>
      </w:r>
      <w:proofErr w:type="spellEnd"/>
      <w:r w:rsidRPr="008F7319">
        <w:rPr>
          <w:lang w:val="en-US" w:eastAsia="en-US"/>
        </w:rPr>
        <w:t xml:space="preserve">, L. (2021). The digital divide and E-government in European economies. </w:t>
      </w:r>
      <w:r w:rsidRPr="008F7319">
        <w:rPr>
          <w:i/>
          <w:iCs/>
          <w:lang w:val="en-US" w:eastAsia="en-US"/>
        </w:rPr>
        <w:t>Economic Research-</w:t>
      </w:r>
      <w:proofErr w:type="spellStart"/>
      <w:r w:rsidRPr="008F7319">
        <w:rPr>
          <w:i/>
          <w:iCs/>
          <w:lang w:val="en-US" w:eastAsia="en-US"/>
        </w:rPr>
        <w:t>Ekonomska</w:t>
      </w:r>
      <w:proofErr w:type="spellEnd"/>
      <w:r w:rsidRPr="008F7319">
        <w:rPr>
          <w:i/>
          <w:iCs/>
          <w:lang w:val="en-US" w:eastAsia="en-US"/>
        </w:rPr>
        <w:t xml:space="preserve"> </w:t>
      </w:r>
      <w:proofErr w:type="spellStart"/>
      <w:r w:rsidRPr="008F7319">
        <w:rPr>
          <w:i/>
          <w:iCs/>
          <w:lang w:val="en-US" w:eastAsia="en-US"/>
        </w:rPr>
        <w:t>Istraživanja</w:t>
      </w:r>
      <w:proofErr w:type="spellEnd"/>
      <w:r w:rsidRPr="008F7319">
        <w:rPr>
          <w:lang w:val="en-US" w:eastAsia="en-US"/>
        </w:rPr>
        <w:t xml:space="preserve">, 34(1), pp.1–20. </w:t>
      </w:r>
      <w:proofErr w:type="spellStart"/>
      <w:r w:rsidRPr="008F7319">
        <w:rPr>
          <w:lang w:val="en-US" w:eastAsia="en-US"/>
        </w:rPr>
        <w:t>doi:https</w:t>
      </w:r>
      <w:proofErr w:type="spellEnd"/>
      <w:r w:rsidRPr="008F7319">
        <w:rPr>
          <w:lang w:val="en-US" w:eastAsia="en-US"/>
        </w:rPr>
        <w:t>://doi.org/10.1080/1331677x.2020.1863828.</w:t>
      </w:r>
    </w:p>
    <w:p w:rsidR="00E576D6" w:rsidRPr="008F7319" w:rsidRDefault="00E576D6" w:rsidP="00E576D6">
      <w:pPr>
        <w:ind w:hanging="720"/>
        <w:rPr>
          <w:lang w:val="en-US" w:eastAsia="en-US"/>
        </w:rPr>
      </w:pPr>
      <w:r w:rsidRPr="008F7319">
        <w:rPr>
          <w:lang w:val="en-US" w:eastAsia="en-US"/>
        </w:rPr>
        <w:t xml:space="preserve">Bowen, G.A. (2019). Document Analysis as a Qualitative Research Method. </w:t>
      </w:r>
      <w:r w:rsidRPr="008F7319">
        <w:rPr>
          <w:i/>
          <w:iCs/>
          <w:lang w:val="en-US" w:eastAsia="en-US"/>
        </w:rPr>
        <w:t>Qualitative Research Journal</w:t>
      </w:r>
      <w:r w:rsidRPr="008F7319">
        <w:rPr>
          <w:lang w:val="en-US" w:eastAsia="en-US"/>
        </w:rPr>
        <w:t xml:space="preserve">, [online] 9(2), pp.27–40. </w:t>
      </w:r>
      <w:proofErr w:type="spellStart"/>
      <w:r w:rsidRPr="008F7319">
        <w:rPr>
          <w:lang w:val="en-US" w:eastAsia="en-US"/>
        </w:rPr>
        <w:t>doi:https</w:t>
      </w:r>
      <w:proofErr w:type="spellEnd"/>
      <w:r w:rsidRPr="008F7319">
        <w:rPr>
          <w:lang w:val="en-US" w:eastAsia="en-US"/>
        </w:rPr>
        <w:t>://doi.org/10.3316/QRJ0902027.</w:t>
      </w:r>
    </w:p>
    <w:p w:rsidR="00E576D6" w:rsidRPr="008F7319" w:rsidRDefault="00E576D6" w:rsidP="00E576D6">
      <w:pPr>
        <w:ind w:hanging="720"/>
        <w:rPr>
          <w:lang w:val="en-US" w:eastAsia="en-US"/>
        </w:rPr>
      </w:pPr>
      <w:r w:rsidRPr="008F7319">
        <w:rPr>
          <w:lang w:val="en-US" w:eastAsia="en-US"/>
        </w:rPr>
        <w:t xml:space="preserve">Campbell, K., Orr, E., </w:t>
      </w:r>
      <w:proofErr w:type="spellStart"/>
      <w:r w:rsidRPr="008F7319">
        <w:rPr>
          <w:lang w:val="en-US" w:eastAsia="en-US"/>
        </w:rPr>
        <w:t>Durepos</w:t>
      </w:r>
      <w:proofErr w:type="spellEnd"/>
      <w:r w:rsidRPr="008F7319">
        <w:rPr>
          <w:lang w:val="en-US" w:eastAsia="en-US"/>
        </w:rPr>
        <w:t xml:space="preserve">, P., Nguyen, L., Li, L., Whitmore, C., </w:t>
      </w:r>
      <w:proofErr w:type="spellStart"/>
      <w:r w:rsidRPr="008F7319">
        <w:rPr>
          <w:lang w:val="en-US" w:eastAsia="en-US"/>
        </w:rPr>
        <w:t>Gehrke</w:t>
      </w:r>
      <w:proofErr w:type="spellEnd"/>
      <w:r w:rsidRPr="008F7319">
        <w:rPr>
          <w:lang w:val="en-US" w:eastAsia="en-US"/>
        </w:rPr>
        <w:t xml:space="preserve">, P., Graham, L. and Jack, S. (2021). Reflexive Thematic Analysis for Applied Qualitative Health Research. </w:t>
      </w:r>
      <w:r w:rsidRPr="008F7319">
        <w:rPr>
          <w:i/>
          <w:iCs/>
          <w:lang w:val="en-US" w:eastAsia="en-US"/>
        </w:rPr>
        <w:t>The Qualitative Report</w:t>
      </w:r>
      <w:r w:rsidRPr="008F7319">
        <w:rPr>
          <w:lang w:val="en-US" w:eastAsia="en-US"/>
        </w:rPr>
        <w:t>, [online] 26(6), pp.2011–2028. Available at: https://nsuworks.nova.edu/cgi/viewcontent.cgi?article=5010&amp;context=tqr [Accessed 21 Dec. 2025].</w:t>
      </w:r>
    </w:p>
    <w:p w:rsidR="00E576D6" w:rsidRPr="00D01562" w:rsidRDefault="00E576D6" w:rsidP="00E576D6">
      <w:pPr>
        <w:ind w:hanging="720"/>
      </w:pPr>
      <w:r w:rsidRPr="00D01562">
        <w:t xml:space="preserve">Christopher, T. and Blake, H. (2025). Regulatory compliance and its financial implications. [online] Available at: </w:t>
      </w:r>
      <w:hyperlink r:id="rId15" w:tgtFrame="_new" w:history="1">
        <w:r w:rsidRPr="008F7319">
          <w:rPr>
            <w:rFonts w:eastAsiaTheme="majorEastAsia"/>
          </w:rPr>
          <w:t>https://www.researchgate.net/publication/395106580_Regulatory_compliance_and_its_financial_implications</w:t>
        </w:r>
      </w:hyperlink>
      <w:r w:rsidRPr="00D01562">
        <w:t xml:space="preserve"> [Accessed 27 Oct. 2025].</w:t>
      </w:r>
    </w:p>
    <w:p w:rsidR="00E576D6" w:rsidRPr="008F7319" w:rsidRDefault="00E576D6" w:rsidP="00E576D6">
      <w:pPr>
        <w:ind w:hanging="720"/>
        <w:rPr>
          <w:lang w:val="en-US" w:eastAsia="en-US"/>
        </w:rPr>
      </w:pPr>
      <w:r w:rsidRPr="008F7319">
        <w:rPr>
          <w:lang w:val="en-US" w:eastAsia="en-US"/>
        </w:rPr>
        <w:t xml:space="preserve">Creswell, J.W. and </w:t>
      </w:r>
      <w:proofErr w:type="spellStart"/>
      <w:r w:rsidRPr="008F7319">
        <w:rPr>
          <w:lang w:val="en-US" w:eastAsia="en-US"/>
        </w:rPr>
        <w:t>Poth</w:t>
      </w:r>
      <w:proofErr w:type="spellEnd"/>
      <w:r w:rsidRPr="008F7319">
        <w:rPr>
          <w:lang w:val="en-US" w:eastAsia="en-US"/>
        </w:rPr>
        <w:t xml:space="preserve">, C.N. (2018). </w:t>
      </w:r>
      <w:r w:rsidRPr="008F7319">
        <w:rPr>
          <w:i/>
          <w:iCs/>
          <w:lang w:val="en-US" w:eastAsia="en-US"/>
        </w:rPr>
        <w:t>Qualitative inquiry and research design: Choosing among five approaches</w:t>
      </w:r>
      <w:r w:rsidRPr="008F7319">
        <w:rPr>
          <w:lang w:val="en-US" w:eastAsia="en-US"/>
        </w:rPr>
        <w:t>. 4th ed. Los Angeles: Sage Publications.</w:t>
      </w:r>
    </w:p>
    <w:p w:rsidR="00E576D6" w:rsidRPr="00D01562" w:rsidRDefault="00E576D6" w:rsidP="00E576D6">
      <w:pPr>
        <w:ind w:hanging="720"/>
      </w:pPr>
      <w:r w:rsidRPr="00D01562">
        <w:t xml:space="preserve">Creswell, J.W., and </w:t>
      </w:r>
      <w:proofErr w:type="spellStart"/>
      <w:r w:rsidRPr="00D01562">
        <w:t>Poth</w:t>
      </w:r>
      <w:proofErr w:type="spellEnd"/>
      <w:r w:rsidRPr="00D01562">
        <w:t xml:space="preserve">, C.N. (2018). </w:t>
      </w:r>
      <w:r w:rsidRPr="008F7319">
        <w:rPr>
          <w:rStyle w:val="Emphasis"/>
          <w:rFonts w:asciiTheme="minorBidi" w:eastAsiaTheme="majorEastAsia" w:hAnsiTheme="minorBidi" w:cstheme="minorBidi"/>
          <w:szCs w:val="24"/>
        </w:rPr>
        <w:t>Qualitative Inquiry and Research Design: Choosing Among Five Approaches</w:t>
      </w:r>
      <w:r w:rsidRPr="00D01562">
        <w:t>. 4th ed. Thousand Oaks, CA: Sage Publications.</w:t>
      </w:r>
    </w:p>
    <w:p w:rsidR="00E576D6" w:rsidRPr="008F7319" w:rsidRDefault="00E576D6" w:rsidP="00E576D6">
      <w:pPr>
        <w:ind w:hanging="720"/>
        <w:rPr>
          <w:lang w:val="en-US" w:eastAsia="en-US"/>
        </w:rPr>
      </w:pPr>
      <w:r w:rsidRPr="008F7319">
        <w:rPr>
          <w:lang w:val="en-US" w:eastAsia="en-US"/>
        </w:rPr>
        <w:t xml:space="preserve">Daily Star (2025). </w:t>
      </w:r>
      <w:r w:rsidRPr="008F7319">
        <w:rPr>
          <w:i/>
          <w:iCs/>
          <w:lang w:val="en-US" w:eastAsia="en-US"/>
        </w:rPr>
        <w:t xml:space="preserve">How Bangladesh can </w:t>
      </w:r>
      <w:proofErr w:type="spellStart"/>
      <w:r w:rsidRPr="008F7319">
        <w:rPr>
          <w:i/>
          <w:iCs/>
          <w:lang w:val="en-US" w:eastAsia="en-US"/>
        </w:rPr>
        <w:t>institutionalise</w:t>
      </w:r>
      <w:proofErr w:type="spellEnd"/>
      <w:r w:rsidRPr="008F7319">
        <w:rPr>
          <w:i/>
          <w:iCs/>
          <w:lang w:val="en-US" w:eastAsia="en-US"/>
        </w:rPr>
        <w:t xml:space="preserve"> social enterprises</w:t>
      </w:r>
      <w:r w:rsidRPr="008F7319">
        <w:rPr>
          <w:lang w:val="en-US" w:eastAsia="en-US"/>
        </w:rPr>
        <w:t>. [online] The Daily Star. Available at: https://www.thedailystar.net/opinion/views/news/how-bangladesh-can-institutionalise-social-enterprises-4020061 [Accessed 19 Dec. 2025].</w:t>
      </w:r>
    </w:p>
    <w:p w:rsidR="00E576D6" w:rsidRPr="008F7319" w:rsidRDefault="00E576D6" w:rsidP="00E576D6">
      <w:pPr>
        <w:ind w:hanging="720"/>
        <w:rPr>
          <w:lang w:val="en-US" w:eastAsia="en-US"/>
        </w:rPr>
      </w:pPr>
      <w:r w:rsidRPr="008F7319">
        <w:rPr>
          <w:lang w:val="en-US" w:eastAsia="en-US"/>
        </w:rPr>
        <w:t xml:space="preserve">DGDA (2023). </w:t>
      </w:r>
      <w:r w:rsidRPr="008F7319">
        <w:rPr>
          <w:i/>
          <w:iCs/>
          <w:lang w:val="en-US" w:eastAsia="en-US"/>
        </w:rPr>
        <w:t>Health Services Division Ministry of Health and Family Welfare Government of the People’s Republic of Bangladesh</w:t>
      </w:r>
      <w:r w:rsidRPr="008F7319">
        <w:rPr>
          <w:lang w:val="en-US" w:eastAsia="en-US"/>
        </w:rPr>
        <w:t>. [online] Available at: https://dgda.gov.bd/sites/default/files/files/dgda.portal.gov.bd/notices/f3f3e5c3_beea_400d_97ea_057a25062b3a/2023-12-19-09-06-8fe9174f8e13dc331ec68c5b02ab9d23.pdf [Accessed 12 Dec. 2025].</w:t>
      </w:r>
    </w:p>
    <w:p w:rsidR="00E576D6" w:rsidRPr="008F7319" w:rsidRDefault="00E576D6" w:rsidP="00E576D6">
      <w:pPr>
        <w:ind w:hanging="720"/>
        <w:rPr>
          <w:lang w:val="en-US" w:eastAsia="en-US"/>
        </w:rPr>
      </w:pPr>
      <w:r w:rsidRPr="008F7319">
        <w:rPr>
          <w:lang w:val="en-US" w:eastAsia="en-US"/>
        </w:rPr>
        <w:lastRenderedPageBreak/>
        <w:t xml:space="preserve">DTDA (2024). </w:t>
      </w:r>
      <w:r w:rsidRPr="008F7319">
        <w:rPr>
          <w:i/>
          <w:iCs/>
          <w:lang w:val="en-US" w:eastAsia="en-US"/>
        </w:rPr>
        <w:t>LABOUR MARKET PROFILE Bangladesh</w:t>
      </w:r>
      <w:r w:rsidRPr="008F7319">
        <w:rPr>
          <w:lang w:val="en-US" w:eastAsia="en-US"/>
        </w:rPr>
        <w:t>. [online] Available at: https://www.ulandssekretariatet.dk/wp-content/uploads/2024/03/LMP-Bangladesh-2024-final.pdf? [Accessed 20 Dec. 2025].</w:t>
      </w:r>
    </w:p>
    <w:p w:rsidR="00E576D6" w:rsidRPr="00D01562" w:rsidRDefault="00E576D6" w:rsidP="00E576D6">
      <w:pPr>
        <w:ind w:hanging="720"/>
      </w:pPr>
      <w:proofErr w:type="spellStart"/>
      <w:r w:rsidRPr="00D01562">
        <w:t>Fatin</w:t>
      </w:r>
      <w:proofErr w:type="spellEnd"/>
      <w:r w:rsidRPr="00D01562">
        <w:t xml:space="preserve"> </w:t>
      </w:r>
      <w:proofErr w:type="spellStart"/>
      <w:r w:rsidRPr="00D01562">
        <w:t>Alshibli</w:t>
      </w:r>
      <w:proofErr w:type="spellEnd"/>
      <w:r w:rsidRPr="00D01562">
        <w:t xml:space="preserve"> and Khaled </w:t>
      </w:r>
      <w:proofErr w:type="spellStart"/>
      <w:r w:rsidRPr="00D01562">
        <w:t>Alqarni</w:t>
      </w:r>
      <w:proofErr w:type="spellEnd"/>
      <w:r w:rsidRPr="00D01562">
        <w:t xml:space="preserve"> (2024). </w:t>
      </w:r>
      <w:proofErr w:type="spellStart"/>
      <w:r w:rsidRPr="00D01562">
        <w:t>Analyzing</w:t>
      </w:r>
      <w:proofErr w:type="spellEnd"/>
      <w:r w:rsidRPr="00D01562">
        <w:t xml:space="preserve"> the causes and impact of essential medicines and supplies shortages in the supply chain of the Ministry of health in Saudi Arabia: A quantitative survey study. </w:t>
      </w:r>
      <w:r w:rsidRPr="008F7319">
        <w:rPr>
          <w:i/>
          <w:iCs/>
        </w:rPr>
        <w:t>Informatics in Medicine Unlocked</w:t>
      </w:r>
      <w:r w:rsidRPr="00D01562">
        <w:t xml:space="preserve">, pp.101457–101457. </w:t>
      </w:r>
      <w:proofErr w:type="spellStart"/>
      <w:r w:rsidRPr="00D01562">
        <w:t>doi:https</w:t>
      </w:r>
      <w:proofErr w:type="spellEnd"/>
      <w:r w:rsidRPr="00D01562">
        <w:t>://doi.org/10.1016/j.imu.2024.101457.</w:t>
      </w:r>
    </w:p>
    <w:p w:rsidR="00E576D6" w:rsidRPr="008F7319" w:rsidRDefault="00E576D6" w:rsidP="00E576D6">
      <w:pPr>
        <w:ind w:hanging="720"/>
        <w:rPr>
          <w:lang w:val="en-US" w:eastAsia="en-US"/>
        </w:rPr>
      </w:pPr>
      <w:r w:rsidRPr="008F7319">
        <w:rPr>
          <w:lang w:val="en-US" w:eastAsia="en-US"/>
        </w:rPr>
        <w:t xml:space="preserve">Golam </w:t>
      </w:r>
      <w:proofErr w:type="spellStart"/>
      <w:proofErr w:type="gramStart"/>
      <w:r w:rsidRPr="008F7319">
        <w:rPr>
          <w:lang w:val="en-US" w:eastAsia="en-US"/>
        </w:rPr>
        <w:t>Moazzem</w:t>
      </w:r>
      <w:proofErr w:type="spellEnd"/>
      <w:r w:rsidRPr="008F7319">
        <w:rPr>
          <w:lang w:val="en-US" w:eastAsia="en-US"/>
        </w:rPr>
        <w:t xml:space="preserve"> ,</w:t>
      </w:r>
      <w:proofErr w:type="gramEnd"/>
      <w:r w:rsidRPr="008F7319">
        <w:rPr>
          <w:lang w:val="en-US" w:eastAsia="en-US"/>
        </w:rPr>
        <w:t xml:space="preserve"> K. and </w:t>
      </w:r>
      <w:proofErr w:type="spellStart"/>
      <w:r w:rsidRPr="008F7319">
        <w:rPr>
          <w:lang w:val="en-US" w:eastAsia="en-US"/>
        </w:rPr>
        <w:t>Jafrin</w:t>
      </w:r>
      <w:proofErr w:type="spellEnd"/>
      <w:r w:rsidRPr="008F7319">
        <w:rPr>
          <w:lang w:val="en-US" w:eastAsia="en-US"/>
        </w:rPr>
        <w:t>, S. (2024). Identifying Regulatory, Institutional, and Operational Barriers in Bangladesh’s Business Environment - Business Process Reengineering Approach | CPD. [online] Centre for Policy Dialogue (CPD). Available at: https://cpd.org.bd/publication/identifying-regulatory-institutional-and-operational-barriers-in-bangladeshs-business-environment/ [Accessed 12 Dec. 2025].</w:t>
      </w:r>
    </w:p>
    <w:p w:rsidR="00E576D6" w:rsidRPr="00470C1E" w:rsidRDefault="00E576D6" w:rsidP="00E576D6">
      <w:pPr>
        <w:ind w:hanging="720"/>
        <w:rPr>
          <w:lang w:val="en-US" w:eastAsia="en-US"/>
        </w:rPr>
      </w:pPr>
      <w:proofErr w:type="spellStart"/>
      <w:r w:rsidRPr="00470C1E">
        <w:rPr>
          <w:lang w:val="en-US" w:eastAsia="en-US"/>
        </w:rPr>
        <w:t>Gorsky</w:t>
      </w:r>
      <w:proofErr w:type="spellEnd"/>
      <w:r w:rsidRPr="00470C1E">
        <w:rPr>
          <w:lang w:val="en-US" w:eastAsia="en-US"/>
        </w:rPr>
        <w:t xml:space="preserve">, M. and Mold, A. (2019). Documentary Analysis. </w:t>
      </w:r>
      <w:r w:rsidRPr="00470C1E">
        <w:rPr>
          <w:i/>
          <w:iCs/>
          <w:lang w:val="en-US" w:eastAsia="en-US"/>
        </w:rPr>
        <w:t>Qualitative Research in Health Care</w:t>
      </w:r>
      <w:r w:rsidRPr="00470C1E">
        <w:rPr>
          <w:lang w:val="en-US" w:eastAsia="en-US"/>
        </w:rPr>
        <w:t xml:space="preserve">, pp.83–96. </w:t>
      </w:r>
      <w:proofErr w:type="spellStart"/>
      <w:r w:rsidRPr="00470C1E">
        <w:rPr>
          <w:lang w:val="en-US" w:eastAsia="en-US"/>
        </w:rPr>
        <w:t>doi:https</w:t>
      </w:r>
      <w:proofErr w:type="spellEnd"/>
      <w:r w:rsidRPr="00470C1E">
        <w:rPr>
          <w:lang w:val="en-US" w:eastAsia="en-US"/>
        </w:rPr>
        <w:t>://doi.org/10.1002/9781119410867.ch7.</w:t>
      </w:r>
    </w:p>
    <w:p w:rsidR="00E576D6" w:rsidRPr="008F7319" w:rsidRDefault="00E576D6" w:rsidP="00E576D6">
      <w:pPr>
        <w:ind w:hanging="720"/>
        <w:rPr>
          <w:lang w:val="en-US" w:eastAsia="en-US"/>
        </w:rPr>
      </w:pPr>
      <w:proofErr w:type="spellStart"/>
      <w:r w:rsidRPr="008F7319">
        <w:rPr>
          <w:lang w:val="en-US" w:eastAsia="en-US"/>
        </w:rPr>
        <w:t>Halder</w:t>
      </w:r>
      <w:proofErr w:type="spellEnd"/>
      <w:r w:rsidRPr="008F7319">
        <w:rPr>
          <w:lang w:val="en-US" w:eastAsia="en-US"/>
        </w:rPr>
        <w:t>, S. (2025). SMEs lose credit appetite in economic turbulence. [online] The Daily Star. Available at: https://www.thedailystar.net/business/news/smes-lose-credit-appetite-economic-turbulence-3805241? [Accessed 20 Dec. 2025].</w:t>
      </w:r>
    </w:p>
    <w:p w:rsidR="00E576D6" w:rsidRPr="008F7319" w:rsidRDefault="00E576D6" w:rsidP="00E576D6">
      <w:pPr>
        <w:ind w:hanging="720"/>
        <w:rPr>
          <w:lang w:val="en-US" w:eastAsia="en-US"/>
        </w:rPr>
      </w:pPr>
      <w:proofErr w:type="spellStart"/>
      <w:r w:rsidRPr="008F7319">
        <w:rPr>
          <w:lang w:val="en-US" w:eastAsia="en-US"/>
        </w:rPr>
        <w:t>Hoque</w:t>
      </w:r>
      <w:proofErr w:type="spellEnd"/>
      <w:r w:rsidRPr="008F7319">
        <w:rPr>
          <w:lang w:val="en-US" w:eastAsia="en-US"/>
        </w:rPr>
        <w:t xml:space="preserve">, R., Ahmed, S.M., </w:t>
      </w:r>
      <w:proofErr w:type="spellStart"/>
      <w:r w:rsidRPr="008F7319">
        <w:rPr>
          <w:lang w:val="en-US" w:eastAsia="en-US"/>
        </w:rPr>
        <w:t>Naher</w:t>
      </w:r>
      <w:proofErr w:type="spellEnd"/>
      <w:r w:rsidRPr="008F7319">
        <w:rPr>
          <w:lang w:val="en-US" w:eastAsia="en-US"/>
        </w:rPr>
        <w:t xml:space="preserve">, N., Islam, M.A. and </w:t>
      </w:r>
      <w:proofErr w:type="spellStart"/>
      <w:r w:rsidRPr="008F7319">
        <w:rPr>
          <w:lang w:val="en-US" w:eastAsia="en-US"/>
        </w:rPr>
        <w:t>Rousham</w:t>
      </w:r>
      <w:proofErr w:type="spellEnd"/>
      <w:r w:rsidRPr="008F7319">
        <w:rPr>
          <w:lang w:val="en-US" w:eastAsia="en-US"/>
        </w:rPr>
        <w:t xml:space="preserve">, E.K. (2020). Tackling antimicrobial resistance in Bangladesh: A scoping review of policy and practice in human, animal and environment sectors. PLOS ONE, 15(1), </w:t>
      </w:r>
      <w:proofErr w:type="gramStart"/>
      <w:r w:rsidRPr="008F7319">
        <w:rPr>
          <w:lang w:val="en-US" w:eastAsia="en-US"/>
        </w:rPr>
        <w:t>p.e</w:t>
      </w:r>
      <w:proofErr w:type="gramEnd"/>
      <w:r w:rsidRPr="008F7319">
        <w:rPr>
          <w:lang w:val="en-US" w:eastAsia="en-US"/>
        </w:rPr>
        <w:t xml:space="preserve">0227947. </w:t>
      </w:r>
      <w:proofErr w:type="spellStart"/>
      <w:r w:rsidRPr="008F7319">
        <w:rPr>
          <w:lang w:val="en-US" w:eastAsia="en-US"/>
        </w:rPr>
        <w:t>doi:https</w:t>
      </w:r>
      <w:proofErr w:type="spellEnd"/>
      <w:r w:rsidRPr="008F7319">
        <w:rPr>
          <w:lang w:val="en-US" w:eastAsia="en-US"/>
        </w:rPr>
        <w:t>://doi.org/10.1371/journal.pone.0227947.</w:t>
      </w:r>
    </w:p>
    <w:p w:rsidR="00E576D6" w:rsidRPr="008F7319" w:rsidRDefault="00E576D6" w:rsidP="00E576D6">
      <w:pPr>
        <w:ind w:hanging="720"/>
        <w:rPr>
          <w:lang w:val="en-US" w:eastAsia="en-US"/>
        </w:rPr>
      </w:pPr>
      <w:r w:rsidRPr="008F7319">
        <w:rPr>
          <w:lang w:val="en-US" w:eastAsia="en-US"/>
        </w:rPr>
        <w:t xml:space="preserve">Islam, S. and Rahman, A. (2018). Bangladesh Pharmaceutical Industry: Perspective and the Prospects. Bangladesh Journal of Medical Science, 17(4), pp.519–525. </w:t>
      </w:r>
      <w:proofErr w:type="spellStart"/>
      <w:r w:rsidRPr="008F7319">
        <w:rPr>
          <w:lang w:val="en-US" w:eastAsia="en-US"/>
        </w:rPr>
        <w:t>doi:https</w:t>
      </w:r>
      <w:proofErr w:type="spellEnd"/>
      <w:r w:rsidRPr="008F7319">
        <w:rPr>
          <w:lang w:val="en-US" w:eastAsia="en-US"/>
        </w:rPr>
        <w:t>://doi.org/10.3329/</w:t>
      </w:r>
      <w:proofErr w:type="gramStart"/>
      <w:r w:rsidRPr="008F7319">
        <w:rPr>
          <w:lang w:val="en-US" w:eastAsia="en-US"/>
        </w:rPr>
        <w:t>bjms.v</w:t>
      </w:r>
      <w:proofErr w:type="gramEnd"/>
      <w:r w:rsidRPr="008F7319">
        <w:rPr>
          <w:lang w:val="en-US" w:eastAsia="en-US"/>
        </w:rPr>
        <w:t>17i4.38306.</w:t>
      </w:r>
    </w:p>
    <w:p w:rsidR="00E576D6" w:rsidRPr="008F7319" w:rsidRDefault="00E576D6" w:rsidP="00E576D6">
      <w:pPr>
        <w:ind w:hanging="720"/>
        <w:rPr>
          <w:lang w:val="en-US" w:eastAsia="en-US"/>
        </w:rPr>
      </w:pPr>
      <w:r w:rsidRPr="008F7319">
        <w:rPr>
          <w:lang w:val="en-US" w:eastAsia="en-US"/>
        </w:rPr>
        <w:t xml:space="preserve">Jennie D. (2024). </w:t>
      </w:r>
      <w:r w:rsidRPr="008F7319">
        <w:rPr>
          <w:i/>
          <w:iCs/>
          <w:lang w:val="en-US" w:eastAsia="en-US"/>
        </w:rPr>
        <w:t>The administrative burden of doing business with the government - VIVE</w:t>
      </w:r>
      <w:r w:rsidRPr="008F7319">
        <w:rPr>
          <w:lang w:val="en-US" w:eastAsia="en-US"/>
        </w:rPr>
        <w:t>. [online] vive.dk. Available at: https://www.vive.dk/en/publications/the-administrative-burden-of-doing-business-with-the-government-kx0l92xl/? [Accessed 21 Dec. 2025].</w:t>
      </w:r>
    </w:p>
    <w:p w:rsidR="00E576D6" w:rsidRPr="008F7319" w:rsidRDefault="00E576D6" w:rsidP="00E576D6">
      <w:pPr>
        <w:ind w:hanging="720"/>
        <w:rPr>
          <w:lang w:val="en-US" w:eastAsia="en-US"/>
        </w:rPr>
      </w:pPr>
      <w:proofErr w:type="spellStart"/>
      <w:r w:rsidRPr="008F7319">
        <w:rPr>
          <w:lang w:val="en-US" w:eastAsia="en-US"/>
        </w:rPr>
        <w:t>Kanan</w:t>
      </w:r>
      <w:proofErr w:type="spellEnd"/>
      <w:r w:rsidRPr="008F7319">
        <w:rPr>
          <w:lang w:val="en-US" w:eastAsia="en-US"/>
        </w:rPr>
        <w:t xml:space="preserve">, M., </w:t>
      </w:r>
      <w:proofErr w:type="spellStart"/>
      <w:r w:rsidRPr="008F7319">
        <w:rPr>
          <w:lang w:val="en-US" w:eastAsia="en-US"/>
        </w:rPr>
        <w:t>Reem</w:t>
      </w:r>
      <w:proofErr w:type="spellEnd"/>
      <w:r w:rsidRPr="008F7319">
        <w:rPr>
          <w:lang w:val="en-US" w:eastAsia="en-US"/>
        </w:rPr>
        <w:t xml:space="preserve"> </w:t>
      </w:r>
      <w:proofErr w:type="spellStart"/>
      <w:r w:rsidRPr="008F7319">
        <w:rPr>
          <w:lang w:val="en-US" w:eastAsia="en-US"/>
        </w:rPr>
        <w:t>Alraya</w:t>
      </w:r>
      <w:proofErr w:type="spellEnd"/>
      <w:r w:rsidRPr="008F7319">
        <w:rPr>
          <w:lang w:val="en-US" w:eastAsia="en-US"/>
        </w:rPr>
        <w:t xml:space="preserve">, </w:t>
      </w:r>
      <w:proofErr w:type="spellStart"/>
      <w:r w:rsidRPr="008F7319">
        <w:rPr>
          <w:lang w:val="en-US" w:eastAsia="en-US"/>
        </w:rPr>
        <w:t>Aljabri</w:t>
      </w:r>
      <w:proofErr w:type="spellEnd"/>
      <w:r w:rsidRPr="008F7319">
        <w:rPr>
          <w:lang w:val="en-US" w:eastAsia="en-US"/>
        </w:rPr>
        <w:t xml:space="preserve">, A. k, </w:t>
      </w:r>
      <w:proofErr w:type="spellStart"/>
      <w:r w:rsidRPr="008F7319">
        <w:rPr>
          <w:lang w:val="en-US" w:eastAsia="en-US"/>
        </w:rPr>
        <w:t>Alsaadi</w:t>
      </w:r>
      <w:proofErr w:type="spellEnd"/>
      <w:r w:rsidRPr="008F7319">
        <w:rPr>
          <w:lang w:val="en-US" w:eastAsia="en-US"/>
        </w:rPr>
        <w:t xml:space="preserve">, B., </w:t>
      </w:r>
      <w:proofErr w:type="spellStart"/>
      <w:r w:rsidRPr="008F7319">
        <w:rPr>
          <w:lang w:val="en-US" w:eastAsia="en-US"/>
        </w:rPr>
        <w:t>Althubyani</w:t>
      </w:r>
      <w:proofErr w:type="spellEnd"/>
      <w:r w:rsidRPr="008F7319">
        <w:rPr>
          <w:lang w:val="en-US" w:eastAsia="en-US"/>
        </w:rPr>
        <w:t xml:space="preserve">, M.M., </w:t>
      </w:r>
      <w:proofErr w:type="spellStart"/>
      <w:r w:rsidRPr="008F7319">
        <w:rPr>
          <w:lang w:val="en-US" w:eastAsia="en-US"/>
        </w:rPr>
        <w:t>Alamri</w:t>
      </w:r>
      <w:proofErr w:type="spellEnd"/>
      <w:r w:rsidRPr="008F7319">
        <w:rPr>
          <w:lang w:val="en-US" w:eastAsia="en-US"/>
        </w:rPr>
        <w:t xml:space="preserve">, S., Abdullah </w:t>
      </w:r>
      <w:proofErr w:type="spellStart"/>
      <w:r w:rsidRPr="008F7319">
        <w:rPr>
          <w:lang w:val="en-US" w:eastAsia="en-US"/>
        </w:rPr>
        <w:t>Alqarni</w:t>
      </w:r>
      <w:proofErr w:type="spellEnd"/>
      <w:r w:rsidRPr="008F7319">
        <w:rPr>
          <w:lang w:val="en-US" w:eastAsia="en-US"/>
        </w:rPr>
        <w:t xml:space="preserve">, </w:t>
      </w:r>
      <w:proofErr w:type="spellStart"/>
      <w:r w:rsidRPr="008F7319">
        <w:rPr>
          <w:lang w:val="en-US" w:eastAsia="en-US"/>
        </w:rPr>
        <w:t>Yazeed</w:t>
      </w:r>
      <w:proofErr w:type="spellEnd"/>
      <w:r w:rsidRPr="008F7319">
        <w:rPr>
          <w:lang w:val="en-US" w:eastAsia="en-US"/>
        </w:rPr>
        <w:t xml:space="preserve"> </w:t>
      </w:r>
      <w:proofErr w:type="spellStart"/>
      <w:r w:rsidRPr="008F7319">
        <w:rPr>
          <w:lang w:val="en-US" w:eastAsia="en-US"/>
        </w:rPr>
        <w:t>Alenazi</w:t>
      </w:r>
      <w:proofErr w:type="spellEnd"/>
      <w:r w:rsidRPr="008F7319">
        <w:rPr>
          <w:lang w:val="en-US" w:eastAsia="en-US"/>
        </w:rPr>
        <w:t xml:space="preserve">, </w:t>
      </w:r>
      <w:proofErr w:type="spellStart"/>
      <w:r w:rsidRPr="008F7319">
        <w:rPr>
          <w:lang w:val="en-US" w:eastAsia="en-US"/>
        </w:rPr>
        <w:t>Assaf</w:t>
      </w:r>
      <w:proofErr w:type="spellEnd"/>
      <w:r w:rsidRPr="008F7319">
        <w:rPr>
          <w:lang w:val="en-US" w:eastAsia="en-US"/>
        </w:rPr>
        <w:t xml:space="preserve"> </w:t>
      </w:r>
      <w:proofErr w:type="spellStart"/>
      <w:r w:rsidRPr="008F7319">
        <w:rPr>
          <w:lang w:val="en-US" w:eastAsia="en-US"/>
        </w:rPr>
        <w:t>Almutairi</w:t>
      </w:r>
      <w:proofErr w:type="spellEnd"/>
      <w:r w:rsidRPr="008F7319">
        <w:rPr>
          <w:lang w:val="en-US" w:eastAsia="en-US"/>
        </w:rPr>
        <w:t xml:space="preserve">, Amani </w:t>
      </w:r>
      <w:proofErr w:type="spellStart"/>
      <w:r w:rsidRPr="008F7319">
        <w:rPr>
          <w:lang w:val="en-US" w:eastAsia="en-US"/>
        </w:rPr>
        <w:t>Alshehri</w:t>
      </w:r>
      <w:proofErr w:type="spellEnd"/>
      <w:r w:rsidRPr="008F7319">
        <w:rPr>
          <w:lang w:val="en-US" w:eastAsia="en-US"/>
        </w:rPr>
        <w:t xml:space="preserve"> and </w:t>
      </w:r>
      <w:proofErr w:type="spellStart"/>
      <w:r w:rsidRPr="008F7319">
        <w:rPr>
          <w:lang w:val="en-US" w:eastAsia="en-US"/>
        </w:rPr>
        <w:t>Nofa</w:t>
      </w:r>
      <w:proofErr w:type="spellEnd"/>
      <w:r w:rsidRPr="008F7319">
        <w:rPr>
          <w:lang w:val="en-US" w:eastAsia="en-US"/>
        </w:rPr>
        <w:t xml:space="preserve"> </w:t>
      </w:r>
      <w:proofErr w:type="spellStart"/>
      <w:r w:rsidRPr="008F7319">
        <w:rPr>
          <w:lang w:val="en-US" w:eastAsia="en-US"/>
        </w:rPr>
        <w:t>Alshammari</w:t>
      </w:r>
      <w:proofErr w:type="spellEnd"/>
      <w:r w:rsidRPr="008F7319">
        <w:rPr>
          <w:lang w:val="en-US" w:eastAsia="en-US"/>
        </w:rPr>
        <w:t xml:space="preserve"> (2025). Tackling </w:t>
      </w:r>
      <w:r w:rsidRPr="008F7319">
        <w:rPr>
          <w:lang w:val="en-US" w:eastAsia="en-US"/>
        </w:rPr>
        <w:lastRenderedPageBreak/>
        <w:t xml:space="preserve">Drug Shortages: An In-Depth Systematic Review Protocol. </w:t>
      </w:r>
      <w:r w:rsidRPr="008F7319">
        <w:rPr>
          <w:i/>
          <w:iCs/>
          <w:lang w:val="en-US" w:eastAsia="en-US"/>
        </w:rPr>
        <w:t>Pharmacy Practice</w:t>
      </w:r>
      <w:r w:rsidRPr="008F7319">
        <w:rPr>
          <w:lang w:val="en-US" w:eastAsia="en-US"/>
        </w:rPr>
        <w:t xml:space="preserve">, [online] 23(2), pp.1–8. </w:t>
      </w:r>
      <w:proofErr w:type="spellStart"/>
      <w:r w:rsidRPr="008F7319">
        <w:rPr>
          <w:lang w:val="en-US" w:eastAsia="en-US"/>
        </w:rPr>
        <w:t>doi:https</w:t>
      </w:r>
      <w:proofErr w:type="spellEnd"/>
      <w:r w:rsidRPr="008F7319">
        <w:rPr>
          <w:lang w:val="en-US" w:eastAsia="en-US"/>
        </w:rPr>
        <w:t>://doi.org/10.18549/pharmpract.2025.2.3176.</w:t>
      </w:r>
    </w:p>
    <w:p w:rsidR="00E576D6" w:rsidRPr="00D01562" w:rsidRDefault="00E576D6" w:rsidP="00E576D6">
      <w:pPr>
        <w:ind w:hanging="720"/>
      </w:pPr>
      <w:r w:rsidRPr="00D01562">
        <w:t xml:space="preserve">Karim, M. (2023). </w:t>
      </w:r>
      <w:r w:rsidRPr="008F7319">
        <w:rPr>
          <w:i/>
          <w:iCs/>
        </w:rPr>
        <w:t>Trade Challenges of LDC Graduation: Evidence from Bangladesh’s Garment and Pharmaceutical Industries</w:t>
      </w:r>
      <w:r w:rsidRPr="00D01562">
        <w:t>. [online] Available at: https://etheses.bham.ac.uk/id/eprint/14646/1/Karim2024PhD.pdf [Accessed 19 Dec. 2025].</w:t>
      </w:r>
    </w:p>
    <w:p w:rsidR="00E576D6" w:rsidRPr="008F7319" w:rsidRDefault="00E576D6" w:rsidP="00E576D6">
      <w:pPr>
        <w:ind w:hanging="720"/>
        <w:rPr>
          <w:lang w:val="en-US" w:eastAsia="en-US"/>
        </w:rPr>
      </w:pPr>
      <w:r w:rsidRPr="008F7319">
        <w:rPr>
          <w:lang w:val="en-US" w:eastAsia="en-US"/>
        </w:rPr>
        <w:t xml:space="preserve">Karim, O., </w:t>
      </w:r>
      <w:proofErr w:type="spellStart"/>
      <w:r w:rsidRPr="008F7319">
        <w:rPr>
          <w:lang w:val="en-US" w:eastAsia="en-US"/>
        </w:rPr>
        <w:t>Srishti</w:t>
      </w:r>
      <w:proofErr w:type="spellEnd"/>
      <w:r w:rsidRPr="008F7319">
        <w:rPr>
          <w:lang w:val="en-US" w:eastAsia="en-US"/>
        </w:rPr>
        <w:t xml:space="preserve">, S.A., </w:t>
      </w:r>
      <w:proofErr w:type="spellStart"/>
      <w:r w:rsidRPr="008F7319">
        <w:rPr>
          <w:lang w:val="en-US" w:eastAsia="en-US"/>
        </w:rPr>
        <w:t>Naher</w:t>
      </w:r>
      <w:proofErr w:type="spellEnd"/>
      <w:r w:rsidRPr="008F7319">
        <w:rPr>
          <w:lang w:val="en-US" w:eastAsia="en-US"/>
        </w:rPr>
        <w:t>, N. and Ahmed, S.M. eds., (2023). Pharmaceuticals Research and Development (R&amp;D) in Bangladesh: ground realities and prospects. [online] Graduate Institute of International and Development Studies. Dhaka: BRAC James P Grant School of Public Health, BRAC University. Available at: https://repository.graduateinstitute.ch/record/301830?v=pdf.</w:t>
      </w:r>
    </w:p>
    <w:p w:rsidR="00E576D6" w:rsidRPr="008F7319" w:rsidRDefault="00E576D6" w:rsidP="00E576D6">
      <w:pPr>
        <w:ind w:hanging="720"/>
        <w:rPr>
          <w:lang w:val="en-US" w:eastAsia="en-US"/>
        </w:rPr>
      </w:pPr>
      <w:proofErr w:type="spellStart"/>
      <w:r w:rsidRPr="008F7319">
        <w:rPr>
          <w:lang w:val="en-US" w:eastAsia="en-US"/>
        </w:rPr>
        <w:t>Katiso</w:t>
      </w:r>
      <w:proofErr w:type="spellEnd"/>
      <w:r w:rsidRPr="008F7319">
        <w:rPr>
          <w:lang w:val="en-US" w:eastAsia="en-US"/>
        </w:rPr>
        <w:t xml:space="preserve"> </w:t>
      </w:r>
      <w:proofErr w:type="spellStart"/>
      <w:r w:rsidRPr="008F7319">
        <w:rPr>
          <w:lang w:val="en-US" w:eastAsia="en-US"/>
        </w:rPr>
        <w:t>Molati</w:t>
      </w:r>
      <w:proofErr w:type="spellEnd"/>
      <w:r w:rsidRPr="008F7319">
        <w:rPr>
          <w:lang w:val="en-US" w:eastAsia="en-US"/>
        </w:rPr>
        <w:t xml:space="preserve"> (2023). </w:t>
      </w:r>
      <w:r w:rsidRPr="008F7319">
        <w:rPr>
          <w:i/>
          <w:iCs/>
          <w:lang w:val="en-US" w:eastAsia="en-US"/>
        </w:rPr>
        <w:t xml:space="preserve">Document Analysis as a Qualitative Research Method (Page 1) - Flipbook by </w:t>
      </w:r>
      <w:proofErr w:type="spellStart"/>
      <w:r w:rsidRPr="008F7319">
        <w:rPr>
          <w:i/>
          <w:iCs/>
          <w:lang w:val="en-US" w:eastAsia="en-US"/>
        </w:rPr>
        <w:t>Katiso</w:t>
      </w:r>
      <w:proofErr w:type="spellEnd"/>
      <w:r w:rsidRPr="008F7319">
        <w:rPr>
          <w:i/>
          <w:iCs/>
          <w:lang w:val="en-US" w:eastAsia="en-US"/>
        </w:rPr>
        <w:t xml:space="preserve"> </w:t>
      </w:r>
      <w:proofErr w:type="spellStart"/>
      <w:r w:rsidRPr="008F7319">
        <w:rPr>
          <w:i/>
          <w:iCs/>
          <w:lang w:val="en-US" w:eastAsia="en-US"/>
        </w:rPr>
        <w:t>Molati</w:t>
      </w:r>
      <w:proofErr w:type="spellEnd"/>
      <w:r w:rsidRPr="008F7319">
        <w:rPr>
          <w:i/>
          <w:iCs/>
          <w:lang w:val="en-US" w:eastAsia="en-US"/>
        </w:rPr>
        <w:t xml:space="preserve"> | FlipHTML5</w:t>
      </w:r>
      <w:r w:rsidRPr="008F7319">
        <w:rPr>
          <w:lang w:val="en-US" w:eastAsia="en-US"/>
        </w:rPr>
        <w:t>. [online] FlipHTML5. Available at: https://fliphtml5.com/gvlok/iter/Document_Analysis_as_a_Qualitative_Research_Method/1/? [Accessed 21 Dec. 2025].</w:t>
      </w:r>
    </w:p>
    <w:p w:rsidR="00E576D6" w:rsidRPr="008F7319" w:rsidRDefault="00E576D6" w:rsidP="00E576D6">
      <w:pPr>
        <w:ind w:hanging="720"/>
        <w:rPr>
          <w:lang w:val="en-US" w:eastAsia="en-US"/>
        </w:rPr>
      </w:pPr>
      <w:proofErr w:type="spellStart"/>
      <w:r w:rsidRPr="008F7319">
        <w:rPr>
          <w:lang w:val="en-US" w:eastAsia="en-US"/>
        </w:rPr>
        <w:t>Khondaker</w:t>
      </w:r>
      <w:proofErr w:type="spellEnd"/>
      <w:r w:rsidRPr="008F7319">
        <w:rPr>
          <w:lang w:val="en-US" w:eastAsia="en-US"/>
        </w:rPr>
        <w:t xml:space="preserve"> (2022). </w:t>
      </w:r>
      <w:r w:rsidRPr="008F7319">
        <w:rPr>
          <w:i/>
          <w:iCs/>
          <w:lang w:val="en-US" w:eastAsia="en-US"/>
        </w:rPr>
        <w:t>ENTERPRISE SURVEYS WHAT BUSINESSES EXPERIENCE</w:t>
      </w:r>
      <w:r w:rsidRPr="008F7319">
        <w:rPr>
          <w:lang w:val="en-US" w:eastAsia="en-US"/>
        </w:rPr>
        <w:t>. [online] Available at: https://www.enterprisesurveys.org/content/dam/enterprisesurveys/documents/country/Bangladesh-2022.pdf [Accessed 22 Dec. 2025].</w:t>
      </w:r>
    </w:p>
    <w:p w:rsidR="00E576D6" w:rsidRPr="008F7319" w:rsidRDefault="00E576D6" w:rsidP="00E576D6">
      <w:pPr>
        <w:ind w:hanging="720"/>
        <w:rPr>
          <w:lang w:val="en-US" w:eastAsia="en-US"/>
        </w:rPr>
      </w:pPr>
      <w:r w:rsidRPr="00D01562">
        <w:t xml:space="preserve">Kruger, F., and Mitchell, B. (2022). </w:t>
      </w:r>
      <w:r w:rsidRPr="008F7319">
        <w:rPr>
          <w:rStyle w:val="Emphasis"/>
          <w:rFonts w:asciiTheme="minorBidi" w:eastAsiaTheme="majorEastAsia" w:hAnsiTheme="minorBidi" w:cstheme="minorBidi"/>
          <w:szCs w:val="24"/>
        </w:rPr>
        <w:t>Research Methodology</w:t>
      </w:r>
      <w:r w:rsidRPr="00D01562">
        <w:t>. Oxford: Oxford University Press.</w:t>
      </w:r>
    </w:p>
    <w:p w:rsidR="00E576D6" w:rsidRPr="008F7319" w:rsidRDefault="00E576D6" w:rsidP="00E576D6">
      <w:pPr>
        <w:ind w:hanging="720"/>
        <w:rPr>
          <w:lang w:val="en-US" w:eastAsia="en-US"/>
        </w:rPr>
      </w:pPr>
      <w:r w:rsidRPr="008F7319">
        <w:rPr>
          <w:lang w:val="en-US" w:eastAsia="en-US"/>
        </w:rPr>
        <w:t xml:space="preserve">Liu, T.-A.-X., Wightman, G.B., Lee, E. and Hunter, J. (2021). Revisiting ‘big questions’ of public administration after COVID-19: a systematic review. </w:t>
      </w:r>
      <w:r w:rsidRPr="008F7319">
        <w:rPr>
          <w:i/>
          <w:iCs/>
          <w:lang w:val="en-US" w:eastAsia="en-US"/>
        </w:rPr>
        <w:t>Asia Pacific Journal of Public Administration</w:t>
      </w:r>
      <w:r w:rsidRPr="008F7319">
        <w:rPr>
          <w:lang w:val="en-US" w:eastAsia="en-US"/>
        </w:rPr>
        <w:t xml:space="preserve">, 43(3), pp.131–168. </w:t>
      </w:r>
      <w:proofErr w:type="spellStart"/>
      <w:r w:rsidRPr="008F7319">
        <w:rPr>
          <w:lang w:val="en-US" w:eastAsia="en-US"/>
        </w:rPr>
        <w:t>doi:https</w:t>
      </w:r>
      <w:proofErr w:type="spellEnd"/>
      <w:r w:rsidRPr="008F7319">
        <w:rPr>
          <w:lang w:val="en-US" w:eastAsia="en-US"/>
        </w:rPr>
        <w:t>://doi.org/10.1080/23276665.2021.1947862.</w:t>
      </w:r>
    </w:p>
    <w:p w:rsidR="00E576D6" w:rsidRPr="008F7319" w:rsidRDefault="00E576D6" w:rsidP="00E576D6">
      <w:pPr>
        <w:ind w:hanging="720"/>
        <w:rPr>
          <w:lang w:val="en-US" w:eastAsia="en-US"/>
        </w:rPr>
      </w:pPr>
      <w:r w:rsidRPr="008F7319">
        <w:rPr>
          <w:lang w:val="en-US" w:eastAsia="en-US"/>
        </w:rPr>
        <w:t xml:space="preserve">Ministry of Commerce (2017). </w:t>
      </w:r>
      <w:r w:rsidRPr="008F7319">
        <w:rPr>
          <w:i/>
          <w:iCs/>
          <w:lang w:val="en-US" w:eastAsia="en-US"/>
        </w:rPr>
        <w:t>Bangladesh Trade Portal</w:t>
      </w:r>
      <w:r w:rsidRPr="008F7319">
        <w:rPr>
          <w:lang w:val="en-US" w:eastAsia="en-US"/>
        </w:rPr>
        <w:t>. [online] Bangladesh Trade Portal. Available at: https://bangladeshtradeportal.gov.bd/index.php?r=searchProcedure/view1&amp;id=26 [Accessed 12 Dec. 2025].</w:t>
      </w:r>
    </w:p>
    <w:p w:rsidR="00E576D6" w:rsidRPr="008F7319" w:rsidRDefault="00E576D6" w:rsidP="00E576D6">
      <w:pPr>
        <w:ind w:hanging="720"/>
        <w:rPr>
          <w:lang w:val="en-US" w:eastAsia="en-US"/>
        </w:rPr>
      </w:pPr>
      <w:proofErr w:type="spellStart"/>
      <w:r w:rsidRPr="008F7319">
        <w:rPr>
          <w:lang w:val="en-US" w:eastAsia="en-US"/>
        </w:rPr>
        <w:lastRenderedPageBreak/>
        <w:t>Mohiuddin</w:t>
      </w:r>
      <w:proofErr w:type="spellEnd"/>
      <w:r w:rsidRPr="008F7319">
        <w:rPr>
          <w:lang w:val="en-US" w:eastAsia="en-US"/>
        </w:rPr>
        <w:t xml:space="preserve">, A. (2019). An A-Z Pharmaceutical Industry: Bangladesh Perspective. </w:t>
      </w:r>
      <w:r w:rsidRPr="008F7319">
        <w:rPr>
          <w:i/>
          <w:iCs/>
          <w:lang w:val="en-US" w:eastAsia="en-US"/>
        </w:rPr>
        <w:t>Asian Journal of Research in Pharmaceutical Science</w:t>
      </w:r>
      <w:r w:rsidRPr="008F7319">
        <w:rPr>
          <w:lang w:val="en-US" w:eastAsia="en-US"/>
        </w:rPr>
        <w:t xml:space="preserve">, 9(1), p.17. </w:t>
      </w:r>
      <w:proofErr w:type="spellStart"/>
      <w:r w:rsidRPr="008F7319">
        <w:rPr>
          <w:lang w:val="en-US" w:eastAsia="en-US"/>
        </w:rPr>
        <w:t>doi:https</w:t>
      </w:r>
      <w:proofErr w:type="spellEnd"/>
      <w:r w:rsidRPr="008F7319">
        <w:rPr>
          <w:lang w:val="en-US" w:eastAsia="en-US"/>
        </w:rPr>
        <w:t>://doi.org/10.5958/2231-5659.2019.00004.3.</w:t>
      </w:r>
    </w:p>
    <w:p w:rsidR="00E576D6" w:rsidRPr="008F7319" w:rsidRDefault="00E576D6" w:rsidP="00E576D6">
      <w:pPr>
        <w:ind w:hanging="720"/>
        <w:rPr>
          <w:lang w:val="en-US" w:eastAsia="en-US"/>
        </w:rPr>
      </w:pPr>
      <w:proofErr w:type="spellStart"/>
      <w:r w:rsidRPr="008F7319">
        <w:rPr>
          <w:lang w:val="en-US" w:eastAsia="en-US"/>
        </w:rPr>
        <w:t>Mollik</w:t>
      </w:r>
      <w:proofErr w:type="spellEnd"/>
      <w:r w:rsidRPr="008F7319">
        <w:rPr>
          <w:lang w:val="en-US" w:eastAsia="en-US"/>
        </w:rPr>
        <w:t xml:space="preserve">, M.A. and </w:t>
      </w:r>
      <w:proofErr w:type="spellStart"/>
      <w:r w:rsidRPr="008F7319">
        <w:rPr>
          <w:lang w:val="en-US" w:eastAsia="en-US"/>
        </w:rPr>
        <w:t>Ananna</w:t>
      </w:r>
      <w:proofErr w:type="spellEnd"/>
      <w:r w:rsidRPr="008F7319">
        <w:rPr>
          <w:lang w:val="en-US" w:eastAsia="en-US"/>
        </w:rPr>
        <w:t xml:space="preserve">, A.K. (2024). </w:t>
      </w:r>
      <w:r w:rsidRPr="008F7319">
        <w:rPr>
          <w:i/>
          <w:iCs/>
          <w:lang w:val="en-US" w:eastAsia="en-US"/>
        </w:rPr>
        <w:t>The impact of globalization on technology-oriented small and medium-sized enterprises (SMEs) in the Bangladeshi market</w:t>
      </w:r>
      <w:r w:rsidRPr="008F7319">
        <w:rPr>
          <w:lang w:val="en-US" w:eastAsia="en-US"/>
        </w:rPr>
        <w:t>. [online] www.theseus.fi. Available at: https://www.theseus.fi/handle/10024/864699 [Accessed 12 Dec. 2025].</w:t>
      </w:r>
    </w:p>
    <w:p w:rsidR="00E576D6" w:rsidRPr="008F7319" w:rsidRDefault="00E576D6" w:rsidP="00E576D6">
      <w:pPr>
        <w:ind w:hanging="720"/>
        <w:rPr>
          <w:lang w:val="en-US" w:eastAsia="en-US"/>
        </w:rPr>
      </w:pPr>
      <w:r w:rsidRPr="008F7319">
        <w:rPr>
          <w:lang w:val="en-US" w:eastAsia="en-US"/>
        </w:rPr>
        <w:t xml:space="preserve">Morrison, K. (2014). Challenging the qualitative–qualitative divide: explorations in case-focused causal analysis. </w:t>
      </w:r>
      <w:r w:rsidRPr="008F7319">
        <w:rPr>
          <w:i/>
          <w:iCs/>
          <w:lang w:val="en-US" w:eastAsia="en-US"/>
        </w:rPr>
        <w:t>International Journal of Research &amp; Method in Education</w:t>
      </w:r>
      <w:r w:rsidRPr="008F7319">
        <w:rPr>
          <w:lang w:val="en-US" w:eastAsia="en-US"/>
        </w:rPr>
        <w:t xml:space="preserve">, 37(3), pp.344–346. </w:t>
      </w:r>
      <w:proofErr w:type="spellStart"/>
      <w:r w:rsidRPr="008F7319">
        <w:rPr>
          <w:lang w:val="en-US" w:eastAsia="en-US"/>
        </w:rPr>
        <w:t>doi:https</w:t>
      </w:r>
      <w:proofErr w:type="spellEnd"/>
      <w:r w:rsidRPr="008F7319">
        <w:rPr>
          <w:lang w:val="en-US" w:eastAsia="en-US"/>
        </w:rPr>
        <w:t>://doi.org/10.1080/1743727x.2014.916528.</w:t>
      </w:r>
    </w:p>
    <w:p w:rsidR="00E576D6" w:rsidRPr="008F7319" w:rsidRDefault="00E576D6" w:rsidP="00E576D6">
      <w:pPr>
        <w:ind w:hanging="720"/>
        <w:rPr>
          <w:lang w:val="en-US" w:eastAsia="en-US"/>
        </w:rPr>
      </w:pPr>
      <w:proofErr w:type="spellStart"/>
      <w:r w:rsidRPr="008F7319">
        <w:rPr>
          <w:lang w:val="en-US" w:eastAsia="en-US"/>
        </w:rPr>
        <w:t>Murshid</w:t>
      </w:r>
      <w:proofErr w:type="spellEnd"/>
      <w:r w:rsidRPr="008F7319">
        <w:rPr>
          <w:lang w:val="en-US" w:eastAsia="en-US"/>
        </w:rPr>
        <w:t xml:space="preserve">, M.E. and </w:t>
      </w:r>
      <w:proofErr w:type="spellStart"/>
      <w:r w:rsidRPr="008F7319">
        <w:rPr>
          <w:lang w:val="en-US" w:eastAsia="en-US"/>
        </w:rPr>
        <w:t>Haque</w:t>
      </w:r>
      <w:proofErr w:type="spellEnd"/>
      <w:r w:rsidRPr="008F7319">
        <w:rPr>
          <w:lang w:val="en-US" w:eastAsia="en-US"/>
        </w:rPr>
        <w:t xml:space="preserve">, M. (2019). Bangladesh National Drug Policy 1982-2016 and Recommendations in Policy Aspects. </w:t>
      </w:r>
      <w:r w:rsidRPr="008F7319">
        <w:rPr>
          <w:i/>
          <w:iCs/>
          <w:lang w:val="en-US" w:eastAsia="en-US"/>
        </w:rPr>
        <w:t>Eurasian Journal of Emergency Medicine</w:t>
      </w:r>
      <w:r w:rsidRPr="008F7319">
        <w:rPr>
          <w:lang w:val="en-US" w:eastAsia="en-US"/>
        </w:rPr>
        <w:t xml:space="preserve">, 18(2), pp.104–109. </w:t>
      </w:r>
      <w:proofErr w:type="spellStart"/>
      <w:r w:rsidRPr="008F7319">
        <w:rPr>
          <w:lang w:val="en-US" w:eastAsia="en-US"/>
        </w:rPr>
        <w:t>doi:https</w:t>
      </w:r>
      <w:proofErr w:type="spellEnd"/>
      <w:r w:rsidRPr="008F7319">
        <w:rPr>
          <w:lang w:val="en-US" w:eastAsia="en-US"/>
        </w:rPr>
        <w:t>://doi.org/10.4274/eajem.galenos.2019.43765.</w:t>
      </w:r>
    </w:p>
    <w:p w:rsidR="00E576D6" w:rsidRPr="008F7319" w:rsidRDefault="00E576D6" w:rsidP="00E576D6">
      <w:pPr>
        <w:ind w:hanging="720"/>
        <w:rPr>
          <w:lang w:val="en-US" w:eastAsia="en-US"/>
        </w:rPr>
      </w:pPr>
      <w:proofErr w:type="spellStart"/>
      <w:r w:rsidRPr="008F7319">
        <w:rPr>
          <w:lang w:val="en-US" w:eastAsia="en-US"/>
        </w:rPr>
        <w:t>Musundire</w:t>
      </w:r>
      <w:proofErr w:type="spellEnd"/>
      <w:r w:rsidRPr="008F7319">
        <w:rPr>
          <w:lang w:val="en-US" w:eastAsia="en-US"/>
        </w:rPr>
        <w:t xml:space="preserve">, A. (2025). Understanding the Research Onion and Its Application in Educational Leadership and Management Research. </w:t>
      </w:r>
      <w:r w:rsidRPr="008F7319">
        <w:rPr>
          <w:i/>
          <w:iCs/>
          <w:lang w:val="en-US" w:eastAsia="en-US"/>
        </w:rPr>
        <w:t>IGI Global eBooks</w:t>
      </w:r>
      <w:r w:rsidRPr="008F7319">
        <w:rPr>
          <w:lang w:val="en-US" w:eastAsia="en-US"/>
        </w:rPr>
        <w:t xml:space="preserve">, 1(1), pp.355–384. </w:t>
      </w:r>
      <w:proofErr w:type="spellStart"/>
      <w:r w:rsidRPr="008F7319">
        <w:rPr>
          <w:lang w:val="en-US" w:eastAsia="en-US"/>
        </w:rPr>
        <w:t>doi:https</w:t>
      </w:r>
      <w:proofErr w:type="spellEnd"/>
      <w:r w:rsidRPr="008F7319">
        <w:rPr>
          <w:lang w:val="en-US" w:eastAsia="en-US"/>
        </w:rPr>
        <w:t>://doi.org/10.4018/979-8-3693-9425-0.ch015.</w:t>
      </w:r>
    </w:p>
    <w:p w:rsidR="00E576D6" w:rsidRPr="00D01562" w:rsidRDefault="00E576D6" w:rsidP="00E576D6">
      <w:pPr>
        <w:ind w:hanging="720"/>
      </w:pPr>
      <w:proofErr w:type="spellStart"/>
      <w:r w:rsidRPr="00D01562">
        <w:t>Nafisa</w:t>
      </w:r>
      <w:proofErr w:type="spellEnd"/>
      <w:r w:rsidRPr="00D01562">
        <w:t xml:space="preserve"> </w:t>
      </w:r>
      <w:proofErr w:type="spellStart"/>
      <w:r w:rsidRPr="00D01562">
        <w:t>Nomani</w:t>
      </w:r>
      <w:proofErr w:type="spellEnd"/>
      <w:r w:rsidRPr="00D01562">
        <w:t xml:space="preserve"> (2025). Understanding the Challenges of Maintaining VAT Compliance in the Pharmaceutical Industry of Bangladesh: A Phenomenological Study. </w:t>
      </w:r>
      <w:proofErr w:type="spellStart"/>
      <w:r w:rsidRPr="008F7319">
        <w:rPr>
          <w:i/>
          <w:iCs/>
        </w:rPr>
        <w:t>CenRaPS</w:t>
      </w:r>
      <w:proofErr w:type="spellEnd"/>
      <w:r w:rsidRPr="008F7319">
        <w:rPr>
          <w:i/>
          <w:iCs/>
        </w:rPr>
        <w:t xml:space="preserve"> Journal of Social Sciences</w:t>
      </w:r>
      <w:r w:rsidRPr="00D01562">
        <w:t xml:space="preserve">, [online] 7(1), pp.76–93. </w:t>
      </w:r>
      <w:proofErr w:type="spellStart"/>
      <w:r w:rsidRPr="00D01562">
        <w:t>doi:https</w:t>
      </w:r>
      <w:proofErr w:type="spellEnd"/>
      <w:r w:rsidRPr="00D01562">
        <w:t>://doi.org/10.5281/zenodo.14960306.</w:t>
      </w:r>
    </w:p>
    <w:p w:rsidR="00E576D6" w:rsidRPr="008F7319" w:rsidRDefault="00E576D6" w:rsidP="00E576D6">
      <w:pPr>
        <w:ind w:hanging="720"/>
        <w:rPr>
          <w:lang w:val="en-US" w:eastAsia="en-US"/>
        </w:rPr>
      </w:pPr>
      <w:r w:rsidRPr="008F7319">
        <w:rPr>
          <w:lang w:val="en-US" w:eastAsia="en-US"/>
        </w:rPr>
        <w:t xml:space="preserve">NBR (2022). Bangladesh Regional Connectivity Project 1: National Single Window Implementation and Strengthening Customs Modernization National Board of Revenue (NBR) IDEB </w:t>
      </w:r>
      <w:proofErr w:type="spellStart"/>
      <w:r w:rsidRPr="008F7319">
        <w:rPr>
          <w:lang w:val="en-US" w:eastAsia="en-US"/>
        </w:rPr>
        <w:t>Bhaban</w:t>
      </w:r>
      <w:proofErr w:type="spellEnd"/>
      <w:r w:rsidRPr="008F7319">
        <w:rPr>
          <w:lang w:val="en-US" w:eastAsia="en-US"/>
        </w:rPr>
        <w:t xml:space="preserve"> (10 </w:t>
      </w:r>
      <w:proofErr w:type="spellStart"/>
      <w:r w:rsidRPr="008F7319">
        <w:rPr>
          <w:lang w:val="en-US" w:eastAsia="en-US"/>
        </w:rPr>
        <w:t>th</w:t>
      </w:r>
      <w:proofErr w:type="spellEnd"/>
      <w:r w:rsidRPr="008F7319">
        <w:rPr>
          <w:lang w:val="en-US" w:eastAsia="en-US"/>
        </w:rPr>
        <w:t xml:space="preserve"> Floor), 160/A. [online] Available at: https://nbr.gov.bd/uploads/project-document/Addendum_1_of_RFP_issued_to_proposers_16.06__.22__.pdf [Accessed 21 Dec. 2025].</w:t>
      </w:r>
    </w:p>
    <w:p w:rsidR="00E576D6" w:rsidRPr="008F7319" w:rsidRDefault="00E576D6" w:rsidP="00E576D6">
      <w:pPr>
        <w:ind w:hanging="720"/>
        <w:rPr>
          <w:lang w:val="en-US" w:eastAsia="en-US"/>
        </w:rPr>
      </w:pPr>
      <w:proofErr w:type="spellStart"/>
      <w:r w:rsidRPr="008F7319">
        <w:rPr>
          <w:lang w:val="en-US" w:eastAsia="en-US"/>
        </w:rPr>
        <w:t>Nizeyimana</w:t>
      </w:r>
      <w:proofErr w:type="spellEnd"/>
      <w:r w:rsidRPr="008F7319">
        <w:rPr>
          <w:lang w:val="en-US" w:eastAsia="en-US"/>
        </w:rPr>
        <w:t xml:space="preserve">, C. and Luc De </w:t>
      </w:r>
      <w:proofErr w:type="spellStart"/>
      <w:r w:rsidRPr="008F7319">
        <w:rPr>
          <w:lang w:val="en-US" w:eastAsia="en-US"/>
        </w:rPr>
        <w:t>Wulf</w:t>
      </w:r>
      <w:proofErr w:type="spellEnd"/>
      <w:r w:rsidRPr="008F7319">
        <w:rPr>
          <w:lang w:val="en-US" w:eastAsia="en-US"/>
        </w:rPr>
        <w:t xml:space="preserve"> (2015). Rwanda Electronic Single Window Supports Trade Facilitation. </w:t>
      </w:r>
      <w:r w:rsidRPr="008F7319">
        <w:rPr>
          <w:i/>
          <w:iCs/>
          <w:lang w:val="en-US" w:eastAsia="en-US"/>
        </w:rPr>
        <w:t>World customs journal</w:t>
      </w:r>
      <w:r w:rsidRPr="008F7319">
        <w:rPr>
          <w:lang w:val="en-US" w:eastAsia="en-US"/>
        </w:rPr>
        <w:t xml:space="preserve">, 9(2). </w:t>
      </w:r>
      <w:proofErr w:type="spellStart"/>
      <w:r w:rsidRPr="008F7319">
        <w:rPr>
          <w:lang w:val="en-US" w:eastAsia="en-US"/>
        </w:rPr>
        <w:t>doi:https</w:t>
      </w:r>
      <w:proofErr w:type="spellEnd"/>
      <w:r w:rsidRPr="008F7319">
        <w:rPr>
          <w:lang w:val="en-US" w:eastAsia="en-US"/>
        </w:rPr>
        <w:t>://doi.org/10.55596/001c.93997.</w:t>
      </w:r>
    </w:p>
    <w:p w:rsidR="00E576D6" w:rsidRPr="008F7319" w:rsidRDefault="00E576D6" w:rsidP="00E576D6">
      <w:pPr>
        <w:ind w:hanging="720"/>
        <w:rPr>
          <w:lang w:val="en-US" w:eastAsia="en-US"/>
        </w:rPr>
      </w:pPr>
      <w:proofErr w:type="spellStart"/>
      <w:r w:rsidRPr="008F7319">
        <w:rPr>
          <w:lang w:val="en-US" w:eastAsia="en-US"/>
        </w:rPr>
        <w:lastRenderedPageBreak/>
        <w:t>Njatrijani</w:t>
      </w:r>
      <w:proofErr w:type="spellEnd"/>
      <w:r w:rsidRPr="008F7319">
        <w:rPr>
          <w:lang w:val="en-US" w:eastAsia="en-US"/>
        </w:rPr>
        <w:t xml:space="preserve">, R., </w:t>
      </w:r>
      <w:proofErr w:type="spellStart"/>
      <w:r w:rsidRPr="008F7319">
        <w:rPr>
          <w:lang w:val="en-US" w:eastAsia="en-US"/>
        </w:rPr>
        <w:t>Salsabila</w:t>
      </w:r>
      <w:proofErr w:type="spellEnd"/>
      <w:r w:rsidRPr="008F7319">
        <w:rPr>
          <w:lang w:val="en-US" w:eastAsia="en-US"/>
        </w:rPr>
        <w:t xml:space="preserve">, B.N. and </w:t>
      </w:r>
      <w:proofErr w:type="spellStart"/>
      <w:r w:rsidRPr="008F7319">
        <w:rPr>
          <w:lang w:val="en-US" w:eastAsia="en-US"/>
        </w:rPr>
        <w:t>Rahmanda</w:t>
      </w:r>
      <w:proofErr w:type="spellEnd"/>
      <w:r w:rsidRPr="008F7319">
        <w:rPr>
          <w:lang w:val="en-US" w:eastAsia="en-US"/>
        </w:rPr>
        <w:t xml:space="preserve">, B. (2022). Institutionalizing sectoral business strategy through National Single Window to improve SMEs’ export performance. </w:t>
      </w:r>
      <w:r w:rsidRPr="008F7319">
        <w:rPr>
          <w:i/>
          <w:iCs/>
          <w:lang w:val="en-US" w:eastAsia="en-US"/>
        </w:rPr>
        <w:t>Corporate and Business Strategy Review</w:t>
      </w:r>
      <w:r w:rsidRPr="008F7319">
        <w:rPr>
          <w:lang w:val="en-US" w:eastAsia="en-US"/>
        </w:rPr>
        <w:t xml:space="preserve">, 3(2, special issue), pp.281–288. </w:t>
      </w:r>
      <w:proofErr w:type="spellStart"/>
      <w:r w:rsidRPr="008F7319">
        <w:rPr>
          <w:lang w:val="en-US" w:eastAsia="en-US"/>
        </w:rPr>
        <w:t>doi:https</w:t>
      </w:r>
      <w:proofErr w:type="spellEnd"/>
      <w:r w:rsidRPr="008F7319">
        <w:rPr>
          <w:lang w:val="en-US" w:eastAsia="en-US"/>
        </w:rPr>
        <w:t>://doi.org/10.22495/cbsrv3i2siart9.</w:t>
      </w:r>
    </w:p>
    <w:p w:rsidR="00E576D6" w:rsidRPr="00D01562" w:rsidRDefault="00E576D6" w:rsidP="00E576D6">
      <w:pPr>
        <w:ind w:hanging="720"/>
      </w:pPr>
      <w:proofErr w:type="spellStart"/>
      <w:r w:rsidRPr="00D01562">
        <w:t>Nomani</w:t>
      </w:r>
      <w:proofErr w:type="spellEnd"/>
      <w:r w:rsidRPr="00D01562">
        <w:t xml:space="preserve">, N. (2025). Understanding the Challenges of Maintaining VAT Compliance in the Pharmaceutical Industry of Bangladesh: A Phenomenological Study. </w:t>
      </w:r>
      <w:proofErr w:type="spellStart"/>
      <w:r w:rsidRPr="008F7319">
        <w:rPr>
          <w:rStyle w:val="Emphasis"/>
          <w:rFonts w:asciiTheme="minorBidi" w:hAnsiTheme="minorBidi" w:cstheme="minorBidi"/>
          <w:szCs w:val="24"/>
        </w:rPr>
        <w:t>CenRaPS</w:t>
      </w:r>
      <w:proofErr w:type="spellEnd"/>
      <w:r w:rsidRPr="008F7319">
        <w:rPr>
          <w:rStyle w:val="Emphasis"/>
          <w:rFonts w:asciiTheme="minorBidi" w:hAnsiTheme="minorBidi" w:cstheme="minorBidi"/>
          <w:szCs w:val="24"/>
        </w:rPr>
        <w:t xml:space="preserve"> Journal of Social Sciences</w:t>
      </w:r>
      <w:r w:rsidRPr="00D01562">
        <w:t xml:space="preserve">, [online] 7(1), pp.76–93. </w:t>
      </w:r>
      <w:proofErr w:type="spellStart"/>
      <w:r w:rsidRPr="00D01562">
        <w:t>doi</w:t>
      </w:r>
      <w:proofErr w:type="spellEnd"/>
      <w:r w:rsidRPr="00D01562">
        <w:t xml:space="preserve">: </w:t>
      </w:r>
      <w:hyperlink r:id="rId16" w:tgtFrame="_new" w:history="1">
        <w:r w:rsidRPr="008F7319">
          <w:rPr>
            <w:rFonts w:eastAsiaTheme="majorEastAsia"/>
          </w:rPr>
          <w:t>https://doi.org/10.5281/zenodo.14960306</w:t>
        </w:r>
      </w:hyperlink>
      <w:r w:rsidRPr="00D01562">
        <w:t>.</w:t>
      </w:r>
    </w:p>
    <w:p w:rsidR="00E576D6" w:rsidRPr="008F7319" w:rsidRDefault="00E576D6" w:rsidP="00E576D6">
      <w:pPr>
        <w:ind w:hanging="720"/>
        <w:rPr>
          <w:lang w:val="en-US" w:eastAsia="en-US"/>
        </w:rPr>
      </w:pPr>
      <w:proofErr w:type="spellStart"/>
      <w:r w:rsidRPr="008F7319">
        <w:rPr>
          <w:lang w:val="en-US" w:eastAsia="en-US"/>
        </w:rPr>
        <w:t>Nowell</w:t>
      </w:r>
      <w:proofErr w:type="spellEnd"/>
      <w:r w:rsidRPr="008F7319">
        <w:rPr>
          <w:lang w:val="en-US" w:eastAsia="en-US"/>
        </w:rPr>
        <w:t xml:space="preserve">, L.S., Norris, J.M., White, D.E. and </w:t>
      </w:r>
      <w:proofErr w:type="spellStart"/>
      <w:r w:rsidRPr="008F7319">
        <w:rPr>
          <w:lang w:val="en-US" w:eastAsia="en-US"/>
        </w:rPr>
        <w:t>Moules</w:t>
      </w:r>
      <w:proofErr w:type="spellEnd"/>
      <w:r w:rsidRPr="008F7319">
        <w:rPr>
          <w:lang w:val="en-US" w:eastAsia="en-US"/>
        </w:rPr>
        <w:t xml:space="preserve">, N.J. (2017). Thematic Analysis: Striving to Meet the Trustworthiness Criteria. </w:t>
      </w:r>
      <w:r w:rsidRPr="008F7319">
        <w:rPr>
          <w:i/>
          <w:iCs/>
          <w:lang w:val="en-US" w:eastAsia="en-US"/>
        </w:rPr>
        <w:t>International Journal of Qualitative Methods</w:t>
      </w:r>
      <w:r w:rsidRPr="008F7319">
        <w:rPr>
          <w:lang w:val="en-US" w:eastAsia="en-US"/>
        </w:rPr>
        <w:t xml:space="preserve">, [online] 16(1). </w:t>
      </w:r>
      <w:proofErr w:type="spellStart"/>
      <w:r w:rsidRPr="008F7319">
        <w:rPr>
          <w:lang w:val="en-US" w:eastAsia="en-US"/>
        </w:rPr>
        <w:t>doi:https</w:t>
      </w:r>
      <w:proofErr w:type="spellEnd"/>
      <w:r w:rsidRPr="008F7319">
        <w:rPr>
          <w:lang w:val="en-US" w:eastAsia="en-US"/>
        </w:rPr>
        <w:t>://doi.org/10.1177/1609406917733847.</w:t>
      </w:r>
    </w:p>
    <w:p w:rsidR="00E576D6" w:rsidRPr="008F7319" w:rsidRDefault="00E576D6" w:rsidP="00E576D6">
      <w:pPr>
        <w:ind w:hanging="720"/>
        <w:rPr>
          <w:lang w:val="en-US" w:eastAsia="en-US"/>
        </w:rPr>
      </w:pPr>
      <w:proofErr w:type="spellStart"/>
      <w:r w:rsidRPr="008F7319">
        <w:rPr>
          <w:lang w:val="en-US" w:eastAsia="en-US"/>
        </w:rPr>
        <w:t>Nurul</w:t>
      </w:r>
      <w:proofErr w:type="spellEnd"/>
      <w:r w:rsidRPr="008F7319">
        <w:rPr>
          <w:lang w:val="en-US" w:eastAsia="en-US"/>
        </w:rPr>
        <w:t xml:space="preserve"> Anwar </w:t>
      </w:r>
      <w:proofErr w:type="spellStart"/>
      <w:r w:rsidRPr="008F7319">
        <w:rPr>
          <w:lang w:val="en-US" w:eastAsia="en-US"/>
        </w:rPr>
        <w:t>Siddiquee</w:t>
      </w:r>
      <w:proofErr w:type="spellEnd"/>
      <w:r w:rsidRPr="008F7319">
        <w:rPr>
          <w:lang w:val="en-US" w:eastAsia="en-US"/>
        </w:rPr>
        <w:t xml:space="preserve"> (2025). Strengthening Bangladesh’s Pharmaceutical Industry: A Policy, Market and Sustainability Perspective. </w:t>
      </w:r>
      <w:proofErr w:type="spellStart"/>
      <w:r w:rsidRPr="008F7319">
        <w:rPr>
          <w:i/>
          <w:iCs/>
          <w:lang w:val="en-US" w:eastAsia="en-US"/>
        </w:rPr>
        <w:t>ResearchGate</w:t>
      </w:r>
      <w:proofErr w:type="spellEnd"/>
      <w:r w:rsidRPr="008F7319">
        <w:rPr>
          <w:lang w:val="en-US" w:eastAsia="en-US"/>
        </w:rPr>
        <w:t>, [online] (MARCH - AUGUST 2025), pp.26–45. Available at: https://www.researchgate.net/profile/Nurul-Siddiquee/publication/392910494_Strengthening_Bangladesh.</w:t>
      </w:r>
    </w:p>
    <w:p w:rsidR="00E576D6" w:rsidRPr="008F7319" w:rsidRDefault="00E576D6" w:rsidP="00E576D6">
      <w:pPr>
        <w:ind w:hanging="720"/>
        <w:rPr>
          <w:lang w:val="en-US" w:eastAsia="en-US"/>
        </w:rPr>
      </w:pPr>
      <w:r w:rsidRPr="008F7319">
        <w:rPr>
          <w:lang w:val="en-US" w:eastAsia="en-US"/>
        </w:rPr>
        <w:t xml:space="preserve">OECD (2021). </w:t>
      </w:r>
      <w:r w:rsidRPr="008F7319">
        <w:rPr>
          <w:i/>
          <w:iCs/>
          <w:lang w:val="en-US" w:eastAsia="en-US"/>
        </w:rPr>
        <w:t>Supporting Regulatory Reforms in Southeast Asia</w:t>
      </w:r>
      <w:r w:rsidRPr="008F7319">
        <w:rPr>
          <w:lang w:val="en-US" w:eastAsia="en-US"/>
        </w:rPr>
        <w:t>. [online] Available at: https://www.oecd.org/content/dam/oecd/en/publications/reports/2022/10/supporting-regulatory-reforms-in-southeast-asia_2cdbf17d/aad87f86-en.pdf [Accessed 23 Dec. 2025].</w:t>
      </w:r>
    </w:p>
    <w:p w:rsidR="00E576D6" w:rsidRPr="008F7319" w:rsidRDefault="00E576D6" w:rsidP="00E576D6">
      <w:pPr>
        <w:ind w:hanging="720"/>
        <w:rPr>
          <w:lang w:val="en-US" w:eastAsia="en-US"/>
        </w:rPr>
      </w:pPr>
      <w:proofErr w:type="spellStart"/>
      <w:r w:rsidRPr="008F7319">
        <w:rPr>
          <w:lang w:val="en-US" w:eastAsia="en-US"/>
        </w:rPr>
        <w:t>Orubu</w:t>
      </w:r>
      <w:proofErr w:type="spellEnd"/>
      <w:r w:rsidRPr="008F7319">
        <w:rPr>
          <w:lang w:val="en-US" w:eastAsia="en-US"/>
        </w:rPr>
        <w:t xml:space="preserve">, S.F., </w:t>
      </w:r>
      <w:proofErr w:type="spellStart"/>
      <w:r w:rsidRPr="008F7319">
        <w:rPr>
          <w:lang w:val="en-US" w:eastAsia="en-US"/>
        </w:rPr>
        <w:t>Samad</w:t>
      </w:r>
      <w:proofErr w:type="spellEnd"/>
      <w:r w:rsidRPr="008F7319">
        <w:rPr>
          <w:lang w:val="en-US" w:eastAsia="en-US"/>
        </w:rPr>
        <w:t xml:space="preserve">, M.A., Rahman, M.T. and Zaman, M.H. (2022). The integrity of the antimicrobial supply chain in Bangladesh: assessing the regulatory environment and contextual challenges. </w:t>
      </w:r>
      <w:r w:rsidRPr="008F7319">
        <w:rPr>
          <w:i/>
          <w:iCs/>
          <w:lang w:val="en-US" w:eastAsia="en-US"/>
        </w:rPr>
        <w:t>Journal of Public Health Policy</w:t>
      </w:r>
      <w:r w:rsidRPr="008F7319">
        <w:rPr>
          <w:lang w:val="en-US" w:eastAsia="en-US"/>
        </w:rPr>
        <w:t xml:space="preserve">, 43(4), pp.640–658. </w:t>
      </w:r>
      <w:proofErr w:type="spellStart"/>
      <w:r w:rsidRPr="008F7319">
        <w:rPr>
          <w:lang w:val="en-US" w:eastAsia="en-US"/>
        </w:rPr>
        <w:t>doi:https</w:t>
      </w:r>
      <w:proofErr w:type="spellEnd"/>
      <w:r w:rsidRPr="008F7319">
        <w:rPr>
          <w:lang w:val="en-US" w:eastAsia="en-US"/>
        </w:rPr>
        <w:t>://doi.org/10.1057/s41271-022-00376-4.</w:t>
      </w:r>
    </w:p>
    <w:p w:rsidR="00E576D6" w:rsidRPr="008F7319" w:rsidRDefault="00E576D6" w:rsidP="00E576D6">
      <w:pPr>
        <w:ind w:hanging="720"/>
        <w:rPr>
          <w:lang w:val="en-US" w:eastAsia="en-US"/>
        </w:rPr>
      </w:pPr>
      <w:proofErr w:type="spellStart"/>
      <w:r w:rsidRPr="008F7319">
        <w:rPr>
          <w:lang w:val="en-US" w:eastAsia="en-US"/>
        </w:rPr>
        <w:t>Padoan</w:t>
      </w:r>
      <w:proofErr w:type="spellEnd"/>
      <w:r w:rsidRPr="008F7319">
        <w:rPr>
          <w:lang w:val="en-US" w:eastAsia="en-US"/>
        </w:rPr>
        <w:t xml:space="preserve">, P.C. (2010). SMEs, entrepreneurship and innovation. Paris: </w:t>
      </w:r>
      <w:proofErr w:type="spellStart"/>
      <w:r w:rsidRPr="008F7319">
        <w:rPr>
          <w:lang w:val="en-US" w:eastAsia="en-US"/>
        </w:rPr>
        <w:t>Oecd</w:t>
      </w:r>
      <w:proofErr w:type="spellEnd"/>
      <w:r w:rsidRPr="008F7319">
        <w:rPr>
          <w:lang w:val="en-US" w:eastAsia="en-US"/>
        </w:rPr>
        <w:t>.</w:t>
      </w:r>
    </w:p>
    <w:p w:rsidR="00E576D6" w:rsidRPr="008F7319" w:rsidRDefault="00E576D6" w:rsidP="00E576D6">
      <w:pPr>
        <w:ind w:hanging="720"/>
        <w:rPr>
          <w:lang w:val="en-US" w:eastAsia="en-US"/>
        </w:rPr>
      </w:pPr>
      <w:r w:rsidRPr="008F7319">
        <w:rPr>
          <w:lang w:val="en-US" w:eastAsia="en-US"/>
        </w:rPr>
        <w:t>Petersen, O.H. and Hansen, J.R. (2022). The administrative burden of doing business with the government: Learning and compliance costs in Business</w:t>
      </w:r>
      <w:r w:rsidRPr="008F7319">
        <w:rPr>
          <w:rFonts w:ascii="Cambria Math" w:hAnsi="Cambria Math" w:cs="Cambria Math"/>
          <w:lang w:val="en-US" w:eastAsia="en-US"/>
        </w:rPr>
        <w:t>‐</w:t>
      </w:r>
      <w:r w:rsidRPr="008F7319">
        <w:rPr>
          <w:lang w:val="en-US" w:eastAsia="en-US"/>
        </w:rPr>
        <w:t xml:space="preserve">Government interactions. </w:t>
      </w:r>
      <w:r w:rsidRPr="008F7319">
        <w:rPr>
          <w:i/>
          <w:iCs/>
          <w:lang w:val="en-US" w:eastAsia="en-US"/>
        </w:rPr>
        <w:t>Public Administration</w:t>
      </w:r>
      <w:r w:rsidRPr="008F7319">
        <w:rPr>
          <w:lang w:val="en-US" w:eastAsia="en-US"/>
        </w:rPr>
        <w:t xml:space="preserve">. </w:t>
      </w:r>
      <w:proofErr w:type="spellStart"/>
      <w:r w:rsidRPr="008F7319">
        <w:rPr>
          <w:lang w:val="en-US" w:eastAsia="en-US"/>
        </w:rPr>
        <w:t>doi:https</w:t>
      </w:r>
      <w:proofErr w:type="spellEnd"/>
      <w:r w:rsidRPr="008F7319">
        <w:rPr>
          <w:lang w:val="en-US" w:eastAsia="en-US"/>
        </w:rPr>
        <w:t>://doi.org/10.1111/padm.12904.</w:t>
      </w:r>
    </w:p>
    <w:p w:rsidR="00E576D6" w:rsidRPr="008F7319" w:rsidRDefault="00E576D6" w:rsidP="00E576D6">
      <w:pPr>
        <w:ind w:hanging="720"/>
        <w:rPr>
          <w:lang w:val="en-US" w:eastAsia="en-US"/>
        </w:rPr>
      </w:pPr>
      <w:r w:rsidRPr="008F7319">
        <w:rPr>
          <w:lang w:val="en-US" w:eastAsia="en-US"/>
        </w:rPr>
        <w:t xml:space="preserve">Rahman, M.R., Rahman, </w:t>
      </w:r>
      <w:proofErr w:type="spellStart"/>
      <w:r w:rsidRPr="008F7319">
        <w:rPr>
          <w:lang w:val="en-US" w:eastAsia="en-US"/>
        </w:rPr>
        <w:t>Md.M</w:t>
      </w:r>
      <w:proofErr w:type="spellEnd"/>
      <w:r w:rsidRPr="008F7319">
        <w:rPr>
          <w:lang w:val="en-US" w:eastAsia="en-US"/>
        </w:rPr>
        <w:t xml:space="preserve">., </w:t>
      </w:r>
      <w:proofErr w:type="spellStart"/>
      <w:r w:rsidRPr="008F7319">
        <w:rPr>
          <w:lang w:val="en-US" w:eastAsia="en-US"/>
        </w:rPr>
        <w:t>Subat</w:t>
      </w:r>
      <w:proofErr w:type="spellEnd"/>
      <w:r w:rsidRPr="008F7319">
        <w:rPr>
          <w:lang w:val="en-US" w:eastAsia="en-US"/>
        </w:rPr>
        <w:t xml:space="preserve">, A. and </w:t>
      </w:r>
      <w:proofErr w:type="spellStart"/>
      <w:r w:rsidRPr="008F7319">
        <w:rPr>
          <w:lang w:val="en-US" w:eastAsia="en-US"/>
        </w:rPr>
        <w:t>Tarin</w:t>
      </w:r>
      <w:proofErr w:type="spellEnd"/>
      <w:r w:rsidRPr="008F7319">
        <w:rPr>
          <w:lang w:val="en-US" w:eastAsia="en-US"/>
        </w:rPr>
        <w:t xml:space="preserve">, T.I. (2023). Does the pharmaceutical industry’s growth relate to Bangladesh’s macroeconomic stability? </w:t>
      </w:r>
      <w:r w:rsidRPr="008F7319">
        <w:rPr>
          <w:i/>
          <w:iCs/>
          <w:lang w:val="en-US" w:eastAsia="en-US"/>
        </w:rPr>
        <w:t xml:space="preserve">International Journal </w:t>
      </w:r>
      <w:r w:rsidRPr="008F7319">
        <w:rPr>
          <w:i/>
          <w:iCs/>
          <w:lang w:val="en-US" w:eastAsia="en-US"/>
        </w:rPr>
        <w:lastRenderedPageBreak/>
        <w:t>of Pharmaceutical and Healthcare Marketing</w:t>
      </w:r>
      <w:r w:rsidRPr="008F7319">
        <w:rPr>
          <w:lang w:val="en-US" w:eastAsia="en-US"/>
        </w:rPr>
        <w:t xml:space="preserve">, 18(2), pp.198–214. </w:t>
      </w:r>
      <w:proofErr w:type="spellStart"/>
      <w:r w:rsidRPr="008F7319">
        <w:rPr>
          <w:lang w:val="en-US" w:eastAsia="en-US"/>
        </w:rPr>
        <w:t>doi:https</w:t>
      </w:r>
      <w:proofErr w:type="spellEnd"/>
      <w:r w:rsidRPr="008F7319">
        <w:rPr>
          <w:lang w:val="en-US" w:eastAsia="en-US"/>
        </w:rPr>
        <w:t>://doi.org/10.1108/ijphm-04-2023-0033.</w:t>
      </w:r>
    </w:p>
    <w:p w:rsidR="00E576D6" w:rsidRPr="00D01562" w:rsidRDefault="00E576D6" w:rsidP="00E576D6">
      <w:pPr>
        <w:ind w:hanging="720"/>
      </w:pPr>
      <w:proofErr w:type="spellStart"/>
      <w:r w:rsidRPr="00D01562">
        <w:t>Razzaque</w:t>
      </w:r>
      <w:proofErr w:type="spellEnd"/>
      <w:r w:rsidRPr="00D01562">
        <w:t xml:space="preserve">, M.A. (2020). </w:t>
      </w:r>
      <w:r w:rsidRPr="008F7319">
        <w:rPr>
          <w:i/>
          <w:iCs/>
        </w:rPr>
        <w:t>Navigating New Waters: Unleashing Bangladesh’s Export Potential for Smooth LDC Graduation</w:t>
      </w:r>
      <w:r w:rsidRPr="00D01562">
        <w:t>. [online] Available at: https://www.researchgate.net/profile/Mohammad-Razzaque/publication/344297473_Navigating_New_Waters_Unleashing_Bangladesh [Accessed 19 Dec. 2025].</w:t>
      </w:r>
    </w:p>
    <w:p w:rsidR="00E576D6" w:rsidRPr="00D01562" w:rsidRDefault="00E576D6" w:rsidP="00E576D6">
      <w:pPr>
        <w:ind w:hanging="720"/>
      </w:pPr>
      <w:r w:rsidRPr="00D01562">
        <w:t xml:space="preserve">Regulatory Studies </w:t>
      </w:r>
      <w:proofErr w:type="spellStart"/>
      <w:r w:rsidRPr="00D01562">
        <w:t>Center</w:t>
      </w:r>
      <w:proofErr w:type="spellEnd"/>
      <w:r w:rsidRPr="00D01562">
        <w:t xml:space="preserve"> (2022) </w:t>
      </w:r>
      <w:r w:rsidRPr="008F7319">
        <w:rPr>
          <w:rStyle w:val="Emphasis"/>
          <w:rFonts w:asciiTheme="minorBidi" w:eastAsiaTheme="majorEastAsia" w:hAnsiTheme="minorBidi" w:cstheme="minorBidi"/>
          <w:szCs w:val="24"/>
        </w:rPr>
        <w:t>Regulatory Compliance Burdens: A Literature Review and Synthesis</w:t>
      </w:r>
      <w:r w:rsidRPr="00D01562">
        <w:t>. George Washington University. Available at: https://regulatorystudies.columbian.gwu.edu/sites/g/files/zaxdzs4751/files/2022-10/regulatory_compliance_burdens_litreview_synthesis_finalweb.pdf (Accessed: 23 December 2025).</w:t>
      </w:r>
    </w:p>
    <w:p w:rsidR="00E576D6" w:rsidRPr="00D01562" w:rsidRDefault="00E576D6" w:rsidP="00E576D6">
      <w:pPr>
        <w:ind w:hanging="720"/>
      </w:pPr>
      <w:proofErr w:type="spellStart"/>
      <w:r w:rsidRPr="00D01562">
        <w:t>Rumana</w:t>
      </w:r>
      <w:proofErr w:type="spellEnd"/>
      <w:r w:rsidRPr="00D01562">
        <w:t xml:space="preserve"> </w:t>
      </w:r>
      <w:proofErr w:type="spellStart"/>
      <w:r w:rsidRPr="00D01562">
        <w:t>Huque</w:t>
      </w:r>
      <w:proofErr w:type="spellEnd"/>
      <w:r w:rsidRPr="00D01562">
        <w:t xml:space="preserve"> (2016). </w:t>
      </w:r>
      <w:r w:rsidRPr="008F7319">
        <w:rPr>
          <w:i/>
          <w:iCs/>
        </w:rPr>
        <w:t>Bangladesh Health System Review</w:t>
      </w:r>
      <w:r w:rsidRPr="00D01562">
        <w:t>. [online] Academia.edu. Available at: https://www.academia.edu/download/41145064/Bangladesh_Health_System_Review20160114-28216-fsh0vc.pdf [Accessed 27 Oct. 2025].</w:t>
      </w:r>
    </w:p>
    <w:p w:rsidR="00E576D6" w:rsidRPr="00D01562" w:rsidRDefault="00E576D6" w:rsidP="00E576D6">
      <w:pPr>
        <w:ind w:hanging="720"/>
      </w:pPr>
      <w:r w:rsidRPr="00D01562">
        <w:t xml:space="preserve">Samir, K. and </w:t>
      </w:r>
      <w:proofErr w:type="spellStart"/>
      <w:r w:rsidRPr="00D01562">
        <w:t>Sheel</w:t>
      </w:r>
      <w:proofErr w:type="spellEnd"/>
      <w:r w:rsidRPr="00D01562">
        <w:t xml:space="preserve"> (2015). Problems of Export of Pharmaceutical Products from </w:t>
      </w:r>
      <w:proofErr w:type="gramStart"/>
      <w:r w:rsidRPr="00D01562">
        <w:t>Bangladesh :</w:t>
      </w:r>
      <w:proofErr w:type="gramEnd"/>
      <w:r w:rsidRPr="00D01562">
        <w:t xml:space="preserve"> An Analysis. </w:t>
      </w:r>
      <w:r w:rsidRPr="008F7319">
        <w:rPr>
          <w:i/>
          <w:iCs/>
        </w:rPr>
        <w:t>Journal of Business Studies</w:t>
      </w:r>
      <w:r w:rsidRPr="00D01562">
        <w:t xml:space="preserve">, [online] </w:t>
      </w:r>
      <w:proofErr w:type="gramStart"/>
      <w:r w:rsidRPr="00D01562">
        <w:t>XXXVI(</w:t>
      </w:r>
      <w:proofErr w:type="gramEnd"/>
      <w:r w:rsidRPr="00D01562">
        <w:t>3). Available at: https://fbs-du.com/news_event/15053071512.%20Dr.pdf [Accessed 19 Dec. 2025].</w:t>
      </w:r>
    </w:p>
    <w:p w:rsidR="00E576D6" w:rsidRPr="00D01562" w:rsidRDefault="00E576D6" w:rsidP="00E576D6">
      <w:pPr>
        <w:ind w:hanging="720"/>
      </w:pPr>
      <w:r w:rsidRPr="00D01562">
        <w:t xml:space="preserve">Sarkar, M.S. and </w:t>
      </w:r>
      <w:proofErr w:type="spellStart"/>
      <w:r w:rsidRPr="00D01562">
        <w:t>Plahe</w:t>
      </w:r>
      <w:proofErr w:type="spellEnd"/>
      <w:r w:rsidRPr="00D01562">
        <w:t xml:space="preserve">, J.K. (2021). Accessing Affordable Medicines in a Post-TRIPS Environment: The Case of Bangladesh. </w:t>
      </w:r>
      <w:r w:rsidRPr="008F7319">
        <w:rPr>
          <w:rStyle w:val="Emphasis"/>
          <w:rFonts w:asciiTheme="minorBidi" w:hAnsiTheme="minorBidi" w:cstheme="minorBidi"/>
          <w:szCs w:val="24"/>
        </w:rPr>
        <w:t>South Asia: Journal of South Asian Studies</w:t>
      </w:r>
      <w:r w:rsidRPr="00D01562">
        <w:t xml:space="preserve">, 44(6), pp.1186–1205. </w:t>
      </w:r>
      <w:proofErr w:type="spellStart"/>
      <w:r w:rsidRPr="00D01562">
        <w:t>doi</w:t>
      </w:r>
      <w:proofErr w:type="spellEnd"/>
      <w:r w:rsidRPr="00D01562">
        <w:t xml:space="preserve">: </w:t>
      </w:r>
      <w:hyperlink r:id="rId17" w:tgtFrame="_new" w:history="1">
        <w:r w:rsidRPr="008F7319">
          <w:rPr>
            <w:rFonts w:eastAsiaTheme="majorEastAsia"/>
          </w:rPr>
          <w:t>https://doi.org/10.1080/00856401.2021.1981532</w:t>
        </w:r>
      </w:hyperlink>
    </w:p>
    <w:p w:rsidR="00E576D6" w:rsidRPr="008F7319" w:rsidRDefault="00E576D6" w:rsidP="00E576D6">
      <w:pPr>
        <w:ind w:hanging="720"/>
        <w:rPr>
          <w:lang w:val="en-US" w:eastAsia="en-US"/>
        </w:rPr>
      </w:pPr>
      <w:r w:rsidRPr="008F7319">
        <w:rPr>
          <w:lang w:val="en-US" w:eastAsia="en-US"/>
        </w:rPr>
        <w:t xml:space="preserve">Saunders, M., Lewis, P. and Thornhill, A. (2016). </w:t>
      </w:r>
      <w:r w:rsidRPr="008F7319">
        <w:rPr>
          <w:i/>
          <w:iCs/>
          <w:lang w:val="en-US" w:eastAsia="en-US"/>
        </w:rPr>
        <w:t>Research Methods for Business Students</w:t>
      </w:r>
      <w:r w:rsidRPr="008F7319">
        <w:rPr>
          <w:lang w:val="en-US" w:eastAsia="en-US"/>
        </w:rPr>
        <w:t>. 7th ed. Pearson.</w:t>
      </w:r>
    </w:p>
    <w:p w:rsidR="00E576D6" w:rsidRPr="008F7319" w:rsidRDefault="00E576D6" w:rsidP="00E576D6">
      <w:pPr>
        <w:ind w:hanging="720"/>
        <w:rPr>
          <w:lang w:val="en-US" w:eastAsia="en-US"/>
        </w:rPr>
      </w:pPr>
      <w:proofErr w:type="spellStart"/>
      <w:r w:rsidRPr="008F7319">
        <w:rPr>
          <w:lang w:val="en-US" w:eastAsia="en-US"/>
        </w:rPr>
        <w:t>Sohel</w:t>
      </w:r>
      <w:proofErr w:type="spellEnd"/>
      <w:r w:rsidRPr="008F7319">
        <w:rPr>
          <w:lang w:val="en-US" w:eastAsia="en-US"/>
        </w:rPr>
        <w:t xml:space="preserve"> </w:t>
      </w:r>
      <w:proofErr w:type="spellStart"/>
      <w:r w:rsidRPr="008F7319">
        <w:rPr>
          <w:lang w:val="en-US" w:eastAsia="en-US"/>
        </w:rPr>
        <w:t>Parvez</w:t>
      </w:r>
      <w:proofErr w:type="spellEnd"/>
      <w:r w:rsidRPr="008F7319">
        <w:rPr>
          <w:lang w:val="en-US" w:eastAsia="en-US"/>
        </w:rPr>
        <w:t xml:space="preserve"> (2025). </w:t>
      </w:r>
      <w:r w:rsidRPr="008F7319">
        <w:rPr>
          <w:i/>
          <w:iCs/>
          <w:lang w:val="en-US" w:eastAsia="en-US"/>
        </w:rPr>
        <w:t>Banks’ lending to SMEs falls to four-year low</w:t>
      </w:r>
      <w:r w:rsidRPr="008F7319">
        <w:rPr>
          <w:lang w:val="en-US" w:eastAsia="en-US"/>
        </w:rPr>
        <w:t>. [online] The Daily Star. Available at: https://www.thedailystar.net/business/economy/banks/news/banks-lending-smes-falls-four-year-low-4023411? [Accessed 20 Dec. 2025].</w:t>
      </w:r>
    </w:p>
    <w:p w:rsidR="00E576D6" w:rsidRPr="008F7319" w:rsidRDefault="00E576D6" w:rsidP="00E576D6">
      <w:pPr>
        <w:ind w:hanging="720"/>
        <w:rPr>
          <w:lang w:val="en-US" w:eastAsia="en-US"/>
        </w:rPr>
      </w:pPr>
      <w:proofErr w:type="spellStart"/>
      <w:r w:rsidRPr="008F7319">
        <w:rPr>
          <w:lang w:val="en-US" w:eastAsia="en-US"/>
        </w:rPr>
        <w:lastRenderedPageBreak/>
        <w:t>Sukanta</w:t>
      </w:r>
      <w:proofErr w:type="spellEnd"/>
      <w:r w:rsidRPr="008F7319">
        <w:rPr>
          <w:lang w:val="en-US" w:eastAsia="en-US"/>
        </w:rPr>
        <w:t xml:space="preserve"> </w:t>
      </w:r>
      <w:proofErr w:type="spellStart"/>
      <w:r w:rsidRPr="008F7319">
        <w:rPr>
          <w:lang w:val="en-US" w:eastAsia="en-US"/>
        </w:rPr>
        <w:t>Halder</w:t>
      </w:r>
      <w:proofErr w:type="spellEnd"/>
      <w:r w:rsidRPr="008F7319">
        <w:rPr>
          <w:lang w:val="en-US" w:eastAsia="en-US"/>
        </w:rPr>
        <w:t xml:space="preserve"> (2024). </w:t>
      </w:r>
      <w:r w:rsidRPr="008F7319">
        <w:rPr>
          <w:i/>
          <w:iCs/>
          <w:lang w:val="en-US" w:eastAsia="en-US"/>
        </w:rPr>
        <w:t xml:space="preserve">How much of SME potential have we </w:t>
      </w:r>
      <w:proofErr w:type="spellStart"/>
      <w:r w:rsidRPr="008F7319">
        <w:rPr>
          <w:i/>
          <w:iCs/>
          <w:lang w:val="en-US" w:eastAsia="en-US"/>
        </w:rPr>
        <w:t>realised</w:t>
      </w:r>
      <w:proofErr w:type="spellEnd"/>
      <w:r w:rsidRPr="008F7319">
        <w:rPr>
          <w:i/>
          <w:iCs/>
          <w:lang w:val="en-US" w:eastAsia="en-US"/>
        </w:rPr>
        <w:t>?</w:t>
      </w:r>
      <w:r w:rsidRPr="008F7319">
        <w:rPr>
          <w:lang w:val="en-US" w:eastAsia="en-US"/>
        </w:rPr>
        <w:t xml:space="preserve"> [online] The Daily Star. Available at: https://www.thedailystar.net/business/economy/news/how-much-sme-potential-have-we-realised-3618551? [Accessed 20 Dec. 2025].</w:t>
      </w:r>
    </w:p>
    <w:p w:rsidR="00E576D6" w:rsidRPr="008F7319" w:rsidRDefault="00E576D6" w:rsidP="00E576D6">
      <w:pPr>
        <w:ind w:hanging="720"/>
        <w:rPr>
          <w:lang w:val="en-US" w:eastAsia="en-US"/>
        </w:rPr>
      </w:pPr>
      <w:r w:rsidRPr="008F7319">
        <w:rPr>
          <w:lang w:val="en-US" w:eastAsia="en-US"/>
        </w:rPr>
        <w:t xml:space="preserve">The Financial Express (2025). </w:t>
      </w:r>
      <w:r w:rsidRPr="008F7319">
        <w:rPr>
          <w:i/>
          <w:iCs/>
          <w:lang w:val="en-US" w:eastAsia="en-US"/>
        </w:rPr>
        <w:t>SMEs’ share in GDP 35pc by 2030 in focus</w:t>
      </w:r>
      <w:r w:rsidRPr="008F7319">
        <w:rPr>
          <w:lang w:val="en-US" w:eastAsia="en-US"/>
        </w:rPr>
        <w:t>. [online] The Financial Express. Available at: https://thefinancialexpress.com.bd/trade/smes-share-in-gdp-35pc-by-2030-in-focus [Accessed 20 Dec. 2025].</w:t>
      </w:r>
    </w:p>
    <w:p w:rsidR="00E576D6" w:rsidRPr="00E576D6" w:rsidRDefault="00E576D6" w:rsidP="00E576D6">
      <w:pPr>
        <w:ind w:hanging="720"/>
        <w:rPr>
          <w:rFonts w:ascii="Times New Roman" w:hAnsi="Times New Roman"/>
          <w:szCs w:val="24"/>
          <w:lang w:val="en-US" w:eastAsia="en-US"/>
        </w:rPr>
      </w:pPr>
      <w:r w:rsidRPr="00E576D6">
        <w:rPr>
          <w:rFonts w:ascii="Times New Roman" w:hAnsi="Times New Roman"/>
          <w:szCs w:val="24"/>
          <w:lang w:val="en-US" w:eastAsia="en-US"/>
        </w:rPr>
        <w:t xml:space="preserve">TIB (2026). </w:t>
      </w:r>
      <w:r w:rsidRPr="00E576D6">
        <w:rPr>
          <w:rFonts w:ascii="Times New Roman" w:hAnsi="Times New Roman"/>
          <w:i/>
          <w:iCs/>
          <w:szCs w:val="24"/>
          <w:lang w:val="en-US" w:eastAsia="en-US"/>
        </w:rPr>
        <w:t>Corruption rife in Drug Administration: TIB</w:t>
      </w:r>
      <w:r w:rsidRPr="00E576D6">
        <w:rPr>
          <w:rFonts w:ascii="Times New Roman" w:hAnsi="Times New Roman"/>
          <w:szCs w:val="24"/>
          <w:lang w:val="en-US" w:eastAsia="en-US"/>
        </w:rPr>
        <w:t>. [online] Thefinancialexpress.com.bd. Available at: https://today.thefinancialexpress.com.bd/print/corruption-rife-in-drug-administration-tib [Accessed 2 Feb. 2026].</w:t>
      </w:r>
    </w:p>
    <w:p w:rsidR="00E576D6" w:rsidRPr="00D01562" w:rsidRDefault="00E576D6" w:rsidP="00E576D6">
      <w:pPr>
        <w:ind w:hanging="720"/>
      </w:pPr>
      <w:r w:rsidRPr="00D01562">
        <w:t xml:space="preserve">UN ESCAP (2023) </w:t>
      </w:r>
      <w:r w:rsidRPr="008F7319">
        <w:rPr>
          <w:rStyle w:val="Emphasis"/>
          <w:rFonts w:asciiTheme="minorBidi" w:eastAsiaTheme="majorEastAsia" w:hAnsiTheme="minorBidi" w:cstheme="minorBidi"/>
          <w:szCs w:val="24"/>
        </w:rPr>
        <w:t>Digital and Sustainable Trade Facilitation: Global Report 2023</w:t>
      </w:r>
      <w:r w:rsidRPr="00D01562">
        <w:t xml:space="preserve">. Available at: </w:t>
      </w:r>
      <w:hyperlink r:id="rId18" w:tgtFrame="_new" w:history="1">
        <w:r w:rsidRPr="008F7319">
          <w:rPr>
            <w:rFonts w:eastAsiaTheme="majorEastAsia"/>
          </w:rPr>
          <w:t>https://www.untfsurvey.org/files/documents/report-digital-sustainable-2023-global.pdf</w:t>
        </w:r>
      </w:hyperlink>
      <w:r w:rsidRPr="00D01562">
        <w:t xml:space="preserve"> (Accessed: 23 December 2025).</w:t>
      </w:r>
    </w:p>
    <w:p w:rsidR="00E576D6" w:rsidRPr="008F7319" w:rsidRDefault="00E576D6" w:rsidP="00E576D6">
      <w:pPr>
        <w:ind w:hanging="720"/>
        <w:rPr>
          <w:lang w:val="en-US" w:eastAsia="en-US"/>
        </w:rPr>
      </w:pPr>
      <w:proofErr w:type="spellStart"/>
      <w:r w:rsidRPr="008F7319">
        <w:rPr>
          <w:lang w:val="en-US" w:eastAsia="en-US"/>
        </w:rPr>
        <w:t>Veiga</w:t>
      </w:r>
      <w:proofErr w:type="spellEnd"/>
      <w:r w:rsidRPr="008F7319">
        <w:rPr>
          <w:lang w:val="en-US" w:eastAsia="en-US"/>
        </w:rPr>
        <w:t xml:space="preserve">, L. and </w:t>
      </w:r>
      <w:proofErr w:type="spellStart"/>
      <w:r w:rsidRPr="008F7319">
        <w:rPr>
          <w:lang w:val="en-US" w:eastAsia="en-US"/>
        </w:rPr>
        <w:t>Janowski</w:t>
      </w:r>
      <w:proofErr w:type="spellEnd"/>
      <w:r w:rsidRPr="008F7319">
        <w:rPr>
          <w:lang w:val="en-US" w:eastAsia="en-US"/>
        </w:rPr>
        <w:t xml:space="preserve">, T. (2016). Digital Government and Administrative Burden Reduction. </w:t>
      </w:r>
      <w:r w:rsidRPr="008F7319">
        <w:rPr>
          <w:i/>
          <w:iCs/>
          <w:lang w:val="en-US" w:eastAsia="en-US"/>
        </w:rPr>
        <w:t>Proceedings of the 9th International Conference on Theory and Practice of Electronic Governance</w:t>
      </w:r>
      <w:r w:rsidRPr="008F7319">
        <w:rPr>
          <w:lang w:val="en-US" w:eastAsia="en-US"/>
        </w:rPr>
        <w:t xml:space="preserve">. </w:t>
      </w:r>
      <w:proofErr w:type="spellStart"/>
      <w:r w:rsidRPr="008F7319">
        <w:rPr>
          <w:lang w:val="en-US" w:eastAsia="en-US"/>
        </w:rPr>
        <w:t>doi:https</w:t>
      </w:r>
      <w:proofErr w:type="spellEnd"/>
      <w:r w:rsidRPr="008F7319">
        <w:rPr>
          <w:lang w:val="en-US" w:eastAsia="en-US"/>
        </w:rPr>
        <w:t>://doi.org/10.1145/2910019.2910107.</w:t>
      </w:r>
    </w:p>
    <w:p w:rsidR="00E576D6" w:rsidRPr="00D01562" w:rsidRDefault="00E576D6" w:rsidP="00E576D6">
      <w:pPr>
        <w:ind w:hanging="720"/>
      </w:pPr>
      <w:r w:rsidRPr="00D01562">
        <w:t xml:space="preserve">Wang, H., </w:t>
      </w:r>
      <w:proofErr w:type="spellStart"/>
      <w:r w:rsidRPr="00D01562">
        <w:t>Ndomondo-Sigonda</w:t>
      </w:r>
      <w:proofErr w:type="spellEnd"/>
      <w:r w:rsidRPr="00D01562">
        <w:t xml:space="preserve">, M., </w:t>
      </w:r>
      <w:proofErr w:type="spellStart"/>
      <w:r w:rsidRPr="00D01562">
        <w:t>Gastelurrutia</w:t>
      </w:r>
      <w:proofErr w:type="spellEnd"/>
      <w:r w:rsidRPr="00D01562">
        <w:t xml:space="preserve">, M.Á., </w:t>
      </w:r>
      <w:proofErr w:type="spellStart"/>
      <w:r w:rsidRPr="00D01562">
        <w:t>Addo</w:t>
      </w:r>
      <w:proofErr w:type="spellEnd"/>
      <w:r w:rsidRPr="00D01562">
        <w:t xml:space="preserve">, R.T. and </w:t>
      </w:r>
      <w:proofErr w:type="spellStart"/>
      <w:r w:rsidRPr="00D01562">
        <w:t>Niba</w:t>
      </w:r>
      <w:proofErr w:type="spellEnd"/>
      <w:r w:rsidRPr="00D01562">
        <w:t xml:space="preserve">, L.L. (2025) ‘Benchmarking and strengthening African national medicines regulatory authorities: Regulatory performance and medicines access implications’, </w:t>
      </w:r>
      <w:r w:rsidRPr="008F7319">
        <w:rPr>
          <w:rStyle w:val="Emphasis"/>
          <w:rFonts w:asciiTheme="minorBidi" w:eastAsiaTheme="majorEastAsia" w:hAnsiTheme="minorBidi" w:cstheme="minorBidi"/>
          <w:szCs w:val="24"/>
        </w:rPr>
        <w:t>Journal of Pharmaceutical Policy and Practice</w:t>
      </w:r>
      <w:r w:rsidRPr="00D01562">
        <w:t>, 18, 87. https://doi.org/10.1007/s43441-025-00879-8</w:t>
      </w:r>
    </w:p>
    <w:p w:rsidR="00E576D6" w:rsidRPr="00D01562" w:rsidRDefault="00E576D6" w:rsidP="00E576D6">
      <w:pPr>
        <w:ind w:hanging="720"/>
      </w:pPr>
      <w:r w:rsidRPr="00D01562">
        <w:t xml:space="preserve">World Bank (2020) </w:t>
      </w:r>
      <w:r w:rsidRPr="008F7319">
        <w:rPr>
          <w:rStyle w:val="Emphasis"/>
          <w:rFonts w:asciiTheme="minorBidi" w:eastAsiaTheme="majorEastAsia" w:hAnsiTheme="minorBidi" w:cstheme="minorBidi"/>
          <w:szCs w:val="24"/>
        </w:rPr>
        <w:t>Doing Business 2020: Economy Profile—Bangladesh.</w:t>
      </w:r>
      <w:r w:rsidRPr="00D01562">
        <w:t xml:space="preserve"> Washington, DC: World Bank. Available at: </w:t>
      </w:r>
      <w:hyperlink r:id="rId19" w:tgtFrame="_new" w:history="1">
        <w:r w:rsidRPr="008F7319">
          <w:rPr>
            <w:rFonts w:eastAsiaTheme="majorEastAsia"/>
          </w:rPr>
          <w:t>https://archive.doingbusiness.org/content/dam/doingBusiness/country/b/bangladesh/BGD.pdf</w:t>
        </w:r>
      </w:hyperlink>
      <w:r w:rsidRPr="00D01562">
        <w:t xml:space="preserve"> (Accessed: 22 December 2025).</w:t>
      </w:r>
    </w:p>
    <w:p w:rsidR="00E576D6" w:rsidRPr="008F7319" w:rsidRDefault="00E576D6" w:rsidP="00E576D6">
      <w:pPr>
        <w:ind w:hanging="720"/>
        <w:rPr>
          <w:lang w:val="en-US" w:eastAsia="en-US"/>
        </w:rPr>
      </w:pPr>
      <w:r w:rsidRPr="008F7319">
        <w:rPr>
          <w:lang w:val="en-US" w:eastAsia="en-US"/>
        </w:rPr>
        <w:t xml:space="preserve">World, W.B. (2022). </w:t>
      </w:r>
      <w:r w:rsidRPr="008F7319">
        <w:rPr>
          <w:i/>
          <w:iCs/>
          <w:lang w:val="en-US" w:eastAsia="en-US"/>
        </w:rPr>
        <w:t>World Bank Enterprise Survey 2022 - Bangladesh</w:t>
      </w:r>
      <w:r w:rsidRPr="008F7319">
        <w:rPr>
          <w:lang w:val="en-US" w:eastAsia="en-US"/>
        </w:rPr>
        <w:t>. [online] Worldbank.org. Available at: https://microdata.worldbank.org/index.php/catalog/6497 [Accessed 21 Dec. 2025].</w:t>
      </w:r>
    </w:p>
    <w:p w:rsidR="00D01562" w:rsidRPr="00D01562" w:rsidRDefault="00D01562" w:rsidP="00D01562">
      <w:pPr>
        <w:rPr>
          <w:rFonts w:asciiTheme="minorBidi" w:hAnsiTheme="minorBidi" w:cstheme="minorBidi"/>
          <w:szCs w:val="24"/>
        </w:rPr>
      </w:pPr>
    </w:p>
    <w:sectPr w:rsidR="00D01562" w:rsidRPr="00D01562">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318D" w:rsidRDefault="007C318D" w:rsidP="00B07B0D">
      <w:pPr>
        <w:spacing w:before="0" w:after="0" w:line="240" w:lineRule="auto"/>
      </w:pPr>
      <w:r>
        <w:separator/>
      </w:r>
    </w:p>
  </w:endnote>
  <w:endnote w:type="continuationSeparator" w:id="0">
    <w:p w:rsidR="007C318D" w:rsidRDefault="007C318D" w:rsidP="00B07B0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AE8" w:rsidRDefault="00D03AE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9351772"/>
      <w:docPartObj>
        <w:docPartGallery w:val="Page Numbers (Bottom of Page)"/>
        <w:docPartUnique/>
      </w:docPartObj>
    </w:sdtPr>
    <w:sdtEndPr>
      <w:rPr>
        <w:noProof/>
      </w:rPr>
    </w:sdtEndPr>
    <w:sdtContent>
      <w:p w:rsidR="00D03AE8" w:rsidRDefault="00D03AE8">
        <w:pPr>
          <w:pStyle w:val="Footer"/>
          <w:jc w:val="right"/>
        </w:pPr>
        <w:r>
          <w:fldChar w:fldCharType="begin"/>
        </w:r>
        <w:r>
          <w:instrText xml:space="preserve"> PAGE   \* MERGEFORMAT </w:instrText>
        </w:r>
        <w:r>
          <w:fldChar w:fldCharType="separate"/>
        </w:r>
        <w:r w:rsidR="006E4100">
          <w:rPr>
            <w:noProof/>
          </w:rPr>
          <w:t>2</w:t>
        </w:r>
        <w:r>
          <w:rPr>
            <w:noProof/>
          </w:rPr>
          <w:fldChar w:fldCharType="end"/>
        </w:r>
      </w:p>
    </w:sdtContent>
  </w:sdt>
  <w:p w:rsidR="00D03AE8" w:rsidRDefault="00D03AE8">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AE8" w:rsidRDefault="00D03AE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318D" w:rsidRDefault="007C318D" w:rsidP="00B07B0D">
      <w:pPr>
        <w:spacing w:before="0" w:after="0" w:line="240" w:lineRule="auto"/>
      </w:pPr>
      <w:r>
        <w:separator/>
      </w:r>
    </w:p>
  </w:footnote>
  <w:footnote w:type="continuationSeparator" w:id="0">
    <w:p w:rsidR="007C318D" w:rsidRDefault="007C318D" w:rsidP="00B07B0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AE8" w:rsidRDefault="00D03AE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AE8" w:rsidRDefault="00D03AE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AE8" w:rsidRDefault="00D03AE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204A9"/>
    <w:multiLevelType w:val="multilevel"/>
    <w:tmpl w:val="EF7AC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852176"/>
    <w:multiLevelType w:val="hybridMultilevel"/>
    <w:tmpl w:val="77A0CDD6"/>
    <w:lvl w:ilvl="0" w:tplc="04090001">
      <w:start w:val="1"/>
      <w:numFmt w:val="bullet"/>
      <w:lvlText w:val=""/>
      <w:lvlJc w:val="left"/>
      <w:pPr>
        <w:ind w:left="720" w:hanging="360"/>
      </w:pPr>
      <w:rPr>
        <w:rFonts w:ascii="Symbol" w:hAnsi="Symbol" w:hint="default"/>
      </w:rPr>
    </w:lvl>
    <w:lvl w:ilvl="1" w:tplc="DAF231C4">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ED1E77"/>
    <w:multiLevelType w:val="hybridMultilevel"/>
    <w:tmpl w:val="5BF08766"/>
    <w:lvl w:ilvl="0" w:tplc="43544CB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B967E8"/>
    <w:multiLevelType w:val="hybridMultilevel"/>
    <w:tmpl w:val="1F5E9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6A75D7"/>
    <w:multiLevelType w:val="multilevel"/>
    <w:tmpl w:val="F59CF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48734C"/>
    <w:multiLevelType w:val="hybridMultilevel"/>
    <w:tmpl w:val="EEC6C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10743B"/>
    <w:multiLevelType w:val="hybridMultilevel"/>
    <w:tmpl w:val="AE326A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F24EE9"/>
    <w:multiLevelType w:val="hybridMultilevel"/>
    <w:tmpl w:val="ED127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FD402C6"/>
    <w:multiLevelType w:val="hybridMultilevel"/>
    <w:tmpl w:val="20B66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2C32626"/>
    <w:multiLevelType w:val="hybridMultilevel"/>
    <w:tmpl w:val="73109B90"/>
    <w:lvl w:ilvl="0" w:tplc="43544CB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2E775E4"/>
    <w:multiLevelType w:val="hybridMultilevel"/>
    <w:tmpl w:val="F9FAA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3615F0"/>
    <w:multiLevelType w:val="hybridMultilevel"/>
    <w:tmpl w:val="F3FC941E"/>
    <w:lvl w:ilvl="0" w:tplc="04090001">
      <w:start w:val="1"/>
      <w:numFmt w:val="bullet"/>
      <w:lvlText w:val=""/>
      <w:lvlJc w:val="left"/>
      <w:pPr>
        <w:ind w:left="720" w:hanging="360"/>
      </w:pPr>
      <w:rPr>
        <w:rFonts w:ascii="Symbol" w:hAnsi="Symbol" w:hint="default"/>
      </w:rPr>
    </w:lvl>
    <w:lvl w:ilvl="1" w:tplc="E634ED7E">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CED7E03"/>
    <w:multiLevelType w:val="hybridMultilevel"/>
    <w:tmpl w:val="FBF48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494247A"/>
    <w:multiLevelType w:val="hybridMultilevel"/>
    <w:tmpl w:val="24D2F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7E7467"/>
    <w:multiLevelType w:val="hybridMultilevel"/>
    <w:tmpl w:val="87E25D7C"/>
    <w:lvl w:ilvl="0" w:tplc="04090001">
      <w:start w:val="1"/>
      <w:numFmt w:val="bullet"/>
      <w:lvlText w:val=""/>
      <w:lvlJc w:val="left"/>
      <w:pPr>
        <w:ind w:left="720" w:hanging="360"/>
      </w:pPr>
      <w:rPr>
        <w:rFonts w:ascii="Symbol" w:hAnsi="Symbol" w:hint="default"/>
      </w:rPr>
    </w:lvl>
    <w:lvl w:ilvl="1" w:tplc="D26E451A">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14"/>
  </w:num>
  <w:num w:numId="4">
    <w:abstractNumId w:val="10"/>
  </w:num>
  <w:num w:numId="5">
    <w:abstractNumId w:val="11"/>
  </w:num>
  <w:num w:numId="6">
    <w:abstractNumId w:val="7"/>
  </w:num>
  <w:num w:numId="7">
    <w:abstractNumId w:val="2"/>
  </w:num>
  <w:num w:numId="8">
    <w:abstractNumId w:val="9"/>
  </w:num>
  <w:num w:numId="9">
    <w:abstractNumId w:val="3"/>
  </w:num>
  <w:num w:numId="10">
    <w:abstractNumId w:val="0"/>
  </w:num>
  <w:num w:numId="11">
    <w:abstractNumId w:val="4"/>
  </w:num>
  <w:num w:numId="12">
    <w:abstractNumId w:val="12"/>
  </w:num>
  <w:num w:numId="13">
    <w:abstractNumId w:val="8"/>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2D0"/>
    <w:rsid w:val="00032A8E"/>
    <w:rsid w:val="000511BE"/>
    <w:rsid w:val="000537E6"/>
    <w:rsid w:val="0005555F"/>
    <w:rsid w:val="000624A4"/>
    <w:rsid w:val="00081C63"/>
    <w:rsid w:val="000821AE"/>
    <w:rsid w:val="000B2520"/>
    <w:rsid w:val="000C322A"/>
    <w:rsid w:val="000C7756"/>
    <w:rsid w:val="000D3980"/>
    <w:rsid w:val="000F1024"/>
    <w:rsid w:val="000F715B"/>
    <w:rsid w:val="001059DB"/>
    <w:rsid w:val="00120EF3"/>
    <w:rsid w:val="00140A21"/>
    <w:rsid w:val="00145123"/>
    <w:rsid w:val="0015741E"/>
    <w:rsid w:val="00165173"/>
    <w:rsid w:val="001828B8"/>
    <w:rsid w:val="00182B4E"/>
    <w:rsid w:val="001A1432"/>
    <w:rsid w:val="001A3E0D"/>
    <w:rsid w:val="001E2CCB"/>
    <w:rsid w:val="001F3A5F"/>
    <w:rsid w:val="00203563"/>
    <w:rsid w:val="00240C84"/>
    <w:rsid w:val="00265C43"/>
    <w:rsid w:val="00272411"/>
    <w:rsid w:val="002A0B63"/>
    <w:rsid w:val="002B5239"/>
    <w:rsid w:val="002E0A25"/>
    <w:rsid w:val="00305BC5"/>
    <w:rsid w:val="003135D8"/>
    <w:rsid w:val="00317325"/>
    <w:rsid w:val="003406CF"/>
    <w:rsid w:val="00340E02"/>
    <w:rsid w:val="003428CE"/>
    <w:rsid w:val="00342B82"/>
    <w:rsid w:val="00344548"/>
    <w:rsid w:val="00350016"/>
    <w:rsid w:val="00353825"/>
    <w:rsid w:val="003633DF"/>
    <w:rsid w:val="00373C02"/>
    <w:rsid w:val="003744DF"/>
    <w:rsid w:val="00375ED9"/>
    <w:rsid w:val="00376E01"/>
    <w:rsid w:val="003950FF"/>
    <w:rsid w:val="00396E55"/>
    <w:rsid w:val="003A3AA8"/>
    <w:rsid w:val="003B4502"/>
    <w:rsid w:val="003B5B00"/>
    <w:rsid w:val="003C1926"/>
    <w:rsid w:val="003E05A7"/>
    <w:rsid w:val="004017E9"/>
    <w:rsid w:val="00404E9F"/>
    <w:rsid w:val="00414AB1"/>
    <w:rsid w:val="00434669"/>
    <w:rsid w:val="00451226"/>
    <w:rsid w:val="00451DF7"/>
    <w:rsid w:val="004540F1"/>
    <w:rsid w:val="00460A4F"/>
    <w:rsid w:val="00470C1E"/>
    <w:rsid w:val="004D2255"/>
    <w:rsid w:val="004D55D7"/>
    <w:rsid w:val="004E2BF7"/>
    <w:rsid w:val="004F7062"/>
    <w:rsid w:val="005010B1"/>
    <w:rsid w:val="0050422F"/>
    <w:rsid w:val="00506A90"/>
    <w:rsid w:val="00531A78"/>
    <w:rsid w:val="0057166D"/>
    <w:rsid w:val="00591B72"/>
    <w:rsid w:val="00594501"/>
    <w:rsid w:val="00594BE7"/>
    <w:rsid w:val="005A2FB1"/>
    <w:rsid w:val="005A6361"/>
    <w:rsid w:val="005B2888"/>
    <w:rsid w:val="005B2954"/>
    <w:rsid w:val="005D07CA"/>
    <w:rsid w:val="005E35FC"/>
    <w:rsid w:val="005E688C"/>
    <w:rsid w:val="005F3696"/>
    <w:rsid w:val="00603D26"/>
    <w:rsid w:val="006078AA"/>
    <w:rsid w:val="00616BD7"/>
    <w:rsid w:val="00623961"/>
    <w:rsid w:val="00631101"/>
    <w:rsid w:val="0063707D"/>
    <w:rsid w:val="00637AC3"/>
    <w:rsid w:val="00685802"/>
    <w:rsid w:val="00687139"/>
    <w:rsid w:val="006C3A1F"/>
    <w:rsid w:val="006D0F73"/>
    <w:rsid w:val="006D64E1"/>
    <w:rsid w:val="006E4100"/>
    <w:rsid w:val="006E45C3"/>
    <w:rsid w:val="007572D0"/>
    <w:rsid w:val="0076635A"/>
    <w:rsid w:val="00773B65"/>
    <w:rsid w:val="007B2318"/>
    <w:rsid w:val="007C318D"/>
    <w:rsid w:val="007D038E"/>
    <w:rsid w:val="008029C2"/>
    <w:rsid w:val="0081355E"/>
    <w:rsid w:val="00814FE6"/>
    <w:rsid w:val="008360DA"/>
    <w:rsid w:val="00842A45"/>
    <w:rsid w:val="00895D2D"/>
    <w:rsid w:val="00896FF3"/>
    <w:rsid w:val="008C52B6"/>
    <w:rsid w:val="008D5C92"/>
    <w:rsid w:val="008E121D"/>
    <w:rsid w:val="008F7319"/>
    <w:rsid w:val="009158FE"/>
    <w:rsid w:val="0092286D"/>
    <w:rsid w:val="00924257"/>
    <w:rsid w:val="00937E9C"/>
    <w:rsid w:val="009A0250"/>
    <w:rsid w:val="009A3AF7"/>
    <w:rsid w:val="009A40CE"/>
    <w:rsid w:val="009B1ECA"/>
    <w:rsid w:val="009B70D0"/>
    <w:rsid w:val="009D6F2C"/>
    <w:rsid w:val="009E4566"/>
    <w:rsid w:val="00A06AD3"/>
    <w:rsid w:val="00A16EAB"/>
    <w:rsid w:val="00A2218C"/>
    <w:rsid w:val="00A23247"/>
    <w:rsid w:val="00A36DF2"/>
    <w:rsid w:val="00A51C6D"/>
    <w:rsid w:val="00A731C1"/>
    <w:rsid w:val="00A86315"/>
    <w:rsid w:val="00A95460"/>
    <w:rsid w:val="00A967E1"/>
    <w:rsid w:val="00AA1F3F"/>
    <w:rsid w:val="00AB26E1"/>
    <w:rsid w:val="00AB6E7D"/>
    <w:rsid w:val="00AD7B79"/>
    <w:rsid w:val="00B07B0D"/>
    <w:rsid w:val="00B07C8C"/>
    <w:rsid w:val="00B250DF"/>
    <w:rsid w:val="00B45763"/>
    <w:rsid w:val="00B462C9"/>
    <w:rsid w:val="00B46E00"/>
    <w:rsid w:val="00B56633"/>
    <w:rsid w:val="00BB002A"/>
    <w:rsid w:val="00BB089F"/>
    <w:rsid w:val="00BB295F"/>
    <w:rsid w:val="00BB5D78"/>
    <w:rsid w:val="00BB62E9"/>
    <w:rsid w:val="00BC10B1"/>
    <w:rsid w:val="00BD693A"/>
    <w:rsid w:val="00BF6D78"/>
    <w:rsid w:val="00C06800"/>
    <w:rsid w:val="00C218D8"/>
    <w:rsid w:val="00C22E73"/>
    <w:rsid w:val="00C472A6"/>
    <w:rsid w:val="00C54BDA"/>
    <w:rsid w:val="00C76EC1"/>
    <w:rsid w:val="00C77D44"/>
    <w:rsid w:val="00C9281B"/>
    <w:rsid w:val="00CA0114"/>
    <w:rsid w:val="00CA2749"/>
    <w:rsid w:val="00CB240A"/>
    <w:rsid w:val="00CB2D4D"/>
    <w:rsid w:val="00CB5686"/>
    <w:rsid w:val="00CD69A8"/>
    <w:rsid w:val="00CE3E11"/>
    <w:rsid w:val="00CE585E"/>
    <w:rsid w:val="00CF053C"/>
    <w:rsid w:val="00D01562"/>
    <w:rsid w:val="00D03418"/>
    <w:rsid w:val="00D03AE8"/>
    <w:rsid w:val="00D05C9F"/>
    <w:rsid w:val="00D22B68"/>
    <w:rsid w:val="00D23B03"/>
    <w:rsid w:val="00D30FC4"/>
    <w:rsid w:val="00D46F97"/>
    <w:rsid w:val="00D623D5"/>
    <w:rsid w:val="00DA4C6E"/>
    <w:rsid w:val="00DA7BCF"/>
    <w:rsid w:val="00DC0C6A"/>
    <w:rsid w:val="00DC63BC"/>
    <w:rsid w:val="00DE3477"/>
    <w:rsid w:val="00DF5D80"/>
    <w:rsid w:val="00E02A6C"/>
    <w:rsid w:val="00E23A89"/>
    <w:rsid w:val="00E2675B"/>
    <w:rsid w:val="00E26838"/>
    <w:rsid w:val="00E32029"/>
    <w:rsid w:val="00E373BA"/>
    <w:rsid w:val="00E576D6"/>
    <w:rsid w:val="00E63577"/>
    <w:rsid w:val="00E678C6"/>
    <w:rsid w:val="00E8129F"/>
    <w:rsid w:val="00E866B8"/>
    <w:rsid w:val="00EC2B8F"/>
    <w:rsid w:val="00EE7C10"/>
    <w:rsid w:val="00F04A85"/>
    <w:rsid w:val="00F15008"/>
    <w:rsid w:val="00F1577E"/>
    <w:rsid w:val="00F20B12"/>
    <w:rsid w:val="00F24C93"/>
    <w:rsid w:val="00F722C2"/>
    <w:rsid w:val="00F7475C"/>
    <w:rsid w:val="00F7636E"/>
    <w:rsid w:val="00F80796"/>
    <w:rsid w:val="00F82CCE"/>
    <w:rsid w:val="00F92E22"/>
    <w:rsid w:val="00F95C1E"/>
    <w:rsid w:val="00FA316A"/>
    <w:rsid w:val="00FA3523"/>
    <w:rsid w:val="00FB19C5"/>
    <w:rsid w:val="00FB2409"/>
    <w:rsid w:val="00FC52A1"/>
    <w:rsid w:val="00FD447C"/>
    <w:rsid w:val="00FE2A7F"/>
    <w:rsid w:val="00FE3B49"/>
    <w:rsid w:val="00FE63D4"/>
    <w:rsid w:val="00FF71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E62E7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7B0D"/>
    <w:pPr>
      <w:spacing w:before="120" w:after="120" w:line="360" w:lineRule="auto"/>
      <w:jc w:val="both"/>
    </w:pPr>
    <w:rPr>
      <w:rFonts w:ascii="Arial" w:eastAsia="Times New Roman" w:hAnsi="Arial" w:cs="Times New Roman"/>
      <w:sz w:val="24"/>
      <w:lang w:val="en-GB" w:eastAsia="en-GB"/>
    </w:rPr>
  </w:style>
  <w:style w:type="paragraph" w:styleId="Heading1">
    <w:name w:val="heading 1"/>
    <w:basedOn w:val="Normal"/>
    <w:next w:val="Normal"/>
    <w:link w:val="Heading1Char"/>
    <w:autoRedefine/>
    <w:uiPriority w:val="9"/>
    <w:qFormat/>
    <w:rsid w:val="00B07B0D"/>
    <w:pPr>
      <w:keepNext/>
      <w:keepLines/>
      <w:spacing w:before="360"/>
      <w:jc w:val="left"/>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5A6361"/>
    <w:pPr>
      <w:keepNext/>
      <w:keepLines/>
      <w:spacing w:before="160"/>
      <w:outlineLvl w:val="1"/>
    </w:pPr>
    <w:rPr>
      <w:rFonts w:eastAsiaTheme="majorEastAsia" w:cstheme="majorBidi"/>
      <w:b/>
      <w:color w:val="000000" w:themeColor="text1"/>
      <w:sz w:val="28"/>
      <w:szCs w:val="26"/>
    </w:rPr>
  </w:style>
  <w:style w:type="paragraph" w:styleId="Heading3">
    <w:name w:val="heading 3"/>
    <w:basedOn w:val="Normal"/>
    <w:next w:val="Normal"/>
    <w:link w:val="Heading3Char"/>
    <w:autoRedefine/>
    <w:uiPriority w:val="9"/>
    <w:unhideWhenUsed/>
    <w:qFormat/>
    <w:rsid w:val="00BB295F"/>
    <w:pPr>
      <w:keepNext/>
      <w:keepLines/>
      <w:spacing w:before="160"/>
      <w:outlineLvl w:val="2"/>
    </w:pPr>
    <w:rPr>
      <w:rFonts w:eastAsiaTheme="majorEastAsia" w:cstheme="majorBidi"/>
      <w:b/>
      <w:szCs w:val="24"/>
      <w:u w:val="single"/>
    </w:rPr>
  </w:style>
  <w:style w:type="paragraph" w:styleId="Heading4">
    <w:name w:val="heading 4"/>
    <w:basedOn w:val="Normal"/>
    <w:next w:val="Normal"/>
    <w:link w:val="Heading4Char"/>
    <w:uiPriority w:val="9"/>
    <w:semiHidden/>
    <w:unhideWhenUsed/>
    <w:qFormat/>
    <w:rsid w:val="00773B6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B0D"/>
    <w:rPr>
      <w:rFonts w:ascii="Arial" w:eastAsiaTheme="majorEastAsia" w:hAnsi="Arial" w:cstheme="majorBidi"/>
      <w:b/>
      <w:sz w:val="32"/>
      <w:szCs w:val="32"/>
      <w:lang w:val="en-GB" w:eastAsia="en-GB"/>
    </w:rPr>
  </w:style>
  <w:style w:type="character" w:customStyle="1" w:styleId="Heading2Char">
    <w:name w:val="Heading 2 Char"/>
    <w:basedOn w:val="DefaultParagraphFont"/>
    <w:link w:val="Heading2"/>
    <w:uiPriority w:val="9"/>
    <w:rsid w:val="005A6361"/>
    <w:rPr>
      <w:rFonts w:ascii="Arial" w:eastAsiaTheme="majorEastAsia" w:hAnsi="Arial" w:cstheme="majorBidi"/>
      <w:b/>
      <w:color w:val="000000" w:themeColor="text1"/>
      <w:sz w:val="28"/>
      <w:szCs w:val="26"/>
      <w:lang w:val="en-GB" w:eastAsia="en-GB"/>
    </w:rPr>
  </w:style>
  <w:style w:type="character" w:customStyle="1" w:styleId="Heading3Char">
    <w:name w:val="Heading 3 Char"/>
    <w:basedOn w:val="DefaultParagraphFont"/>
    <w:link w:val="Heading3"/>
    <w:uiPriority w:val="9"/>
    <w:rsid w:val="00BB295F"/>
    <w:rPr>
      <w:rFonts w:ascii="Arial" w:eastAsiaTheme="majorEastAsia" w:hAnsi="Arial" w:cstheme="majorBidi"/>
      <w:b/>
      <w:sz w:val="24"/>
      <w:szCs w:val="24"/>
      <w:u w:val="single"/>
      <w:lang w:val="en-GB" w:eastAsia="en-GB"/>
    </w:rPr>
  </w:style>
  <w:style w:type="paragraph" w:styleId="Caption">
    <w:name w:val="caption"/>
    <w:basedOn w:val="Normal"/>
    <w:next w:val="Normal"/>
    <w:autoRedefine/>
    <w:uiPriority w:val="35"/>
    <w:unhideWhenUsed/>
    <w:qFormat/>
    <w:rsid w:val="00A967E1"/>
    <w:pPr>
      <w:keepNext/>
      <w:spacing w:after="200" w:line="240" w:lineRule="auto"/>
      <w:jc w:val="center"/>
    </w:pPr>
    <w:rPr>
      <w:b/>
      <w:bCs/>
      <w:i/>
      <w:iCs/>
      <w:color w:val="44546A" w:themeColor="text2"/>
      <w:sz w:val="20"/>
      <w:szCs w:val="20"/>
    </w:rPr>
  </w:style>
  <w:style w:type="paragraph" w:styleId="Header">
    <w:name w:val="header"/>
    <w:basedOn w:val="Normal"/>
    <w:link w:val="HeaderChar"/>
    <w:uiPriority w:val="99"/>
    <w:unhideWhenUsed/>
    <w:rsid w:val="00B07B0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07B0D"/>
    <w:rPr>
      <w:rFonts w:ascii="Arial" w:eastAsia="Times New Roman" w:hAnsi="Arial" w:cs="Times New Roman"/>
      <w:sz w:val="24"/>
      <w:lang w:val="en-GB" w:eastAsia="en-GB"/>
    </w:rPr>
  </w:style>
  <w:style w:type="paragraph" w:styleId="Footer">
    <w:name w:val="footer"/>
    <w:basedOn w:val="Normal"/>
    <w:link w:val="FooterChar"/>
    <w:uiPriority w:val="99"/>
    <w:unhideWhenUsed/>
    <w:rsid w:val="00B07B0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07B0D"/>
    <w:rPr>
      <w:rFonts w:ascii="Arial" w:eastAsia="Times New Roman" w:hAnsi="Arial" w:cs="Times New Roman"/>
      <w:sz w:val="24"/>
      <w:lang w:val="en-GB" w:eastAsia="en-GB"/>
    </w:rPr>
  </w:style>
  <w:style w:type="paragraph" w:styleId="TOCHeading">
    <w:name w:val="TOC Heading"/>
    <w:basedOn w:val="Heading1"/>
    <w:next w:val="Normal"/>
    <w:uiPriority w:val="39"/>
    <w:unhideWhenUsed/>
    <w:qFormat/>
    <w:rsid w:val="00B07B0D"/>
    <w:pPr>
      <w:spacing w:before="240" w:after="0" w:line="259" w:lineRule="auto"/>
      <w:outlineLvl w:val="9"/>
    </w:pPr>
    <w:rPr>
      <w:rFonts w:asciiTheme="majorHAnsi" w:hAnsiTheme="majorHAnsi"/>
      <w:b w:val="0"/>
      <w:color w:val="2E74B5" w:themeColor="accent1" w:themeShade="BF"/>
      <w:lang w:val="en-US" w:eastAsia="en-US"/>
    </w:rPr>
  </w:style>
  <w:style w:type="paragraph" w:styleId="TOC1">
    <w:name w:val="toc 1"/>
    <w:basedOn w:val="Normal"/>
    <w:next w:val="Normal"/>
    <w:autoRedefine/>
    <w:uiPriority w:val="39"/>
    <w:unhideWhenUsed/>
    <w:rsid w:val="00B07B0D"/>
    <w:pPr>
      <w:spacing w:after="100"/>
    </w:pPr>
  </w:style>
  <w:style w:type="character" w:styleId="Hyperlink">
    <w:name w:val="Hyperlink"/>
    <w:basedOn w:val="DefaultParagraphFont"/>
    <w:uiPriority w:val="99"/>
    <w:unhideWhenUsed/>
    <w:rsid w:val="00B07B0D"/>
    <w:rPr>
      <w:color w:val="0563C1" w:themeColor="hyperlink"/>
      <w:u w:val="single"/>
    </w:rPr>
  </w:style>
  <w:style w:type="paragraph" w:styleId="NormalWeb">
    <w:name w:val="Normal (Web)"/>
    <w:basedOn w:val="Normal"/>
    <w:uiPriority w:val="99"/>
    <w:unhideWhenUsed/>
    <w:rsid w:val="00376E01"/>
    <w:pPr>
      <w:spacing w:before="100" w:beforeAutospacing="1" w:after="100" w:afterAutospacing="1" w:line="240" w:lineRule="auto"/>
      <w:jc w:val="left"/>
    </w:pPr>
    <w:rPr>
      <w:rFonts w:ascii="Times New Roman" w:hAnsi="Times New Roman"/>
      <w:szCs w:val="24"/>
      <w:lang w:val="en-US" w:eastAsia="en-US"/>
    </w:rPr>
  </w:style>
  <w:style w:type="character" w:styleId="Strong">
    <w:name w:val="Strong"/>
    <w:basedOn w:val="DefaultParagraphFont"/>
    <w:uiPriority w:val="22"/>
    <w:qFormat/>
    <w:rsid w:val="00376E01"/>
    <w:rPr>
      <w:b/>
      <w:bCs/>
    </w:rPr>
  </w:style>
  <w:style w:type="character" w:customStyle="1" w:styleId="ms-1">
    <w:name w:val="ms-1"/>
    <w:basedOn w:val="DefaultParagraphFont"/>
    <w:rsid w:val="00376E01"/>
  </w:style>
  <w:style w:type="character" w:customStyle="1" w:styleId="max-w-15ch">
    <w:name w:val="max-w-[15ch]"/>
    <w:basedOn w:val="DefaultParagraphFont"/>
    <w:rsid w:val="00376E01"/>
  </w:style>
  <w:style w:type="character" w:customStyle="1" w:styleId="-me-1">
    <w:name w:val="-me-1"/>
    <w:basedOn w:val="DefaultParagraphFont"/>
    <w:rsid w:val="00376E01"/>
  </w:style>
  <w:style w:type="character" w:styleId="Emphasis">
    <w:name w:val="Emphasis"/>
    <w:basedOn w:val="DefaultParagraphFont"/>
    <w:uiPriority w:val="20"/>
    <w:qFormat/>
    <w:rsid w:val="00376E01"/>
    <w:rPr>
      <w:i/>
      <w:iCs/>
    </w:rPr>
  </w:style>
  <w:style w:type="paragraph" w:styleId="ListParagraph">
    <w:name w:val="List Paragraph"/>
    <w:basedOn w:val="Normal"/>
    <w:uiPriority w:val="34"/>
    <w:qFormat/>
    <w:rsid w:val="00F92E22"/>
    <w:pPr>
      <w:ind w:left="720"/>
      <w:contextualSpacing/>
    </w:pPr>
  </w:style>
  <w:style w:type="paragraph" w:styleId="TOC2">
    <w:name w:val="toc 2"/>
    <w:basedOn w:val="Normal"/>
    <w:next w:val="Normal"/>
    <w:autoRedefine/>
    <w:uiPriority w:val="39"/>
    <w:unhideWhenUsed/>
    <w:rsid w:val="00FE2A7F"/>
    <w:pPr>
      <w:spacing w:after="100"/>
      <w:ind w:left="240"/>
    </w:pPr>
  </w:style>
  <w:style w:type="character" w:customStyle="1" w:styleId="Heading4Char">
    <w:name w:val="Heading 4 Char"/>
    <w:basedOn w:val="DefaultParagraphFont"/>
    <w:link w:val="Heading4"/>
    <w:uiPriority w:val="9"/>
    <w:semiHidden/>
    <w:rsid w:val="00773B65"/>
    <w:rPr>
      <w:rFonts w:asciiTheme="majorHAnsi" w:eastAsiaTheme="majorEastAsia" w:hAnsiTheme="majorHAnsi" w:cstheme="majorBidi"/>
      <w:i/>
      <w:iCs/>
      <w:color w:val="2E74B5" w:themeColor="accent1" w:themeShade="BF"/>
      <w:sz w:val="24"/>
      <w:lang w:val="en-GB" w:eastAsia="en-GB"/>
    </w:rPr>
  </w:style>
  <w:style w:type="table" w:styleId="GridTable1Light-Accent5">
    <w:name w:val="Grid Table 1 Light Accent 5"/>
    <w:basedOn w:val="TableNormal"/>
    <w:uiPriority w:val="46"/>
    <w:rsid w:val="00773B65"/>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937E9C"/>
    <w:pPr>
      <w:spacing w:after="100"/>
      <w:ind w:left="480"/>
    </w:pPr>
  </w:style>
  <w:style w:type="paragraph" w:styleId="TableofFigures">
    <w:name w:val="table of figures"/>
    <w:basedOn w:val="Normal"/>
    <w:next w:val="Normal"/>
    <w:uiPriority w:val="99"/>
    <w:unhideWhenUsed/>
    <w:rsid w:val="004D55D7"/>
    <w:pPr>
      <w:spacing w:after="0"/>
    </w:pPr>
  </w:style>
  <w:style w:type="paragraph" w:styleId="TOC4">
    <w:name w:val="toc 4"/>
    <w:basedOn w:val="Normal"/>
    <w:next w:val="Normal"/>
    <w:autoRedefine/>
    <w:uiPriority w:val="39"/>
    <w:unhideWhenUsed/>
    <w:rsid w:val="00C77D44"/>
    <w:pPr>
      <w:spacing w:before="0" w:after="100" w:line="259" w:lineRule="auto"/>
      <w:ind w:left="660"/>
      <w:jc w:val="left"/>
    </w:pPr>
    <w:rPr>
      <w:rFonts w:asciiTheme="minorHAnsi" w:eastAsiaTheme="minorEastAsia" w:hAnsiTheme="minorHAnsi" w:cstheme="minorBidi"/>
      <w:sz w:val="22"/>
      <w:lang w:val="en-US" w:eastAsia="en-US"/>
    </w:rPr>
  </w:style>
  <w:style w:type="paragraph" w:styleId="TOC5">
    <w:name w:val="toc 5"/>
    <w:basedOn w:val="Normal"/>
    <w:next w:val="Normal"/>
    <w:autoRedefine/>
    <w:uiPriority w:val="39"/>
    <w:unhideWhenUsed/>
    <w:rsid w:val="00C77D44"/>
    <w:pPr>
      <w:spacing w:before="0" w:after="100" w:line="259" w:lineRule="auto"/>
      <w:ind w:left="880"/>
      <w:jc w:val="left"/>
    </w:pPr>
    <w:rPr>
      <w:rFonts w:asciiTheme="minorHAnsi" w:eastAsiaTheme="minorEastAsia" w:hAnsiTheme="minorHAnsi" w:cstheme="minorBidi"/>
      <w:sz w:val="22"/>
      <w:lang w:val="en-US" w:eastAsia="en-US"/>
    </w:rPr>
  </w:style>
  <w:style w:type="paragraph" w:styleId="TOC6">
    <w:name w:val="toc 6"/>
    <w:basedOn w:val="Normal"/>
    <w:next w:val="Normal"/>
    <w:autoRedefine/>
    <w:uiPriority w:val="39"/>
    <w:unhideWhenUsed/>
    <w:rsid w:val="00C77D44"/>
    <w:pPr>
      <w:spacing w:before="0" w:after="100" w:line="259" w:lineRule="auto"/>
      <w:ind w:left="1100"/>
      <w:jc w:val="left"/>
    </w:pPr>
    <w:rPr>
      <w:rFonts w:asciiTheme="minorHAnsi" w:eastAsiaTheme="minorEastAsia" w:hAnsiTheme="minorHAnsi" w:cstheme="minorBidi"/>
      <w:sz w:val="22"/>
      <w:lang w:val="en-US" w:eastAsia="en-US"/>
    </w:rPr>
  </w:style>
  <w:style w:type="paragraph" w:styleId="TOC7">
    <w:name w:val="toc 7"/>
    <w:basedOn w:val="Normal"/>
    <w:next w:val="Normal"/>
    <w:autoRedefine/>
    <w:uiPriority w:val="39"/>
    <w:unhideWhenUsed/>
    <w:rsid w:val="00C77D44"/>
    <w:pPr>
      <w:spacing w:before="0" w:after="100" w:line="259" w:lineRule="auto"/>
      <w:ind w:left="1320"/>
      <w:jc w:val="left"/>
    </w:pPr>
    <w:rPr>
      <w:rFonts w:asciiTheme="minorHAnsi" w:eastAsiaTheme="minorEastAsia" w:hAnsiTheme="minorHAnsi" w:cstheme="minorBidi"/>
      <w:sz w:val="22"/>
      <w:lang w:val="en-US" w:eastAsia="en-US"/>
    </w:rPr>
  </w:style>
  <w:style w:type="paragraph" w:styleId="TOC8">
    <w:name w:val="toc 8"/>
    <w:basedOn w:val="Normal"/>
    <w:next w:val="Normal"/>
    <w:autoRedefine/>
    <w:uiPriority w:val="39"/>
    <w:unhideWhenUsed/>
    <w:rsid w:val="00C77D44"/>
    <w:pPr>
      <w:spacing w:before="0" w:after="100" w:line="259" w:lineRule="auto"/>
      <w:ind w:left="1540"/>
      <w:jc w:val="left"/>
    </w:pPr>
    <w:rPr>
      <w:rFonts w:asciiTheme="minorHAnsi" w:eastAsiaTheme="minorEastAsia" w:hAnsiTheme="minorHAnsi" w:cstheme="minorBidi"/>
      <w:sz w:val="22"/>
      <w:lang w:val="en-US" w:eastAsia="en-US"/>
    </w:rPr>
  </w:style>
  <w:style w:type="paragraph" w:styleId="TOC9">
    <w:name w:val="toc 9"/>
    <w:basedOn w:val="Normal"/>
    <w:next w:val="Normal"/>
    <w:autoRedefine/>
    <w:uiPriority w:val="39"/>
    <w:unhideWhenUsed/>
    <w:rsid w:val="00C77D44"/>
    <w:pPr>
      <w:spacing w:before="0" w:after="100" w:line="259" w:lineRule="auto"/>
      <w:ind w:left="1760"/>
      <w:jc w:val="left"/>
    </w:pPr>
    <w:rPr>
      <w:rFonts w:asciiTheme="minorHAnsi" w:eastAsiaTheme="minorEastAsia" w:hAnsiTheme="minorHAnsi" w:cstheme="minorBidi"/>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6604">
      <w:bodyDiv w:val="1"/>
      <w:marLeft w:val="0"/>
      <w:marRight w:val="0"/>
      <w:marTop w:val="0"/>
      <w:marBottom w:val="0"/>
      <w:divBdr>
        <w:top w:val="none" w:sz="0" w:space="0" w:color="auto"/>
        <w:left w:val="none" w:sz="0" w:space="0" w:color="auto"/>
        <w:bottom w:val="none" w:sz="0" w:space="0" w:color="auto"/>
        <w:right w:val="none" w:sz="0" w:space="0" w:color="auto"/>
      </w:divBdr>
      <w:divsChild>
        <w:div w:id="1993941755">
          <w:marLeft w:val="0"/>
          <w:marRight w:val="0"/>
          <w:marTop w:val="0"/>
          <w:marBottom w:val="0"/>
          <w:divBdr>
            <w:top w:val="none" w:sz="0" w:space="0" w:color="auto"/>
            <w:left w:val="none" w:sz="0" w:space="0" w:color="auto"/>
            <w:bottom w:val="none" w:sz="0" w:space="0" w:color="auto"/>
            <w:right w:val="none" w:sz="0" w:space="0" w:color="auto"/>
          </w:divBdr>
        </w:div>
      </w:divsChild>
    </w:div>
    <w:div w:id="36203413">
      <w:bodyDiv w:val="1"/>
      <w:marLeft w:val="0"/>
      <w:marRight w:val="0"/>
      <w:marTop w:val="0"/>
      <w:marBottom w:val="0"/>
      <w:divBdr>
        <w:top w:val="none" w:sz="0" w:space="0" w:color="auto"/>
        <w:left w:val="none" w:sz="0" w:space="0" w:color="auto"/>
        <w:bottom w:val="none" w:sz="0" w:space="0" w:color="auto"/>
        <w:right w:val="none" w:sz="0" w:space="0" w:color="auto"/>
      </w:divBdr>
      <w:divsChild>
        <w:div w:id="525406189">
          <w:marLeft w:val="0"/>
          <w:marRight w:val="0"/>
          <w:marTop w:val="0"/>
          <w:marBottom w:val="0"/>
          <w:divBdr>
            <w:top w:val="none" w:sz="0" w:space="0" w:color="auto"/>
            <w:left w:val="none" w:sz="0" w:space="0" w:color="auto"/>
            <w:bottom w:val="none" w:sz="0" w:space="0" w:color="auto"/>
            <w:right w:val="none" w:sz="0" w:space="0" w:color="auto"/>
          </w:divBdr>
          <w:divsChild>
            <w:div w:id="1554922858">
              <w:marLeft w:val="0"/>
              <w:marRight w:val="0"/>
              <w:marTop w:val="0"/>
              <w:marBottom w:val="0"/>
              <w:divBdr>
                <w:top w:val="none" w:sz="0" w:space="0" w:color="auto"/>
                <w:left w:val="none" w:sz="0" w:space="0" w:color="auto"/>
                <w:bottom w:val="none" w:sz="0" w:space="0" w:color="auto"/>
                <w:right w:val="none" w:sz="0" w:space="0" w:color="auto"/>
              </w:divBdr>
              <w:divsChild>
                <w:div w:id="2019623138">
                  <w:marLeft w:val="0"/>
                  <w:marRight w:val="0"/>
                  <w:marTop w:val="0"/>
                  <w:marBottom w:val="0"/>
                  <w:divBdr>
                    <w:top w:val="none" w:sz="0" w:space="0" w:color="auto"/>
                    <w:left w:val="none" w:sz="0" w:space="0" w:color="auto"/>
                    <w:bottom w:val="none" w:sz="0" w:space="0" w:color="auto"/>
                    <w:right w:val="none" w:sz="0" w:space="0" w:color="auto"/>
                  </w:divBdr>
                  <w:divsChild>
                    <w:div w:id="942958526">
                      <w:marLeft w:val="0"/>
                      <w:marRight w:val="0"/>
                      <w:marTop w:val="0"/>
                      <w:marBottom w:val="0"/>
                      <w:divBdr>
                        <w:top w:val="none" w:sz="0" w:space="0" w:color="auto"/>
                        <w:left w:val="none" w:sz="0" w:space="0" w:color="auto"/>
                        <w:bottom w:val="none" w:sz="0" w:space="0" w:color="auto"/>
                        <w:right w:val="none" w:sz="0" w:space="0" w:color="auto"/>
                      </w:divBdr>
                      <w:divsChild>
                        <w:div w:id="1063019158">
                          <w:marLeft w:val="0"/>
                          <w:marRight w:val="0"/>
                          <w:marTop w:val="0"/>
                          <w:marBottom w:val="0"/>
                          <w:divBdr>
                            <w:top w:val="none" w:sz="0" w:space="0" w:color="auto"/>
                            <w:left w:val="none" w:sz="0" w:space="0" w:color="auto"/>
                            <w:bottom w:val="none" w:sz="0" w:space="0" w:color="auto"/>
                            <w:right w:val="none" w:sz="0" w:space="0" w:color="auto"/>
                          </w:divBdr>
                          <w:divsChild>
                            <w:div w:id="432480226">
                              <w:marLeft w:val="0"/>
                              <w:marRight w:val="0"/>
                              <w:marTop w:val="0"/>
                              <w:marBottom w:val="0"/>
                              <w:divBdr>
                                <w:top w:val="none" w:sz="0" w:space="0" w:color="auto"/>
                                <w:left w:val="none" w:sz="0" w:space="0" w:color="auto"/>
                                <w:bottom w:val="none" w:sz="0" w:space="0" w:color="auto"/>
                                <w:right w:val="none" w:sz="0" w:space="0" w:color="auto"/>
                              </w:divBdr>
                              <w:divsChild>
                                <w:div w:id="21967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98157">
      <w:bodyDiv w:val="1"/>
      <w:marLeft w:val="0"/>
      <w:marRight w:val="0"/>
      <w:marTop w:val="0"/>
      <w:marBottom w:val="0"/>
      <w:divBdr>
        <w:top w:val="none" w:sz="0" w:space="0" w:color="auto"/>
        <w:left w:val="none" w:sz="0" w:space="0" w:color="auto"/>
        <w:bottom w:val="none" w:sz="0" w:space="0" w:color="auto"/>
        <w:right w:val="none" w:sz="0" w:space="0" w:color="auto"/>
      </w:divBdr>
      <w:divsChild>
        <w:div w:id="1834638980">
          <w:marLeft w:val="0"/>
          <w:marRight w:val="0"/>
          <w:marTop w:val="0"/>
          <w:marBottom w:val="0"/>
          <w:divBdr>
            <w:top w:val="none" w:sz="0" w:space="0" w:color="auto"/>
            <w:left w:val="none" w:sz="0" w:space="0" w:color="auto"/>
            <w:bottom w:val="none" w:sz="0" w:space="0" w:color="auto"/>
            <w:right w:val="none" w:sz="0" w:space="0" w:color="auto"/>
          </w:divBdr>
          <w:divsChild>
            <w:div w:id="103908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44072">
      <w:bodyDiv w:val="1"/>
      <w:marLeft w:val="0"/>
      <w:marRight w:val="0"/>
      <w:marTop w:val="0"/>
      <w:marBottom w:val="0"/>
      <w:divBdr>
        <w:top w:val="none" w:sz="0" w:space="0" w:color="auto"/>
        <w:left w:val="none" w:sz="0" w:space="0" w:color="auto"/>
        <w:bottom w:val="none" w:sz="0" w:space="0" w:color="auto"/>
        <w:right w:val="none" w:sz="0" w:space="0" w:color="auto"/>
      </w:divBdr>
    </w:div>
    <w:div w:id="68383981">
      <w:bodyDiv w:val="1"/>
      <w:marLeft w:val="0"/>
      <w:marRight w:val="0"/>
      <w:marTop w:val="0"/>
      <w:marBottom w:val="0"/>
      <w:divBdr>
        <w:top w:val="none" w:sz="0" w:space="0" w:color="auto"/>
        <w:left w:val="none" w:sz="0" w:space="0" w:color="auto"/>
        <w:bottom w:val="none" w:sz="0" w:space="0" w:color="auto"/>
        <w:right w:val="none" w:sz="0" w:space="0" w:color="auto"/>
      </w:divBdr>
    </w:div>
    <w:div w:id="83232957">
      <w:bodyDiv w:val="1"/>
      <w:marLeft w:val="0"/>
      <w:marRight w:val="0"/>
      <w:marTop w:val="0"/>
      <w:marBottom w:val="0"/>
      <w:divBdr>
        <w:top w:val="none" w:sz="0" w:space="0" w:color="auto"/>
        <w:left w:val="none" w:sz="0" w:space="0" w:color="auto"/>
        <w:bottom w:val="none" w:sz="0" w:space="0" w:color="auto"/>
        <w:right w:val="none" w:sz="0" w:space="0" w:color="auto"/>
      </w:divBdr>
    </w:div>
    <w:div w:id="91708591">
      <w:bodyDiv w:val="1"/>
      <w:marLeft w:val="0"/>
      <w:marRight w:val="0"/>
      <w:marTop w:val="0"/>
      <w:marBottom w:val="0"/>
      <w:divBdr>
        <w:top w:val="none" w:sz="0" w:space="0" w:color="auto"/>
        <w:left w:val="none" w:sz="0" w:space="0" w:color="auto"/>
        <w:bottom w:val="none" w:sz="0" w:space="0" w:color="auto"/>
        <w:right w:val="none" w:sz="0" w:space="0" w:color="auto"/>
      </w:divBdr>
    </w:div>
    <w:div w:id="151606635">
      <w:bodyDiv w:val="1"/>
      <w:marLeft w:val="0"/>
      <w:marRight w:val="0"/>
      <w:marTop w:val="0"/>
      <w:marBottom w:val="0"/>
      <w:divBdr>
        <w:top w:val="none" w:sz="0" w:space="0" w:color="auto"/>
        <w:left w:val="none" w:sz="0" w:space="0" w:color="auto"/>
        <w:bottom w:val="none" w:sz="0" w:space="0" w:color="auto"/>
        <w:right w:val="none" w:sz="0" w:space="0" w:color="auto"/>
      </w:divBdr>
    </w:div>
    <w:div w:id="170536193">
      <w:bodyDiv w:val="1"/>
      <w:marLeft w:val="0"/>
      <w:marRight w:val="0"/>
      <w:marTop w:val="0"/>
      <w:marBottom w:val="0"/>
      <w:divBdr>
        <w:top w:val="none" w:sz="0" w:space="0" w:color="auto"/>
        <w:left w:val="none" w:sz="0" w:space="0" w:color="auto"/>
        <w:bottom w:val="none" w:sz="0" w:space="0" w:color="auto"/>
        <w:right w:val="none" w:sz="0" w:space="0" w:color="auto"/>
      </w:divBdr>
      <w:divsChild>
        <w:div w:id="1814059762">
          <w:marLeft w:val="0"/>
          <w:marRight w:val="0"/>
          <w:marTop w:val="0"/>
          <w:marBottom w:val="0"/>
          <w:divBdr>
            <w:top w:val="none" w:sz="0" w:space="0" w:color="auto"/>
            <w:left w:val="none" w:sz="0" w:space="0" w:color="auto"/>
            <w:bottom w:val="none" w:sz="0" w:space="0" w:color="auto"/>
            <w:right w:val="none" w:sz="0" w:space="0" w:color="auto"/>
          </w:divBdr>
          <w:divsChild>
            <w:div w:id="57548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55453">
      <w:bodyDiv w:val="1"/>
      <w:marLeft w:val="0"/>
      <w:marRight w:val="0"/>
      <w:marTop w:val="0"/>
      <w:marBottom w:val="0"/>
      <w:divBdr>
        <w:top w:val="none" w:sz="0" w:space="0" w:color="auto"/>
        <w:left w:val="none" w:sz="0" w:space="0" w:color="auto"/>
        <w:bottom w:val="none" w:sz="0" w:space="0" w:color="auto"/>
        <w:right w:val="none" w:sz="0" w:space="0" w:color="auto"/>
      </w:divBdr>
      <w:divsChild>
        <w:div w:id="672684527">
          <w:marLeft w:val="0"/>
          <w:marRight w:val="0"/>
          <w:marTop w:val="0"/>
          <w:marBottom w:val="0"/>
          <w:divBdr>
            <w:top w:val="none" w:sz="0" w:space="0" w:color="auto"/>
            <w:left w:val="none" w:sz="0" w:space="0" w:color="auto"/>
            <w:bottom w:val="none" w:sz="0" w:space="0" w:color="auto"/>
            <w:right w:val="none" w:sz="0" w:space="0" w:color="auto"/>
          </w:divBdr>
          <w:divsChild>
            <w:div w:id="538127864">
              <w:marLeft w:val="0"/>
              <w:marRight w:val="0"/>
              <w:marTop w:val="0"/>
              <w:marBottom w:val="0"/>
              <w:divBdr>
                <w:top w:val="none" w:sz="0" w:space="0" w:color="auto"/>
                <w:left w:val="none" w:sz="0" w:space="0" w:color="auto"/>
                <w:bottom w:val="none" w:sz="0" w:space="0" w:color="auto"/>
                <w:right w:val="none" w:sz="0" w:space="0" w:color="auto"/>
              </w:divBdr>
            </w:div>
          </w:divsChild>
        </w:div>
        <w:div w:id="1836258456">
          <w:marLeft w:val="0"/>
          <w:marRight w:val="0"/>
          <w:marTop w:val="0"/>
          <w:marBottom w:val="0"/>
          <w:divBdr>
            <w:top w:val="none" w:sz="0" w:space="0" w:color="auto"/>
            <w:left w:val="none" w:sz="0" w:space="0" w:color="auto"/>
            <w:bottom w:val="none" w:sz="0" w:space="0" w:color="auto"/>
            <w:right w:val="none" w:sz="0" w:space="0" w:color="auto"/>
          </w:divBdr>
          <w:divsChild>
            <w:div w:id="1404641111">
              <w:marLeft w:val="0"/>
              <w:marRight w:val="0"/>
              <w:marTop w:val="0"/>
              <w:marBottom w:val="0"/>
              <w:divBdr>
                <w:top w:val="none" w:sz="0" w:space="0" w:color="auto"/>
                <w:left w:val="none" w:sz="0" w:space="0" w:color="auto"/>
                <w:bottom w:val="none" w:sz="0" w:space="0" w:color="auto"/>
                <w:right w:val="none" w:sz="0" w:space="0" w:color="auto"/>
              </w:divBdr>
            </w:div>
          </w:divsChild>
        </w:div>
        <w:div w:id="1962420580">
          <w:marLeft w:val="0"/>
          <w:marRight w:val="0"/>
          <w:marTop w:val="0"/>
          <w:marBottom w:val="0"/>
          <w:divBdr>
            <w:top w:val="none" w:sz="0" w:space="0" w:color="auto"/>
            <w:left w:val="none" w:sz="0" w:space="0" w:color="auto"/>
            <w:bottom w:val="none" w:sz="0" w:space="0" w:color="auto"/>
            <w:right w:val="none" w:sz="0" w:space="0" w:color="auto"/>
          </w:divBdr>
          <w:divsChild>
            <w:div w:id="243075329">
              <w:marLeft w:val="0"/>
              <w:marRight w:val="0"/>
              <w:marTop w:val="0"/>
              <w:marBottom w:val="0"/>
              <w:divBdr>
                <w:top w:val="none" w:sz="0" w:space="0" w:color="auto"/>
                <w:left w:val="none" w:sz="0" w:space="0" w:color="auto"/>
                <w:bottom w:val="none" w:sz="0" w:space="0" w:color="auto"/>
                <w:right w:val="none" w:sz="0" w:space="0" w:color="auto"/>
              </w:divBdr>
            </w:div>
          </w:divsChild>
        </w:div>
        <w:div w:id="1184367129">
          <w:marLeft w:val="0"/>
          <w:marRight w:val="0"/>
          <w:marTop w:val="0"/>
          <w:marBottom w:val="0"/>
          <w:divBdr>
            <w:top w:val="none" w:sz="0" w:space="0" w:color="auto"/>
            <w:left w:val="none" w:sz="0" w:space="0" w:color="auto"/>
            <w:bottom w:val="none" w:sz="0" w:space="0" w:color="auto"/>
            <w:right w:val="none" w:sz="0" w:space="0" w:color="auto"/>
          </w:divBdr>
          <w:divsChild>
            <w:div w:id="54436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64773">
      <w:bodyDiv w:val="1"/>
      <w:marLeft w:val="0"/>
      <w:marRight w:val="0"/>
      <w:marTop w:val="0"/>
      <w:marBottom w:val="0"/>
      <w:divBdr>
        <w:top w:val="none" w:sz="0" w:space="0" w:color="auto"/>
        <w:left w:val="none" w:sz="0" w:space="0" w:color="auto"/>
        <w:bottom w:val="none" w:sz="0" w:space="0" w:color="auto"/>
        <w:right w:val="none" w:sz="0" w:space="0" w:color="auto"/>
      </w:divBdr>
    </w:div>
    <w:div w:id="214046395">
      <w:bodyDiv w:val="1"/>
      <w:marLeft w:val="0"/>
      <w:marRight w:val="0"/>
      <w:marTop w:val="0"/>
      <w:marBottom w:val="0"/>
      <w:divBdr>
        <w:top w:val="none" w:sz="0" w:space="0" w:color="auto"/>
        <w:left w:val="none" w:sz="0" w:space="0" w:color="auto"/>
        <w:bottom w:val="none" w:sz="0" w:space="0" w:color="auto"/>
        <w:right w:val="none" w:sz="0" w:space="0" w:color="auto"/>
      </w:divBdr>
    </w:div>
    <w:div w:id="261450783">
      <w:bodyDiv w:val="1"/>
      <w:marLeft w:val="0"/>
      <w:marRight w:val="0"/>
      <w:marTop w:val="0"/>
      <w:marBottom w:val="0"/>
      <w:divBdr>
        <w:top w:val="none" w:sz="0" w:space="0" w:color="auto"/>
        <w:left w:val="none" w:sz="0" w:space="0" w:color="auto"/>
        <w:bottom w:val="none" w:sz="0" w:space="0" w:color="auto"/>
        <w:right w:val="none" w:sz="0" w:space="0" w:color="auto"/>
      </w:divBdr>
      <w:divsChild>
        <w:div w:id="756557991">
          <w:marLeft w:val="0"/>
          <w:marRight w:val="0"/>
          <w:marTop w:val="0"/>
          <w:marBottom w:val="0"/>
          <w:divBdr>
            <w:top w:val="none" w:sz="0" w:space="0" w:color="auto"/>
            <w:left w:val="none" w:sz="0" w:space="0" w:color="auto"/>
            <w:bottom w:val="none" w:sz="0" w:space="0" w:color="auto"/>
            <w:right w:val="none" w:sz="0" w:space="0" w:color="auto"/>
          </w:divBdr>
          <w:divsChild>
            <w:div w:id="1936674022">
              <w:marLeft w:val="0"/>
              <w:marRight w:val="0"/>
              <w:marTop w:val="0"/>
              <w:marBottom w:val="0"/>
              <w:divBdr>
                <w:top w:val="none" w:sz="0" w:space="0" w:color="auto"/>
                <w:left w:val="none" w:sz="0" w:space="0" w:color="auto"/>
                <w:bottom w:val="none" w:sz="0" w:space="0" w:color="auto"/>
                <w:right w:val="none" w:sz="0" w:space="0" w:color="auto"/>
              </w:divBdr>
              <w:divsChild>
                <w:div w:id="1235433355">
                  <w:marLeft w:val="0"/>
                  <w:marRight w:val="0"/>
                  <w:marTop w:val="0"/>
                  <w:marBottom w:val="0"/>
                  <w:divBdr>
                    <w:top w:val="none" w:sz="0" w:space="0" w:color="auto"/>
                    <w:left w:val="none" w:sz="0" w:space="0" w:color="auto"/>
                    <w:bottom w:val="none" w:sz="0" w:space="0" w:color="auto"/>
                    <w:right w:val="none" w:sz="0" w:space="0" w:color="auto"/>
                  </w:divBdr>
                  <w:divsChild>
                    <w:div w:id="1865554110">
                      <w:marLeft w:val="0"/>
                      <w:marRight w:val="0"/>
                      <w:marTop w:val="0"/>
                      <w:marBottom w:val="0"/>
                      <w:divBdr>
                        <w:top w:val="none" w:sz="0" w:space="0" w:color="auto"/>
                        <w:left w:val="none" w:sz="0" w:space="0" w:color="auto"/>
                        <w:bottom w:val="none" w:sz="0" w:space="0" w:color="auto"/>
                        <w:right w:val="none" w:sz="0" w:space="0" w:color="auto"/>
                      </w:divBdr>
                      <w:divsChild>
                        <w:div w:id="1716200353">
                          <w:marLeft w:val="0"/>
                          <w:marRight w:val="0"/>
                          <w:marTop w:val="0"/>
                          <w:marBottom w:val="0"/>
                          <w:divBdr>
                            <w:top w:val="none" w:sz="0" w:space="0" w:color="auto"/>
                            <w:left w:val="none" w:sz="0" w:space="0" w:color="auto"/>
                            <w:bottom w:val="none" w:sz="0" w:space="0" w:color="auto"/>
                            <w:right w:val="none" w:sz="0" w:space="0" w:color="auto"/>
                          </w:divBdr>
                          <w:divsChild>
                            <w:div w:id="127211294">
                              <w:marLeft w:val="0"/>
                              <w:marRight w:val="0"/>
                              <w:marTop w:val="0"/>
                              <w:marBottom w:val="0"/>
                              <w:divBdr>
                                <w:top w:val="none" w:sz="0" w:space="0" w:color="auto"/>
                                <w:left w:val="none" w:sz="0" w:space="0" w:color="auto"/>
                                <w:bottom w:val="none" w:sz="0" w:space="0" w:color="auto"/>
                                <w:right w:val="none" w:sz="0" w:space="0" w:color="auto"/>
                              </w:divBdr>
                              <w:divsChild>
                                <w:div w:id="172197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0791661">
      <w:bodyDiv w:val="1"/>
      <w:marLeft w:val="0"/>
      <w:marRight w:val="0"/>
      <w:marTop w:val="0"/>
      <w:marBottom w:val="0"/>
      <w:divBdr>
        <w:top w:val="none" w:sz="0" w:space="0" w:color="auto"/>
        <w:left w:val="none" w:sz="0" w:space="0" w:color="auto"/>
        <w:bottom w:val="none" w:sz="0" w:space="0" w:color="auto"/>
        <w:right w:val="none" w:sz="0" w:space="0" w:color="auto"/>
      </w:divBdr>
    </w:div>
    <w:div w:id="352878494">
      <w:bodyDiv w:val="1"/>
      <w:marLeft w:val="0"/>
      <w:marRight w:val="0"/>
      <w:marTop w:val="0"/>
      <w:marBottom w:val="0"/>
      <w:divBdr>
        <w:top w:val="none" w:sz="0" w:space="0" w:color="auto"/>
        <w:left w:val="none" w:sz="0" w:space="0" w:color="auto"/>
        <w:bottom w:val="none" w:sz="0" w:space="0" w:color="auto"/>
        <w:right w:val="none" w:sz="0" w:space="0" w:color="auto"/>
      </w:divBdr>
    </w:div>
    <w:div w:id="357125927">
      <w:bodyDiv w:val="1"/>
      <w:marLeft w:val="0"/>
      <w:marRight w:val="0"/>
      <w:marTop w:val="0"/>
      <w:marBottom w:val="0"/>
      <w:divBdr>
        <w:top w:val="none" w:sz="0" w:space="0" w:color="auto"/>
        <w:left w:val="none" w:sz="0" w:space="0" w:color="auto"/>
        <w:bottom w:val="none" w:sz="0" w:space="0" w:color="auto"/>
        <w:right w:val="none" w:sz="0" w:space="0" w:color="auto"/>
      </w:divBdr>
    </w:div>
    <w:div w:id="391739259">
      <w:bodyDiv w:val="1"/>
      <w:marLeft w:val="0"/>
      <w:marRight w:val="0"/>
      <w:marTop w:val="0"/>
      <w:marBottom w:val="0"/>
      <w:divBdr>
        <w:top w:val="none" w:sz="0" w:space="0" w:color="auto"/>
        <w:left w:val="none" w:sz="0" w:space="0" w:color="auto"/>
        <w:bottom w:val="none" w:sz="0" w:space="0" w:color="auto"/>
        <w:right w:val="none" w:sz="0" w:space="0" w:color="auto"/>
      </w:divBdr>
      <w:divsChild>
        <w:div w:id="126123604">
          <w:marLeft w:val="0"/>
          <w:marRight w:val="0"/>
          <w:marTop w:val="0"/>
          <w:marBottom w:val="0"/>
          <w:divBdr>
            <w:top w:val="none" w:sz="0" w:space="0" w:color="auto"/>
            <w:left w:val="none" w:sz="0" w:space="0" w:color="auto"/>
            <w:bottom w:val="none" w:sz="0" w:space="0" w:color="auto"/>
            <w:right w:val="none" w:sz="0" w:space="0" w:color="auto"/>
          </w:divBdr>
        </w:div>
      </w:divsChild>
    </w:div>
    <w:div w:id="444009065">
      <w:bodyDiv w:val="1"/>
      <w:marLeft w:val="0"/>
      <w:marRight w:val="0"/>
      <w:marTop w:val="0"/>
      <w:marBottom w:val="0"/>
      <w:divBdr>
        <w:top w:val="none" w:sz="0" w:space="0" w:color="auto"/>
        <w:left w:val="none" w:sz="0" w:space="0" w:color="auto"/>
        <w:bottom w:val="none" w:sz="0" w:space="0" w:color="auto"/>
        <w:right w:val="none" w:sz="0" w:space="0" w:color="auto"/>
      </w:divBdr>
    </w:div>
    <w:div w:id="483669404">
      <w:bodyDiv w:val="1"/>
      <w:marLeft w:val="0"/>
      <w:marRight w:val="0"/>
      <w:marTop w:val="0"/>
      <w:marBottom w:val="0"/>
      <w:divBdr>
        <w:top w:val="none" w:sz="0" w:space="0" w:color="auto"/>
        <w:left w:val="none" w:sz="0" w:space="0" w:color="auto"/>
        <w:bottom w:val="none" w:sz="0" w:space="0" w:color="auto"/>
        <w:right w:val="none" w:sz="0" w:space="0" w:color="auto"/>
      </w:divBdr>
    </w:div>
    <w:div w:id="527910786">
      <w:bodyDiv w:val="1"/>
      <w:marLeft w:val="0"/>
      <w:marRight w:val="0"/>
      <w:marTop w:val="0"/>
      <w:marBottom w:val="0"/>
      <w:divBdr>
        <w:top w:val="none" w:sz="0" w:space="0" w:color="auto"/>
        <w:left w:val="none" w:sz="0" w:space="0" w:color="auto"/>
        <w:bottom w:val="none" w:sz="0" w:space="0" w:color="auto"/>
        <w:right w:val="none" w:sz="0" w:space="0" w:color="auto"/>
      </w:divBdr>
    </w:div>
    <w:div w:id="657148491">
      <w:bodyDiv w:val="1"/>
      <w:marLeft w:val="0"/>
      <w:marRight w:val="0"/>
      <w:marTop w:val="0"/>
      <w:marBottom w:val="0"/>
      <w:divBdr>
        <w:top w:val="none" w:sz="0" w:space="0" w:color="auto"/>
        <w:left w:val="none" w:sz="0" w:space="0" w:color="auto"/>
        <w:bottom w:val="none" w:sz="0" w:space="0" w:color="auto"/>
        <w:right w:val="none" w:sz="0" w:space="0" w:color="auto"/>
      </w:divBdr>
      <w:divsChild>
        <w:div w:id="1171140535">
          <w:marLeft w:val="0"/>
          <w:marRight w:val="0"/>
          <w:marTop w:val="0"/>
          <w:marBottom w:val="0"/>
          <w:divBdr>
            <w:top w:val="none" w:sz="0" w:space="0" w:color="auto"/>
            <w:left w:val="none" w:sz="0" w:space="0" w:color="auto"/>
            <w:bottom w:val="none" w:sz="0" w:space="0" w:color="auto"/>
            <w:right w:val="none" w:sz="0" w:space="0" w:color="auto"/>
          </w:divBdr>
          <w:divsChild>
            <w:div w:id="157666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321076">
      <w:bodyDiv w:val="1"/>
      <w:marLeft w:val="0"/>
      <w:marRight w:val="0"/>
      <w:marTop w:val="0"/>
      <w:marBottom w:val="0"/>
      <w:divBdr>
        <w:top w:val="none" w:sz="0" w:space="0" w:color="auto"/>
        <w:left w:val="none" w:sz="0" w:space="0" w:color="auto"/>
        <w:bottom w:val="none" w:sz="0" w:space="0" w:color="auto"/>
        <w:right w:val="none" w:sz="0" w:space="0" w:color="auto"/>
      </w:divBdr>
    </w:div>
    <w:div w:id="686827765">
      <w:bodyDiv w:val="1"/>
      <w:marLeft w:val="0"/>
      <w:marRight w:val="0"/>
      <w:marTop w:val="0"/>
      <w:marBottom w:val="0"/>
      <w:divBdr>
        <w:top w:val="none" w:sz="0" w:space="0" w:color="auto"/>
        <w:left w:val="none" w:sz="0" w:space="0" w:color="auto"/>
        <w:bottom w:val="none" w:sz="0" w:space="0" w:color="auto"/>
        <w:right w:val="none" w:sz="0" w:space="0" w:color="auto"/>
      </w:divBdr>
    </w:div>
    <w:div w:id="699626389">
      <w:bodyDiv w:val="1"/>
      <w:marLeft w:val="0"/>
      <w:marRight w:val="0"/>
      <w:marTop w:val="0"/>
      <w:marBottom w:val="0"/>
      <w:divBdr>
        <w:top w:val="none" w:sz="0" w:space="0" w:color="auto"/>
        <w:left w:val="none" w:sz="0" w:space="0" w:color="auto"/>
        <w:bottom w:val="none" w:sz="0" w:space="0" w:color="auto"/>
        <w:right w:val="none" w:sz="0" w:space="0" w:color="auto"/>
      </w:divBdr>
      <w:divsChild>
        <w:div w:id="983242291">
          <w:marLeft w:val="0"/>
          <w:marRight w:val="0"/>
          <w:marTop w:val="0"/>
          <w:marBottom w:val="0"/>
          <w:divBdr>
            <w:top w:val="none" w:sz="0" w:space="0" w:color="auto"/>
            <w:left w:val="none" w:sz="0" w:space="0" w:color="auto"/>
            <w:bottom w:val="none" w:sz="0" w:space="0" w:color="auto"/>
            <w:right w:val="none" w:sz="0" w:space="0" w:color="auto"/>
          </w:divBdr>
          <w:divsChild>
            <w:div w:id="61571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645755">
      <w:bodyDiv w:val="1"/>
      <w:marLeft w:val="0"/>
      <w:marRight w:val="0"/>
      <w:marTop w:val="0"/>
      <w:marBottom w:val="0"/>
      <w:divBdr>
        <w:top w:val="none" w:sz="0" w:space="0" w:color="auto"/>
        <w:left w:val="none" w:sz="0" w:space="0" w:color="auto"/>
        <w:bottom w:val="none" w:sz="0" w:space="0" w:color="auto"/>
        <w:right w:val="none" w:sz="0" w:space="0" w:color="auto"/>
      </w:divBdr>
      <w:divsChild>
        <w:div w:id="1466697543">
          <w:marLeft w:val="0"/>
          <w:marRight w:val="0"/>
          <w:marTop w:val="0"/>
          <w:marBottom w:val="0"/>
          <w:divBdr>
            <w:top w:val="none" w:sz="0" w:space="0" w:color="auto"/>
            <w:left w:val="none" w:sz="0" w:space="0" w:color="auto"/>
            <w:bottom w:val="none" w:sz="0" w:space="0" w:color="auto"/>
            <w:right w:val="none" w:sz="0" w:space="0" w:color="auto"/>
          </w:divBdr>
        </w:div>
      </w:divsChild>
    </w:div>
    <w:div w:id="734282543">
      <w:bodyDiv w:val="1"/>
      <w:marLeft w:val="0"/>
      <w:marRight w:val="0"/>
      <w:marTop w:val="0"/>
      <w:marBottom w:val="0"/>
      <w:divBdr>
        <w:top w:val="none" w:sz="0" w:space="0" w:color="auto"/>
        <w:left w:val="none" w:sz="0" w:space="0" w:color="auto"/>
        <w:bottom w:val="none" w:sz="0" w:space="0" w:color="auto"/>
        <w:right w:val="none" w:sz="0" w:space="0" w:color="auto"/>
      </w:divBdr>
      <w:divsChild>
        <w:div w:id="1852136122">
          <w:marLeft w:val="0"/>
          <w:marRight w:val="0"/>
          <w:marTop w:val="0"/>
          <w:marBottom w:val="0"/>
          <w:divBdr>
            <w:top w:val="none" w:sz="0" w:space="0" w:color="auto"/>
            <w:left w:val="none" w:sz="0" w:space="0" w:color="auto"/>
            <w:bottom w:val="none" w:sz="0" w:space="0" w:color="auto"/>
            <w:right w:val="none" w:sz="0" w:space="0" w:color="auto"/>
          </w:divBdr>
          <w:divsChild>
            <w:div w:id="1048265348">
              <w:marLeft w:val="0"/>
              <w:marRight w:val="0"/>
              <w:marTop w:val="0"/>
              <w:marBottom w:val="0"/>
              <w:divBdr>
                <w:top w:val="none" w:sz="0" w:space="0" w:color="auto"/>
                <w:left w:val="none" w:sz="0" w:space="0" w:color="auto"/>
                <w:bottom w:val="none" w:sz="0" w:space="0" w:color="auto"/>
                <w:right w:val="none" w:sz="0" w:space="0" w:color="auto"/>
              </w:divBdr>
              <w:divsChild>
                <w:div w:id="1885218917">
                  <w:marLeft w:val="0"/>
                  <w:marRight w:val="0"/>
                  <w:marTop w:val="0"/>
                  <w:marBottom w:val="0"/>
                  <w:divBdr>
                    <w:top w:val="none" w:sz="0" w:space="0" w:color="auto"/>
                    <w:left w:val="none" w:sz="0" w:space="0" w:color="auto"/>
                    <w:bottom w:val="none" w:sz="0" w:space="0" w:color="auto"/>
                    <w:right w:val="none" w:sz="0" w:space="0" w:color="auto"/>
                  </w:divBdr>
                  <w:divsChild>
                    <w:div w:id="713578555">
                      <w:marLeft w:val="0"/>
                      <w:marRight w:val="0"/>
                      <w:marTop w:val="0"/>
                      <w:marBottom w:val="0"/>
                      <w:divBdr>
                        <w:top w:val="none" w:sz="0" w:space="0" w:color="auto"/>
                        <w:left w:val="none" w:sz="0" w:space="0" w:color="auto"/>
                        <w:bottom w:val="none" w:sz="0" w:space="0" w:color="auto"/>
                        <w:right w:val="none" w:sz="0" w:space="0" w:color="auto"/>
                      </w:divBdr>
                      <w:divsChild>
                        <w:div w:id="244343572">
                          <w:marLeft w:val="0"/>
                          <w:marRight w:val="0"/>
                          <w:marTop w:val="0"/>
                          <w:marBottom w:val="0"/>
                          <w:divBdr>
                            <w:top w:val="none" w:sz="0" w:space="0" w:color="auto"/>
                            <w:left w:val="none" w:sz="0" w:space="0" w:color="auto"/>
                            <w:bottom w:val="none" w:sz="0" w:space="0" w:color="auto"/>
                            <w:right w:val="none" w:sz="0" w:space="0" w:color="auto"/>
                          </w:divBdr>
                          <w:divsChild>
                            <w:div w:id="453181957">
                              <w:marLeft w:val="0"/>
                              <w:marRight w:val="0"/>
                              <w:marTop w:val="0"/>
                              <w:marBottom w:val="0"/>
                              <w:divBdr>
                                <w:top w:val="none" w:sz="0" w:space="0" w:color="auto"/>
                                <w:left w:val="none" w:sz="0" w:space="0" w:color="auto"/>
                                <w:bottom w:val="none" w:sz="0" w:space="0" w:color="auto"/>
                                <w:right w:val="none" w:sz="0" w:space="0" w:color="auto"/>
                              </w:divBdr>
                              <w:divsChild>
                                <w:div w:id="107990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2163286">
      <w:bodyDiv w:val="1"/>
      <w:marLeft w:val="0"/>
      <w:marRight w:val="0"/>
      <w:marTop w:val="0"/>
      <w:marBottom w:val="0"/>
      <w:divBdr>
        <w:top w:val="none" w:sz="0" w:space="0" w:color="auto"/>
        <w:left w:val="none" w:sz="0" w:space="0" w:color="auto"/>
        <w:bottom w:val="none" w:sz="0" w:space="0" w:color="auto"/>
        <w:right w:val="none" w:sz="0" w:space="0" w:color="auto"/>
      </w:divBdr>
    </w:div>
    <w:div w:id="846359913">
      <w:bodyDiv w:val="1"/>
      <w:marLeft w:val="0"/>
      <w:marRight w:val="0"/>
      <w:marTop w:val="0"/>
      <w:marBottom w:val="0"/>
      <w:divBdr>
        <w:top w:val="none" w:sz="0" w:space="0" w:color="auto"/>
        <w:left w:val="none" w:sz="0" w:space="0" w:color="auto"/>
        <w:bottom w:val="none" w:sz="0" w:space="0" w:color="auto"/>
        <w:right w:val="none" w:sz="0" w:space="0" w:color="auto"/>
      </w:divBdr>
    </w:div>
    <w:div w:id="855734493">
      <w:bodyDiv w:val="1"/>
      <w:marLeft w:val="0"/>
      <w:marRight w:val="0"/>
      <w:marTop w:val="0"/>
      <w:marBottom w:val="0"/>
      <w:divBdr>
        <w:top w:val="none" w:sz="0" w:space="0" w:color="auto"/>
        <w:left w:val="none" w:sz="0" w:space="0" w:color="auto"/>
        <w:bottom w:val="none" w:sz="0" w:space="0" w:color="auto"/>
        <w:right w:val="none" w:sz="0" w:space="0" w:color="auto"/>
      </w:divBdr>
    </w:div>
    <w:div w:id="867185176">
      <w:bodyDiv w:val="1"/>
      <w:marLeft w:val="0"/>
      <w:marRight w:val="0"/>
      <w:marTop w:val="0"/>
      <w:marBottom w:val="0"/>
      <w:divBdr>
        <w:top w:val="none" w:sz="0" w:space="0" w:color="auto"/>
        <w:left w:val="none" w:sz="0" w:space="0" w:color="auto"/>
        <w:bottom w:val="none" w:sz="0" w:space="0" w:color="auto"/>
        <w:right w:val="none" w:sz="0" w:space="0" w:color="auto"/>
      </w:divBdr>
    </w:div>
    <w:div w:id="898906897">
      <w:bodyDiv w:val="1"/>
      <w:marLeft w:val="0"/>
      <w:marRight w:val="0"/>
      <w:marTop w:val="0"/>
      <w:marBottom w:val="0"/>
      <w:divBdr>
        <w:top w:val="none" w:sz="0" w:space="0" w:color="auto"/>
        <w:left w:val="none" w:sz="0" w:space="0" w:color="auto"/>
        <w:bottom w:val="none" w:sz="0" w:space="0" w:color="auto"/>
        <w:right w:val="none" w:sz="0" w:space="0" w:color="auto"/>
      </w:divBdr>
    </w:div>
    <w:div w:id="919287607">
      <w:bodyDiv w:val="1"/>
      <w:marLeft w:val="0"/>
      <w:marRight w:val="0"/>
      <w:marTop w:val="0"/>
      <w:marBottom w:val="0"/>
      <w:divBdr>
        <w:top w:val="none" w:sz="0" w:space="0" w:color="auto"/>
        <w:left w:val="none" w:sz="0" w:space="0" w:color="auto"/>
        <w:bottom w:val="none" w:sz="0" w:space="0" w:color="auto"/>
        <w:right w:val="none" w:sz="0" w:space="0" w:color="auto"/>
      </w:divBdr>
    </w:div>
    <w:div w:id="991447310">
      <w:bodyDiv w:val="1"/>
      <w:marLeft w:val="0"/>
      <w:marRight w:val="0"/>
      <w:marTop w:val="0"/>
      <w:marBottom w:val="0"/>
      <w:divBdr>
        <w:top w:val="none" w:sz="0" w:space="0" w:color="auto"/>
        <w:left w:val="none" w:sz="0" w:space="0" w:color="auto"/>
        <w:bottom w:val="none" w:sz="0" w:space="0" w:color="auto"/>
        <w:right w:val="none" w:sz="0" w:space="0" w:color="auto"/>
      </w:divBdr>
    </w:div>
    <w:div w:id="1021010196">
      <w:bodyDiv w:val="1"/>
      <w:marLeft w:val="0"/>
      <w:marRight w:val="0"/>
      <w:marTop w:val="0"/>
      <w:marBottom w:val="0"/>
      <w:divBdr>
        <w:top w:val="none" w:sz="0" w:space="0" w:color="auto"/>
        <w:left w:val="none" w:sz="0" w:space="0" w:color="auto"/>
        <w:bottom w:val="none" w:sz="0" w:space="0" w:color="auto"/>
        <w:right w:val="none" w:sz="0" w:space="0" w:color="auto"/>
      </w:divBdr>
    </w:div>
    <w:div w:id="1052080425">
      <w:bodyDiv w:val="1"/>
      <w:marLeft w:val="0"/>
      <w:marRight w:val="0"/>
      <w:marTop w:val="0"/>
      <w:marBottom w:val="0"/>
      <w:divBdr>
        <w:top w:val="none" w:sz="0" w:space="0" w:color="auto"/>
        <w:left w:val="none" w:sz="0" w:space="0" w:color="auto"/>
        <w:bottom w:val="none" w:sz="0" w:space="0" w:color="auto"/>
        <w:right w:val="none" w:sz="0" w:space="0" w:color="auto"/>
      </w:divBdr>
    </w:div>
    <w:div w:id="1081098616">
      <w:bodyDiv w:val="1"/>
      <w:marLeft w:val="0"/>
      <w:marRight w:val="0"/>
      <w:marTop w:val="0"/>
      <w:marBottom w:val="0"/>
      <w:divBdr>
        <w:top w:val="none" w:sz="0" w:space="0" w:color="auto"/>
        <w:left w:val="none" w:sz="0" w:space="0" w:color="auto"/>
        <w:bottom w:val="none" w:sz="0" w:space="0" w:color="auto"/>
        <w:right w:val="none" w:sz="0" w:space="0" w:color="auto"/>
      </w:divBdr>
    </w:div>
    <w:div w:id="1268346998">
      <w:bodyDiv w:val="1"/>
      <w:marLeft w:val="0"/>
      <w:marRight w:val="0"/>
      <w:marTop w:val="0"/>
      <w:marBottom w:val="0"/>
      <w:divBdr>
        <w:top w:val="none" w:sz="0" w:space="0" w:color="auto"/>
        <w:left w:val="none" w:sz="0" w:space="0" w:color="auto"/>
        <w:bottom w:val="none" w:sz="0" w:space="0" w:color="auto"/>
        <w:right w:val="none" w:sz="0" w:space="0" w:color="auto"/>
      </w:divBdr>
    </w:div>
    <w:div w:id="1307470999">
      <w:bodyDiv w:val="1"/>
      <w:marLeft w:val="0"/>
      <w:marRight w:val="0"/>
      <w:marTop w:val="0"/>
      <w:marBottom w:val="0"/>
      <w:divBdr>
        <w:top w:val="none" w:sz="0" w:space="0" w:color="auto"/>
        <w:left w:val="none" w:sz="0" w:space="0" w:color="auto"/>
        <w:bottom w:val="none" w:sz="0" w:space="0" w:color="auto"/>
        <w:right w:val="none" w:sz="0" w:space="0" w:color="auto"/>
      </w:divBdr>
    </w:div>
    <w:div w:id="1308126168">
      <w:bodyDiv w:val="1"/>
      <w:marLeft w:val="0"/>
      <w:marRight w:val="0"/>
      <w:marTop w:val="0"/>
      <w:marBottom w:val="0"/>
      <w:divBdr>
        <w:top w:val="none" w:sz="0" w:space="0" w:color="auto"/>
        <w:left w:val="none" w:sz="0" w:space="0" w:color="auto"/>
        <w:bottom w:val="none" w:sz="0" w:space="0" w:color="auto"/>
        <w:right w:val="none" w:sz="0" w:space="0" w:color="auto"/>
      </w:divBdr>
    </w:div>
    <w:div w:id="1335689757">
      <w:bodyDiv w:val="1"/>
      <w:marLeft w:val="0"/>
      <w:marRight w:val="0"/>
      <w:marTop w:val="0"/>
      <w:marBottom w:val="0"/>
      <w:divBdr>
        <w:top w:val="none" w:sz="0" w:space="0" w:color="auto"/>
        <w:left w:val="none" w:sz="0" w:space="0" w:color="auto"/>
        <w:bottom w:val="none" w:sz="0" w:space="0" w:color="auto"/>
        <w:right w:val="none" w:sz="0" w:space="0" w:color="auto"/>
      </w:divBdr>
    </w:div>
    <w:div w:id="1359551167">
      <w:bodyDiv w:val="1"/>
      <w:marLeft w:val="0"/>
      <w:marRight w:val="0"/>
      <w:marTop w:val="0"/>
      <w:marBottom w:val="0"/>
      <w:divBdr>
        <w:top w:val="none" w:sz="0" w:space="0" w:color="auto"/>
        <w:left w:val="none" w:sz="0" w:space="0" w:color="auto"/>
        <w:bottom w:val="none" w:sz="0" w:space="0" w:color="auto"/>
        <w:right w:val="none" w:sz="0" w:space="0" w:color="auto"/>
      </w:divBdr>
    </w:div>
    <w:div w:id="1383554143">
      <w:bodyDiv w:val="1"/>
      <w:marLeft w:val="0"/>
      <w:marRight w:val="0"/>
      <w:marTop w:val="0"/>
      <w:marBottom w:val="0"/>
      <w:divBdr>
        <w:top w:val="none" w:sz="0" w:space="0" w:color="auto"/>
        <w:left w:val="none" w:sz="0" w:space="0" w:color="auto"/>
        <w:bottom w:val="none" w:sz="0" w:space="0" w:color="auto"/>
        <w:right w:val="none" w:sz="0" w:space="0" w:color="auto"/>
      </w:divBdr>
    </w:div>
    <w:div w:id="1401749607">
      <w:bodyDiv w:val="1"/>
      <w:marLeft w:val="0"/>
      <w:marRight w:val="0"/>
      <w:marTop w:val="0"/>
      <w:marBottom w:val="0"/>
      <w:divBdr>
        <w:top w:val="none" w:sz="0" w:space="0" w:color="auto"/>
        <w:left w:val="none" w:sz="0" w:space="0" w:color="auto"/>
        <w:bottom w:val="none" w:sz="0" w:space="0" w:color="auto"/>
        <w:right w:val="none" w:sz="0" w:space="0" w:color="auto"/>
      </w:divBdr>
    </w:div>
    <w:div w:id="1438715311">
      <w:bodyDiv w:val="1"/>
      <w:marLeft w:val="0"/>
      <w:marRight w:val="0"/>
      <w:marTop w:val="0"/>
      <w:marBottom w:val="0"/>
      <w:divBdr>
        <w:top w:val="none" w:sz="0" w:space="0" w:color="auto"/>
        <w:left w:val="none" w:sz="0" w:space="0" w:color="auto"/>
        <w:bottom w:val="none" w:sz="0" w:space="0" w:color="auto"/>
        <w:right w:val="none" w:sz="0" w:space="0" w:color="auto"/>
      </w:divBdr>
    </w:div>
    <w:div w:id="1453596882">
      <w:bodyDiv w:val="1"/>
      <w:marLeft w:val="0"/>
      <w:marRight w:val="0"/>
      <w:marTop w:val="0"/>
      <w:marBottom w:val="0"/>
      <w:divBdr>
        <w:top w:val="none" w:sz="0" w:space="0" w:color="auto"/>
        <w:left w:val="none" w:sz="0" w:space="0" w:color="auto"/>
        <w:bottom w:val="none" w:sz="0" w:space="0" w:color="auto"/>
        <w:right w:val="none" w:sz="0" w:space="0" w:color="auto"/>
      </w:divBdr>
    </w:div>
    <w:div w:id="1458988682">
      <w:bodyDiv w:val="1"/>
      <w:marLeft w:val="0"/>
      <w:marRight w:val="0"/>
      <w:marTop w:val="0"/>
      <w:marBottom w:val="0"/>
      <w:divBdr>
        <w:top w:val="none" w:sz="0" w:space="0" w:color="auto"/>
        <w:left w:val="none" w:sz="0" w:space="0" w:color="auto"/>
        <w:bottom w:val="none" w:sz="0" w:space="0" w:color="auto"/>
        <w:right w:val="none" w:sz="0" w:space="0" w:color="auto"/>
      </w:divBdr>
    </w:div>
    <w:div w:id="1489857230">
      <w:bodyDiv w:val="1"/>
      <w:marLeft w:val="0"/>
      <w:marRight w:val="0"/>
      <w:marTop w:val="0"/>
      <w:marBottom w:val="0"/>
      <w:divBdr>
        <w:top w:val="none" w:sz="0" w:space="0" w:color="auto"/>
        <w:left w:val="none" w:sz="0" w:space="0" w:color="auto"/>
        <w:bottom w:val="none" w:sz="0" w:space="0" w:color="auto"/>
        <w:right w:val="none" w:sz="0" w:space="0" w:color="auto"/>
      </w:divBdr>
      <w:divsChild>
        <w:div w:id="622614129">
          <w:marLeft w:val="0"/>
          <w:marRight w:val="0"/>
          <w:marTop w:val="0"/>
          <w:marBottom w:val="0"/>
          <w:divBdr>
            <w:top w:val="none" w:sz="0" w:space="0" w:color="auto"/>
            <w:left w:val="none" w:sz="0" w:space="0" w:color="auto"/>
            <w:bottom w:val="none" w:sz="0" w:space="0" w:color="auto"/>
            <w:right w:val="none" w:sz="0" w:space="0" w:color="auto"/>
          </w:divBdr>
          <w:divsChild>
            <w:div w:id="137982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196904">
      <w:bodyDiv w:val="1"/>
      <w:marLeft w:val="0"/>
      <w:marRight w:val="0"/>
      <w:marTop w:val="0"/>
      <w:marBottom w:val="0"/>
      <w:divBdr>
        <w:top w:val="none" w:sz="0" w:space="0" w:color="auto"/>
        <w:left w:val="none" w:sz="0" w:space="0" w:color="auto"/>
        <w:bottom w:val="none" w:sz="0" w:space="0" w:color="auto"/>
        <w:right w:val="none" w:sz="0" w:space="0" w:color="auto"/>
      </w:divBdr>
    </w:div>
    <w:div w:id="1671448523">
      <w:bodyDiv w:val="1"/>
      <w:marLeft w:val="0"/>
      <w:marRight w:val="0"/>
      <w:marTop w:val="0"/>
      <w:marBottom w:val="0"/>
      <w:divBdr>
        <w:top w:val="none" w:sz="0" w:space="0" w:color="auto"/>
        <w:left w:val="none" w:sz="0" w:space="0" w:color="auto"/>
        <w:bottom w:val="none" w:sz="0" w:space="0" w:color="auto"/>
        <w:right w:val="none" w:sz="0" w:space="0" w:color="auto"/>
      </w:divBdr>
      <w:divsChild>
        <w:div w:id="592594318">
          <w:marLeft w:val="0"/>
          <w:marRight w:val="0"/>
          <w:marTop w:val="0"/>
          <w:marBottom w:val="0"/>
          <w:divBdr>
            <w:top w:val="none" w:sz="0" w:space="0" w:color="auto"/>
            <w:left w:val="none" w:sz="0" w:space="0" w:color="auto"/>
            <w:bottom w:val="none" w:sz="0" w:space="0" w:color="auto"/>
            <w:right w:val="none" w:sz="0" w:space="0" w:color="auto"/>
          </w:divBdr>
          <w:divsChild>
            <w:div w:id="182276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402882">
      <w:bodyDiv w:val="1"/>
      <w:marLeft w:val="0"/>
      <w:marRight w:val="0"/>
      <w:marTop w:val="0"/>
      <w:marBottom w:val="0"/>
      <w:divBdr>
        <w:top w:val="none" w:sz="0" w:space="0" w:color="auto"/>
        <w:left w:val="none" w:sz="0" w:space="0" w:color="auto"/>
        <w:bottom w:val="none" w:sz="0" w:space="0" w:color="auto"/>
        <w:right w:val="none" w:sz="0" w:space="0" w:color="auto"/>
      </w:divBdr>
    </w:div>
    <w:div w:id="1826431364">
      <w:bodyDiv w:val="1"/>
      <w:marLeft w:val="0"/>
      <w:marRight w:val="0"/>
      <w:marTop w:val="0"/>
      <w:marBottom w:val="0"/>
      <w:divBdr>
        <w:top w:val="none" w:sz="0" w:space="0" w:color="auto"/>
        <w:left w:val="none" w:sz="0" w:space="0" w:color="auto"/>
        <w:bottom w:val="none" w:sz="0" w:space="0" w:color="auto"/>
        <w:right w:val="none" w:sz="0" w:space="0" w:color="auto"/>
      </w:divBdr>
    </w:div>
    <w:div w:id="1873610128">
      <w:bodyDiv w:val="1"/>
      <w:marLeft w:val="0"/>
      <w:marRight w:val="0"/>
      <w:marTop w:val="0"/>
      <w:marBottom w:val="0"/>
      <w:divBdr>
        <w:top w:val="none" w:sz="0" w:space="0" w:color="auto"/>
        <w:left w:val="none" w:sz="0" w:space="0" w:color="auto"/>
        <w:bottom w:val="none" w:sz="0" w:space="0" w:color="auto"/>
        <w:right w:val="none" w:sz="0" w:space="0" w:color="auto"/>
      </w:divBdr>
      <w:divsChild>
        <w:div w:id="2048800484">
          <w:marLeft w:val="0"/>
          <w:marRight w:val="0"/>
          <w:marTop w:val="0"/>
          <w:marBottom w:val="0"/>
          <w:divBdr>
            <w:top w:val="none" w:sz="0" w:space="0" w:color="auto"/>
            <w:left w:val="none" w:sz="0" w:space="0" w:color="auto"/>
            <w:bottom w:val="none" w:sz="0" w:space="0" w:color="auto"/>
            <w:right w:val="none" w:sz="0" w:space="0" w:color="auto"/>
          </w:divBdr>
          <w:divsChild>
            <w:div w:id="17181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07695">
      <w:bodyDiv w:val="1"/>
      <w:marLeft w:val="0"/>
      <w:marRight w:val="0"/>
      <w:marTop w:val="0"/>
      <w:marBottom w:val="0"/>
      <w:divBdr>
        <w:top w:val="none" w:sz="0" w:space="0" w:color="auto"/>
        <w:left w:val="none" w:sz="0" w:space="0" w:color="auto"/>
        <w:bottom w:val="none" w:sz="0" w:space="0" w:color="auto"/>
        <w:right w:val="none" w:sz="0" w:space="0" w:color="auto"/>
      </w:divBdr>
    </w:div>
    <w:div w:id="1907908278">
      <w:bodyDiv w:val="1"/>
      <w:marLeft w:val="0"/>
      <w:marRight w:val="0"/>
      <w:marTop w:val="0"/>
      <w:marBottom w:val="0"/>
      <w:divBdr>
        <w:top w:val="none" w:sz="0" w:space="0" w:color="auto"/>
        <w:left w:val="none" w:sz="0" w:space="0" w:color="auto"/>
        <w:bottom w:val="none" w:sz="0" w:space="0" w:color="auto"/>
        <w:right w:val="none" w:sz="0" w:space="0" w:color="auto"/>
      </w:divBdr>
      <w:divsChild>
        <w:div w:id="568076070">
          <w:marLeft w:val="0"/>
          <w:marRight w:val="0"/>
          <w:marTop w:val="0"/>
          <w:marBottom w:val="0"/>
          <w:divBdr>
            <w:top w:val="none" w:sz="0" w:space="0" w:color="auto"/>
            <w:left w:val="none" w:sz="0" w:space="0" w:color="auto"/>
            <w:bottom w:val="none" w:sz="0" w:space="0" w:color="auto"/>
            <w:right w:val="none" w:sz="0" w:space="0" w:color="auto"/>
          </w:divBdr>
        </w:div>
      </w:divsChild>
    </w:div>
    <w:div w:id="1908371007">
      <w:bodyDiv w:val="1"/>
      <w:marLeft w:val="0"/>
      <w:marRight w:val="0"/>
      <w:marTop w:val="0"/>
      <w:marBottom w:val="0"/>
      <w:divBdr>
        <w:top w:val="none" w:sz="0" w:space="0" w:color="auto"/>
        <w:left w:val="none" w:sz="0" w:space="0" w:color="auto"/>
        <w:bottom w:val="none" w:sz="0" w:space="0" w:color="auto"/>
        <w:right w:val="none" w:sz="0" w:space="0" w:color="auto"/>
      </w:divBdr>
      <w:divsChild>
        <w:div w:id="91511634">
          <w:marLeft w:val="0"/>
          <w:marRight w:val="0"/>
          <w:marTop w:val="0"/>
          <w:marBottom w:val="0"/>
          <w:divBdr>
            <w:top w:val="none" w:sz="0" w:space="0" w:color="auto"/>
            <w:left w:val="none" w:sz="0" w:space="0" w:color="auto"/>
            <w:bottom w:val="none" w:sz="0" w:space="0" w:color="auto"/>
            <w:right w:val="none" w:sz="0" w:space="0" w:color="auto"/>
          </w:divBdr>
          <w:divsChild>
            <w:div w:id="4857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510556">
      <w:bodyDiv w:val="1"/>
      <w:marLeft w:val="0"/>
      <w:marRight w:val="0"/>
      <w:marTop w:val="0"/>
      <w:marBottom w:val="0"/>
      <w:divBdr>
        <w:top w:val="none" w:sz="0" w:space="0" w:color="auto"/>
        <w:left w:val="none" w:sz="0" w:space="0" w:color="auto"/>
        <w:bottom w:val="none" w:sz="0" w:space="0" w:color="auto"/>
        <w:right w:val="none" w:sz="0" w:space="0" w:color="auto"/>
      </w:divBdr>
    </w:div>
    <w:div w:id="1930383526">
      <w:bodyDiv w:val="1"/>
      <w:marLeft w:val="0"/>
      <w:marRight w:val="0"/>
      <w:marTop w:val="0"/>
      <w:marBottom w:val="0"/>
      <w:divBdr>
        <w:top w:val="none" w:sz="0" w:space="0" w:color="auto"/>
        <w:left w:val="none" w:sz="0" w:space="0" w:color="auto"/>
        <w:bottom w:val="none" w:sz="0" w:space="0" w:color="auto"/>
        <w:right w:val="none" w:sz="0" w:space="0" w:color="auto"/>
      </w:divBdr>
    </w:div>
    <w:div w:id="1937473020">
      <w:bodyDiv w:val="1"/>
      <w:marLeft w:val="0"/>
      <w:marRight w:val="0"/>
      <w:marTop w:val="0"/>
      <w:marBottom w:val="0"/>
      <w:divBdr>
        <w:top w:val="none" w:sz="0" w:space="0" w:color="auto"/>
        <w:left w:val="none" w:sz="0" w:space="0" w:color="auto"/>
        <w:bottom w:val="none" w:sz="0" w:space="0" w:color="auto"/>
        <w:right w:val="none" w:sz="0" w:space="0" w:color="auto"/>
      </w:divBdr>
    </w:div>
    <w:div w:id="1941061245">
      <w:bodyDiv w:val="1"/>
      <w:marLeft w:val="0"/>
      <w:marRight w:val="0"/>
      <w:marTop w:val="0"/>
      <w:marBottom w:val="0"/>
      <w:divBdr>
        <w:top w:val="none" w:sz="0" w:space="0" w:color="auto"/>
        <w:left w:val="none" w:sz="0" w:space="0" w:color="auto"/>
        <w:bottom w:val="none" w:sz="0" w:space="0" w:color="auto"/>
        <w:right w:val="none" w:sz="0" w:space="0" w:color="auto"/>
      </w:divBdr>
    </w:div>
    <w:div w:id="1950314730">
      <w:bodyDiv w:val="1"/>
      <w:marLeft w:val="0"/>
      <w:marRight w:val="0"/>
      <w:marTop w:val="0"/>
      <w:marBottom w:val="0"/>
      <w:divBdr>
        <w:top w:val="none" w:sz="0" w:space="0" w:color="auto"/>
        <w:left w:val="none" w:sz="0" w:space="0" w:color="auto"/>
        <w:bottom w:val="none" w:sz="0" w:space="0" w:color="auto"/>
        <w:right w:val="none" w:sz="0" w:space="0" w:color="auto"/>
      </w:divBdr>
    </w:div>
    <w:div w:id="2006325604">
      <w:bodyDiv w:val="1"/>
      <w:marLeft w:val="0"/>
      <w:marRight w:val="0"/>
      <w:marTop w:val="0"/>
      <w:marBottom w:val="0"/>
      <w:divBdr>
        <w:top w:val="none" w:sz="0" w:space="0" w:color="auto"/>
        <w:left w:val="none" w:sz="0" w:space="0" w:color="auto"/>
        <w:bottom w:val="none" w:sz="0" w:space="0" w:color="auto"/>
        <w:right w:val="none" w:sz="0" w:space="0" w:color="auto"/>
      </w:divBdr>
    </w:div>
    <w:div w:id="2107849284">
      <w:bodyDiv w:val="1"/>
      <w:marLeft w:val="0"/>
      <w:marRight w:val="0"/>
      <w:marTop w:val="0"/>
      <w:marBottom w:val="0"/>
      <w:divBdr>
        <w:top w:val="none" w:sz="0" w:space="0" w:color="auto"/>
        <w:left w:val="none" w:sz="0" w:space="0" w:color="auto"/>
        <w:bottom w:val="none" w:sz="0" w:space="0" w:color="auto"/>
        <w:right w:val="none" w:sz="0" w:space="0" w:color="auto"/>
      </w:divBdr>
      <w:divsChild>
        <w:div w:id="474370394">
          <w:marLeft w:val="0"/>
          <w:marRight w:val="0"/>
          <w:marTop w:val="0"/>
          <w:marBottom w:val="0"/>
          <w:divBdr>
            <w:top w:val="none" w:sz="0" w:space="0" w:color="auto"/>
            <w:left w:val="none" w:sz="0" w:space="0" w:color="auto"/>
            <w:bottom w:val="none" w:sz="0" w:space="0" w:color="auto"/>
            <w:right w:val="none" w:sz="0" w:space="0" w:color="auto"/>
          </w:divBdr>
          <w:divsChild>
            <w:div w:id="188189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untfsurvey.org/files/documents/report-digital-sustainable-2023-global.pdf?utm_source=chatgpt.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80/00856401.2021.1981532"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doi.org/10.5281/zenodo.14960306"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researchgate.net/publication/395106580_Regulatory_compliance_and_its_financial_implications" TargetMode="External"/><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archive.doingbusiness.org/content/dam/doingBusiness/country/b/bangladesh/BGD.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imu.2024.101457"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8E3A1935-BAEA-493C-B4DC-A9BA1A935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22394</Words>
  <Characters>127647</Characters>
  <Application>Microsoft Office Word</Application>
  <DocSecurity>0</DocSecurity>
  <Lines>1063</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2025-12-12T15:40:00Z</dcterms:created>
  <dcterms:modified xsi:type="dcterms:W3CDTF">2026-02-02T16:28:00Z</dcterms:modified>
</cp:coreProperties>
</file>