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96B417" w14:textId="2FD7E69E" w:rsidR="00DA3328" w:rsidRDefault="00935355" w:rsidP="00935355">
      <w:pPr>
        <w:pStyle w:val="Heading1"/>
        <w:jc w:val="center"/>
      </w:pPr>
      <w:r w:rsidRPr="00CF102D">
        <w:rPr>
          <w:rFonts w:ascii="Arial" w:hAnsi="Arial" w:cs="Arial"/>
          <w:noProof/>
          <w:sz w:val="28"/>
          <w:szCs w:val="28"/>
        </w:rPr>
        <w:drawing>
          <wp:inline distT="0" distB="0" distL="0" distR="0" wp14:anchorId="08B7110C" wp14:editId="72159E12">
            <wp:extent cx="4196012" cy="1852262"/>
            <wp:effectExtent l="0" t="0" r="0" b="254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4436189" cy="1958284"/>
                    </a:xfrm>
                    <a:prstGeom prst="rect">
                      <a:avLst/>
                    </a:prstGeom>
                  </pic:spPr>
                </pic:pic>
              </a:graphicData>
            </a:graphic>
          </wp:inline>
        </w:drawing>
      </w:r>
    </w:p>
    <w:p w14:paraId="6704E3EA" w14:textId="77777777" w:rsidR="00935355" w:rsidRDefault="00935355" w:rsidP="00935355"/>
    <w:p w14:paraId="74E0E670" w14:textId="77777777" w:rsidR="00935355" w:rsidRDefault="00935355" w:rsidP="00935355"/>
    <w:p w14:paraId="49DF5178" w14:textId="77777777" w:rsidR="00935355" w:rsidRDefault="00935355" w:rsidP="00935355"/>
    <w:p w14:paraId="5580001A" w14:textId="77777777" w:rsidR="00935355" w:rsidRDefault="00935355" w:rsidP="00935355"/>
    <w:p w14:paraId="0E2F6362" w14:textId="4996FA70" w:rsidR="00935355" w:rsidRPr="00935355" w:rsidRDefault="00935355" w:rsidP="00935355">
      <w:pPr>
        <w:jc w:val="center"/>
        <w:rPr>
          <w:b/>
          <w:bCs/>
          <w:sz w:val="44"/>
          <w:szCs w:val="44"/>
        </w:rPr>
      </w:pPr>
      <w:r w:rsidRPr="00935355">
        <w:rPr>
          <w:b/>
          <w:bCs/>
          <w:sz w:val="44"/>
          <w:szCs w:val="44"/>
        </w:rPr>
        <w:t xml:space="preserve">Community engagement </w:t>
      </w:r>
    </w:p>
    <w:p w14:paraId="1DDF5E4C" w14:textId="307A1FD3" w:rsidR="00935355" w:rsidRPr="00935355" w:rsidRDefault="00935355" w:rsidP="00935355">
      <w:pPr>
        <w:jc w:val="center"/>
        <w:rPr>
          <w:b/>
          <w:bCs/>
          <w:sz w:val="44"/>
          <w:szCs w:val="44"/>
        </w:rPr>
      </w:pPr>
      <w:r w:rsidRPr="00935355">
        <w:rPr>
          <w:b/>
          <w:bCs/>
          <w:sz w:val="44"/>
          <w:szCs w:val="44"/>
        </w:rPr>
        <w:t>Education Project</w:t>
      </w:r>
    </w:p>
    <w:p w14:paraId="6B6CDE82" w14:textId="188D5930" w:rsidR="00935355" w:rsidRDefault="00935355" w:rsidP="00935355">
      <w:pPr>
        <w:jc w:val="center"/>
        <w:rPr>
          <w:b/>
          <w:bCs/>
          <w:sz w:val="44"/>
          <w:szCs w:val="44"/>
        </w:rPr>
      </w:pPr>
      <w:r w:rsidRPr="00935355">
        <w:rPr>
          <w:b/>
          <w:bCs/>
          <w:sz w:val="44"/>
          <w:szCs w:val="44"/>
        </w:rPr>
        <w:t>“</w:t>
      </w:r>
      <w:r w:rsidRPr="00935355">
        <w:rPr>
          <w:rFonts w:ascii="Times New Roman" w:eastAsia="Times New Roman" w:hAnsi="Times New Roman" w:cs="Times New Roman"/>
          <w:b/>
          <w:bCs/>
          <w:color w:val="0E101A"/>
          <w:kern w:val="0"/>
          <w:sz w:val="44"/>
          <w:szCs w:val="44"/>
          <w:lang w:eastAsia="en-GB"/>
          <w14:ligatures w14:val="none"/>
        </w:rPr>
        <w:t>Empowering Minds</w:t>
      </w:r>
      <w:r w:rsidRPr="00935355">
        <w:rPr>
          <w:b/>
          <w:bCs/>
          <w:sz w:val="44"/>
          <w:szCs w:val="44"/>
        </w:rPr>
        <w:t>”</w:t>
      </w:r>
    </w:p>
    <w:p w14:paraId="24F5ACAD" w14:textId="77777777" w:rsidR="00935355" w:rsidRDefault="00935355" w:rsidP="00935355">
      <w:pPr>
        <w:jc w:val="center"/>
        <w:rPr>
          <w:b/>
          <w:bCs/>
          <w:sz w:val="44"/>
          <w:szCs w:val="44"/>
        </w:rPr>
      </w:pPr>
    </w:p>
    <w:p w14:paraId="7F983165" w14:textId="77777777" w:rsidR="0091257B" w:rsidRDefault="0091257B" w:rsidP="00935355">
      <w:pPr>
        <w:jc w:val="center"/>
        <w:rPr>
          <w:b/>
          <w:bCs/>
          <w:sz w:val="44"/>
          <w:szCs w:val="44"/>
        </w:rPr>
      </w:pPr>
    </w:p>
    <w:p w14:paraId="3CB72393" w14:textId="77777777" w:rsidR="0091257B" w:rsidRDefault="0091257B" w:rsidP="00935355">
      <w:pPr>
        <w:jc w:val="center"/>
        <w:rPr>
          <w:b/>
          <w:bCs/>
          <w:sz w:val="44"/>
          <w:szCs w:val="44"/>
        </w:rPr>
      </w:pPr>
    </w:p>
    <w:p w14:paraId="159FE045" w14:textId="77777777" w:rsidR="000505CC" w:rsidRPr="000505CC" w:rsidRDefault="000505CC" w:rsidP="00935355">
      <w:pPr>
        <w:jc w:val="center"/>
        <w:rPr>
          <w:b/>
          <w:bCs/>
          <w:sz w:val="32"/>
          <w:szCs w:val="32"/>
        </w:rPr>
      </w:pPr>
    </w:p>
    <w:p w14:paraId="3331BE34" w14:textId="77777777" w:rsidR="00E41AE1" w:rsidRPr="00CF102D" w:rsidRDefault="00E41AE1" w:rsidP="00E41AE1">
      <w:pPr>
        <w:spacing w:line="360" w:lineRule="auto"/>
        <w:jc w:val="center"/>
        <w:rPr>
          <w:rFonts w:ascii="Arial" w:hAnsi="Arial" w:cs="Arial"/>
          <w:sz w:val="28"/>
          <w:szCs w:val="28"/>
        </w:rPr>
      </w:pPr>
      <w:r w:rsidRPr="00CF102D">
        <w:rPr>
          <w:rFonts w:ascii="Arial" w:hAnsi="Arial" w:cs="Arial"/>
          <w:b/>
          <w:bCs/>
          <w:sz w:val="28"/>
          <w:szCs w:val="28"/>
        </w:rPr>
        <w:t>Student name:</w:t>
      </w:r>
      <w:r w:rsidRPr="00CF102D">
        <w:rPr>
          <w:rFonts w:ascii="Arial" w:hAnsi="Arial" w:cs="Arial"/>
          <w:sz w:val="28"/>
          <w:szCs w:val="28"/>
        </w:rPr>
        <w:t xml:space="preserve"> Ana </w:t>
      </w:r>
      <w:proofErr w:type="spellStart"/>
      <w:r w:rsidRPr="00CF102D">
        <w:rPr>
          <w:rFonts w:ascii="Arial" w:hAnsi="Arial" w:cs="Arial"/>
          <w:sz w:val="28"/>
          <w:szCs w:val="28"/>
        </w:rPr>
        <w:t>Cojocari</w:t>
      </w:r>
      <w:proofErr w:type="spellEnd"/>
    </w:p>
    <w:p w14:paraId="165AA7F6" w14:textId="77777777" w:rsidR="00E41AE1" w:rsidRPr="00CF102D" w:rsidRDefault="00E41AE1" w:rsidP="00E41AE1">
      <w:pPr>
        <w:spacing w:line="360" w:lineRule="auto"/>
        <w:jc w:val="center"/>
        <w:rPr>
          <w:rFonts w:ascii="Arial" w:hAnsi="Arial" w:cs="Arial"/>
          <w:sz w:val="28"/>
          <w:szCs w:val="28"/>
        </w:rPr>
      </w:pPr>
      <w:r w:rsidRPr="00CF102D">
        <w:rPr>
          <w:rFonts w:ascii="Arial" w:hAnsi="Arial" w:cs="Arial"/>
          <w:b/>
          <w:bCs/>
          <w:sz w:val="28"/>
          <w:szCs w:val="28"/>
        </w:rPr>
        <w:t>Student ID:</w:t>
      </w:r>
      <w:r w:rsidRPr="00CF102D">
        <w:rPr>
          <w:rFonts w:ascii="Arial" w:hAnsi="Arial" w:cs="Arial"/>
          <w:sz w:val="28"/>
          <w:szCs w:val="28"/>
        </w:rPr>
        <w:t xml:space="preserve"> 2118833</w:t>
      </w:r>
    </w:p>
    <w:p w14:paraId="2EEA3E64" w14:textId="090547D7" w:rsidR="00E41AE1" w:rsidRPr="00CF102D" w:rsidRDefault="00E41AE1" w:rsidP="00E41AE1">
      <w:pPr>
        <w:spacing w:line="360" w:lineRule="auto"/>
        <w:jc w:val="center"/>
        <w:rPr>
          <w:rFonts w:ascii="Arial" w:hAnsi="Arial" w:cs="Arial"/>
          <w:sz w:val="28"/>
          <w:szCs w:val="28"/>
        </w:rPr>
      </w:pPr>
      <w:r w:rsidRPr="00CF102D">
        <w:rPr>
          <w:rFonts w:ascii="Arial" w:hAnsi="Arial" w:cs="Arial"/>
          <w:b/>
          <w:bCs/>
          <w:sz w:val="28"/>
          <w:szCs w:val="28"/>
        </w:rPr>
        <w:t>Module title:</w:t>
      </w:r>
      <w:r w:rsidRPr="00CF102D">
        <w:rPr>
          <w:rFonts w:ascii="Arial" w:hAnsi="Arial" w:cs="Arial"/>
          <w:sz w:val="28"/>
          <w:szCs w:val="28"/>
        </w:rPr>
        <w:t xml:space="preserve"> </w:t>
      </w:r>
      <w:r>
        <w:rPr>
          <w:rFonts w:ascii="Arial" w:hAnsi="Arial" w:cs="Arial"/>
          <w:sz w:val="28"/>
          <w:szCs w:val="28"/>
        </w:rPr>
        <w:t>Community Engagement</w:t>
      </w:r>
    </w:p>
    <w:p w14:paraId="1D6E11C1" w14:textId="443F6982" w:rsidR="00E41AE1" w:rsidRPr="0091257B" w:rsidRDefault="00E41AE1" w:rsidP="00E41AE1">
      <w:pPr>
        <w:spacing w:line="360" w:lineRule="auto"/>
        <w:jc w:val="center"/>
        <w:rPr>
          <w:rFonts w:ascii="Arial" w:hAnsi="Arial" w:cs="Arial"/>
          <w:sz w:val="28"/>
          <w:szCs w:val="28"/>
        </w:rPr>
      </w:pPr>
      <w:r w:rsidRPr="00CF102D">
        <w:rPr>
          <w:rFonts w:ascii="Arial" w:hAnsi="Arial" w:cs="Arial"/>
          <w:b/>
          <w:bCs/>
          <w:sz w:val="28"/>
          <w:szCs w:val="28"/>
        </w:rPr>
        <w:t>Module</w:t>
      </w:r>
      <w:r w:rsidR="005962C6">
        <w:rPr>
          <w:rFonts w:ascii="Arial" w:hAnsi="Arial" w:cs="Arial"/>
          <w:b/>
          <w:bCs/>
          <w:sz w:val="28"/>
          <w:szCs w:val="28"/>
        </w:rPr>
        <w:t xml:space="preserve">: </w:t>
      </w:r>
      <w:r w:rsidR="0091257B">
        <w:rPr>
          <w:rFonts w:ascii="Arial" w:hAnsi="Arial" w:cs="Arial"/>
          <w:sz w:val="28"/>
          <w:szCs w:val="28"/>
        </w:rPr>
        <w:t>Nadeem Mirza</w:t>
      </w:r>
    </w:p>
    <w:p w14:paraId="22ABCDCA" w14:textId="48665E1D" w:rsidR="00E41AE1" w:rsidRPr="00CF102D" w:rsidRDefault="00E41AE1" w:rsidP="00E41AE1">
      <w:pPr>
        <w:spacing w:line="360" w:lineRule="auto"/>
        <w:jc w:val="center"/>
        <w:rPr>
          <w:rFonts w:ascii="Arial" w:hAnsi="Arial" w:cs="Arial"/>
          <w:sz w:val="28"/>
          <w:szCs w:val="28"/>
        </w:rPr>
      </w:pPr>
      <w:r w:rsidRPr="00CF102D">
        <w:rPr>
          <w:rFonts w:ascii="Arial" w:hAnsi="Arial" w:cs="Arial"/>
          <w:b/>
          <w:bCs/>
          <w:sz w:val="28"/>
          <w:szCs w:val="28"/>
        </w:rPr>
        <w:t>Date of submission:</w:t>
      </w:r>
      <w:r w:rsidRPr="00CF102D">
        <w:rPr>
          <w:rFonts w:ascii="Arial" w:hAnsi="Arial" w:cs="Arial"/>
          <w:sz w:val="28"/>
          <w:szCs w:val="28"/>
        </w:rPr>
        <w:t xml:space="preserve"> </w:t>
      </w:r>
      <w:r w:rsidR="005962C6">
        <w:rPr>
          <w:rFonts w:ascii="Arial" w:hAnsi="Arial" w:cs="Arial"/>
          <w:sz w:val="28"/>
          <w:szCs w:val="28"/>
        </w:rPr>
        <w:t>05</w:t>
      </w:r>
      <w:r>
        <w:rPr>
          <w:rFonts w:ascii="Arial" w:hAnsi="Arial" w:cs="Arial"/>
          <w:sz w:val="28"/>
          <w:szCs w:val="28"/>
        </w:rPr>
        <w:t>.0</w:t>
      </w:r>
      <w:r w:rsidR="005962C6">
        <w:rPr>
          <w:rFonts w:ascii="Arial" w:hAnsi="Arial" w:cs="Arial"/>
          <w:sz w:val="28"/>
          <w:szCs w:val="28"/>
        </w:rPr>
        <w:t>8</w:t>
      </w:r>
      <w:r>
        <w:rPr>
          <w:rFonts w:ascii="Arial" w:hAnsi="Arial" w:cs="Arial"/>
          <w:sz w:val="28"/>
          <w:szCs w:val="28"/>
        </w:rPr>
        <w:t>.2023</w:t>
      </w:r>
    </w:p>
    <w:p w14:paraId="5F36D836" w14:textId="77777777" w:rsidR="00DA3328" w:rsidRPr="00935355" w:rsidRDefault="00DA3328" w:rsidP="00DA3328">
      <w:pPr>
        <w:rPr>
          <w:b/>
          <w:bCs/>
          <w:sz w:val="44"/>
          <w:szCs w:val="44"/>
        </w:rPr>
      </w:pPr>
    </w:p>
    <w:p w14:paraId="755ADB6C" w14:textId="77777777" w:rsidR="00DA3328" w:rsidRDefault="00DA3328" w:rsidP="00DA3328"/>
    <w:p w14:paraId="65FBC8EA" w14:textId="77777777" w:rsidR="00DA3328" w:rsidRDefault="00DA3328" w:rsidP="00DA3328"/>
    <w:p w14:paraId="4794EA64" w14:textId="77777777" w:rsidR="00DA3328" w:rsidRDefault="00DA3328" w:rsidP="00DA3328"/>
    <w:p w14:paraId="4E713483" w14:textId="77777777" w:rsidR="00DA3328" w:rsidRDefault="00DA3328" w:rsidP="00DA3328"/>
    <w:p w14:paraId="3E12F4E7" w14:textId="77777777" w:rsidR="00DA3328" w:rsidRDefault="00DA3328" w:rsidP="00DA3328"/>
    <w:p w14:paraId="4B68B20F" w14:textId="77777777" w:rsidR="00DA3328" w:rsidRDefault="00DA3328" w:rsidP="00DA3328"/>
    <w:p w14:paraId="79F955CC" w14:textId="77777777" w:rsidR="00DA3328" w:rsidRDefault="00DA3328" w:rsidP="00DA3328"/>
    <w:p w14:paraId="3815A53F" w14:textId="77777777" w:rsidR="00DA3328" w:rsidRDefault="00DA3328" w:rsidP="00DA3328"/>
    <w:p w14:paraId="5C166DE5" w14:textId="77777777" w:rsidR="00DA3328" w:rsidRDefault="00DA3328" w:rsidP="00DA3328"/>
    <w:p w14:paraId="2A201EA8" w14:textId="77777777" w:rsidR="00DA3328" w:rsidRPr="00DA3328" w:rsidRDefault="00DA3328" w:rsidP="00DA3328"/>
    <w:sdt>
      <w:sdtPr>
        <w:rPr>
          <w:rFonts w:asciiTheme="minorHAnsi" w:eastAsiaTheme="minorHAnsi" w:hAnsiTheme="minorHAnsi" w:cstheme="minorBidi"/>
          <w:b w:val="0"/>
          <w:bCs w:val="0"/>
          <w:color w:val="auto"/>
          <w:kern w:val="2"/>
          <w:sz w:val="24"/>
          <w:szCs w:val="24"/>
          <w:lang w:val="en-GB"/>
          <w14:ligatures w14:val="standardContextual"/>
        </w:rPr>
        <w:id w:val="596069155"/>
        <w:docPartObj>
          <w:docPartGallery w:val="Table of Contents"/>
          <w:docPartUnique/>
        </w:docPartObj>
      </w:sdtPr>
      <w:sdtEndPr>
        <w:rPr>
          <w:noProof/>
        </w:rPr>
      </w:sdtEndPr>
      <w:sdtContent>
        <w:p w14:paraId="76810AF6" w14:textId="2802E2CF" w:rsidR="00DA3328" w:rsidRDefault="00DA3328">
          <w:pPr>
            <w:pStyle w:val="TOCHeading"/>
          </w:pPr>
          <w:r>
            <w:t>Table of Contents</w:t>
          </w:r>
        </w:p>
        <w:p w14:paraId="6A45F2DF" w14:textId="3DBA938A" w:rsidR="00DA3328" w:rsidRDefault="00DA332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40953524" w:history="1">
            <w:r w:rsidRPr="006F2BB8">
              <w:rPr>
                <w:rStyle w:val="Hyperlink"/>
                <w:noProof/>
              </w:rPr>
              <w:t>Introduction</w:t>
            </w:r>
            <w:r>
              <w:rPr>
                <w:noProof/>
                <w:webHidden/>
              </w:rPr>
              <w:tab/>
            </w:r>
            <w:r>
              <w:rPr>
                <w:noProof/>
                <w:webHidden/>
              </w:rPr>
              <w:fldChar w:fldCharType="begin"/>
            </w:r>
            <w:r>
              <w:rPr>
                <w:noProof/>
                <w:webHidden/>
              </w:rPr>
              <w:instrText xml:space="preserve"> PAGEREF _Toc140953524 \h </w:instrText>
            </w:r>
            <w:r>
              <w:rPr>
                <w:noProof/>
                <w:webHidden/>
              </w:rPr>
            </w:r>
            <w:r>
              <w:rPr>
                <w:noProof/>
                <w:webHidden/>
              </w:rPr>
              <w:fldChar w:fldCharType="separate"/>
            </w:r>
            <w:r w:rsidR="003D3FFB">
              <w:rPr>
                <w:noProof/>
                <w:webHidden/>
              </w:rPr>
              <w:t>3</w:t>
            </w:r>
            <w:r>
              <w:rPr>
                <w:noProof/>
                <w:webHidden/>
              </w:rPr>
              <w:fldChar w:fldCharType="end"/>
            </w:r>
          </w:hyperlink>
        </w:p>
        <w:p w14:paraId="188348DB" w14:textId="371FA734" w:rsidR="00DA3328" w:rsidRDefault="003D3FFB">
          <w:pPr>
            <w:pStyle w:val="TOC1"/>
            <w:tabs>
              <w:tab w:val="right" w:leader="dot" w:pos="9016"/>
            </w:tabs>
            <w:rPr>
              <w:noProof/>
            </w:rPr>
          </w:pPr>
          <w:hyperlink w:anchor="_Toc140953525" w:history="1">
            <w:r w:rsidR="00DA3328" w:rsidRPr="006F2BB8">
              <w:rPr>
                <w:rStyle w:val="Hyperlink"/>
                <w:noProof/>
              </w:rPr>
              <w:t>Education Project</w:t>
            </w:r>
            <w:r w:rsidR="00DA3328">
              <w:rPr>
                <w:noProof/>
                <w:webHidden/>
              </w:rPr>
              <w:tab/>
            </w:r>
            <w:r w:rsidR="00DA3328">
              <w:rPr>
                <w:noProof/>
                <w:webHidden/>
              </w:rPr>
              <w:fldChar w:fldCharType="begin"/>
            </w:r>
            <w:r w:rsidR="00DA3328">
              <w:rPr>
                <w:noProof/>
                <w:webHidden/>
              </w:rPr>
              <w:instrText xml:space="preserve"> PAGEREF _Toc140953525 \h </w:instrText>
            </w:r>
            <w:r w:rsidR="00DA3328">
              <w:rPr>
                <w:noProof/>
                <w:webHidden/>
              </w:rPr>
            </w:r>
            <w:r w:rsidR="00DA3328">
              <w:rPr>
                <w:noProof/>
                <w:webHidden/>
              </w:rPr>
              <w:fldChar w:fldCharType="separate"/>
            </w:r>
            <w:r>
              <w:rPr>
                <w:noProof/>
                <w:webHidden/>
              </w:rPr>
              <w:t>4</w:t>
            </w:r>
            <w:r w:rsidR="00DA3328">
              <w:rPr>
                <w:noProof/>
                <w:webHidden/>
              </w:rPr>
              <w:fldChar w:fldCharType="end"/>
            </w:r>
          </w:hyperlink>
        </w:p>
        <w:p w14:paraId="7F8EA5FD" w14:textId="68FD0773" w:rsidR="00DA3328" w:rsidRDefault="003D3FFB">
          <w:pPr>
            <w:pStyle w:val="TOC1"/>
            <w:tabs>
              <w:tab w:val="right" w:leader="dot" w:pos="9016"/>
            </w:tabs>
            <w:rPr>
              <w:noProof/>
            </w:rPr>
          </w:pPr>
          <w:hyperlink w:anchor="_Toc140953526" w:history="1">
            <w:r w:rsidR="00DA3328" w:rsidRPr="006F2BB8">
              <w:rPr>
                <w:rStyle w:val="Hyperlink"/>
                <w:rFonts w:eastAsia="Times New Roman"/>
                <w:noProof/>
                <w:lang w:eastAsia="en-GB"/>
              </w:rPr>
              <w:t>Working method</w:t>
            </w:r>
            <w:r w:rsidR="00DA3328">
              <w:rPr>
                <w:noProof/>
                <w:webHidden/>
              </w:rPr>
              <w:tab/>
            </w:r>
            <w:r w:rsidR="00DA3328">
              <w:rPr>
                <w:noProof/>
                <w:webHidden/>
              </w:rPr>
              <w:fldChar w:fldCharType="begin"/>
            </w:r>
            <w:r w:rsidR="00DA3328">
              <w:rPr>
                <w:noProof/>
                <w:webHidden/>
              </w:rPr>
              <w:instrText xml:space="preserve"> PAGEREF _Toc140953526 \h </w:instrText>
            </w:r>
            <w:r w:rsidR="00DA3328">
              <w:rPr>
                <w:noProof/>
                <w:webHidden/>
              </w:rPr>
            </w:r>
            <w:r w:rsidR="00DA3328">
              <w:rPr>
                <w:noProof/>
                <w:webHidden/>
              </w:rPr>
              <w:fldChar w:fldCharType="separate"/>
            </w:r>
            <w:r>
              <w:rPr>
                <w:noProof/>
                <w:webHidden/>
              </w:rPr>
              <w:t>4</w:t>
            </w:r>
            <w:r w:rsidR="00DA3328">
              <w:rPr>
                <w:noProof/>
                <w:webHidden/>
              </w:rPr>
              <w:fldChar w:fldCharType="end"/>
            </w:r>
          </w:hyperlink>
        </w:p>
        <w:p w14:paraId="1E82D01A" w14:textId="2F9E2974" w:rsidR="00DA3328" w:rsidRDefault="003D3FFB">
          <w:pPr>
            <w:pStyle w:val="TOC1"/>
            <w:tabs>
              <w:tab w:val="right" w:leader="dot" w:pos="9016"/>
            </w:tabs>
            <w:rPr>
              <w:noProof/>
            </w:rPr>
          </w:pPr>
          <w:hyperlink w:anchor="_Toc140953527" w:history="1">
            <w:r w:rsidR="00DA3328" w:rsidRPr="006F2BB8">
              <w:rPr>
                <w:rStyle w:val="Hyperlink"/>
                <w:noProof/>
                <w:lang w:eastAsia="en-GB"/>
              </w:rPr>
              <w:t>Relationship between Stakeholders and Engagement Strategies</w:t>
            </w:r>
            <w:r w:rsidR="00DA3328">
              <w:rPr>
                <w:noProof/>
                <w:webHidden/>
              </w:rPr>
              <w:tab/>
            </w:r>
            <w:r w:rsidR="00DA3328">
              <w:rPr>
                <w:noProof/>
                <w:webHidden/>
              </w:rPr>
              <w:fldChar w:fldCharType="begin"/>
            </w:r>
            <w:r w:rsidR="00DA3328">
              <w:rPr>
                <w:noProof/>
                <w:webHidden/>
              </w:rPr>
              <w:instrText xml:space="preserve"> PAGEREF _Toc140953527 \h </w:instrText>
            </w:r>
            <w:r w:rsidR="00DA3328">
              <w:rPr>
                <w:noProof/>
                <w:webHidden/>
              </w:rPr>
            </w:r>
            <w:r w:rsidR="00DA3328">
              <w:rPr>
                <w:noProof/>
                <w:webHidden/>
              </w:rPr>
              <w:fldChar w:fldCharType="separate"/>
            </w:r>
            <w:r>
              <w:rPr>
                <w:noProof/>
                <w:webHidden/>
              </w:rPr>
              <w:t>5</w:t>
            </w:r>
            <w:r w:rsidR="00DA3328">
              <w:rPr>
                <w:noProof/>
                <w:webHidden/>
              </w:rPr>
              <w:fldChar w:fldCharType="end"/>
            </w:r>
          </w:hyperlink>
        </w:p>
        <w:p w14:paraId="1B762C38" w14:textId="21324638" w:rsidR="00DA3328" w:rsidRDefault="003D3FFB">
          <w:pPr>
            <w:pStyle w:val="TOC1"/>
            <w:tabs>
              <w:tab w:val="right" w:leader="dot" w:pos="9016"/>
            </w:tabs>
            <w:rPr>
              <w:noProof/>
            </w:rPr>
          </w:pPr>
          <w:hyperlink w:anchor="_Toc140953528" w:history="1">
            <w:r w:rsidR="00DA3328" w:rsidRPr="006F2BB8">
              <w:rPr>
                <w:rStyle w:val="Hyperlink"/>
                <w:noProof/>
                <w:lang w:eastAsia="en-GB"/>
              </w:rPr>
              <w:t>Social Media Platforms for Outreach and Support</w:t>
            </w:r>
            <w:r w:rsidR="00DA3328">
              <w:rPr>
                <w:noProof/>
                <w:webHidden/>
              </w:rPr>
              <w:tab/>
            </w:r>
            <w:r w:rsidR="00DA3328">
              <w:rPr>
                <w:noProof/>
                <w:webHidden/>
              </w:rPr>
              <w:fldChar w:fldCharType="begin"/>
            </w:r>
            <w:r w:rsidR="00DA3328">
              <w:rPr>
                <w:noProof/>
                <w:webHidden/>
              </w:rPr>
              <w:instrText xml:space="preserve"> PAGEREF _Toc140953528 \h </w:instrText>
            </w:r>
            <w:r w:rsidR="00DA3328">
              <w:rPr>
                <w:noProof/>
                <w:webHidden/>
              </w:rPr>
            </w:r>
            <w:r w:rsidR="00DA3328">
              <w:rPr>
                <w:noProof/>
                <w:webHidden/>
              </w:rPr>
              <w:fldChar w:fldCharType="separate"/>
            </w:r>
            <w:r>
              <w:rPr>
                <w:noProof/>
                <w:webHidden/>
              </w:rPr>
              <w:t>5</w:t>
            </w:r>
            <w:r w:rsidR="00DA3328">
              <w:rPr>
                <w:noProof/>
                <w:webHidden/>
              </w:rPr>
              <w:fldChar w:fldCharType="end"/>
            </w:r>
          </w:hyperlink>
        </w:p>
        <w:p w14:paraId="1F8B31B8" w14:textId="074DD225" w:rsidR="00DA3328" w:rsidRDefault="003D3FFB">
          <w:pPr>
            <w:pStyle w:val="TOC1"/>
            <w:tabs>
              <w:tab w:val="right" w:leader="dot" w:pos="9016"/>
            </w:tabs>
            <w:rPr>
              <w:noProof/>
            </w:rPr>
          </w:pPr>
          <w:hyperlink w:anchor="_Toc140953529" w:history="1">
            <w:r w:rsidR="00DA3328" w:rsidRPr="006F2BB8">
              <w:rPr>
                <w:rStyle w:val="Hyperlink"/>
                <w:rFonts w:eastAsia="Times New Roman"/>
                <w:noProof/>
                <w:lang w:eastAsia="en-GB"/>
              </w:rPr>
              <w:t>Promoting Community Participation, Collaboration, Diversity, and Inclusion</w:t>
            </w:r>
            <w:r w:rsidR="00DA3328">
              <w:rPr>
                <w:noProof/>
                <w:webHidden/>
              </w:rPr>
              <w:tab/>
            </w:r>
            <w:r w:rsidR="00DA3328">
              <w:rPr>
                <w:noProof/>
                <w:webHidden/>
              </w:rPr>
              <w:fldChar w:fldCharType="begin"/>
            </w:r>
            <w:r w:rsidR="00DA3328">
              <w:rPr>
                <w:noProof/>
                <w:webHidden/>
              </w:rPr>
              <w:instrText xml:space="preserve"> PAGEREF _Toc140953529 \h </w:instrText>
            </w:r>
            <w:r w:rsidR="00DA3328">
              <w:rPr>
                <w:noProof/>
                <w:webHidden/>
              </w:rPr>
            </w:r>
            <w:r w:rsidR="00DA3328">
              <w:rPr>
                <w:noProof/>
                <w:webHidden/>
              </w:rPr>
              <w:fldChar w:fldCharType="separate"/>
            </w:r>
            <w:r>
              <w:rPr>
                <w:noProof/>
                <w:webHidden/>
              </w:rPr>
              <w:t>6</w:t>
            </w:r>
            <w:r w:rsidR="00DA3328">
              <w:rPr>
                <w:noProof/>
                <w:webHidden/>
              </w:rPr>
              <w:fldChar w:fldCharType="end"/>
            </w:r>
          </w:hyperlink>
        </w:p>
        <w:p w14:paraId="39FF1D5C" w14:textId="18D19951" w:rsidR="00DA3328" w:rsidRDefault="003D3FFB">
          <w:pPr>
            <w:pStyle w:val="TOC1"/>
            <w:tabs>
              <w:tab w:val="right" w:leader="dot" w:pos="9016"/>
            </w:tabs>
            <w:rPr>
              <w:noProof/>
            </w:rPr>
          </w:pPr>
          <w:hyperlink w:anchor="_Toc140953530" w:history="1">
            <w:r w:rsidR="00DA3328" w:rsidRPr="006F2BB8">
              <w:rPr>
                <w:rStyle w:val="Hyperlink"/>
                <w:rFonts w:eastAsia="Times New Roman"/>
                <w:noProof/>
                <w:lang w:eastAsia="en-GB"/>
              </w:rPr>
              <w:t>Adopting a Forward-Looking Approach to Educate Community Members</w:t>
            </w:r>
            <w:r w:rsidR="00DA3328">
              <w:rPr>
                <w:noProof/>
                <w:webHidden/>
              </w:rPr>
              <w:tab/>
            </w:r>
            <w:r w:rsidR="00DA3328">
              <w:rPr>
                <w:noProof/>
                <w:webHidden/>
              </w:rPr>
              <w:fldChar w:fldCharType="begin"/>
            </w:r>
            <w:r w:rsidR="00DA3328">
              <w:rPr>
                <w:noProof/>
                <w:webHidden/>
              </w:rPr>
              <w:instrText xml:space="preserve"> PAGEREF _Toc140953530 \h </w:instrText>
            </w:r>
            <w:r w:rsidR="00DA3328">
              <w:rPr>
                <w:noProof/>
                <w:webHidden/>
              </w:rPr>
            </w:r>
            <w:r w:rsidR="00DA3328">
              <w:rPr>
                <w:noProof/>
                <w:webHidden/>
              </w:rPr>
              <w:fldChar w:fldCharType="separate"/>
            </w:r>
            <w:r>
              <w:rPr>
                <w:noProof/>
                <w:webHidden/>
              </w:rPr>
              <w:t>6</w:t>
            </w:r>
            <w:r w:rsidR="00DA3328">
              <w:rPr>
                <w:noProof/>
                <w:webHidden/>
              </w:rPr>
              <w:fldChar w:fldCharType="end"/>
            </w:r>
          </w:hyperlink>
        </w:p>
        <w:p w14:paraId="0B163123" w14:textId="60764160" w:rsidR="00DA3328" w:rsidRDefault="003D3FFB">
          <w:pPr>
            <w:pStyle w:val="TOC1"/>
            <w:tabs>
              <w:tab w:val="right" w:leader="dot" w:pos="9016"/>
            </w:tabs>
            <w:rPr>
              <w:noProof/>
            </w:rPr>
          </w:pPr>
          <w:hyperlink w:anchor="_Toc140953531" w:history="1">
            <w:r w:rsidR="00DA3328" w:rsidRPr="006F2BB8">
              <w:rPr>
                <w:rStyle w:val="Hyperlink"/>
                <w:rFonts w:eastAsia="Times New Roman"/>
                <w:noProof/>
                <w:lang w:eastAsia="en-GB"/>
              </w:rPr>
              <w:t>Conclusion</w:t>
            </w:r>
            <w:r w:rsidR="00DA3328">
              <w:rPr>
                <w:noProof/>
                <w:webHidden/>
              </w:rPr>
              <w:tab/>
            </w:r>
            <w:r w:rsidR="00DA3328">
              <w:rPr>
                <w:noProof/>
                <w:webHidden/>
              </w:rPr>
              <w:fldChar w:fldCharType="begin"/>
            </w:r>
            <w:r w:rsidR="00DA3328">
              <w:rPr>
                <w:noProof/>
                <w:webHidden/>
              </w:rPr>
              <w:instrText xml:space="preserve"> PAGEREF _Toc140953531 \h </w:instrText>
            </w:r>
            <w:r w:rsidR="00DA3328">
              <w:rPr>
                <w:noProof/>
                <w:webHidden/>
              </w:rPr>
            </w:r>
            <w:r w:rsidR="00DA3328">
              <w:rPr>
                <w:noProof/>
                <w:webHidden/>
              </w:rPr>
              <w:fldChar w:fldCharType="separate"/>
            </w:r>
            <w:r>
              <w:rPr>
                <w:noProof/>
                <w:webHidden/>
              </w:rPr>
              <w:t>8</w:t>
            </w:r>
            <w:r w:rsidR="00DA3328">
              <w:rPr>
                <w:noProof/>
                <w:webHidden/>
              </w:rPr>
              <w:fldChar w:fldCharType="end"/>
            </w:r>
          </w:hyperlink>
        </w:p>
        <w:p w14:paraId="6D67AF9A" w14:textId="219542C2" w:rsidR="00DA3328" w:rsidRDefault="003D3FFB">
          <w:pPr>
            <w:pStyle w:val="TOC1"/>
            <w:tabs>
              <w:tab w:val="right" w:leader="dot" w:pos="9016"/>
            </w:tabs>
            <w:rPr>
              <w:noProof/>
            </w:rPr>
          </w:pPr>
          <w:hyperlink w:anchor="_Toc140953532" w:history="1">
            <w:r w:rsidR="00DA3328" w:rsidRPr="006F2BB8">
              <w:rPr>
                <w:rStyle w:val="Hyperlink"/>
                <w:noProof/>
              </w:rPr>
              <w:t>Reference</w:t>
            </w:r>
            <w:r w:rsidR="00DA3328">
              <w:rPr>
                <w:noProof/>
                <w:webHidden/>
              </w:rPr>
              <w:tab/>
            </w:r>
            <w:r w:rsidR="00DA3328">
              <w:rPr>
                <w:noProof/>
                <w:webHidden/>
              </w:rPr>
              <w:fldChar w:fldCharType="begin"/>
            </w:r>
            <w:r w:rsidR="00DA3328">
              <w:rPr>
                <w:noProof/>
                <w:webHidden/>
              </w:rPr>
              <w:instrText xml:space="preserve"> PAGEREF _Toc140953532 \h </w:instrText>
            </w:r>
            <w:r w:rsidR="00DA3328">
              <w:rPr>
                <w:noProof/>
                <w:webHidden/>
              </w:rPr>
            </w:r>
            <w:r w:rsidR="00DA3328">
              <w:rPr>
                <w:noProof/>
                <w:webHidden/>
              </w:rPr>
              <w:fldChar w:fldCharType="separate"/>
            </w:r>
            <w:r>
              <w:rPr>
                <w:noProof/>
                <w:webHidden/>
              </w:rPr>
              <w:t>9</w:t>
            </w:r>
            <w:r w:rsidR="00DA3328">
              <w:rPr>
                <w:noProof/>
                <w:webHidden/>
              </w:rPr>
              <w:fldChar w:fldCharType="end"/>
            </w:r>
          </w:hyperlink>
        </w:p>
        <w:p w14:paraId="4F8E76E1" w14:textId="3BB19DE3" w:rsidR="00DA3328" w:rsidRDefault="00DA3328">
          <w:r>
            <w:rPr>
              <w:b/>
              <w:bCs/>
              <w:noProof/>
            </w:rPr>
            <w:fldChar w:fldCharType="end"/>
          </w:r>
        </w:p>
      </w:sdtContent>
    </w:sdt>
    <w:p w14:paraId="35656100" w14:textId="77777777" w:rsidR="00DA3328" w:rsidRDefault="00DA3328" w:rsidP="00863F8D">
      <w:pPr>
        <w:pStyle w:val="Heading1"/>
        <w:jc w:val="both"/>
      </w:pPr>
    </w:p>
    <w:p w14:paraId="7B01EAC0" w14:textId="77777777" w:rsidR="00DA3328" w:rsidRDefault="00DA3328" w:rsidP="00863F8D">
      <w:pPr>
        <w:pStyle w:val="Heading1"/>
        <w:jc w:val="both"/>
      </w:pPr>
    </w:p>
    <w:p w14:paraId="3DC27149" w14:textId="77777777" w:rsidR="00DA3328" w:rsidRDefault="00DA3328" w:rsidP="00863F8D">
      <w:pPr>
        <w:pStyle w:val="Heading1"/>
        <w:jc w:val="both"/>
      </w:pPr>
    </w:p>
    <w:p w14:paraId="5570CEFB" w14:textId="77777777" w:rsidR="00DA3328" w:rsidRDefault="00DA3328" w:rsidP="00863F8D">
      <w:pPr>
        <w:pStyle w:val="Heading1"/>
        <w:jc w:val="both"/>
      </w:pPr>
    </w:p>
    <w:p w14:paraId="0A2A8B8E" w14:textId="77777777" w:rsidR="00DA3328" w:rsidRDefault="00DA3328" w:rsidP="00863F8D">
      <w:pPr>
        <w:pStyle w:val="Heading1"/>
        <w:jc w:val="both"/>
      </w:pPr>
    </w:p>
    <w:p w14:paraId="184B4509" w14:textId="77777777" w:rsidR="00DA3328" w:rsidRDefault="00DA3328" w:rsidP="00863F8D">
      <w:pPr>
        <w:pStyle w:val="Heading1"/>
        <w:jc w:val="both"/>
      </w:pPr>
    </w:p>
    <w:p w14:paraId="245562BA" w14:textId="77777777" w:rsidR="00DA3328" w:rsidRDefault="00DA3328" w:rsidP="00863F8D">
      <w:pPr>
        <w:pStyle w:val="Heading1"/>
        <w:jc w:val="both"/>
      </w:pPr>
    </w:p>
    <w:p w14:paraId="4D71310F" w14:textId="77777777" w:rsidR="00DA3328" w:rsidRDefault="00DA3328" w:rsidP="00DA3328"/>
    <w:p w14:paraId="1DDD3975" w14:textId="77777777" w:rsidR="00DA3328" w:rsidRDefault="00DA3328" w:rsidP="00DA3328"/>
    <w:p w14:paraId="436B08AB" w14:textId="77777777" w:rsidR="00DA3328" w:rsidRDefault="00DA3328" w:rsidP="00DA3328"/>
    <w:p w14:paraId="19F34D77" w14:textId="77777777" w:rsidR="00DA3328" w:rsidRDefault="00DA3328" w:rsidP="00DA3328"/>
    <w:p w14:paraId="714CC30B" w14:textId="77777777" w:rsidR="00DA3328" w:rsidRDefault="00DA3328" w:rsidP="00DA3328"/>
    <w:p w14:paraId="379ABE0E" w14:textId="77777777" w:rsidR="00DA3328" w:rsidRDefault="00DA3328" w:rsidP="00DA3328"/>
    <w:p w14:paraId="4ECB5F3A" w14:textId="77777777" w:rsidR="00DA3328" w:rsidRDefault="00DA3328" w:rsidP="00DA3328"/>
    <w:p w14:paraId="0B20F4DC" w14:textId="77777777" w:rsidR="00DA3328" w:rsidRDefault="00DA3328" w:rsidP="00DA3328"/>
    <w:p w14:paraId="5F410BEA" w14:textId="77777777" w:rsidR="00DA3328" w:rsidRDefault="00DA3328" w:rsidP="00DA3328"/>
    <w:p w14:paraId="1F4ADB6F" w14:textId="77777777" w:rsidR="00DA3328" w:rsidRDefault="00DA3328" w:rsidP="00DA3328"/>
    <w:p w14:paraId="0BE60721" w14:textId="77777777" w:rsidR="00DA3328" w:rsidRDefault="00DA3328" w:rsidP="00DA3328"/>
    <w:p w14:paraId="72089FB2" w14:textId="77777777" w:rsidR="00DA3328" w:rsidRPr="00DA3328" w:rsidRDefault="00DA3328" w:rsidP="00DA3328"/>
    <w:p w14:paraId="6A67EADB" w14:textId="77777777" w:rsidR="000B7157" w:rsidRDefault="000B7157" w:rsidP="00863F8D">
      <w:pPr>
        <w:pStyle w:val="Heading1"/>
        <w:jc w:val="both"/>
      </w:pPr>
      <w:bookmarkStart w:id="0" w:name="_Toc140953524"/>
    </w:p>
    <w:p w14:paraId="3EC230B7" w14:textId="77777777" w:rsidR="000B7157" w:rsidRPr="000B7157" w:rsidRDefault="000B7157" w:rsidP="000B7157"/>
    <w:p w14:paraId="6F63FE6E" w14:textId="6A917CA6" w:rsidR="0077264F" w:rsidRDefault="00250CD6" w:rsidP="00863F8D">
      <w:pPr>
        <w:pStyle w:val="Heading1"/>
        <w:jc w:val="both"/>
      </w:pPr>
      <w:r>
        <w:lastRenderedPageBreak/>
        <w:t>Introduction</w:t>
      </w:r>
      <w:bookmarkEnd w:id="0"/>
    </w:p>
    <w:p w14:paraId="17CE80C7" w14:textId="77777777" w:rsidR="00250CD6" w:rsidRDefault="00250CD6" w:rsidP="00863F8D">
      <w:pPr>
        <w:jc w:val="both"/>
      </w:pPr>
    </w:p>
    <w:p w14:paraId="0A349B5E" w14:textId="4298E609" w:rsidR="00250CD6" w:rsidRDefault="00250CD6" w:rsidP="00863F8D">
      <w:pPr>
        <w:jc w:val="both"/>
      </w:pPr>
      <w:r>
        <w:t xml:space="preserve">Community engagement entails a planned approach to an organization's community-based stakeholders. This comprises cultivating connections, generating messages, and managing interactions </w:t>
      </w:r>
      <w:r w:rsidR="0052158C">
        <w:t>to</w:t>
      </w:r>
      <w:r>
        <w:t xml:space="preserve"> accomplish </w:t>
      </w:r>
      <w:r w:rsidR="0052158C">
        <w:t>goals</w:t>
      </w:r>
      <w:r>
        <w:t xml:space="preserve"> for the organisation and the community.</w:t>
      </w:r>
    </w:p>
    <w:p w14:paraId="1C1A6550" w14:textId="77F72F77" w:rsidR="00EA634D" w:rsidRDefault="00250CD6" w:rsidP="00863F8D">
      <w:pPr>
        <w:jc w:val="both"/>
      </w:pPr>
      <w:r>
        <w:t xml:space="preserve">To elaborate further, community involvement is a sort of stakeholder engagement. Civic engagement, public consultation, public participation, community consultation, community cooperation, stakeholder management, and community management are all phrases used to describe community interaction </w:t>
      </w:r>
      <w:sdt>
        <w:sdtPr>
          <w:id w:val="181245018"/>
          <w:citation/>
        </w:sdtPr>
        <w:sdtEndPr/>
        <w:sdtContent>
          <w:r>
            <w:fldChar w:fldCharType="begin"/>
          </w:r>
          <w:r>
            <w:instrText xml:space="preserve"> CITATION All \l 2057 </w:instrText>
          </w:r>
          <w:r>
            <w:fldChar w:fldCharType="separate"/>
          </w:r>
          <w:r w:rsidR="00FC6C0A" w:rsidRPr="00FC6C0A">
            <w:rPr>
              <w:noProof/>
            </w:rPr>
            <w:t>(Hendricks, n.d.)</w:t>
          </w:r>
          <w:r>
            <w:fldChar w:fldCharType="end"/>
          </w:r>
        </w:sdtContent>
      </w:sdt>
    </w:p>
    <w:p w14:paraId="3D83EB59" w14:textId="78723EE5"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i/>
          <w:iCs/>
          <w:color w:val="0E101A"/>
          <w:kern w:val="0"/>
          <w:lang w:eastAsia="en-GB"/>
          <w14:ligatures w14:val="none"/>
        </w:rPr>
        <w:t>Basildon Council</w:t>
      </w:r>
      <w:r w:rsidRPr="00250CD6">
        <w:rPr>
          <w:rFonts w:ascii="Times New Roman" w:eastAsia="Times New Roman" w:hAnsi="Times New Roman" w:cs="Times New Roman"/>
          <w:color w:val="0E101A"/>
          <w:kern w:val="0"/>
          <w:lang w:eastAsia="en-GB"/>
          <w14:ligatures w14:val="none"/>
        </w:rPr>
        <w:t> is a local government authority located in the district of Basildon in Essex, England. As one of the local councils in Essex, its primary responsibility is to provide essential public services and govern the local area for the benefit of its residents. The council's headquarters are typically located in the principal town of Basildon.</w:t>
      </w:r>
      <w:r>
        <w:rPr>
          <w:rFonts w:ascii="Times New Roman" w:eastAsia="Times New Roman" w:hAnsi="Times New Roman" w:cs="Times New Roman"/>
          <w:color w:val="0E101A"/>
          <w:kern w:val="0"/>
          <w:lang w:eastAsia="en-GB"/>
          <w14:ligatures w14:val="none"/>
        </w:rPr>
        <w:t xml:space="preserve"> </w:t>
      </w:r>
      <w:sdt>
        <w:sdtPr>
          <w:rPr>
            <w:rFonts w:ascii="Times New Roman" w:eastAsia="Times New Roman" w:hAnsi="Times New Roman" w:cs="Times New Roman"/>
            <w:color w:val="0E101A"/>
            <w:kern w:val="0"/>
            <w:lang w:eastAsia="en-GB"/>
            <w14:ligatures w14:val="none"/>
          </w:rPr>
          <w:id w:val="1084577907"/>
          <w:citation/>
        </w:sdtPr>
        <w:sdtEndPr/>
        <w:sdtContent>
          <w:r w:rsidR="00EA634D">
            <w:rPr>
              <w:rFonts w:ascii="Times New Roman" w:eastAsia="Times New Roman" w:hAnsi="Times New Roman" w:cs="Times New Roman"/>
              <w:color w:val="0E101A"/>
              <w:kern w:val="0"/>
              <w:lang w:eastAsia="en-GB"/>
              <w14:ligatures w14:val="none"/>
            </w:rPr>
            <w:fldChar w:fldCharType="begin"/>
          </w:r>
          <w:r w:rsidR="00EA634D">
            <w:rPr>
              <w:rFonts w:ascii="Times New Roman" w:eastAsia="Times New Roman" w:hAnsi="Times New Roman" w:cs="Times New Roman"/>
              <w:color w:val="0E101A"/>
              <w:kern w:val="0"/>
              <w:lang w:eastAsia="en-GB"/>
              <w14:ligatures w14:val="none"/>
            </w:rPr>
            <w:instrText xml:space="preserve">CITATION htt17 \l 2057 </w:instrText>
          </w:r>
          <w:r w:rsidR="00EA634D">
            <w:rPr>
              <w:rFonts w:ascii="Times New Roman" w:eastAsia="Times New Roman" w:hAnsi="Times New Roman" w:cs="Times New Roman"/>
              <w:color w:val="0E101A"/>
              <w:kern w:val="0"/>
              <w:lang w:eastAsia="en-GB"/>
              <w14:ligatures w14:val="none"/>
            </w:rPr>
            <w:fldChar w:fldCharType="separate"/>
          </w:r>
          <w:r w:rsidR="00FC6C0A" w:rsidRPr="00FC6C0A">
            <w:rPr>
              <w:rFonts w:ascii="Times New Roman" w:eastAsia="Times New Roman" w:hAnsi="Times New Roman" w:cs="Times New Roman"/>
              <w:noProof/>
              <w:color w:val="0E101A"/>
              <w:kern w:val="0"/>
              <w:lang w:eastAsia="en-GB"/>
              <w14:ligatures w14:val="none"/>
            </w:rPr>
            <w:t>(Anon., n.d.)</w:t>
          </w:r>
          <w:r w:rsidR="00EA634D">
            <w:rPr>
              <w:rFonts w:ascii="Times New Roman" w:eastAsia="Times New Roman" w:hAnsi="Times New Roman" w:cs="Times New Roman"/>
              <w:color w:val="0E101A"/>
              <w:kern w:val="0"/>
              <w:lang w:eastAsia="en-GB"/>
              <w14:ligatures w14:val="none"/>
            </w:rPr>
            <w:fldChar w:fldCharType="end"/>
          </w:r>
        </w:sdtContent>
      </w:sdt>
    </w:p>
    <w:p w14:paraId="08E896F8"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The council operates as a democratically elected body, with members known as councillors who represent different wards within the district. The number of councillors may vary depending on the population and administrative structure of the district.</w:t>
      </w:r>
    </w:p>
    <w:p w14:paraId="5DF44F34"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Basildon Council's main objectives revolve around delivering services and initiatives that support the welfare and development of the community. These responsibilities may include but are not limited to:</w:t>
      </w:r>
    </w:p>
    <w:p w14:paraId="008F770E"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Housing: Managing and allocating social housing, overseeing housing benefits, and implementing housing policies to address local needs.</w:t>
      </w:r>
    </w:p>
    <w:p w14:paraId="1AD6FC8D"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Planning and Development: Regulating land use and development within the district, issuing planning permits, and ensuring adherence to building regulations.</w:t>
      </w:r>
    </w:p>
    <w:p w14:paraId="44A363FF"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Education and Schools: Supporting and funding local schools, maintaining educational standards, and working to improve educational facilities.</w:t>
      </w:r>
    </w:p>
    <w:p w14:paraId="4B400A83"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Social Services: Providing social support to vulnerable groups, including the elderly, disabled, and those needing financial assistance.</w:t>
      </w:r>
    </w:p>
    <w:p w14:paraId="72E00FB7"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Environment: Ensuring environmental sustainability, waste management, and promoting green initiatives within the district.</w:t>
      </w:r>
    </w:p>
    <w:p w14:paraId="18C7CE4D"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Leisure and Culture: Managing local parks, leisure facilities, and libraries and promoting cultural events and activities for residents.</w:t>
      </w:r>
    </w:p>
    <w:p w14:paraId="44422C53"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Local Infrastructure: Maintaining roads, public spaces, and other essential infrastructure.</w:t>
      </w:r>
    </w:p>
    <w:p w14:paraId="39AB4984"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Community Engagement: Encouraging citizen participation and engagement through various programs and initiatives.</w:t>
      </w:r>
    </w:p>
    <w:p w14:paraId="7B300CDD" w14:textId="77777777" w:rsidR="00250CD6" w:rsidRPr="00250CD6" w:rsidRDefault="00250CD6" w:rsidP="00863F8D">
      <w:pPr>
        <w:jc w:val="both"/>
        <w:rPr>
          <w:rFonts w:ascii="Times New Roman" w:eastAsia="Times New Roman" w:hAnsi="Times New Roman" w:cs="Times New Roman"/>
          <w:color w:val="0E101A"/>
          <w:kern w:val="0"/>
          <w:lang w:eastAsia="en-GB"/>
          <w14:ligatures w14:val="none"/>
        </w:rPr>
      </w:pPr>
      <w:r w:rsidRPr="00250CD6">
        <w:rPr>
          <w:rFonts w:ascii="Times New Roman" w:eastAsia="Times New Roman" w:hAnsi="Times New Roman" w:cs="Times New Roman"/>
          <w:color w:val="0E101A"/>
          <w:kern w:val="0"/>
          <w:lang w:eastAsia="en-GB"/>
          <w14:ligatures w14:val="none"/>
        </w:rPr>
        <w:t>Basildon Council is accountable to its residents and must operate transparently, holding regular public meetings and consultations to gather feedback and address concerns. The council's decisions are influenced by the needs and aspirations of the local population, and it aims to improve the quality of life for all residents within the district.</w:t>
      </w:r>
    </w:p>
    <w:p w14:paraId="56B5CDE7" w14:textId="77777777" w:rsidR="0052158C" w:rsidRDefault="0052158C" w:rsidP="00863F8D">
      <w:pPr>
        <w:jc w:val="both"/>
      </w:pPr>
      <w:r>
        <w:t>Welcome to the Empowering Minds Education Project, an ambitious initiative undertaken by the Council to transform the educational landscape within our community. In response to the ever-evolving needs and challenges faced by our youth, the Council has taken a proactive stance to enhance and enrich the educational experiences of our students.</w:t>
      </w:r>
    </w:p>
    <w:p w14:paraId="17A8FB40" w14:textId="77777777" w:rsidR="0052158C" w:rsidRDefault="0052158C" w:rsidP="00863F8D">
      <w:pPr>
        <w:jc w:val="both"/>
      </w:pPr>
      <w:r>
        <w:t>The Education Project in Council aims to foster a conducive learning environment that nurtures creativity, critical thinking, and holistic development. Our vision is to provide every student with equal opportunities to flourish academically, socially, and emotionally, thus preparing them to become responsible and productive members of society.</w:t>
      </w:r>
    </w:p>
    <w:p w14:paraId="5359E782" w14:textId="3F7C6DB2" w:rsidR="0052158C" w:rsidRDefault="0052158C" w:rsidP="000B7157">
      <w:pPr>
        <w:jc w:val="both"/>
      </w:pPr>
      <w:r>
        <w:t xml:space="preserve">The project has been meticulously designed and crafted with educators, parents, community members, and educational experts. By incorporating a multi-dimensional approach, we strive </w:t>
      </w:r>
      <w:r>
        <w:lastRenderedPageBreak/>
        <w:t>to address various aspects of education, including curriculum enhancement, teacher training, infrastructure development, and community engagement.</w:t>
      </w:r>
    </w:p>
    <w:p w14:paraId="16401EC3" w14:textId="7EC9CED4" w:rsidR="006A6FFF" w:rsidRDefault="006A6FFF" w:rsidP="00863F8D">
      <w:pPr>
        <w:pStyle w:val="Heading1"/>
        <w:jc w:val="both"/>
      </w:pPr>
      <w:bookmarkStart w:id="1" w:name="_Toc140953525"/>
      <w:r>
        <w:t>Education Project</w:t>
      </w:r>
      <w:bookmarkEnd w:id="1"/>
    </w:p>
    <w:p w14:paraId="657700F6" w14:textId="77777777" w:rsidR="006A6FFF" w:rsidRDefault="006A6FFF" w:rsidP="00863F8D">
      <w:pPr>
        <w:jc w:val="both"/>
      </w:pPr>
    </w:p>
    <w:p w14:paraId="1363EDF8" w14:textId="77777777"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The Empowering Minds Education Project in Council is a comprehensive and ambitious initiative to transform the community's educational landscape. The project's key objectives include curriculum enhancement, teacher training, infrastructure development, inclusivity, and community engagement. By adopting a multi-dimensional approach, the Council seeks to provide all students with equal and enriching educational opportunities, preparing them to become responsible and productive members of society.</w:t>
      </w:r>
    </w:p>
    <w:p w14:paraId="7BACEBC7" w14:textId="715D4E84" w:rsidR="006A6FFF" w:rsidRPr="006A6FFF" w:rsidRDefault="00A97CE9" w:rsidP="00863F8D">
      <w:pPr>
        <w:jc w:val="both"/>
        <w:rPr>
          <w:rFonts w:ascii="Times New Roman" w:eastAsia="Times New Roman" w:hAnsi="Times New Roman" w:cs="Times New Roman"/>
          <w:color w:val="0E101A"/>
          <w:kern w:val="0"/>
          <w:lang w:eastAsia="en-GB"/>
          <w14:ligatures w14:val="none"/>
        </w:rPr>
      </w:pPr>
      <w:r>
        <w:rPr>
          <w:rFonts w:ascii="Times New Roman" w:eastAsia="Times New Roman" w:hAnsi="Times New Roman" w:cs="Times New Roman"/>
          <w:color w:val="0E101A"/>
          <w:kern w:val="0"/>
          <w:lang w:eastAsia="en-GB"/>
          <w14:ligatures w14:val="none"/>
        </w:rPr>
        <w:t xml:space="preserve">The first opportunity is it </w:t>
      </w:r>
      <w:r w:rsidR="006A6FFF" w:rsidRPr="006A6FFF">
        <w:rPr>
          <w:rFonts w:ascii="Times New Roman" w:eastAsia="Times New Roman" w:hAnsi="Times New Roman" w:cs="Times New Roman"/>
          <w:color w:val="0E101A"/>
          <w:kern w:val="0"/>
          <w:lang w:eastAsia="en-GB"/>
          <w14:ligatures w14:val="none"/>
        </w:rPr>
        <w:t>Curriculum Enhancement</w:t>
      </w:r>
      <w:r>
        <w:rPr>
          <w:rFonts w:ascii="Times New Roman" w:eastAsia="Times New Roman" w:hAnsi="Times New Roman" w:cs="Times New Roman"/>
          <w:color w:val="0E101A"/>
          <w:kern w:val="0"/>
          <w:lang w:eastAsia="en-GB"/>
          <w14:ligatures w14:val="none"/>
        </w:rPr>
        <w:t>, t</w:t>
      </w:r>
      <w:r w:rsidR="006A6FFF" w:rsidRPr="006A6FFF">
        <w:rPr>
          <w:rFonts w:ascii="Times New Roman" w:eastAsia="Times New Roman" w:hAnsi="Times New Roman" w:cs="Times New Roman"/>
          <w:color w:val="0E101A"/>
          <w:kern w:val="0"/>
          <w:lang w:eastAsia="en-GB"/>
          <w14:ligatures w14:val="none"/>
        </w:rPr>
        <w:t>he project prioritises the development of a well-rounded and contemporary curriculum. Introducing innovative teaching methodologies and enriching subject materials promotes active learning, critical thinking, and problem-solving skills among students. The focus on curriculum enhancement ensures that students receive relevant and engaging education, aligning with the changing needs of the job market and society.</w:t>
      </w:r>
    </w:p>
    <w:p w14:paraId="33DE2356" w14:textId="00B1340C" w:rsidR="006A6FFF" w:rsidRPr="006A6FFF" w:rsidRDefault="00A97CE9" w:rsidP="00863F8D">
      <w:pPr>
        <w:jc w:val="both"/>
        <w:rPr>
          <w:rFonts w:ascii="Times New Roman" w:eastAsia="Times New Roman" w:hAnsi="Times New Roman" w:cs="Times New Roman"/>
          <w:color w:val="0E101A"/>
          <w:kern w:val="0"/>
          <w:lang w:eastAsia="en-GB"/>
          <w14:ligatures w14:val="none"/>
        </w:rPr>
      </w:pPr>
      <w:r>
        <w:rPr>
          <w:rFonts w:ascii="Times New Roman" w:eastAsia="Times New Roman" w:hAnsi="Times New Roman" w:cs="Times New Roman"/>
          <w:color w:val="0E101A"/>
          <w:kern w:val="0"/>
          <w:lang w:eastAsia="en-GB"/>
          <w14:ligatures w14:val="none"/>
        </w:rPr>
        <w:t xml:space="preserve">Another point is </w:t>
      </w:r>
      <w:r w:rsidR="006A6FFF" w:rsidRPr="006A6FFF">
        <w:rPr>
          <w:rFonts w:ascii="Times New Roman" w:eastAsia="Times New Roman" w:hAnsi="Times New Roman" w:cs="Times New Roman"/>
          <w:color w:val="0E101A"/>
          <w:kern w:val="0"/>
          <w:lang w:eastAsia="en-GB"/>
          <w14:ligatures w14:val="none"/>
        </w:rPr>
        <w:t>Teacher Training and Professional Development</w:t>
      </w:r>
      <w:r>
        <w:rPr>
          <w:rFonts w:ascii="Times New Roman" w:eastAsia="Times New Roman" w:hAnsi="Times New Roman" w:cs="Times New Roman"/>
          <w:color w:val="0E101A"/>
          <w:kern w:val="0"/>
          <w:lang w:eastAsia="en-GB"/>
          <w14:ligatures w14:val="none"/>
        </w:rPr>
        <w:t>, r</w:t>
      </w:r>
      <w:r w:rsidR="006A6FFF" w:rsidRPr="006A6FFF">
        <w:rPr>
          <w:rFonts w:ascii="Times New Roman" w:eastAsia="Times New Roman" w:hAnsi="Times New Roman" w:cs="Times New Roman"/>
          <w:color w:val="0E101A"/>
          <w:kern w:val="0"/>
          <w:lang w:eastAsia="en-GB"/>
          <w14:ligatures w14:val="none"/>
        </w:rPr>
        <w:t>ecognising the crucial role of teachers in the education system, the project emphasises regular training and professional development opportunities for educators. The project ensures that teachers are well-prepared to engage and inspire students effectively by equipping them with the latest pedagogical techniques and teaching strategies.</w:t>
      </w:r>
      <w:sdt>
        <w:sdtPr>
          <w:rPr>
            <w:rFonts w:ascii="Times New Roman" w:eastAsia="Times New Roman" w:hAnsi="Times New Roman" w:cs="Times New Roman"/>
            <w:color w:val="0E101A"/>
            <w:kern w:val="0"/>
            <w:lang w:eastAsia="en-GB"/>
            <w14:ligatures w14:val="none"/>
          </w:rPr>
          <w:id w:val="621659134"/>
          <w:citation/>
        </w:sdtPr>
        <w:sdtContent>
          <w:r w:rsidR="0022308F">
            <w:rPr>
              <w:rFonts w:ascii="Times New Roman" w:eastAsia="Times New Roman" w:hAnsi="Times New Roman" w:cs="Times New Roman"/>
              <w:color w:val="0E101A"/>
              <w:kern w:val="0"/>
              <w:lang w:eastAsia="en-GB"/>
              <w14:ligatures w14:val="none"/>
            </w:rPr>
            <w:fldChar w:fldCharType="begin"/>
          </w:r>
          <w:r w:rsidR="0022308F">
            <w:rPr>
              <w:rFonts w:ascii="Times New Roman" w:eastAsia="Times New Roman" w:hAnsi="Times New Roman" w:cs="Times New Roman"/>
              <w:color w:val="0E101A"/>
              <w:kern w:val="0"/>
              <w:lang w:eastAsia="en-GB"/>
              <w14:ligatures w14:val="none"/>
            </w:rPr>
            <w:instrText xml:space="preserve">CITATION Ess23 \l 2057 </w:instrText>
          </w:r>
          <w:r w:rsidR="0022308F">
            <w:rPr>
              <w:rFonts w:ascii="Times New Roman" w:eastAsia="Times New Roman" w:hAnsi="Times New Roman" w:cs="Times New Roman"/>
              <w:color w:val="0E101A"/>
              <w:kern w:val="0"/>
              <w:lang w:eastAsia="en-GB"/>
              <w14:ligatures w14:val="none"/>
            </w:rPr>
            <w:fldChar w:fldCharType="separate"/>
          </w:r>
          <w:r w:rsidR="00FC6C0A">
            <w:rPr>
              <w:rFonts w:ascii="Times New Roman" w:eastAsia="Times New Roman" w:hAnsi="Times New Roman" w:cs="Times New Roman"/>
              <w:noProof/>
              <w:color w:val="0E101A"/>
              <w:kern w:val="0"/>
              <w:lang w:eastAsia="en-GB"/>
              <w14:ligatures w14:val="none"/>
            </w:rPr>
            <w:t xml:space="preserve"> </w:t>
          </w:r>
          <w:r w:rsidR="00FC6C0A" w:rsidRPr="00FC6C0A">
            <w:rPr>
              <w:rFonts w:ascii="Times New Roman" w:eastAsia="Times New Roman" w:hAnsi="Times New Roman" w:cs="Times New Roman"/>
              <w:noProof/>
              <w:color w:val="0E101A"/>
              <w:kern w:val="0"/>
              <w:lang w:eastAsia="en-GB"/>
              <w14:ligatures w14:val="none"/>
            </w:rPr>
            <w:t>(Essex.gov.uk, 2023)</w:t>
          </w:r>
          <w:r w:rsidR="0022308F">
            <w:rPr>
              <w:rFonts w:ascii="Times New Roman" w:eastAsia="Times New Roman" w:hAnsi="Times New Roman" w:cs="Times New Roman"/>
              <w:color w:val="0E101A"/>
              <w:kern w:val="0"/>
              <w:lang w:eastAsia="en-GB"/>
              <w14:ligatures w14:val="none"/>
            </w:rPr>
            <w:fldChar w:fldCharType="end"/>
          </w:r>
        </w:sdtContent>
      </w:sdt>
    </w:p>
    <w:p w14:paraId="6BFE5F66" w14:textId="054DFF62"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Critical project components include investing in school infrastructure and incorporating technology into the learning process. The Council creates a conducive learning environment by upgrading libraries, laboratories, and recreational facilities. Integrating technology enhances accessibility and digital literacy, providing students with valuable skills for the modern world.</w:t>
      </w:r>
    </w:p>
    <w:p w14:paraId="189EBEFF" w14:textId="1942214E" w:rsid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The project strongly emphasises fostering an inclusive and diverse educational environment. It ensures that students with diverse needs and backgrounds receive the necessary support and encouragement to succeed. By recognising and celebrating the uniqueness of each student, the project promotes a sense of belonging and equality within schools.</w:t>
      </w:r>
    </w:p>
    <w:p w14:paraId="456DDB2F" w14:textId="77777777" w:rsidR="00A97CE9" w:rsidRDefault="00A97CE9" w:rsidP="00863F8D">
      <w:pPr>
        <w:jc w:val="both"/>
        <w:rPr>
          <w:rFonts w:ascii="Times New Roman" w:eastAsia="Times New Roman" w:hAnsi="Times New Roman" w:cs="Times New Roman"/>
          <w:color w:val="0E101A"/>
          <w:kern w:val="0"/>
          <w:lang w:eastAsia="en-GB"/>
          <w14:ligatures w14:val="none"/>
        </w:rPr>
      </w:pPr>
    </w:p>
    <w:p w14:paraId="69653BD7" w14:textId="35F6113B" w:rsidR="00A97CE9" w:rsidRDefault="00A97CE9" w:rsidP="00863F8D">
      <w:pPr>
        <w:pStyle w:val="Heading1"/>
        <w:jc w:val="both"/>
        <w:rPr>
          <w:rFonts w:eastAsia="Times New Roman"/>
          <w:lang w:eastAsia="en-GB"/>
        </w:rPr>
      </w:pPr>
      <w:bookmarkStart w:id="2" w:name="_Toc140953526"/>
      <w:r>
        <w:rPr>
          <w:rFonts w:eastAsia="Times New Roman"/>
          <w:lang w:eastAsia="en-GB"/>
        </w:rPr>
        <w:t>Working method</w:t>
      </w:r>
      <w:bookmarkEnd w:id="2"/>
    </w:p>
    <w:p w14:paraId="7B390B9F" w14:textId="77777777" w:rsidR="00A97CE9" w:rsidRPr="00A97CE9" w:rsidRDefault="00A97CE9" w:rsidP="00863F8D">
      <w:pPr>
        <w:jc w:val="both"/>
        <w:rPr>
          <w:lang w:eastAsia="en-GB"/>
        </w:rPr>
      </w:pPr>
    </w:p>
    <w:p w14:paraId="57E42FC9" w14:textId="6AEDDEC9" w:rsidR="006A6FFF" w:rsidRPr="006A6FFF" w:rsidRDefault="00A97CE9" w:rsidP="00863F8D">
      <w:pPr>
        <w:jc w:val="both"/>
        <w:rPr>
          <w:rFonts w:ascii="Times New Roman" w:eastAsia="Times New Roman" w:hAnsi="Times New Roman" w:cs="Times New Roman"/>
          <w:color w:val="0E101A"/>
          <w:kern w:val="0"/>
          <w:lang w:eastAsia="en-GB"/>
          <w14:ligatures w14:val="none"/>
        </w:rPr>
      </w:pPr>
      <w:r>
        <w:rPr>
          <w:rFonts w:ascii="Times New Roman" w:eastAsia="Times New Roman" w:hAnsi="Times New Roman" w:cs="Times New Roman"/>
          <w:color w:val="0E101A"/>
          <w:kern w:val="0"/>
          <w:lang w:eastAsia="en-GB"/>
          <w14:ligatures w14:val="none"/>
        </w:rPr>
        <w:t xml:space="preserve">The first method it is </w:t>
      </w:r>
      <w:r w:rsidR="006A6FFF" w:rsidRPr="006A6FFF">
        <w:rPr>
          <w:rFonts w:ascii="Times New Roman" w:eastAsia="Times New Roman" w:hAnsi="Times New Roman" w:cs="Times New Roman"/>
          <w:color w:val="0E101A"/>
          <w:kern w:val="0"/>
          <w:lang w:eastAsia="en-GB"/>
          <w14:ligatures w14:val="none"/>
        </w:rPr>
        <w:t>Stakeholder Collaboration</w:t>
      </w:r>
      <w:r>
        <w:rPr>
          <w:rFonts w:ascii="Times New Roman" w:eastAsia="Times New Roman" w:hAnsi="Times New Roman" w:cs="Times New Roman"/>
          <w:color w:val="0E101A"/>
          <w:kern w:val="0"/>
          <w:lang w:eastAsia="en-GB"/>
          <w14:ligatures w14:val="none"/>
        </w:rPr>
        <w:t>, t</w:t>
      </w:r>
      <w:r w:rsidR="006A6FFF" w:rsidRPr="006A6FFF">
        <w:rPr>
          <w:rFonts w:ascii="Times New Roman" w:eastAsia="Times New Roman" w:hAnsi="Times New Roman" w:cs="Times New Roman"/>
          <w:color w:val="0E101A"/>
          <w:kern w:val="0"/>
          <w:lang w:eastAsia="en-GB"/>
          <w14:ligatures w14:val="none"/>
        </w:rPr>
        <w:t>he project demonstrates effective stakeholder collaboration by involving educators, parents, community members, and educational experts in its design and implementation. This collaborative approach ensures that the project's strategies align with the needs and aspirations of the community.</w:t>
      </w:r>
      <w:sdt>
        <w:sdtPr>
          <w:rPr>
            <w:rFonts w:ascii="Times New Roman" w:eastAsia="Times New Roman" w:hAnsi="Times New Roman" w:cs="Times New Roman"/>
            <w:color w:val="0E101A"/>
            <w:kern w:val="0"/>
            <w:lang w:eastAsia="en-GB"/>
            <w14:ligatures w14:val="none"/>
          </w:rPr>
          <w:id w:val="-885725084"/>
          <w:citation/>
        </w:sdtPr>
        <w:sdtContent>
          <w:r w:rsidR="00D5206A">
            <w:rPr>
              <w:rFonts w:ascii="Times New Roman" w:eastAsia="Times New Roman" w:hAnsi="Times New Roman" w:cs="Times New Roman"/>
              <w:color w:val="0E101A"/>
              <w:kern w:val="0"/>
              <w:lang w:eastAsia="en-GB"/>
              <w14:ligatures w14:val="none"/>
            </w:rPr>
            <w:fldChar w:fldCharType="begin"/>
          </w:r>
          <w:r w:rsidR="00D5206A">
            <w:rPr>
              <w:rFonts w:ascii="Times New Roman" w:eastAsia="Times New Roman" w:hAnsi="Times New Roman" w:cs="Times New Roman"/>
              <w:color w:val="0E101A"/>
              <w:kern w:val="0"/>
              <w:lang w:eastAsia="en-GB"/>
              <w14:ligatures w14:val="none"/>
            </w:rPr>
            <w:instrText xml:space="preserve"> CITATION Ess231 \l 2057 </w:instrText>
          </w:r>
          <w:r w:rsidR="00D5206A">
            <w:rPr>
              <w:rFonts w:ascii="Times New Roman" w:eastAsia="Times New Roman" w:hAnsi="Times New Roman" w:cs="Times New Roman"/>
              <w:color w:val="0E101A"/>
              <w:kern w:val="0"/>
              <w:lang w:eastAsia="en-GB"/>
              <w14:ligatures w14:val="none"/>
            </w:rPr>
            <w:fldChar w:fldCharType="separate"/>
          </w:r>
          <w:r w:rsidR="00FC6C0A">
            <w:rPr>
              <w:rFonts w:ascii="Times New Roman" w:eastAsia="Times New Roman" w:hAnsi="Times New Roman" w:cs="Times New Roman"/>
              <w:noProof/>
              <w:color w:val="0E101A"/>
              <w:kern w:val="0"/>
              <w:lang w:eastAsia="en-GB"/>
              <w14:ligatures w14:val="none"/>
            </w:rPr>
            <w:t xml:space="preserve"> </w:t>
          </w:r>
          <w:r w:rsidR="00FC6C0A" w:rsidRPr="00FC6C0A">
            <w:rPr>
              <w:rFonts w:ascii="Times New Roman" w:eastAsia="Times New Roman" w:hAnsi="Times New Roman" w:cs="Times New Roman"/>
              <w:noProof/>
              <w:color w:val="0E101A"/>
              <w:kern w:val="0"/>
              <w:lang w:eastAsia="en-GB"/>
              <w14:ligatures w14:val="none"/>
            </w:rPr>
            <w:t>(Essex, 2023)</w:t>
          </w:r>
          <w:r w:rsidR="00D5206A">
            <w:rPr>
              <w:rFonts w:ascii="Times New Roman" w:eastAsia="Times New Roman" w:hAnsi="Times New Roman" w:cs="Times New Roman"/>
              <w:color w:val="0E101A"/>
              <w:kern w:val="0"/>
              <w:lang w:eastAsia="en-GB"/>
              <w14:ligatures w14:val="none"/>
            </w:rPr>
            <w:fldChar w:fldCharType="end"/>
          </w:r>
        </w:sdtContent>
      </w:sdt>
    </w:p>
    <w:p w14:paraId="680A28C7" w14:textId="78A8A303" w:rsidR="006A6FFF" w:rsidRPr="006A6FFF" w:rsidRDefault="00A97CE9" w:rsidP="00863F8D">
      <w:pPr>
        <w:jc w:val="both"/>
        <w:rPr>
          <w:rFonts w:ascii="Times New Roman" w:eastAsia="Times New Roman" w:hAnsi="Times New Roman" w:cs="Times New Roman"/>
          <w:color w:val="0E101A"/>
          <w:kern w:val="0"/>
          <w:lang w:eastAsia="en-GB"/>
          <w14:ligatures w14:val="none"/>
        </w:rPr>
      </w:pPr>
      <w:r>
        <w:rPr>
          <w:rFonts w:ascii="Times New Roman" w:eastAsia="Times New Roman" w:hAnsi="Times New Roman" w:cs="Times New Roman"/>
          <w:color w:val="0E101A"/>
          <w:kern w:val="0"/>
          <w:lang w:eastAsia="en-GB"/>
          <w14:ligatures w14:val="none"/>
        </w:rPr>
        <w:t xml:space="preserve">After the first is it </w:t>
      </w:r>
      <w:r w:rsidR="006A6FFF" w:rsidRPr="006A6FFF">
        <w:rPr>
          <w:rFonts w:ascii="Times New Roman" w:eastAsia="Times New Roman" w:hAnsi="Times New Roman" w:cs="Times New Roman"/>
          <w:color w:val="0E101A"/>
          <w:kern w:val="0"/>
          <w:lang w:eastAsia="en-GB"/>
          <w14:ligatures w14:val="none"/>
        </w:rPr>
        <w:t>Data-Driven Decision Making</w:t>
      </w:r>
      <w:r>
        <w:rPr>
          <w:rFonts w:ascii="Times New Roman" w:eastAsia="Times New Roman" w:hAnsi="Times New Roman" w:cs="Times New Roman"/>
          <w:color w:val="0E101A"/>
          <w:kern w:val="0"/>
          <w:lang w:eastAsia="en-GB"/>
          <w14:ligatures w14:val="none"/>
        </w:rPr>
        <w:t>, t</w:t>
      </w:r>
      <w:r w:rsidR="006A6FFF" w:rsidRPr="006A6FFF">
        <w:rPr>
          <w:rFonts w:ascii="Times New Roman" w:eastAsia="Times New Roman" w:hAnsi="Times New Roman" w:cs="Times New Roman"/>
          <w:color w:val="0E101A"/>
          <w:kern w:val="0"/>
          <w:lang w:eastAsia="en-GB"/>
          <w14:ligatures w14:val="none"/>
        </w:rPr>
        <w:t>he Council adopts a data-driven approach through regular monitoring and evaluation mechanisms. This practice enables them to assess the effectiveness of the initiatives and make informed decisions for continuous improvement.</w:t>
      </w:r>
    </w:p>
    <w:p w14:paraId="68CB56AC" w14:textId="1FDE9FBC"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Community Engagement Principles</w:t>
      </w:r>
      <w:r w:rsidR="00A97CE9">
        <w:rPr>
          <w:rFonts w:ascii="Times New Roman" w:eastAsia="Times New Roman" w:hAnsi="Times New Roman" w:cs="Times New Roman"/>
          <w:color w:val="0E101A"/>
          <w:kern w:val="0"/>
          <w:lang w:eastAsia="en-GB"/>
          <w14:ligatures w14:val="none"/>
        </w:rPr>
        <w:t>, t</w:t>
      </w:r>
      <w:r w:rsidRPr="006A6FFF">
        <w:rPr>
          <w:rFonts w:ascii="Times New Roman" w:eastAsia="Times New Roman" w:hAnsi="Times New Roman" w:cs="Times New Roman"/>
          <w:color w:val="0E101A"/>
          <w:kern w:val="0"/>
          <w:lang w:eastAsia="en-GB"/>
          <w14:ligatures w14:val="none"/>
        </w:rPr>
        <w:t>he project actively engages the community through various initiatives. The Council creates a supportive educational ecosystem by partnering with parents, community organisations, and local businesses. This engagement fosters a sense of ownership and collective responsibility for the project's success.</w:t>
      </w:r>
    </w:p>
    <w:p w14:paraId="5BC8F267" w14:textId="4FC9C97C" w:rsid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Inclusive Education</w:t>
      </w:r>
      <w:r w:rsidR="00A97CE9">
        <w:rPr>
          <w:rFonts w:ascii="Times New Roman" w:eastAsia="Times New Roman" w:hAnsi="Times New Roman" w:cs="Times New Roman"/>
          <w:color w:val="0E101A"/>
          <w:kern w:val="0"/>
          <w:lang w:eastAsia="en-GB"/>
          <w14:ligatures w14:val="none"/>
        </w:rPr>
        <w:t>, b</w:t>
      </w:r>
      <w:r w:rsidRPr="006A6FFF">
        <w:rPr>
          <w:rFonts w:ascii="Times New Roman" w:eastAsia="Times New Roman" w:hAnsi="Times New Roman" w:cs="Times New Roman"/>
          <w:color w:val="0E101A"/>
          <w:kern w:val="0"/>
          <w:lang w:eastAsia="en-GB"/>
          <w14:ligatures w14:val="none"/>
        </w:rPr>
        <w:t>y prioritising inclusivity and diversity, the project is committed to providing equal opportunities for all students. It ensures that each student's unique needs are addressed, allowing them to thrive academically and socially.</w:t>
      </w:r>
    </w:p>
    <w:p w14:paraId="553542FD"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69CB2D68" w14:textId="00AA011C" w:rsidR="006A6FFF" w:rsidRPr="006A6FFF" w:rsidRDefault="006A6FFF" w:rsidP="00863F8D">
      <w:pPr>
        <w:jc w:val="both"/>
        <w:rPr>
          <w:rFonts w:ascii="Times New Roman" w:eastAsia="Times New Roman" w:hAnsi="Times New Roman" w:cs="Times New Roman"/>
          <w:color w:val="0E101A"/>
          <w:kern w:val="0"/>
          <w:lang w:eastAsia="en-GB"/>
          <w14:ligatures w14:val="none"/>
        </w:rPr>
      </w:pPr>
      <w:bookmarkStart w:id="3" w:name="_Toc140953527"/>
      <w:r w:rsidRPr="006A6FFF">
        <w:rPr>
          <w:rStyle w:val="Heading1Char"/>
          <w:lang w:eastAsia="en-GB"/>
        </w:rPr>
        <w:lastRenderedPageBreak/>
        <w:t>Relationship between Stakeholders and Engagement Strategies</w:t>
      </w:r>
      <w:bookmarkEnd w:id="3"/>
    </w:p>
    <w:p w14:paraId="3299E685" w14:textId="3C8DD606"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Educators play a central role in the Education Project, and their commitment and involvement are vital for its success. They are responsible for implementing curriculum enhancements and innovative teaching methodologies. Engagement Strategy: Regular workshops and training sessions should be conducted to provide professional development opportunities for educators. Feedback mechanisms should be established to encourage open communication and address their needs and concerns. Involving them in decision-making processes and recognizing their contributions will boost their motivation and commitment to the project.</w:t>
      </w:r>
    </w:p>
    <w:p w14:paraId="552D39D5" w14:textId="0BC25939"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Parents are essential partners in their children's education. Their support and involvement significantly influence a student's academic success and well-being. Engagement Strategy: Establishing parent-teacher associations and holding regular meetings will foster collaboration between parents and educators. The project can organize workshops and informational sessions to help parents understand the curriculum changes and provide guidance on supporting their children's learning at home. Regular updates through newsletters or emails will keep parents informed about the project's progress and upcoming events.</w:t>
      </w:r>
    </w:p>
    <w:p w14:paraId="43107F17" w14:textId="78A11B47"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Community members, including local businesses and organizations, can contribute valuable resources and support to the Education Project. Engagement Strategy: Engaging with community members can involve partnerships for mentorship programs, internships, or sponsoring extracurricular activities. The project can collaborate with local businesses to provide resources for infrastructure development or technology integration. Recognizing and celebrating community contributions will further strengthen the relationship.</w:t>
      </w:r>
    </w:p>
    <w:p w14:paraId="6AE85F9B" w14:textId="77777777" w:rsid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Students: Stakeholder Relationship: Students are the primary beneficiaries of the Education Project, and their active participation is crucial for its success. Engagement Strategy: Students should be given a platform to voice their opinions and ideas about the project. Involving them in decision-making processes, such as selecting extracurricular activities or planning school events, will enhance their sense of ownership and engagement. Encouraging student-led initiatives and recognizing their achievements will foster a positive learning environment.</w:t>
      </w:r>
    </w:p>
    <w:p w14:paraId="45E9C399" w14:textId="77777777" w:rsidR="00A97CE9" w:rsidRPr="006A6FFF" w:rsidRDefault="00A97CE9" w:rsidP="00863F8D">
      <w:pPr>
        <w:jc w:val="both"/>
        <w:rPr>
          <w:rFonts w:ascii="Times New Roman" w:eastAsia="Times New Roman" w:hAnsi="Times New Roman" w:cs="Times New Roman"/>
          <w:color w:val="0E101A"/>
          <w:kern w:val="0"/>
          <w:lang w:eastAsia="en-GB"/>
          <w14:ligatures w14:val="none"/>
        </w:rPr>
      </w:pPr>
    </w:p>
    <w:p w14:paraId="6FA8BDBC" w14:textId="4398084A" w:rsidR="006A6FFF" w:rsidRPr="006A6FFF" w:rsidRDefault="006A6FFF" w:rsidP="00863F8D">
      <w:pPr>
        <w:jc w:val="both"/>
        <w:rPr>
          <w:rFonts w:ascii="Times New Roman" w:eastAsia="Times New Roman" w:hAnsi="Times New Roman" w:cs="Times New Roman"/>
          <w:color w:val="0E101A"/>
          <w:kern w:val="0"/>
          <w:lang w:eastAsia="en-GB"/>
          <w14:ligatures w14:val="none"/>
        </w:rPr>
      </w:pPr>
      <w:bookmarkStart w:id="4" w:name="_Toc140953528"/>
      <w:r w:rsidRPr="006A6FFF">
        <w:rPr>
          <w:rStyle w:val="Heading1Char"/>
          <w:lang w:eastAsia="en-GB"/>
        </w:rPr>
        <w:t>Social Media Platforms for Outreach and Support</w:t>
      </w:r>
      <w:bookmarkEnd w:id="4"/>
    </w:p>
    <w:p w14:paraId="3783BC06" w14:textId="1C97B3D3"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Facebook can be a central platform for the Education Project's communication and updates. The project can create a dedicated page about upcoming events, workshops, and achievements. Regular posts can showcase students' work, highlight success stories, and promote community engagement opportunities. Parents, educators, and community members can participate in discussions and share their thoughts, fostering community around the project.</w:t>
      </w:r>
    </w:p>
    <w:p w14:paraId="1EB9B9AA" w14:textId="77777777" w:rsidR="00A97CE9"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Twitter can be used for real-time updates and quick communication. The project can use hashtags related to education, community, and the project's name to increase visibility. Regular tweets can highlight ongoing activities, share valuable articles or resources, and interact with stakeholders. Twitter chats can be organized to discuss relevant educational topics, inviting educators, parents, and experts to participate.</w:t>
      </w:r>
    </w:p>
    <w:p w14:paraId="15F4EB6C" w14:textId="2F244D64"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Instagram can be a valuable platform for visual storytelling. The project can share photos and short videos showcasing student achievements, classroom activities, and community events. Instagram Stories can be used to provide behind-the-scenes glimpses and time-limited announcements. Engaging with influencers or local personalities can help widen the project's reach.</w:t>
      </w:r>
    </w:p>
    <w:p w14:paraId="6FF84C0C" w14:textId="7A17DFCB"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t>LinkedIn can be utilized for engaging with the business community and professionals. The project can share partnership updates, internship opportunities, and career-focused events. Articles and posts can discuss the project's impact on students' employability and the benefits of investing in education.</w:t>
      </w:r>
    </w:p>
    <w:p w14:paraId="238A62F2" w14:textId="4E63A20D" w:rsidR="006A6FFF" w:rsidRPr="006A6FFF" w:rsidRDefault="006A6FFF" w:rsidP="00863F8D">
      <w:pPr>
        <w:jc w:val="both"/>
        <w:rPr>
          <w:rFonts w:ascii="Times New Roman" w:eastAsia="Times New Roman" w:hAnsi="Times New Roman" w:cs="Times New Roman"/>
          <w:color w:val="0E101A"/>
          <w:kern w:val="0"/>
          <w:lang w:eastAsia="en-GB"/>
          <w14:ligatures w14:val="none"/>
        </w:rPr>
      </w:pPr>
      <w:r w:rsidRPr="006A6FFF">
        <w:rPr>
          <w:rFonts w:ascii="Times New Roman" w:eastAsia="Times New Roman" w:hAnsi="Times New Roman" w:cs="Times New Roman"/>
          <w:color w:val="0E101A"/>
          <w:kern w:val="0"/>
          <w:lang w:eastAsia="en-GB"/>
          <w14:ligatures w14:val="none"/>
        </w:rPr>
        <w:lastRenderedPageBreak/>
        <w:t>YouTube can be used to create video content that provides insights into the Education Project's goals, achievements, and success stories. Teachers can share innovative teaching methods, and students can showcase their projects or performances. The channel can serve as a repository of educational resources and webinars for stakeholders to access and engage with at their convenience.</w:t>
      </w:r>
    </w:p>
    <w:p w14:paraId="7F3C1C35"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37DF68F1"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330B6B1A" w14:textId="000B26AB" w:rsidR="00863F8D" w:rsidRPr="00863F8D" w:rsidRDefault="00863F8D" w:rsidP="00863F8D">
      <w:pPr>
        <w:pStyle w:val="Heading1"/>
        <w:jc w:val="both"/>
        <w:rPr>
          <w:rFonts w:eastAsia="Times New Roman"/>
          <w:lang w:eastAsia="en-GB"/>
        </w:rPr>
      </w:pPr>
      <w:bookmarkStart w:id="5" w:name="_Toc140953529"/>
      <w:r w:rsidRPr="00863F8D">
        <w:rPr>
          <w:rFonts w:eastAsia="Times New Roman"/>
          <w:lang w:eastAsia="en-GB"/>
        </w:rPr>
        <w:t>Promoting Community Participation, Collaboration, Diversity, and Inclusion</w:t>
      </w:r>
      <w:bookmarkEnd w:id="5"/>
    </w:p>
    <w:p w14:paraId="581880E9" w14:textId="77777777"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Community Workshops and Forums: Organizing community workshops and forums is an effective way to encourage community participation. These events provide a platform for open discussions, where community members can voice their opinions, ideas, and concerns about the Education Project. Creating a safe and inclusive space where diverse perspectives are welcomed fosters a sense of belonging and ownership among participants.</w:t>
      </w:r>
    </w:p>
    <w:p w14:paraId="3F165AE3" w14:textId="01005C42"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Establishing partnerships with various community organizations, local businesses, and agencies can enhance collaboration. By involving multiple stakeholders, the Education Project can tap into diverse expertise, resources, and networks, enriching students' learning experiences and providing holistic support.</w:t>
      </w:r>
    </w:p>
    <w:p w14:paraId="57A9940D" w14:textId="46451B42"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The Education Project can organize events or activities that celebrate the diverse cultures and backgrounds within the community. This could include cultural fairs, art exhibitions, or language exchange programs. The venture cultivates a comprehensive climate by embracing and advancing variety where everybody feels esteemed and regarded.</w:t>
      </w:r>
    </w:p>
    <w:p w14:paraId="1FA18B8B" w14:textId="5D9C67C6"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Incorporating multi-agency collaboration involves partnering with different government bodies, NGOs, and social service agencies. This collaboration can address a broader range of community needs, such as social support services, mental health resources, and career guidance, beyond the scope of traditional education.</w:t>
      </w:r>
    </w:p>
    <w:p w14:paraId="13731EA7" w14:textId="11A6963F"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Incorporating parents and community members in decision-making ensures that the Education Project's initiatives align with the community's values and aspirations. Involving stakeholders in setting goals and defining priorities creates a sense of ownership and commitment to the project's success.</w:t>
      </w:r>
    </w:p>
    <w:p w14:paraId="426BA743" w14:textId="2792FF15"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Developing and implementing inclusive policies within educational institutions support diversity and inclusion. This could involve policies accommodating students with different learning abilities or cultural backgrounds. Additionally, teacher training on cultural competency can help educators understand and appreciate diverse perspectives.</w:t>
      </w:r>
    </w:p>
    <w:p w14:paraId="7F11E2FB"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2F0FC49B" w14:textId="23C7DC29" w:rsidR="00863F8D" w:rsidRPr="00863F8D" w:rsidRDefault="00863F8D" w:rsidP="00863F8D">
      <w:pPr>
        <w:pStyle w:val="Heading1"/>
        <w:jc w:val="both"/>
        <w:rPr>
          <w:rFonts w:eastAsia="Times New Roman"/>
          <w:lang w:eastAsia="en-GB"/>
        </w:rPr>
      </w:pPr>
      <w:bookmarkStart w:id="6" w:name="_Toc140953530"/>
      <w:r w:rsidRPr="00863F8D">
        <w:rPr>
          <w:rFonts w:eastAsia="Times New Roman"/>
          <w:lang w:eastAsia="en-GB"/>
        </w:rPr>
        <w:t>Adopting a Forward-Looking Approach to Educate Community Members</w:t>
      </w:r>
      <w:bookmarkEnd w:id="6"/>
    </w:p>
    <w:p w14:paraId="124CE68A" w14:textId="4555E4D0"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A forward-looking methodology includes distinguishing possible difficulties and open doors that might emerge from here on out. By educating community members on possible internal and external factors that could influence community development, stakeholders can prepare for upcoming changes and adapt their strategies accordingly.</w:t>
      </w:r>
    </w:p>
    <w:p w14:paraId="2B350796" w14:textId="292D5470"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Community engagement practitioners can encourage a culture of lifelong learning within the community. Local area individuals can be better prepared to confront future difficulties and embrace new open doors by featuring the significance of ceaseless mastering and ability advancement.</w:t>
      </w:r>
    </w:p>
    <w:p w14:paraId="2C70DBF6" w14:textId="00127F24"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lastRenderedPageBreak/>
        <w:t>Educating community members on the benefits of technology and promoting digital literacy prepares them to thrive in an increasingly digital world. Knowledge of technology can enhance access to information and enable effective communication and collaboration.</w:t>
      </w:r>
    </w:p>
    <w:p w14:paraId="00B33760" w14:textId="1106D445"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Educating community members about economic and social trends can empower them to make informed decisions regarding education, career choices, and community development initiatives. Understanding the evolving job market and societal shifts can guide stakeholders in shaping relevant educational programs and services.</w:t>
      </w:r>
    </w:p>
    <w:p w14:paraId="76600A87" w14:textId="21FC3E40"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A forward-looking approach should emphasize the importance of building resilience and adaptability within the community. This involves promoting problem-solving skills, creativity, and the ability to embrace change positively.</w:t>
      </w:r>
    </w:p>
    <w:p w14:paraId="5D80E723" w14:textId="1FC02D8B"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Teaching people group individuals on feasible practices cultivates a feeling of obligation towards the climate and people in the future. Embracing sustainability in education and community development ensures long-term viability and resilience.</w:t>
      </w:r>
    </w:p>
    <w:p w14:paraId="08437DCF"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0D7BBA8B"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284DEFB0"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460ED34F"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7B8A92FC"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41932B87"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18654C0B"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359A4FD8"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246531EF"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0DBF4285"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08E222AA"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6FFABB6E"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5D8DF082"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158E6674"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18570784"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5F7D26AE"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7B100C98"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31BD07C3"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08867DDE"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0B8D04C7"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713DC0CC"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071EC694"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2F0BFD5A" w14:textId="77777777" w:rsidR="006A6FFF" w:rsidRDefault="006A6FFF" w:rsidP="00863F8D">
      <w:pPr>
        <w:jc w:val="both"/>
        <w:rPr>
          <w:rFonts w:ascii="Times New Roman" w:eastAsia="Times New Roman" w:hAnsi="Times New Roman" w:cs="Times New Roman"/>
          <w:color w:val="0E101A"/>
          <w:kern w:val="0"/>
          <w:lang w:eastAsia="en-GB"/>
          <w14:ligatures w14:val="none"/>
        </w:rPr>
      </w:pPr>
    </w:p>
    <w:p w14:paraId="3239345C"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5BEB220A"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64DAF3CA" w14:textId="77777777" w:rsidR="006A6FFF" w:rsidRPr="006A6FFF" w:rsidRDefault="006A6FFF" w:rsidP="00863F8D">
      <w:pPr>
        <w:jc w:val="both"/>
        <w:rPr>
          <w:rFonts w:ascii="Times New Roman" w:eastAsia="Times New Roman" w:hAnsi="Times New Roman" w:cs="Times New Roman"/>
          <w:color w:val="0E101A"/>
          <w:kern w:val="0"/>
          <w:lang w:eastAsia="en-GB"/>
          <w14:ligatures w14:val="none"/>
        </w:rPr>
      </w:pPr>
    </w:p>
    <w:p w14:paraId="35668FA9" w14:textId="77777777" w:rsidR="00DA3328" w:rsidRDefault="00DA3328" w:rsidP="00863F8D">
      <w:pPr>
        <w:pStyle w:val="Heading1"/>
        <w:jc w:val="both"/>
        <w:rPr>
          <w:rFonts w:eastAsia="Times New Roman"/>
          <w:lang w:eastAsia="en-GB"/>
        </w:rPr>
      </w:pPr>
      <w:bookmarkStart w:id="7" w:name="_Toc140953531"/>
    </w:p>
    <w:p w14:paraId="74B09E06" w14:textId="77777777" w:rsidR="00DA3328" w:rsidRDefault="00DA3328" w:rsidP="00863F8D">
      <w:pPr>
        <w:pStyle w:val="Heading1"/>
        <w:jc w:val="both"/>
        <w:rPr>
          <w:rFonts w:eastAsia="Times New Roman"/>
          <w:lang w:eastAsia="en-GB"/>
        </w:rPr>
      </w:pPr>
    </w:p>
    <w:p w14:paraId="62A9F3D9" w14:textId="77777777" w:rsidR="00DA3328" w:rsidRDefault="00DA3328" w:rsidP="00863F8D">
      <w:pPr>
        <w:pStyle w:val="Heading1"/>
        <w:jc w:val="both"/>
        <w:rPr>
          <w:rFonts w:eastAsia="Times New Roman"/>
          <w:lang w:eastAsia="en-GB"/>
        </w:rPr>
      </w:pPr>
    </w:p>
    <w:p w14:paraId="59F0E9B8" w14:textId="77777777" w:rsidR="00DA3328" w:rsidRDefault="00DA3328" w:rsidP="00DA3328">
      <w:pPr>
        <w:rPr>
          <w:lang w:eastAsia="en-GB"/>
        </w:rPr>
      </w:pPr>
    </w:p>
    <w:p w14:paraId="78BDDC32" w14:textId="77777777" w:rsidR="000B7157" w:rsidRPr="00DA3328" w:rsidRDefault="000B7157" w:rsidP="00DA3328">
      <w:pPr>
        <w:rPr>
          <w:lang w:eastAsia="en-GB"/>
        </w:rPr>
      </w:pPr>
    </w:p>
    <w:p w14:paraId="4708452A" w14:textId="06CE9A91" w:rsidR="006A6FFF" w:rsidRDefault="006A6FFF" w:rsidP="00863F8D">
      <w:pPr>
        <w:pStyle w:val="Heading1"/>
        <w:jc w:val="both"/>
        <w:rPr>
          <w:rFonts w:eastAsia="Times New Roman"/>
          <w:lang w:eastAsia="en-GB"/>
        </w:rPr>
      </w:pPr>
      <w:r w:rsidRPr="006A6FFF">
        <w:rPr>
          <w:rFonts w:eastAsia="Times New Roman"/>
          <w:lang w:eastAsia="en-GB"/>
        </w:rPr>
        <w:lastRenderedPageBreak/>
        <w:t>Conclusion</w:t>
      </w:r>
      <w:bookmarkEnd w:id="7"/>
    </w:p>
    <w:p w14:paraId="34C9BD88"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09BB74C4" w14:textId="77777777"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In conclusion, the Education Project in Council, titled "Empowering Minds," stands as a visionary and comprehensive initiative dedicated to transforming the educational landscape within the community. By prioritizing curriculum enhancement, teacher training, infrastructure development, inclusivity, and community engagement, the project sets a strong foundation for nurturing the potential of future generations.</w:t>
      </w:r>
    </w:p>
    <w:p w14:paraId="5013D7A7" w14:textId="072DDF46" w:rsidR="006461C6"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Through a multi-dimensional approach, the Education Project aims to create a conducive learning environment that fosters creativity, critical thinking, and holistic development among students. By introducing innovative teaching methodologies and enriching subject materials, the project promotes active learning and prepares students for the challenges of an ever-changing world.</w:t>
      </w:r>
    </w:p>
    <w:p w14:paraId="4C102CD7" w14:textId="77777777"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Moreover, the project recognizes the indispensable role of teachers and seeks to empower them through regular training and professional development opportunities. By upgrading school infrastructure and integrating technology into the learning process, the Council ensures students' access to modern educational resources.</w:t>
      </w:r>
    </w:p>
    <w:p w14:paraId="239517FD" w14:textId="77777777"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Emphasizing inclusivity and diversity, the Education Project in Council strives to provide equal opportunities to all students, acknowledging and celebrating their uniqueness. The project actively engages stakeholders to create a collaborative and supportive educational ecosystem by involving parents, community members, and local businesses.</w:t>
      </w:r>
    </w:p>
    <w:p w14:paraId="29C5FD42" w14:textId="77777777" w:rsidR="00863F8D" w:rsidRP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The Education Project's success is bolstered by its commitment to data-driven decision-making, stakeholder collaboration, and a forward-looking approach to community development. Regular monitoring and evaluation mechanisms will enable the project to assess its impact, make necessary adjustments, and continuously improve its initiatives.</w:t>
      </w:r>
    </w:p>
    <w:p w14:paraId="49CDC296" w14:textId="2B91973B" w:rsidR="00863F8D" w:rsidRDefault="00863F8D" w:rsidP="00863F8D">
      <w:pPr>
        <w:jc w:val="both"/>
        <w:rPr>
          <w:rFonts w:ascii="Times New Roman" w:eastAsia="Times New Roman" w:hAnsi="Times New Roman" w:cs="Times New Roman"/>
          <w:color w:val="0E101A"/>
          <w:kern w:val="0"/>
          <w:lang w:eastAsia="en-GB"/>
          <w14:ligatures w14:val="none"/>
        </w:rPr>
      </w:pPr>
      <w:r w:rsidRPr="00863F8D">
        <w:rPr>
          <w:rFonts w:ascii="Times New Roman" w:eastAsia="Times New Roman" w:hAnsi="Times New Roman" w:cs="Times New Roman"/>
          <w:color w:val="0E101A"/>
          <w:kern w:val="0"/>
          <w:lang w:eastAsia="en-GB"/>
          <w14:ligatures w14:val="none"/>
        </w:rPr>
        <w:t>The Empowering Minds Education Project showcases the Council's dedication to empowering young minds and shaping responsible, productive, and inclusive citizens. Investing in education and fostering a sense of community ownership, the project paves the way for a brighter and more promising future for the entire community. Through sustained efforts and unwavering support from all stakeholders, the Education Project in Council is poised to make a lasting and positive impact on the lives of students, educators, and the community.</w:t>
      </w:r>
    </w:p>
    <w:p w14:paraId="4E0EC5F9"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1B9418E7"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6964D5ED"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492D2A21"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3A006FE0"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099A32A0"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186ABD42"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4A33E6E1"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138B7225"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0245F30B"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4B3FCF3C"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518C0527"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5BF57217"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55F6E1FE" w14:textId="77777777" w:rsidR="00863F8D" w:rsidRDefault="00863F8D" w:rsidP="00863F8D">
      <w:pPr>
        <w:jc w:val="both"/>
        <w:rPr>
          <w:rFonts w:ascii="Times New Roman" w:eastAsia="Times New Roman" w:hAnsi="Times New Roman" w:cs="Times New Roman"/>
          <w:color w:val="0E101A"/>
          <w:kern w:val="0"/>
          <w:lang w:eastAsia="en-GB"/>
          <w14:ligatures w14:val="none"/>
        </w:rPr>
      </w:pPr>
    </w:p>
    <w:p w14:paraId="308CEF30" w14:textId="77777777" w:rsidR="00863F8D" w:rsidRPr="006A6FFF" w:rsidRDefault="00863F8D" w:rsidP="00863F8D">
      <w:pPr>
        <w:jc w:val="both"/>
        <w:rPr>
          <w:rFonts w:ascii="Times New Roman" w:eastAsia="Times New Roman" w:hAnsi="Times New Roman" w:cs="Times New Roman"/>
          <w:color w:val="0E101A"/>
          <w:kern w:val="0"/>
          <w:lang w:eastAsia="en-GB"/>
          <w14:ligatures w14:val="none"/>
        </w:rPr>
      </w:pPr>
    </w:p>
    <w:p w14:paraId="68409E6D" w14:textId="77777777" w:rsidR="006A6FFF" w:rsidRDefault="006A6FFF" w:rsidP="00863F8D">
      <w:pPr>
        <w:jc w:val="both"/>
      </w:pPr>
    </w:p>
    <w:p w14:paraId="22934245" w14:textId="77777777" w:rsidR="00863F8D" w:rsidRDefault="00863F8D" w:rsidP="00863F8D">
      <w:pPr>
        <w:jc w:val="both"/>
      </w:pPr>
    </w:p>
    <w:p w14:paraId="7E1DA312" w14:textId="77777777" w:rsidR="00863F8D" w:rsidRDefault="00863F8D" w:rsidP="00863F8D">
      <w:pPr>
        <w:jc w:val="both"/>
      </w:pPr>
    </w:p>
    <w:p w14:paraId="493260C5" w14:textId="77777777" w:rsidR="00863F8D" w:rsidRDefault="00863F8D" w:rsidP="00863F8D">
      <w:pPr>
        <w:jc w:val="both"/>
      </w:pPr>
    </w:p>
    <w:p w14:paraId="32BD173A" w14:textId="791DF97E" w:rsidR="00863F8D" w:rsidRDefault="00DA3328" w:rsidP="00DA3328">
      <w:pPr>
        <w:pStyle w:val="Heading1"/>
      </w:pPr>
      <w:bookmarkStart w:id="8" w:name="_Toc140953532"/>
      <w:r>
        <w:lastRenderedPageBreak/>
        <w:t>Reference</w:t>
      </w:r>
      <w:bookmarkEnd w:id="8"/>
    </w:p>
    <w:sdt>
      <w:sdtPr>
        <w:id w:val="-1020774936"/>
        <w:docPartObj>
          <w:docPartGallery w:val="Bibliographies"/>
          <w:docPartUnique/>
        </w:docPartObj>
      </w:sdtPr>
      <w:sdtEndPr>
        <w:rPr>
          <w:rFonts w:asciiTheme="minorHAnsi" w:eastAsiaTheme="minorHAnsi" w:hAnsiTheme="minorHAnsi" w:cstheme="minorBidi"/>
          <w:color w:val="auto"/>
          <w:sz w:val="24"/>
          <w:szCs w:val="24"/>
        </w:rPr>
      </w:sdtEndPr>
      <w:sdtContent>
        <w:p w14:paraId="5719EBFC" w14:textId="6DF5D7B0" w:rsidR="00FC6C0A" w:rsidRDefault="00FC6C0A">
          <w:pPr>
            <w:pStyle w:val="Heading1"/>
          </w:pPr>
        </w:p>
        <w:sdt>
          <w:sdtPr>
            <w:id w:val="111145805"/>
            <w:bibliography/>
          </w:sdtPr>
          <w:sdtContent>
            <w:p w14:paraId="04909B6D" w14:textId="2F354BFA" w:rsidR="00FC6C0A" w:rsidRDefault="00FC6C0A" w:rsidP="00FC6C0A">
              <w:pPr>
                <w:pStyle w:val="Bibliography"/>
                <w:rPr>
                  <w:noProof/>
                </w:rPr>
              </w:pPr>
              <w:r>
                <w:fldChar w:fldCharType="begin"/>
              </w:r>
              <w:r>
                <w:instrText xml:space="preserve"> BIBLIOGRAPHY </w:instrText>
              </w:r>
              <w:r>
                <w:fldChar w:fldCharType="separate"/>
              </w:r>
              <w:r>
                <w:rPr>
                  <w:noProof/>
                </w:rPr>
                <w:t xml:space="preserve">Anon., n.d. </w:t>
              </w:r>
              <w:r>
                <w:rPr>
                  <w:i/>
                  <w:iCs/>
                  <w:noProof/>
                </w:rPr>
                <w:t xml:space="preserve">basildon.gov.uk. </w:t>
              </w:r>
              <w:r>
                <w:rPr>
                  <w:noProof/>
                </w:rPr>
                <w:t xml:space="preserve">[Online] Available at: </w:t>
              </w:r>
              <w:r>
                <w:rPr>
                  <w:noProof/>
                  <w:u w:val="single"/>
                </w:rPr>
                <w:t>https://www.basildon.gov.uk/residents?p=3</w:t>
              </w:r>
              <w:r>
                <w:rPr>
                  <w:noProof/>
                </w:rPr>
                <w:t xml:space="preserve"> [Accessed 17 July 2023].</w:t>
              </w:r>
            </w:p>
            <w:p w14:paraId="6C90FB1D" w14:textId="77777777" w:rsidR="00FC6C0A" w:rsidRPr="00FC6C0A" w:rsidRDefault="00FC6C0A" w:rsidP="00FC6C0A"/>
            <w:p w14:paraId="3AA755E7" w14:textId="4DB5CF6B" w:rsidR="00FC6C0A" w:rsidRDefault="00FC6C0A" w:rsidP="00FC6C0A">
              <w:pPr>
                <w:pStyle w:val="Bibliography"/>
                <w:rPr>
                  <w:noProof/>
                </w:rPr>
              </w:pPr>
              <w:r>
                <w:rPr>
                  <w:noProof/>
                </w:rPr>
                <w:t xml:space="preserve">Essex.gov.uk, 2023. </w:t>
              </w:r>
              <w:r>
                <w:rPr>
                  <w:i/>
                  <w:iCs/>
                  <w:noProof/>
                </w:rPr>
                <w:t xml:space="preserve">Essex.gov.uk. </w:t>
              </w:r>
              <w:r>
                <w:rPr>
                  <w:noProof/>
                </w:rPr>
                <w:t xml:space="preserve">[Online] Available at: </w:t>
              </w:r>
              <w:r>
                <w:rPr>
                  <w:noProof/>
                  <w:u w:val="single"/>
                </w:rPr>
                <w:t>https://www.essex.gov.uk/schools-and-learning/education-and-training-young-people</w:t>
              </w:r>
              <w:r>
                <w:rPr>
                  <w:noProof/>
                </w:rPr>
                <w:t>[Accessed 20 July 2023].</w:t>
              </w:r>
            </w:p>
            <w:p w14:paraId="0F373495" w14:textId="77777777" w:rsidR="00FC6C0A" w:rsidRPr="00FC6C0A" w:rsidRDefault="00FC6C0A" w:rsidP="00FC6C0A"/>
            <w:p w14:paraId="40974653" w14:textId="2C526C13" w:rsidR="00FC6C0A" w:rsidRDefault="00FC6C0A" w:rsidP="00FC6C0A">
              <w:pPr>
                <w:pStyle w:val="Bibliography"/>
                <w:rPr>
                  <w:noProof/>
                </w:rPr>
              </w:pPr>
              <w:r>
                <w:rPr>
                  <w:noProof/>
                </w:rPr>
                <w:t xml:space="preserve">Essex, 2023. </w:t>
              </w:r>
              <w:r>
                <w:rPr>
                  <w:i/>
                  <w:iCs/>
                  <w:noProof/>
                </w:rPr>
                <w:t xml:space="preserve">Essex. </w:t>
              </w:r>
              <w:r>
                <w:rPr>
                  <w:noProof/>
                </w:rPr>
                <w:t xml:space="preserve">[Online] </w:t>
              </w:r>
              <w:r>
                <w:rPr>
                  <w:noProof/>
                </w:rPr>
                <w:br/>
                <w:t xml:space="preserve">Available at: </w:t>
              </w:r>
              <w:r>
                <w:rPr>
                  <w:noProof/>
                  <w:u w:val="single"/>
                </w:rPr>
                <w:t>https://www.essex.gov.uk/running-council/plans-and-strategies/everyones-essex</w:t>
              </w:r>
              <w:r>
                <w:rPr>
                  <w:noProof/>
                </w:rPr>
                <w:t xml:space="preserve"> [Accessed 1 august 2023].</w:t>
              </w:r>
            </w:p>
            <w:p w14:paraId="7ACACE16" w14:textId="77777777" w:rsidR="00FC6C0A" w:rsidRPr="00FC6C0A" w:rsidRDefault="00FC6C0A" w:rsidP="00FC6C0A"/>
            <w:p w14:paraId="0671BBF7" w14:textId="77777777" w:rsidR="00FC6C0A" w:rsidRDefault="00FC6C0A" w:rsidP="00FC6C0A">
              <w:pPr>
                <w:pStyle w:val="Bibliography"/>
                <w:rPr>
                  <w:noProof/>
                </w:rPr>
              </w:pPr>
              <w:r>
                <w:rPr>
                  <w:noProof/>
                </w:rPr>
                <w:t xml:space="preserve">Hendricks, A., n.d. [Online] </w:t>
              </w:r>
              <w:r>
                <w:rPr>
                  <w:noProof/>
                </w:rPr>
                <w:br/>
                <w:t xml:space="preserve">Available at: </w:t>
              </w:r>
              <w:r>
                <w:rPr>
                  <w:noProof/>
                  <w:u w:val="single"/>
                </w:rPr>
                <w:t>https://simplystakeholders.com/what-is-community-engagement/</w:t>
              </w:r>
            </w:p>
            <w:p w14:paraId="187F0694" w14:textId="0B4ADE50" w:rsidR="00FC6C0A" w:rsidRDefault="00FC6C0A" w:rsidP="00FC6C0A">
              <w:r>
                <w:rPr>
                  <w:b/>
                  <w:bCs/>
                  <w:noProof/>
                </w:rPr>
                <w:fldChar w:fldCharType="end"/>
              </w:r>
            </w:p>
          </w:sdtContent>
        </w:sdt>
      </w:sdtContent>
    </w:sdt>
    <w:p w14:paraId="1FF6B0DD" w14:textId="06A356BD" w:rsidR="00DA3328" w:rsidRDefault="00DA3328" w:rsidP="00DA3328"/>
    <w:p w14:paraId="640B630C" w14:textId="77777777" w:rsidR="00DA3328" w:rsidRDefault="00DA3328" w:rsidP="00863F8D">
      <w:pPr>
        <w:jc w:val="both"/>
      </w:pPr>
    </w:p>
    <w:sectPr w:rsidR="00DA3328" w:rsidSect="000B7157">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2775A"/>
    <w:multiLevelType w:val="multilevel"/>
    <w:tmpl w:val="F2F2DB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153826"/>
    <w:multiLevelType w:val="multilevel"/>
    <w:tmpl w:val="7ACA3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C605212"/>
    <w:multiLevelType w:val="multilevel"/>
    <w:tmpl w:val="71CC35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7F743B"/>
    <w:multiLevelType w:val="multilevel"/>
    <w:tmpl w:val="8D903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5347DD3"/>
    <w:multiLevelType w:val="multilevel"/>
    <w:tmpl w:val="D45A23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687CB3"/>
    <w:multiLevelType w:val="multilevel"/>
    <w:tmpl w:val="7F426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CF28C4"/>
    <w:multiLevelType w:val="multilevel"/>
    <w:tmpl w:val="5D0049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4064143">
    <w:abstractNumId w:val="2"/>
  </w:num>
  <w:num w:numId="2" w16cid:durableId="2110544782">
    <w:abstractNumId w:val="5"/>
  </w:num>
  <w:num w:numId="3" w16cid:durableId="725682551">
    <w:abstractNumId w:val="1"/>
  </w:num>
  <w:num w:numId="4" w16cid:durableId="14969248">
    <w:abstractNumId w:val="6"/>
  </w:num>
  <w:num w:numId="5" w16cid:durableId="1701971510">
    <w:abstractNumId w:val="3"/>
  </w:num>
  <w:num w:numId="6" w16cid:durableId="450587557">
    <w:abstractNumId w:val="0"/>
  </w:num>
  <w:num w:numId="7" w16cid:durableId="14229464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CD6"/>
    <w:rsid w:val="000505CC"/>
    <w:rsid w:val="000B7157"/>
    <w:rsid w:val="0022308F"/>
    <w:rsid w:val="00250CD6"/>
    <w:rsid w:val="003D3FFB"/>
    <w:rsid w:val="004C360A"/>
    <w:rsid w:val="0052158C"/>
    <w:rsid w:val="005962C6"/>
    <w:rsid w:val="006461C6"/>
    <w:rsid w:val="006A6FFF"/>
    <w:rsid w:val="0077264F"/>
    <w:rsid w:val="00863F8D"/>
    <w:rsid w:val="0091257B"/>
    <w:rsid w:val="00935355"/>
    <w:rsid w:val="00A01D1D"/>
    <w:rsid w:val="00A97CE9"/>
    <w:rsid w:val="00D5206A"/>
    <w:rsid w:val="00DA3328"/>
    <w:rsid w:val="00DB3685"/>
    <w:rsid w:val="00E41AE1"/>
    <w:rsid w:val="00E53543"/>
    <w:rsid w:val="00EA634D"/>
    <w:rsid w:val="00FC6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A1363"/>
  <w15:chartTrackingRefBased/>
  <w15:docId w15:val="{CFD4C4BB-9377-054E-BAF7-6E5DDA833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6FF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50CD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50CD6"/>
    <w:rPr>
      <w:i/>
      <w:iCs/>
    </w:rPr>
  </w:style>
  <w:style w:type="character" w:customStyle="1" w:styleId="Heading1Char">
    <w:name w:val="Heading 1 Char"/>
    <w:basedOn w:val="DefaultParagraphFont"/>
    <w:link w:val="Heading1"/>
    <w:uiPriority w:val="9"/>
    <w:rsid w:val="006A6FFF"/>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A3328"/>
  </w:style>
  <w:style w:type="paragraph" w:styleId="TOCHeading">
    <w:name w:val="TOC Heading"/>
    <w:basedOn w:val="Heading1"/>
    <w:next w:val="Normal"/>
    <w:uiPriority w:val="39"/>
    <w:unhideWhenUsed/>
    <w:qFormat/>
    <w:rsid w:val="00DA332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A3328"/>
    <w:pPr>
      <w:spacing w:before="120"/>
    </w:pPr>
    <w:rPr>
      <w:rFonts w:cstheme="minorHAnsi"/>
      <w:b/>
      <w:bCs/>
      <w:i/>
      <w:iCs/>
    </w:rPr>
  </w:style>
  <w:style w:type="character" w:styleId="Hyperlink">
    <w:name w:val="Hyperlink"/>
    <w:basedOn w:val="DefaultParagraphFont"/>
    <w:uiPriority w:val="99"/>
    <w:unhideWhenUsed/>
    <w:rsid w:val="00DA3328"/>
    <w:rPr>
      <w:color w:val="0563C1" w:themeColor="hyperlink"/>
      <w:u w:val="single"/>
    </w:rPr>
  </w:style>
  <w:style w:type="paragraph" w:styleId="TOC2">
    <w:name w:val="toc 2"/>
    <w:basedOn w:val="Normal"/>
    <w:next w:val="Normal"/>
    <w:autoRedefine/>
    <w:uiPriority w:val="39"/>
    <w:semiHidden/>
    <w:unhideWhenUsed/>
    <w:rsid w:val="00DA332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DA3328"/>
    <w:pPr>
      <w:ind w:left="480"/>
    </w:pPr>
    <w:rPr>
      <w:rFonts w:cstheme="minorHAnsi"/>
      <w:sz w:val="20"/>
      <w:szCs w:val="20"/>
    </w:rPr>
  </w:style>
  <w:style w:type="paragraph" w:styleId="TOC4">
    <w:name w:val="toc 4"/>
    <w:basedOn w:val="Normal"/>
    <w:next w:val="Normal"/>
    <w:autoRedefine/>
    <w:uiPriority w:val="39"/>
    <w:semiHidden/>
    <w:unhideWhenUsed/>
    <w:rsid w:val="00DA3328"/>
    <w:pPr>
      <w:ind w:left="720"/>
    </w:pPr>
    <w:rPr>
      <w:rFonts w:cstheme="minorHAnsi"/>
      <w:sz w:val="20"/>
      <w:szCs w:val="20"/>
    </w:rPr>
  </w:style>
  <w:style w:type="paragraph" w:styleId="TOC5">
    <w:name w:val="toc 5"/>
    <w:basedOn w:val="Normal"/>
    <w:next w:val="Normal"/>
    <w:autoRedefine/>
    <w:uiPriority w:val="39"/>
    <w:semiHidden/>
    <w:unhideWhenUsed/>
    <w:rsid w:val="00DA3328"/>
    <w:pPr>
      <w:ind w:left="960"/>
    </w:pPr>
    <w:rPr>
      <w:rFonts w:cstheme="minorHAnsi"/>
      <w:sz w:val="20"/>
      <w:szCs w:val="20"/>
    </w:rPr>
  </w:style>
  <w:style w:type="paragraph" w:styleId="TOC6">
    <w:name w:val="toc 6"/>
    <w:basedOn w:val="Normal"/>
    <w:next w:val="Normal"/>
    <w:autoRedefine/>
    <w:uiPriority w:val="39"/>
    <w:semiHidden/>
    <w:unhideWhenUsed/>
    <w:rsid w:val="00DA3328"/>
    <w:pPr>
      <w:ind w:left="1200"/>
    </w:pPr>
    <w:rPr>
      <w:rFonts w:cstheme="minorHAnsi"/>
      <w:sz w:val="20"/>
      <w:szCs w:val="20"/>
    </w:rPr>
  </w:style>
  <w:style w:type="paragraph" w:styleId="TOC7">
    <w:name w:val="toc 7"/>
    <w:basedOn w:val="Normal"/>
    <w:next w:val="Normal"/>
    <w:autoRedefine/>
    <w:uiPriority w:val="39"/>
    <w:semiHidden/>
    <w:unhideWhenUsed/>
    <w:rsid w:val="00DA3328"/>
    <w:pPr>
      <w:ind w:left="1440"/>
    </w:pPr>
    <w:rPr>
      <w:rFonts w:cstheme="minorHAnsi"/>
      <w:sz w:val="20"/>
      <w:szCs w:val="20"/>
    </w:rPr>
  </w:style>
  <w:style w:type="paragraph" w:styleId="TOC8">
    <w:name w:val="toc 8"/>
    <w:basedOn w:val="Normal"/>
    <w:next w:val="Normal"/>
    <w:autoRedefine/>
    <w:uiPriority w:val="39"/>
    <w:semiHidden/>
    <w:unhideWhenUsed/>
    <w:rsid w:val="00DA3328"/>
    <w:pPr>
      <w:ind w:left="1680"/>
    </w:pPr>
    <w:rPr>
      <w:rFonts w:cstheme="minorHAnsi"/>
      <w:sz w:val="20"/>
      <w:szCs w:val="20"/>
    </w:rPr>
  </w:style>
  <w:style w:type="paragraph" w:styleId="TOC9">
    <w:name w:val="toc 9"/>
    <w:basedOn w:val="Normal"/>
    <w:next w:val="Normal"/>
    <w:autoRedefine/>
    <w:uiPriority w:val="39"/>
    <w:semiHidden/>
    <w:unhideWhenUsed/>
    <w:rsid w:val="00DA3328"/>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59697">
      <w:bodyDiv w:val="1"/>
      <w:marLeft w:val="0"/>
      <w:marRight w:val="0"/>
      <w:marTop w:val="0"/>
      <w:marBottom w:val="0"/>
      <w:divBdr>
        <w:top w:val="none" w:sz="0" w:space="0" w:color="auto"/>
        <w:left w:val="none" w:sz="0" w:space="0" w:color="auto"/>
        <w:bottom w:val="none" w:sz="0" w:space="0" w:color="auto"/>
        <w:right w:val="none" w:sz="0" w:space="0" w:color="auto"/>
      </w:divBdr>
    </w:div>
    <w:div w:id="342708232">
      <w:bodyDiv w:val="1"/>
      <w:marLeft w:val="0"/>
      <w:marRight w:val="0"/>
      <w:marTop w:val="0"/>
      <w:marBottom w:val="0"/>
      <w:divBdr>
        <w:top w:val="none" w:sz="0" w:space="0" w:color="auto"/>
        <w:left w:val="none" w:sz="0" w:space="0" w:color="auto"/>
        <w:bottom w:val="none" w:sz="0" w:space="0" w:color="auto"/>
        <w:right w:val="none" w:sz="0" w:space="0" w:color="auto"/>
      </w:divBdr>
    </w:div>
    <w:div w:id="496649452">
      <w:bodyDiv w:val="1"/>
      <w:marLeft w:val="0"/>
      <w:marRight w:val="0"/>
      <w:marTop w:val="0"/>
      <w:marBottom w:val="0"/>
      <w:divBdr>
        <w:top w:val="none" w:sz="0" w:space="0" w:color="auto"/>
        <w:left w:val="none" w:sz="0" w:space="0" w:color="auto"/>
        <w:bottom w:val="none" w:sz="0" w:space="0" w:color="auto"/>
        <w:right w:val="none" w:sz="0" w:space="0" w:color="auto"/>
      </w:divBdr>
    </w:div>
    <w:div w:id="500237090">
      <w:bodyDiv w:val="1"/>
      <w:marLeft w:val="0"/>
      <w:marRight w:val="0"/>
      <w:marTop w:val="0"/>
      <w:marBottom w:val="0"/>
      <w:divBdr>
        <w:top w:val="none" w:sz="0" w:space="0" w:color="auto"/>
        <w:left w:val="none" w:sz="0" w:space="0" w:color="auto"/>
        <w:bottom w:val="none" w:sz="0" w:space="0" w:color="auto"/>
        <w:right w:val="none" w:sz="0" w:space="0" w:color="auto"/>
      </w:divBdr>
    </w:div>
    <w:div w:id="610164281">
      <w:bodyDiv w:val="1"/>
      <w:marLeft w:val="0"/>
      <w:marRight w:val="0"/>
      <w:marTop w:val="0"/>
      <w:marBottom w:val="0"/>
      <w:divBdr>
        <w:top w:val="none" w:sz="0" w:space="0" w:color="auto"/>
        <w:left w:val="none" w:sz="0" w:space="0" w:color="auto"/>
        <w:bottom w:val="none" w:sz="0" w:space="0" w:color="auto"/>
        <w:right w:val="none" w:sz="0" w:space="0" w:color="auto"/>
      </w:divBdr>
    </w:div>
    <w:div w:id="613754126">
      <w:bodyDiv w:val="1"/>
      <w:marLeft w:val="0"/>
      <w:marRight w:val="0"/>
      <w:marTop w:val="0"/>
      <w:marBottom w:val="0"/>
      <w:divBdr>
        <w:top w:val="none" w:sz="0" w:space="0" w:color="auto"/>
        <w:left w:val="none" w:sz="0" w:space="0" w:color="auto"/>
        <w:bottom w:val="none" w:sz="0" w:space="0" w:color="auto"/>
        <w:right w:val="none" w:sz="0" w:space="0" w:color="auto"/>
      </w:divBdr>
    </w:div>
    <w:div w:id="691956675">
      <w:bodyDiv w:val="1"/>
      <w:marLeft w:val="0"/>
      <w:marRight w:val="0"/>
      <w:marTop w:val="0"/>
      <w:marBottom w:val="0"/>
      <w:divBdr>
        <w:top w:val="none" w:sz="0" w:space="0" w:color="auto"/>
        <w:left w:val="none" w:sz="0" w:space="0" w:color="auto"/>
        <w:bottom w:val="none" w:sz="0" w:space="0" w:color="auto"/>
        <w:right w:val="none" w:sz="0" w:space="0" w:color="auto"/>
      </w:divBdr>
    </w:div>
    <w:div w:id="759907341">
      <w:bodyDiv w:val="1"/>
      <w:marLeft w:val="0"/>
      <w:marRight w:val="0"/>
      <w:marTop w:val="0"/>
      <w:marBottom w:val="0"/>
      <w:divBdr>
        <w:top w:val="none" w:sz="0" w:space="0" w:color="auto"/>
        <w:left w:val="none" w:sz="0" w:space="0" w:color="auto"/>
        <w:bottom w:val="none" w:sz="0" w:space="0" w:color="auto"/>
        <w:right w:val="none" w:sz="0" w:space="0" w:color="auto"/>
      </w:divBdr>
    </w:div>
    <w:div w:id="764574227">
      <w:bodyDiv w:val="1"/>
      <w:marLeft w:val="0"/>
      <w:marRight w:val="0"/>
      <w:marTop w:val="0"/>
      <w:marBottom w:val="0"/>
      <w:divBdr>
        <w:top w:val="none" w:sz="0" w:space="0" w:color="auto"/>
        <w:left w:val="none" w:sz="0" w:space="0" w:color="auto"/>
        <w:bottom w:val="none" w:sz="0" w:space="0" w:color="auto"/>
        <w:right w:val="none" w:sz="0" w:space="0" w:color="auto"/>
      </w:divBdr>
    </w:div>
    <w:div w:id="878202717">
      <w:bodyDiv w:val="1"/>
      <w:marLeft w:val="0"/>
      <w:marRight w:val="0"/>
      <w:marTop w:val="0"/>
      <w:marBottom w:val="0"/>
      <w:divBdr>
        <w:top w:val="none" w:sz="0" w:space="0" w:color="auto"/>
        <w:left w:val="none" w:sz="0" w:space="0" w:color="auto"/>
        <w:bottom w:val="none" w:sz="0" w:space="0" w:color="auto"/>
        <w:right w:val="none" w:sz="0" w:space="0" w:color="auto"/>
      </w:divBdr>
    </w:div>
    <w:div w:id="1001667239">
      <w:bodyDiv w:val="1"/>
      <w:marLeft w:val="0"/>
      <w:marRight w:val="0"/>
      <w:marTop w:val="0"/>
      <w:marBottom w:val="0"/>
      <w:divBdr>
        <w:top w:val="none" w:sz="0" w:space="0" w:color="auto"/>
        <w:left w:val="none" w:sz="0" w:space="0" w:color="auto"/>
        <w:bottom w:val="none" w:sz="0" w:space="0" w:color="auto"/>
        <w:right w:val="none" w:sz="0" w:space="0" w:color="auto"/>
      </w:divBdr>
    </w:div>
    <w:div w:id="1153982616">
      <w:bodyDiv w:val="1"/>
      <w:marLeft w:val="0"/>
      <w:marRight w:val="0"/>
      <w:marTop w:val="0"/>
      <w:marBottom w:val="0"/>
      <w:divBdr>
        <w:top w:val="none" w:sz="0" w:space="0" w:color="auto"/>
        <w:left w:val="none" w:sz="0" w:space="0" w:color="auto"/>
        <w:bottom w:val="none" w:sz="0" w:space="0" w:color="auto"/>
        <w:right w:val="none" w:sz="0" w:space="0" w:color="auto"/>
      </w:divBdr>
    </w:div>
    <w:div w:id="1179081415">
      <w:bodyDiv w:val="1"/>
      <w:marLeft w:val="0"/>
      <w:marRight w:val="0"/>
      <w:marTop w:val="0"/>
      <w:marBottom w:val="0"/>
      <w:divBdr>
        <w:top w:val="none" w:sz="0" w:space="0" w:color="auto"/>
        <w:left w:val="none" w:sz="0" w:space="0" w:color="auto"/>
        <w:bottom w:val="none" w:sz="0" w:space="0" w:color="auto"/>
        <w:right w:val="none" w:sz="0" w:space="0" w:color="auto"/>
      </w:divBdr>
    </w:div>
    <w:div w:id="1288200938">
      <w:bodyDiv w:val="1"/>
      <w:marLeft w:val="0"/>
      <w:marRight w:val="0"/>
      <w:marTop w:val="0"/>
      <w:marBottom w:val="0"/>
      <w:divBdr>
        <w:top w:val="none" w:sz="0" w:space="0" w:color="auto"/>
        <w:left w:val="none" w:sz="0" w:space="0" w:color="auto"/>
        <w:bottom w:val="none" w:sz="0" w:space="0" w:color="auto"/>
        <w:right w:val="none" w:sz="0" w:space="0" w:color="auto"/>
      </w:divBdr>
    </w:div>
    <w:div w:id="1291084337">
      <w:bodyDiv w:val="1"/>
      <w:marLeft w:val="0"/>
      <w:marRight w:val="0"/>
      <w:marTop w:val="0"/>
      <w:marBottom w:val="0"/>
      <w:divBdr>
        <w:top w:val="none" w:sz="0" w:space="0" w:color="auto"/>
        <w:left w:val="none" w:sz="0" w:space="0" w:color="auto"/>
        <w:bottom w:val="none" w:sz="0" w:space="0" w:color="auto"/>
        <w:right w:val="none" w:sz="0" w:space="0" w:color="auto"/>
      </w:divBdr>
    </w:div>
    <w:div w:id="2031907429">
      <w:bodyDiv w:val="1"/>
      <w:marLeft w:val="0"/>
      <w:marRight w:val="0"/>
      <w:marTop w:val="0"/>
      <w:marBottom w:val="0"/>
      <w:divBdr>
        <w:top w:val="none" w:sz="0" w:space="0" w:color="auto"/>
        <w:left w:val="none" w:sz="0" w:space="0" w:color="auto"/>
        <w:bottom w:val="none" w:sz="0" w:space="0" w:color="auto"/>
        <w:right w:val="none" w:sz="0" w:space="0" w:color="auto"/>
      </w:divBdr>
    </w:div>
    <w:div w:id="2064979268">
      <w:bodyDiv w:val="1"/>
      <w:marLeft w:val="0"/>
      <w:marRight w:val="0"/>
      <w:marTop w:val="0"/>
      <w:marBottom w:val="0"/>
      <w:divBdr>
        <w:top w:val="none" w:sz="0" w:space="0" w:color="auto"/>
        <w:left w:val="none" w:sz="0" w:space="0" w:color="auto"/>
        <w:bottom w:val="none" w:sz="0" w:space="0" w:color="auto"/>
        <w:right w:val="none" w:sz="0" w:space="0" w:color="auto"/>
      </w:divBdr>
    </w:div>
    <w:div w:id="2100177222">
      <w:bodyDiv w:val="1"/>
      <w:marLeft w:val="0"/>
      <w:marRight w:val="0"/>
      <w:marTop w:val="0"/>
      <w:marBottom w:val="0"/>
      <w:divBdr>
        <w:top w:val="none" w:sz="0" w:space="0" w:color="auto"/>
        <w:left w:val="none" w:sz="0" w:space="0" w:color="auto"/>
        <w:bottom w:val="none" w:sz="0" w:space="0" w:color="auto"/>
        <w:right w:val="none" w:sz="0" w:space="0" w:color="auto"/>
      </w:divBdr>
    </w:div>
    <w:div w:id="214407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b:Tag>
    <b:SourceType>DocumentFromInternetSite</b:SourceType>
    <b:Guid>{D2DC8768-B454-F349-A664-35439B97151A}</b:Guid>
    <b:Author>
      <b:Author>
        <b:NameList>
          <b:Person>
            <b:Last>Hendricks</b:Last>
            <b:First>Allison</b:First>
          </b:Person>
        </b:NameList>
      </b:Author>
    </b:Author>
    <b:URL>https://simplystakeholders.com/what-is-community-engagement/</b:URL>
    <b:DayAccessed>15 July 2023</b:DayAccessed>
    <b:RefOrder>1</b:RefOrder>
  </b:Source>
  <b:Source>
    <b:Tag>htt17</b:Tag>
    <b:SourceType>DocumentFromInternetSite</b:SourceType>
    <b:Guid>{D1285614-64A3-0749-8A5A-28218094C3BD}</b:Guid>
    <b:URL>https://www.basildon.gov.uk/residents?p=3</b:URL>
    <b:DayAccessed>17 </b:DayAccessed>
    <b:Title>basildon.gov.uk</b:Title>
    <b:YearAccessed>2023</b:YearAccessed>
    <b:MonthAccessed>July</b:MonthAccessed>
    <b:RefOrder>2</b:RefOrder>
  </b:Source>
  <b:Source>
    <b:Tag>Ess23</b:Tag>
    <b:SourceType>InternetSite</b:SourceType>
    <b:Guid>{D513A82F-747F-1248-95F2-0DC7E83F74D3}</b:Guid>
    <b:Title>Essex.gov.uk</b:Title>
    <b:URL>https://www.essex.gov.uk/schools-and-learning/education-and-training-young-people</b:URL>
    <b:Year>2023</b:Year>
    <b:YearAccessed>2023</b:YearAccessed>
    <b:MonthAccessed>July</b:MonthAccessed>
    <b:DayAccessed>20</b:DayAccessed>
    <b:Author>
      <b:Author>
        <b:NameList>
          <b:Person>
            <b:Last>Essex.gov.uk</b:Last>
          </b:Person>
        </b:NameList>
      </b:Author>
    </b:Author>
    <b:RefOrder>3</b:RefOrder>
  </b:Source>
  <b:Source>
    <b:Tag>Ess231</b:Tag>
    <b:SourceType>InternetSite</b:SourceType>
    <b:Guid>{CA7B5582-5DDC-C546-B070-064B5415C38F}</b:Guid>
    <b:Author>
      <b:Author>
        <b:NameList>
          <b:Person>
            <b:Last>Essex</b:Last>
          </b:Person>
        </b:NameList>
      </b:Author>
    </b:Author>
    <b:Title>Essex</b:Title>
    <b:URL>https://www.essex.gov.uk/running-council/plans-and-strategies/everyones-essex</b:URL>
    <b:Year>2023</b:Year>
    <b:YearAccessed>2023</b:YearAccessed>
    <b:MonthAccessed>august</b:MonthAccessed>
    <b:DayAccessed>1</b:DayAccessed>
    <b:RefOrder>4</b:RefOrder>
  </b:Source>
</b:Sources>
</file>

<file path=customXml/itemProps1.xml><?xml version="1.0" encoding="utf-8"?>
<ds:datastoreItem xmlns:ds="http://schemas.openxmlformats.org/officeDocument/2006/customXml" ds:itemID="{9626E7A5-AA36-CA41-81F4-F8377509C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9</Pages>
  <Words>2925</Words>
  <Characters>16673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Cojocari</dc:creator>
  <cp:keywords/>
  <dc:description/>
  <cp:lastModifiedBy>Ana Cojocari</cp:lastModifiedBy>
  <cp:revision>16</cp:revision>
  <dcterms:created xsi:type="dcterms:W3CDTF">2023-07-22T19:16:00Z</dcterms:created>
  <dcterms:modified xsi:type="dcterms:W3CDTF">2023-08-03T20:35:00Z</dcterms:modified>
</cp:coreProperties>
</file>