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2CCC92" w14:textId="5FC9140D" w:rsidR="00C50475" w:rsidRPr="0070233C" w:rsidRDefault="008A6118" w:rsidP="0070233C">
      <w:pPr>
        <w:tabs>
          <w:tab w:val="left" w:pos="1323"/>
        </w:tabs>
        <w:spacing w:before="240" w:after="240" w:line="360" w:lineRule="auto"/>
        <w:jc w:val="both"/>
        <w:rPr>
          <w:rFonts w:eastAsia="Times New Roman"/>
          <w:sz w:val="24"/>
          <w:szCs w:val="24"/>
          <w:lang w:eastAsia="en-GB"/>
        </w:rPr>
      </w:pPr>
      <w:r>
        <w:rPr>
          <w:rFonts w:eastAsia="Times New Roman"/>
          <w:b/>
          <w:bCs/>
          <w:noProof/>
          <w:kern w:val="36"/>
          <w:sz w:val="24"/>
          <w:szCs w:val="24"/>
          <w:lang w:val="en-US" w:eastAsia="en-US"/>
        </w:rPr>
        <w:drawing>
          <wp:anchor distT="0" distB="0" distL="114300" distR="114300" simplePos="0" relativeHeight="251663360" behindDoc="0" locked="0" layoutInCell="1" allowOverlap="1" wp14:anchorId="22A58F84" wp14:editId="3A7B7134">
            <wp:simplePos x="0" y="0"/>
            <wp:positionH relativeFrom="column">
              <wp:posOffset>1234440</wp:posOffset>
            </wp:positionH>
            <wp:positionV relativeFrom="paragraph">
              <wp:posOffset>175260</wp:posOffset>
            </wp:positionV>
            <wp:extent cx="3299460" cy="1348740"/>
            <wp:effectExtent l="0" t="0" r="0" b="3810"/>
            <wp:wrapTopAndBottom/>
            <wp:docPr id="81511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11463" name="Picture 81511463"/>
                    <pic:cNvPicPr/>
                  </pic:nvPicPr>
                  <pic:blipFill>
                    <a:blip r:embed="rId8">
                      <a:extLst>
                        <a:ext uri="{28A0092B-C50C-407E-A947-70E740481C1C}">
                          <a14:useLocalDpi xmlns:a14="http://schemas.microsoft.com/office/drawing/2010/main" val="0"/>
                        </a:ext>
                      </a:extLst>
                    </a:blip>
                    <a:stretch>
                      <a:fillRect/>
                    </a:stretch>
                  </pic:blipFill>
                  <pic:spPr>
                    <a:xfrm>
                      <a:off x="0" y="0"/>
                      <a:ext cx="3299460" cy="1348740"/>
                    </a:xfrm>
                    <a:prstGeom prst="rect">
                      <a:avLst/>
                    </a:prstGeom>
                  </pic:spPr>
                </pic:pic>
              </a:graphicData>
            </a:graphic>
            <wp14:sizeRelH relativeFrom="margin">
              <wp14:pctWidth>0</wp14:pctWidth>
            </wp14:sizeRelH>
            <wp14:sizeRelV relativeFrom="margin">
              <wp14:pctHeight>0</wp14:pctHeight>
            </wp14:sizeRelV>
          </wp:anchor>
        </w:drawing>
      </w:r>
    </w:p>
    <w:p w14:paraId="662485E4" w14:textId="77777777" w:rsidR="008A6118" w:rsidRDefault="008A6118" w:rsidP="0070233C">
      <w:pPr>
        <w:spacing w:before="240" w:after="240" w:line="360" w:lineRule="auto"/>
        <w:jc w:val="both"/>
        <w:rPr>
          <w:rFonts w:eastAsia="Times New Roman"/>
          <w:b/>
          <w:bCs/>
          <w:kern w:val="36"/>
          <w:sz w:val="24"/>
          <w:szCs w:val="24"/>
          <w:lang w:val="en-US" w:eastAsia="en-US"/>
        </w:rPr>
      </w:pPr>
    </w:p>
    <w:p w14:paraId="24EB87DF" w14:textId="4BF87D9A" w:rsidR="004308FD" w:rsidRDefault="00A42AA9" w:rsidP="00B20AC0">
      <w:pPr>
        <w:spacing w:before="240" w:after="240" w:line="360" w:lineRule="auto"/>
        <w:jc w:val="center"/>
        <w:rPr>
          <w:rFonts w:eastAsia="Times New Roman"/>
          <w:b/>
          <w:bCs/>
          <w:kern w:val="36"/>
          <w:sz w:val="32"/>
          <w:szCs w:val="32"/>
          <w:lang w:val="en-US" w:eastAsia="en-US"/>
        </w:rPr>
      </w:pPr>
      <w:r w:rsidRPr="00B20AC0">
        <w:rPr>
          <w:rFonts w:eastAsia="Times New Roman"/>
          <w:b/>
          <w:bCs/>
          <w:kern w:val="36"/>
          <w:sz w:val="32"/>
          <w:szCs w:val="32"/>
          <w:lang w:val="en-US" w:eastAsia="en-US"/>
        </w:rPr>
        <w:t>LCHS7000 Public Health Report</w:t>
      </w:r>
    </w:p>
    <w:p w14:paraId="732BE967" w14:textId="33BD53B4" w:rsidR="008A6118" w:rsidRDefault="008A6118" w:rsidP="00B20AC0">
      <w:pPr>
        <w:spacing w:before="240" w:after="240" w:line="360" w:lineRule="auto"/>
        <w:jc w:val="center"/>
        <w:rPr>
          <w:rFonts w:eastAsia="Times New Roman"/>
          <w:b/>
          <w:bCs/>
          <w:kern w:val="36"/>
          <w:sz w:val="32"/>
          <w:szCs w:val="32"/>
          <w:lang w:val="en-US" w:eastAsia="en-US"/>
        </w:rPr>
      </w:pPr>
      <w:r>
        <w:rPr>
          <w:rFonts w:eastAsia="Times New Roman"/>
          <w:b/>
          <w:bCs/>
          <w:kern w:val="36"/>
          <w:sz w:val="32"/>
          <w:szCs w:val="32"/>
          <w:lang w:val="en-US" w:eastAsia="en-US"/>
        </w:rPr>
        <w:t xml:space="preserve">Student </w:t>
      </w:r>
      <w:proofErr w:type="spellStart"/>
      <w:r>
        <w:rPr>
          <w:rFonts w:eastAsia="Times New Roman"/>
          <w:b/>
          <w:bCs/>
          <w:kern w:val="36"/>
          <w:sz w:val="32"/>
          <w:szCs w:val="32"/>
          <w:lang w:val="en-US" w:eastAsia="en-US"/>
        </w:rPr>
        <w:t>Name:</w:t>
      </w:r>
      <w:r w:rsidR="00E83715">
        <w:rPr>
          <w:rFonts w:eastAsia="Times New Roman"/>
          <w:b/>
          <w:bCs/>
          <w:kern w:val="36"/>
          <w:sz w:val="32"/>
          <w:szCs w:val="32"/>
          <w:lang w:val="en-US" w:eastAsia="en-US"/>
        </w:rPr>
        <w:t>vidhi</w:t>
      </w:r>
      <w:proofErr w:type="spellEnd"/>
      <w:r w:rsidR="00E83715">
        <w:rPr>
          <w:rFonts w:eastAsia="Times New Roman"/>
          <w:b/>
          <w:bCs/>
          <w:kern w:val="36"/>
          <w:sz w:val="32"/>
          <w:szCs w:val="32"/>
          <w:lang w:val="en-US" w:eastAsia="en-US"/>
        </w:rPr>
        <w:t xml:space="preserve"> </w:t>
      </w:r>
      <w:proofErr w:type="spellStart"/>
      <w:r w:rsidR="00E83715">
        <w:rPr>
          <w:rFonts w:eastAsia="Times New Roman"/>
          <w:b/>
          <w:bCs/>
          <w:kern w:val="36"/>
          <w:sz w:val="32"/>
          <w:szCs w:val="32"/>
          <w:lang w:val="en-US" w:eastAsia="en-US"/>
        </w:rPr>
        <w:t>gondaliya</w:t>
      </w:r>
      <w:proofErr w:type="spellEnd"/>
    </w:p>
    <w:p w14:paraId="08F2D2E5" w14:textId="0D0E9F74" w:rsidR="008A6118" w:rsidRDefault="008A6118" w:rsidP="00B20AC0">
      <w:pPr>
        <w:spacing w:before="240" w:after="240" w:line="360" w:lineRule="auto"/>
        <w:jc w:val="center"/>
        <w:rPr>
          <w:rFonts w:eastAsia="Times New Roman"/>
          <w:b/>
          <w:bCs/>
          <w:kern w:val="36"/>
          <w:sz w:val="32"/>
          <w:szCs w:val="32"/>
          <w:lang w:val="en-US" w:eastAsia="en-US"/>
        </w:rPr>
      </w:pPr>
      <w:r>
        <w:rPr>
          <w:rFonts w:eastAsia="Times New Roman"/>
          <w:b/>
          <w:bCs/>
          <w:kern w:val="36"/>
          <w:sz w:val="32"/>
          <w:szCs w:val="32"/>
          <w:lang w:val="en-US" w:eastAsia="en-US"/>
        </w:rPr>
        <w:t xml:space="preserve">Student ID: </w:t>
      </w:r>
      <w:r w:rsidR="0049433D">
        <w:rPr>
          <w:rFonts w:eastAsia="Times New Roman"/>
          <w:b/>
          <w:bCs/>
          <w:kern w:val="36"/>
          <w:sz w:val="32"/>
          <w:szCs w:val="32"/>
          <w:lang w:val="en-US" w:eastAsia="en-US"/>
        </w:rPr>
        <w:t>25</w:t>
      </w:r>
      <w:r w:rsidR="00A440D7">
        <w:rPr>
          <w:rFonts w:eastAsia="Times New Roman"/>
          <w:b/>
          <w:bCs/>
          <w:kern w:val="36"/>
          <w:sz w:val="32"/>
          <w:szCs w:val="32"/>
          <w:lang w:val="en-US" w:eastAsia="en-US"/>
        </w:rPr>
        <w:t>21864</w:t>
      </w:r>
    </w:p>
    <w:p w14:paraId="194A545B" w14:textId="1F3BB6FA" w:rsidR="00A440D7" w:rsidRPr="00B20AC0" w:rsidRDefault="00A440D7" w:rsidP="00B20AC0">
      <w:pPr>
        <w:spacing w:before="240" w:after="240" w:line="360" w:lineRule="auto"/>
        <w:jc w:val="center"/>
        <w:rPr>
          <w:rFonts w:eastAsia="Times New Roman"/>
          <w:sz w:val="32"/>
          <w:szCs w:val="32"/>
          <w:lang w:val="en-US" w:eastAsia="en-US"/>
        </w:rPr>
      </w:pPr>
      <w:r>
        <w:rPr>
          <w:rFonts w:eastAsia="Times New Roman"/>
          <w:b/>
          <w:bCs/>
          <w:kern w:val="36"/>
          <w:sz w:val="32"/>
          <w:szCs w:val="32"/>
          <w:lang w:val="en-US" w:eastAsia="en-US"/>
        </w:rPr>
        <w:t xml:space="preserve">Lecturer name : Muhammed Aliyu </w:t>
      </w:r>
    </w:p>
    <w:p w14:paraId="1F7847EB" w14:textId="3A6332AE" w:rsidR="00C224B3" w:rsidRPr="0070233C" w:rsidRDefault="00C224B3" w:rsidP="0070233C">
      <w:pPr>
        <w:pStyle w:val="NormalWeb"/>
        <w:spacing w:before="240" w:beforeAutospacing="0" w:after="240" w:afterAutospacing="0" w:line="360" w:lineRule="auto"/>
        <w:jc w:val="both"/>
        <w:rPr>
          <w:rFonts w:ascii="Arial" w:hAnsi="Arial" w:cs="Arial"/>
          <w:b/>
          <w:bCs/>
        </w:rPr>
      </w:pPr>
    </w:p>
    <w:p w14:paraId="03F5B7EB" w14:textId="77777777" w:rsidR="0032402A" w:rsidRPr="0070233C" w:rsidRDefault="0032402A" w:rsidP="0070233C">
      <w:pPr>
        <w:pStyle w:val="NormalWeb"/>
        <w:spacing w:before="240" w:beforeAutospacing="0" w:after="240" w:afterAutospacing="0" w:line="360" w:lineRule="auto"/>
        <w:jc w:val="both"/>
        <w:rPr>
          <w:rFonts w:ascii="Arial" w:hAnsi="Arial" w:cs="Arial"/>
          <w:b/>
          <w:bCs/>
        </w:rPr>
      </w:pPr>
    </w:p>
    <w:p w14:paraId="0A9C0A8A" w14:textId="77777777" w:rsidR="00FE5C86" w:rsidRPr="0070233C" w:rsidRDefault="00FE5C86" w:rsidP="0070233C">
      <w:pPr>
        <w:spacing w:before="240" w:after="240" w:line="360" w:lineRule="auto"/>
        <w:jc w:val="both"/>
        <w:rPr>
          <w:b/>
          <w:bCs/>
          <w:sz w:val="24"/>
          <w:szCs w:val="24"/>
        </w:rPr>
      </w:pPr>
      <w:r w:rsidRPr="0070233C">
        <w:rPr>
          <w:b/>
          <w:bCs/>
          <w:sz w:val="24"/>
          <w:szCs w:val="24"/>
        </w:rPr>
        <w:br w:type="page"/>
      </w:r>
    </w:p>
    <w:sdt>
      <w:sdtPr>
        <w:rPr>
          <w:rFonts w:eastAsiaTheme="majorEastAsia"/>
          <w:b/>
          <w:bCs/>
          <w:color w:val="000000" w:themeColor="text1"/>
          <w:sz w:val="24"/>
          <w:szCs w:val="24"/>
          <w:lang w:val="en-US" w:eastAsia="en-US"/>
        </w:rPr>
        <w:id w:val="-1447693352"/>
        <w:docPartObj>
          <w:docPartGallery w:val="Table of Contents"/>
          <w:docPartUnique/>
        </w:docPartObj>
      </w:sdtPr>
      <w:sdtEndPr>
        <w:rPr>
          <w:rFonts w:eastAsia="Arial"/>
          <w:noProof/>
          <w:color w:val="auto"/>
          <w:lang w:val="en-GB" w:eastAsia="en-IN"/>
        </w:rPr>
      </w:sdtEndPr>
      <w:sdtContent>
        <w:p w14:paraId="7644F1E5" w14:textId="1534D4DC" w:rsidR="005446C8" w:rsidRPr="0070233C" w:rsidRDefault="005446C8" w:rsidP="00B20AC0">
          <w:pPr>
            <w:keepNext/>
            <w:keepLines/>
            <w:spacing w:before="240" w:after="240" w:line="360" w:lineRule="auto"/>
            <w:jc w:val="center"/>
            <w:rPr>
              <w:rFonts w:eastAsiaTheme="majorEastAsia"/>
              <w:b/>
              <w:bCs/>
              <w:color w:val="000000" w:themeColor="text1"/>
              <w:sz w:val="24"/>
              <w:szCs w:val="24"/>
              <w:lang w:val="en-US" w:eastAsia="en-US"/>
            </w:rPr>
          </w:pPr>
          <w:r w:rsidRPr="0070233C">
            <w:rPr>
              <w:rFonts w:eastAsiaTheme="majorEastAsia"/>
              <w:b/>
              <w:bCs/>
              <w:color w:val="000000" w:themeColor="text1"/>
              <w:sz w:val="24"/>
              <w:szCs w:val="24"/>
              <w:lang w:val="en-US" w:eastAsia="en-US"/>
            </w:rPr>
            <w:t>Table of Contents</w:t>
          </w:r>
        </w:p>
        <w:p w14:paraId="6743AF7B" w14:textId="5B48E948" w:rsidR="00B20AC0" w:rsidRDefault="005446C8">
          <w:pPr>
            <w:pStyle w:val="TOC1"/>
            <w:rPr>
              <w:rFonts w:asciiTheme="minorHAnsi" w:eastAsiaTheme="minorEastAsia" w:hAnsiTheme="minorHAnsi" w:cstheme="minorBidi"/>
              <w:noProof/>
              <w:kern w:val="2"/>
              <w:sz w:val="24"/>
              <w:szCs w:val="24"/>
              <w:lang w:val="en-US" w:eastAsia="en-US"/>
              <w14:ligatures w14:val="standardContextual"/>
            </w:rPr>
          </w:pPr>
          <w:r w:rsidRPr="0070233C">
            <w:rPr>
              <w:sz w:val="24"/>
              <w:szCs w:val="24"/>
            </w:rPr>
            <w:fldChar w:fldCharType="begin"/>
          </w:r>
          <w:r w:rsidRPr="0070233C">
            <w:rPr>
              <w:sz w:val="24"/>
              <w:szCs w:val="24"/>
            </w:rPr>
            <w:instrText xml:space="preserve"> TOC \o "1-3" \h \z \u </w:instrText>
          </w:r>
          <w:r w:rsidRPr="0070233C">
            <w:rPr>
              <w:sz w:val="24"/>
              <w:szCs w:val="24"/>
            </w:rPr>
            <w:fldChar w:fldCharType="separate"/>
          </w:r>
          <w:hyperlink w:anchor="_Toc228208935" w:history="1">
            <w:r w:rsidR="00B20AC0" w:rsidRPr="00B703F2">
              <w:rPr>
                <w:rStyle w:val="Hyperlink"/>
                <w:noProof/>
                <w:lang w:val="en-US" w:eastAsia="en-US"/>
              </w:rPr>
              <w:t>Task 1: Social Epidemiological Analysis</w:t>
            </w:r>
            <w:r w:rsidR="00B20AC0">
              <w:rPr>
                <w:noProof/>
                <w:webHidden/>
              </w:rPr>
              <w:tab/>
            </w:r>
            <w:r w:rsidR="00B20AC0">
              <w:rPr>
                <w:noProof/>
                <w:webHidden/>
              </w:rPr>
              <w:fldChar w:fldCharType="begin"/>
            </w:r>
            <w:r w:rsidR="00B20AC0">
              <w:rPr>
                <w:noProof/>
                <w:webHidden/>
              </w:rPr>
              <w:instrText xml:space="preserve"> PAGEREF _Toc228208935 \h </w:instrText>
            </w:r>
            <w:r w:rsidR="00B20AC0">
              <w:rPr>
                <w:noProof/>
                <w:webHidden/>
              </w:rPr>
            </w:r>
            <w:r w:rsidR="00B20AC0">
              <w:rPr>
                <w:noProof/>
                <w:webHidden/>
              </w:rPr>
              <w:fldChar w:fldCharType="separate"/>
            </w:r>
            <w:r w:rsidR="00B20AC0">
              <w:rPr>
                <w:noProof/>
                <w:webHidden/>
              </w:rPr>
              <w:t>3</w:t>
            </w:r>
            <w:r w:rsidR="00B20AC0">
              <w:rPr>
                <w:noProof/>
                <w:webHidden/>
              </w:rPr>
              <w:fldChar w:fldCharType="end"/>
            </w:r>
          </w:hyperlink>
        </w:p>
        <w:p w14:paraId="2AAFE258" w14:textId="4BD7B4F7" w:rsidR="00B20AC0" w:rsidRDefault="00B20AC0">
          <w:pPr>
            <w:pStyle w:val="TOC3"/>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8208936" w:history="1">
            <w:r w:rsidRPr="00B703F2">
              <w:rPr>
                <w:rStyle w:val="Hyperlink"/>
                <w:rFonts w:eastAsia="Times New Roman"/>
                <w:b/>
                <w:bCs/>
                <w:i/>
                <w:iCs/>
                <w:noProof/>
                <w:lang w:val="en-US" w:eastAsia="en-US"/>
              </w:rPr>
              <w:t>Age-Related Health Inequality among Older Adults in the UK</w:t>
            </w:r>
            <w:r>
              <w:rPr>
                <w:noProof/>
                <w:webHidden/>
              </w:rPr>
              <w:tab/>
            </w:r>
            <w:r>
              <w:rPr>
                <w:noProof/>
                <w:webHidden/>
              </w:rPr>
              <w:fldChar w:fldCharType="begin"/>
            </w:r>
            <w:r>
              <w:rPr>
                <w:noProof/>
                <w:webHidden/>
              </w:rPr>
              <w:instrText xml:space="preserve"> PAGEREF _Toc228208936 \h </w:instrText>
            </w:r>
            <w:r>
              <w:rPr>
                <w:noProof/>
                <w:webHidden/>
              </w:rPr>
            </w:r>
            <w:r>
              <w:rPr>
                <w:noProof/>
                <w:webHidden/>
              </w:rPr>
              <w:fldChar w:fldCharType="separate"/>
            </w:r>
            <w:r>
              <w:rPr>
                <w:noProof/>
                <w:webHidden/>
              </w:rPr>
              <w:t>3</w:t>
            </w:r>
            <w:r>
              <w:rPr>
                <w:noProof/>
                <w:webHidden/>
              </w:rPr>
              <w:fldChar w:fldCharType="end"/>
            </w:r>
          </w:hyperlink>
        </w:p>
        <w:p w14:paraId="388B0995" w14:textId="7A799947" w:rsidR="00B20AC0" w:rsidRDefault="00B20AC0">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8208937" w:history="1">
            <w:r w:rsidRPr="00B703F2">
              <w:rPr>
                <w:rStyle w:val="Hyperlink"/>
                <w:noProof/>
                <w:lang w:val="en-US" w:eastAsia="en-US"/>
              </w:rPr>
              <w:t>Introduction</w:t>
            </w:r>
            <w:r>
              <w:rPr>
                <w:noProof/>
                <w:webHidden/>
              </w:rPr>
              <w:tab/>
            </w:r>
            <w:r>
              <w:rPr>
                <w:noProof/>
                <w:webHidden/>
              </w:rPr>
              <w:fldChar w:fldCharType="begin"/>
            </w:r>
            <w:r>
              <w:rPr>
                <w:noProof/>
                <w:webHidden/>
              </w:rPr>
              <w:instrText xml:space="preserve"> PAGEREF _Toc228208937 \h </w:instrText>
            </w:r>
            <w:r>
              <w:rPr>
                <w:noProof/>
                <w:webHidden/>
              </w:rPr>
            </w:r>
            <w:r>
              <w:rPr>
                <w:noProof/>
                <w:webHidden/>
              </w:rPr>
              <w:fldChar w:fldCharType="separate"/>
            </w:r>
            <w:r>
              <w:rPr>
                <w:noProof/>
                <w:webHidden/>
              </w:rPr>
              <w:t>3</w:t>
            </w:r>
            <w:r>
              <w:rPr>
                <w:noProof/>
                <w:webHidden/>
              </w:rPr>
              <w:fldChar w:fldCharType="end"/>
            </w:r>
          </w:hyperlink>
        </w:p>
        <w:p w14:paraId="48FB7B23" w14:textId="0B0D6487" w:rsidR="00B20AC0" w:rsidRDefault="00B20AC0">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8208938" w:history="1">
            <w:r w:rsidRPr="00B703F2">
              <w:rPr>
                <w:rStyle w:val="Hyperlink"/>
                <w:noProof/>
              </w:rPr>
              <w:t>Contextual Background and Underlying Factors</w:t>
            </w:r>
            <w:r>
              <w:rPr>
                <w:noProof/>
                <w:webHidden/>
              </w:rPr>
              <w:tab/>
            </w:r>
            <w:r>
              <w:rPr>
                <w:noProof/>
                <w:webHidden/>
              </w:rPr>
              <w:fldChar w:fldCharType="begin"/>
            </w:r>
            <w:r>
              <w:rPr>
                <w:noProof/>
                <w:webHidden/>
              </w:rPr>
              <w:instrText xml:space="preserve"> PAGEREF _Toc228208938 \h </w:instrText>
            </w:r>
            <w:r>
              <w:rPr>
                <w:noProof/>
                <w:webHidden/>
              </w:rPr>
            </w:r>
            <w:r>
              <w:rPr>
                <w:noProof/>
                <w:webHidden/>
              </w:rPr>
              <w:fldChar w:fldCharType="separate"/>
            </w:r>
            <w:r>
              <w:rPr>
                <w:noProof/>
                <w:webHidden/>
              </w:rPr>
              <w:t>3</w:t>
            </w:r>
            <w:r>
              <w:rPr>
                <w:noProof/>
                <w:webHidden/>
              </w:rPr>
              <w:fldChar w:fldCharType="end"/>
            </w:r>
          </w:hyperlink>
        </w:p>
        <w:p w14:paraId="72AFB7AB" w14:textId="0380F3FD" w:rsidR="00B20AC0" w:rsidRDefault="00B20AC0">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8208939" w:history="1">
            <w:r w:rsidRPr="00B703F2">
              <w:rPr>
                <w:rStyle w:val="Hyperlink"/>
                <w:noProof/>
              </w:rPr>
              <w:t>Social Issues Facing Older Adults</w:t>
            </w:r>
            <w:r>
              <w:rPr>
                <w:noProof/>
                <w:webHidden/>
              </w:rPr>
              <w:tab/>
            </w:r>
            <w:r>
              <w:rPr>
                <w:noProof/>
                <w:webHidden/>
              </w:rPr>
              <w:fldChar w:fldCharType="begin"/>
            </w:r>
            <w:r>
              <w:rPr>
                <w:noProof/>
                <w:webHidden/>
              </w:rPr>
              <w:instrText xml:space="preserve"> PAGEREF _Toc228208939 \h </w:instrText>
            </w:r>
            <w:r>
              <w:rPr>
                <w:noProof/>
                <w:webHidden/>
              </w:rPr>
            </w:r>
            <w:r>
              <w:rPr>
                <w:noProof/>
                <w:webHidden/>
              </w:rPr>
              <w:fldChar w:fldCharType="separate"/>
            </w:r>
            <w:r>
              <w:rPr>
                <w:noProof/>
                <w:webHidden/>
              </w:rPr>
              <w:t>5</w:t>
            </w:r>
            <w:r>
              <w:rPr>
                <w:noProof/>
                <w:webHidden/>
              </w:rPr>
              <w:fldChar w:fldCharType="end"/>
            </w:r>
          </w:hyperlink>
        </w:p>
        <w:p w14:paraId="5A25FFAC" w14:textId="3E087771" w:rsidR="00B20AC0" w:rsidRDefault="00B20AC0">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8208940" w:history="1">
            <w:r w:rsidRPr="00B703F2">
              <w:rPr>
                <w:rStyle w:val="Hyperlink"/>
                <w:noProof/>
              </w:rPr>
              <w:t>Task 1 Conclusion</w:t>
            </w:r>
            <w:r>
              <w:rPr>
                <w:noProof/>
                <w:webHidden/>
              </w:rPr>
              <w:tab/>
            </w:r>
            <w:r>
              <w:rPr>
                <w:noProof/>
                <w:webHidden/>
              </w:rPr>
              <w:fldChar w:fldCharType="begin"/>
            </w:r>
            <w:r>
              <w:rPr>
                <w:noProof/>
                <w:webHidden/>
              </w:rPr>
              <w:instrText xml:space="preserve"> PAGEREF _Toc228208940 \h </w:instrText>
            </w:r>
            <w:r>
              <w:rPr>
                <w:noProof/>
                <w:webHidden/>
              </w:rPr>
            </w:r>
            <w:r>
              <w:rPr>
                <w:noProof/>
                <w:webHidden/>
              </w:rPr>
              <w:fldChar w:fldCharType="separate"/>
            </w:r>
            <w:r>
              <w:rPr>
                <w:noProof/>
                <w:webHidden/>
              </w:rPr>
              <w:t>6</w:t>
            </w:r>
            <w:r>
              <w:rPr>
                <w:noProof/>
                <w:webHidden/>
              </w:rPr>
              <w:fldChar w:fldCharType="end"/>
            </w:r>
          </w:hyperlink>
        </w:p>
        <w:p w14:paraId="7ECE608B" w14:textId="1EACADF1" w:rsidR="00B20AC0" w:rsidRDefault="00B20AC0">
          <w:pPr>
            <w:pStyle w:val="TOC1"/>
            <w:rPr>
              <w:rFonts w:asciiTheme="minorHAnsi" w:eastAsiaTheme="minorEastAsia" w:hAnsiTheme="minorHAnsi" w:cstheme="minorBidi"/>
              <w:noProof/>
              <w:kern w:val="2"/>
              <w:sz w:val="24"/>
              <w:szCs w:val="24"/>
              <w:lang w:val="en-US" w:eastAsia="en-US"/>
              <w14:ligatures w14:val="standardContextual"/>
            </w:rPr>
          </w:pPr>
          <w:hyperlink w:anchor="_Toc228208941" w:history="1">
            <w:r w:rsidRPr="00B703F2">
              <w:rPr>
                <w:rStyle w:val="Hyperlink"/>
                <w:noProof/>
              </w:rPr>
              <w:t>Task 2: Epidemiological Analysis</w:t>
            </w:r>
            <w:r>
              <w:rPr>
                <w:noProof/>
                <w:webHidden/>
              </w:rPr>
              <w:tab/>
            </w:r>
            <w:r>
              <w:rPr>
                <w:noProof/>
                <w:webHidden/>
              </w:rPr>
              <w:fldChar w:fldCharType="begin"/>
            </w:r>
            <w:r>
              <w:rPr>
                <w:noProof/>
                <w:webHidden/>
              </w:rPr>
              <w:instrText xml:space="preserve"> PAGEREF _Toc228208941 \h </w:instrText>
            </w:r>
            <w:r>
              <w:rPr>
                <w:noProof/>
                <w:webHidden/>
              </w:rPr>
            </w:r>
            <w:r>
              <w:rPr>
                <w:noProof/>
                <w:webHidden/>
              </w:rPr>
              <w:fldChar w:fldCharType="separate"/>
            </w:r>
            <w:r>
              <w:rPr>
                <w:noProof/>
                <w:webHidden/>
              </w:rPr>
              <w:t>6</w:t>
            </w:r>
            <w:r>
              <w:rPr>
                <w:noProof/>
                <w:webHidden/>
              </w:rPr>
              <w:fldChar w:fldCharType="end"/>
            </w:r>
          </w:hyperlink>
        </w:p>
        <w:p w14:paraId="4E5AA663" w14:textId="613BE7C5" w:rsidR="00B20AC0" w:rsidRDefault="00B20AC0">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8208942" w:history="1">
            <w:r w:rsidRPr="00B703F2">
              <w:rPr>
                <w:rStyle w:val="Hyperlink"/>
                <w:noProof/>
              </w:rPr>
              <w:t>Introduction</w:t>
            </w:r>
            <w:r>
              <w:rPr>
                <w:noProof/>
                <w:webHidden/>
              </w:rPr>
              <w:tab/>
            </w:r>
            <w:r>
              <w:rPr>
                <w:noProof/>
                <w:webHidden/>
              </w:rPr>
              <w:fldChar w:fldCharType="begin"/>
            </w:r>
            <w:r>
              <w:rPr>
                <w:noProof/>
                <w:webHidden/>
              </w:rPr>
              <w:instrText xml:space="preserve"> PAGEREF _Toc228208942 \h </w:instrText>
            </w:r>
            <w:r>
              <w:rPr>
                <w:noProof/>
                <w:webHidden/>
              </w:rPr>
            </w:r>
            <w:r>
              <w:rPr>
                <w:noProof/>
                <w:webHidden/>
              </w:rPr>
              <w:fldChar w:fldCharType="separate"/>
            </w:r>
            <w:r>
              <w:rPr>
                <w:noProof/>
                <w:webHidden/>
              </w:rPr>
              <w:t>7</w:t>
            </w:r>
            <w:r>
              <w:rPr>
                <w:noProof/>
                <w:webHidden/>
              </w:rPr>
              <w:fldChar w:fldCharType="end"/>
            </w:r>
          </w:hyperlink>
        </w:p>
        <w:p w14:paraId="06AE0167" w14:textId="321F3C10" w:rsidR="00B20AC0" w:rsidRDefault="00B20AC0">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8208943" w:history="1">
            <w:r w:rsidRPr="00B703F2">
              <w:rPr>
                <w:rStyle w:val="Hyperlink"/>
                <w:noProof/>
              </w:rPr>
              <w:t>Incidence, Prevalence and Inequality</w:t>
            </w:r>
            <w:r>
              <w:rPr>
                <w:noProof/>
                <w:webHidden/>
              </w:rPr>
              <w:tab/>
            </w:r>
            <w:r>
              <w:rPr>
                <w:noProof/>
                <w:webHidden/>
              </w:rPr>
              <w:fldChar w:fldCharType="begin"/>
            </w:r>
            <w:r>
              <w:rPr>
                <w:noProof/>
                <w:webHidden/>
              </w:rPr>
              <w:instrText xml:space="preserve"> PAGEREF _Toc228208943 \h </w:instrText>
            </w:r>
            <w:r>
              <w:rPr>
                <w:noProof/>
                <w:webHidden/>
              </w:rPr>
            </w:r>
            <w:r>
              <w:rPr>
                <w:noProof/>
                <w:webHidden/>
              </w:rPr>
              <w:fldChar w:fldCharType="separate"/>
            </w:r>
            <w:r>
              <w:rPr>
                <w:noProof/>
                <w:webHidden/>
              </w:rPr>
              <w:t>7</w:t>
            </w:r>
            <w:r>
              <w:rPr>
                <w:noProof/>
                <w:webHidden/>
              </w:rPr>
              <w:fldChar w:fldCharType="end"/>
            </w:r>
          </w:hyperlink>
        </w:p>
        <w:p w14:paraId="5C78934C" w14:textId="5CBCE6CD" w:rsidR="00B20AC0" w:rsidRDefault="00B20AC0">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8208944" w:history="1">
            <w:r w:rsidRPr="00B703F2">
              <w:rPr>
                <w:rStyle w:val="Hyperlink"/>
                <w:noProof/>
              </w:rPr>
              <w:t>Public Health Measures Using the 3 Ps</w:t>
            </w:r>
            <w:r>
              <w:rPr>
                <w:noProof/>
                <w:webHidden/>
              </w:rPr>
              <w:tab/>
            </w:r>
            <w:r>
              <w:rPr>
                <w:noProof/>
                <w:webHidden/>
              </w:rPr>
              <w:fldChar w:fldCharType="begin"/>
            </w:r>
            <w:r>
              <w:rPr>
                <w:noProof/>
                <w:webHidden/>
              </w:rPr>
              <w:instrText xml:space="preserve"> PAGEREF _Toc228208944 \h </w:instrText>
            </w:r>
            <w:r>
              <w:rPr>
                <w:noProof/>
                <w:webHidden/>
              </w:rPr>
            </w:r>
            <w:r>
              <w:rPr>
                <w:noProof/>
                <w:webHidden/>
              </w:rPr>
              <w:fldChar w:fldCharType="separate"/>
            </w:r>
            <w:r>
              <w:rPr>
                <w:noProof/>
                <w:webHidden/>
              </w:rPr>
              <w:t>8</w:t>
            </w:r>
            <w:r>
              <w:rPr>
                <w:noProof/>
                <w:webHidden/>
              </w:rPr>
              <w:fldChar w:fldCharType="end"/>
            </w:r>
          </w:hyperlink>
        </w:p>
        <w:p w14:paraId="18B7C45F" w14:textId="5418D351" w:rsidR="00B20AC0" w:rsidRDefault="00B20AC0">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8208945" w:history="1">
            <w:r w:rsidRPr="00B703F2">
              <w:rPr>
                <w:rStyle w:val="Hyperlink"/>
                <w:noProof/>
              </w:rPr>
              <w:t>Determinants and Risk Factors</w:t>
            </w:r>
            <w:r>
              <w:rPr>
                <w:noProof/>
                <w:webHidden/>
              </w:rPr>
              <w:tab/>
            </w:r>
            <w:r>
              <w:rPr>
                <w:noProof/>
                <w:webHidden/>
              </w:rPr>
              <w:fldChar w:fldCharType="begin"/>
            </w:r>
            <w:r>
              <w:rPr>
                <w:noProof/>
                <w:webHidden/>
              </w:rPr>
              <w:instrText xml:space="preserve"> PAGEREF _Toc228208945 \h </w:instrText>
            </w:r>
            <w:r>
              <w:rPr>
                <w:noProof/>
                <w:webHidden/>
              </w:rPr>
            </w:r>
            <w:r>
              <w:rPr>
                <w:noProof/>
                <w:webHidden/>
              </w:rPr>
              <w:fldChar w:fldCharType="separate"/>
            </w:r>
            <w:r>
              <w:rPr>
                <w:noProof/>
                <w:webHidden/>
              </w:rPr>
              <w:t>8</w:t>
            </w:r>
            <w:r>
              <w:rPr>
                <w:noProof/>
                <w:webHidden/>
              </w:rPr>
              <w:fldChar w:fldCharType="end"/>
            </w:r>
          </w:hyperlink>
        </w:p>
        <w:p w14:paraId="5CF52A5B" w14:textId="7239C825" w:rsidR="00B20AC0" w:rsidRDefault="00B20AC0">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8208946" w:history="1">
            <w:r w:rsidRPr="00B703F2">
              <w:rPr>
                <w:rStyle w:val="Hyperlink"/>
                <w:noProof/>
              </w:rPr>
              <w:t>Epidemiological Studies and Surveillance</w:t>
            </w:r>
            <w:r>
              <w:rPr>
                <w:noProof/>
                <w:webHidden/>
              </w:rPr>
              <w:tab/>
            </w:r>
            <w:r>
              <w:rPr>
                <w:noProof/>
                <w:webHidden/>
              </w:rPr>
              <w:fldChar w:fldCharType="begin"/>
            </w:r>
            <w:r>
              <w:rPr>
                <w:noProof/>
                <w:webHidden/>
              </w:rPr>
              <w:instrText xml:space="preserve"> PAGEREF _Toc228208946 \h </w:instrText>
            </w:r>
            <w:r>
              <w:rPr>
                <w:noProof/>
                <w:webHidden/>
              </w:rPr>
            </w:r>
            <w:r>
              <w:rPr>
                <w:noProof/>
                <w:webHidden/>
              </w:rPr>
              <w:fldChar w:fldCharType="separate"/>
            </w:r>
            <w:r>
              <w:rPr>
                <w:noProof/>
                <w:webHidden/>
              </w:rPr>
              <w:t>9</w:t>
            </w:r>
            <w:r>
              <w:rPr>
                <w:noProof/>
                <w:webHidden/>
              </w:rPr>
              <w:fldChar w:fldCharType="end"/>
            </w:r>
          </w:hyperlink>
        </w:p>
        <w:p w14:paraId="4466C797" w14:textId="4287074F" w:rsidR="00B20AC0" w:rsidRDefault="00B20AC0">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8208947" w:history="1">
            <w:r w:rsidRPr="00B703F2">
              <w:rPr>
                <w:rStyle w:val="Hyperlink"/>
                <w:noProof/>
              </w:rPr>
              <w:t>Proposed Public Health Intervention</w:t>
            </w:r>
            <w:r>
              <w:rPr>
                <w:noProof/>
                <w:webHidden/>
              </w:rPr>
              <w:tab/>
            </w:r>
            <w:r>
              <w:rPr>
                <w:noProof/>
                <w:webHidden/>
              </w:rPr>
              <w:fldChar w:fldCharType="begin"/>
            </w:r>
            <w:r>
              <w:rPr>
                <w:noProof/>
                <w:webHidden/>
              </w:rPr>
              <w:instrText xml:space="preserve"> PAGEREF _Toc228208947 \h </w:instrText>
            </w:r>
            <w:r>
              <w:rPr>
                <w:noProof/>
                <w:webHidden/>
              </w:rPr>
            </w:r>
            <w:r>
              <w:rPr>
                <w:noProof/>
                <w:webHidden/>
              </w:rPr>
              <w:fldChar w:fldCharType="separate"/>
            </w:r>
            <w:r>
              <w:rPr>
                <w:noProof/>
                <w:webHidden/>
              </w:rPr>
              <w:t>9</w:t>
            </w:r>
            <w:r>
              <w:rPr>
                <w:noProof/>
                <w:webHidden/>
              </w:rPr>
              <w:fldChar w:fldCharType="end"/>
            </w:r>
          </w:hyperlink>
        </w:p>
        <w:p w14:paraId="3603C03A" w14:textId="40C8218F" w:rsidR="00B20AC0" w:rsidRDefault="00B20AC0">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8208948" w:history="1">
            <w:r w:rsidRPr="00B703F2">
              <w:rPr>
                <w:rStyle w:val="Hyperlink"/>
                <w:noProof/>
              </w:rPr>
              <w:t>Strengths and Weaknesses of the Epidemiological Approach</w:t>
            </w:r>
            <w:r>
              <w:rPr>
                <w:noProof/>
                <w:webHidden/>
              </w:rPr>
              <w:tab/>
            </w:r>
            <w:r>
              <w:rPr>
                <w:noProof/>
                <w:webHidden/>
              </w:rPr>
              <w:fldChar w:fldCharType="begin"/>
            </w:r>
            <w:r>
              <w:rPr>
                <w:noProof/>
                <w:webHidden/>
              </w:rPr>
              <w:instrText xml:space="preserve"> PAGEREF _Toc228208948 \h </w:instrText>
            </w:r>
            <w:r>
              <w:rPr>
                <w:noProof/>
                <w:webHidden/>
              </w:rPr>
            </w:r>
            <w:r>
              <w:rPr>
                <w:noProof/>
                <w:webHidden/>
              </w:rPr>
              <w:fldChar w:fldCharType="separate"/>
            </w:r>
            <w:r>
              <w:rPr>
                <w:noProof/>
                <w:webHidden/>
              </w:rPr>
              <w:t>10</w:t>
            </w:r>
            <w:r>
              <w:rPr>
                <w:noProof/>
                <w:webHidden/>
              </w:rPr>
              <w:fldChar w:fldCharType="end"/>
            </w:r>
          </w:hyperlink>
        </w:p>
        <w:p w14:paraId="48F238C7" w14:textId="4726C7E5" w:rsidR="00B20AC0" w:rsidRDefault="00B20AC0">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8208949" w:history="1">
            <w:r w:rsidRPr="00B703F2">
              <w:rPr>
                <w:rStyle w:val="Hyperlink"/>
                <w:noProof/>
              </w:rPr>
              <w:t>Task 2 Conclusion</w:t>
            </w:r>
            <w:r>
              <w:rPr>
                <w:noProof/>
                <w:webHidden/>
              </w:rPr>
              <w:tab/>
            </w:r>
            <w:r>
              <w:rPr>
                <w:noProof/>
                <w:webHidden/>
              </w:rPr>
              <w:fldChar w:fldCharType="begin"/>
            </w:r>
            <w:r>
              <w:rPr>
                <w:noProof/>
                <w:webHidden/>
              </w:rPr>
              <w:instrText xml:space="preserve"> PAGEREF _Toc228208949 \h </w:instrText>
            </w:r>
            <w:r>
              <w:rPr>
                <w:noProof/>
                <w:webHidden/>
              </w:rPr>
            </w:r>
            <w:r>
              <w:rPr>
                <w:noProof/>
                <w:webHidden/>
              </w:rPr>
              <w:fldChar w:fldCharType="separate"/>
            </w:r>
            <w:r>
              <w:rPr>
                <w:noProof/>
                <w:webHidden/>
              </w:rPr>
              <w:t>10</w:t>
            </w:r>
            <w:r>
              <w:rPr>
                <w:noProof/>
                <w:webHidden/>
              </w:rPr>
              <w:fldChar w:fldCharType="end"/>
            </w:r>
          </w:hyperlink>
        </w:p>
        <w:p w14:paraId="0F78FD9E" w14:textId="729C8653" w:rsidR="00B20AC0" w:rsidRDefault="00B20AC0">
          <w:pPr>
            <w:pStyle w:val="TOC1"/>
            <w:rPr>
              <w:rFonts w:asciiTheme="minorHAnsi" w:eastAsiaTheme="minorEastAsia" w:hAnsiTheme="minorHAnsi" w:cstheme="minorBidi"/>
              <w:noProof/>
              <w:kern w:val="2"/>
              <w:sz w:val="24"/>
              <w:szCs w:val="24"/>
              <w:lang w:val="en-US" w:eastAsia="en-US"/>
              <w14:ligatures w14:val="standardContextual"/>
            </w:rPr>
          </w:pPr>
          <w:hyperlink w:anchor="_Toc228208950" w:history="1">
            <w:r w:rsidRPr="00B703F2">
              <w:rPr>
                <w:rStyle w:val="Hyperlink"/>
                <w:noProof/>
                <w:lang w:val="en-US" w:eastAsia="en-US"/>
              </w:rPr>
              <w:t>Reference List</w:t>
            </w:r>
            <w:r>
              <w:rPr>
                <w:noProof/>
                <w:webHidden/>
              </w:rPr>
              <w:tab/>
            </w:r>
            <w:r>
              <w:rPr>
                <w:noProof/>
                <w:webHidden/>
              </w:rPr>
              <w:fldChar w:fldCharType="begin"/>
            </w:r>
            <w:r>
              <w:rPr>
                <w:noProof/>
                <w:webHidden/>
              </w:rPr>
              <w:instrText xml:space="preserve"> PAGEREF _Toc228208950 \h </w:instrText>
            </w:r>
            <w:r>
              <w:rPr>
                <w:noProof/>
                <w:webHidden/>
              </w:rPr>
            </w:r>
            <w:r>
              <w:rPr>
                <w:noProof/>
                <w:webHidden/>
              </w:rPr>
              <w:fldChar w:fldCharType="separate"/>
            </w:r>
            <w:r>
              <w:rPr>
                <w:noProof/>
                <w:webHidden/>
              </w:rPr>
              <w:t>11</w:t>
            </w:r>
            <w:r>
              <w:rPr>
                <w:noProof/>
                <w:webHidden/>
              </w:rPr>
              <w:fldChar w:fldCharType="end"/>
            </w:r>
          </w:hyperlink>
        </w:p>
        <w:p w14:paraId="5831E412" w14:textId="2FA64947" w:rsidR="005446C8" w:rsidRPr="0070233C" w:rsidRDefault="005446C8" w:rsidP="0070233C">
          <w:pPr>
            <w:spacing w:before="240" w:after="240" w:line="360" w:lineRule="auto"/>
            <w:jc w:val="both"/>
            <w:rPr>
              <w:sz w:val="24"/>
              <w:szCs w:val="24"/>
            </w:rPr>
          </w:pPr>
          <w:r w:rsidRPr="0070233C">
            <w:rPr>
              <w:b/>
              <w:bCs/>
              <w:noProof/>
              <w:sz w:val="24"/>
              <w:szCs w:val="24"/>
            </w:rPr>
            <w:fldChar w:fldCharType="end"/>
          </w:r>
        </w:p>
      </w:sdtContent>
    </w:sdt>
    <w:p w14:paraId="0D075FC8" w14:textId="77777777" w:rsidR="005446C8" w:rsidRPr="0070233C" w:rsidRDefault="005446C8" w:rsidP="0070233C">
      <w:pPr>
        <w:spacing w:before="240" w:after="240" w:line="360" w:lineRule="auto"/>
        <w:jc w:val="both"/>
        <w:rPr>
          <w:b/>
          <w:bCs/>
          <w:sz w:val="24"/>
          <w:szCs w:val="24"/>
        </w:rPr>
      </w:pPr>
    </w:p>
    <w:p w14:paraId="6EF23BF1" w14:textId="77777777" w:rsidR="005446C8" w:rsidRPr="0070233C" w:rsidRDefault="005446C8" w:rsidP="0070233C">
      <w:pPr>
        <w:spacing w:before="240" w:after="240" w:line="360" w:lineRule="auto"/>
        <w:jc w:val="both"/>
        <w:rPr>
          <w:sz w:val="24"/>
          <w:szCs w:val="24"/>
        </w:rPr>
      </w:pPr>
      <w:r w:rsidRPr="0070233C">
        <w:rPr>
          <w:sz w:val="24"/>
          <w:szCs w:val="24"/>
        </w:rPr>
        <w:br w:type="page"/>
      </w:r>
    </w:p>
    <w:p w14:paraId="4CFDF803" w14:textId="77777777" w:rsidR="00A42AA9" w:rsidRPr="0070233C" w:rsidRDefault="00A42AA9" w:rsidP="0070233C">
      <w:pPr>
        <w:pStyle w:val="Heading1"/>
        <w:spacing w:before="240" w:after="240"/>
        <w:rPr>
          <w:rFonts w:ascii="Arial" w:hAnsi="Arial" w:cs="Arial"/>
          <w:sz w:val="24"/>
          <w:szCs w:val="24"/>
          <w:lang w:val="en-US" w:eastAsia="en-US"/>
        </w:rPr>
      </w:pPr>
      <w:bookmarkStart w:id="0" w:name="_Toc228208935"/>
      <w:r w:rsidRPr="0070233C">
        <w:rPr>
          <w:rFonts w:ascii="Arial" w:hAnsi="Arial" w:cs="Arial"/>
          <w:sz w:val="24"/>
          <w:szCs w:val="24"/>
          <w:lang w:val="en-US" w:eastAsia="en-US"/>
        </w:rPr>
        <w:lastRenderedPageBreak/>
        <w:t>Task 1: Social Epidemiological Analysis</w:t>
      </w:r>
      <w:bookmarkEnd w:id="0"/>
    </w:p>
    <w:p w14:paraId="46206920" w14:textId="77777777" w:rsidR="00A42AA9" w:rsidRPr="0070233C" w:rsidRDefault="00A42AA9" w:rsidP="0070233C">
      <w:pPr>
        <w:spacing w:before="240" w:after="240" w:line="360" w:lineRule="auto"/>
        <w:jc w:val="both"/>
        <w:outlineLvl w:val="2"/>
        <w:rPr>
          <w:rFonts w:eastAsia="Times New Roman"/>
          <w:b/>
          <w:bCs/>
          <w:i/>
          <w:iCs/>
          <w:sz w:val="24"/>
          <w:szCs w:val="24"/>
          <w:lang w:val="en-US" w:eastAsia="en-US"/>
        </w:rPr>
      </w:pPr>
      <w:bookmarkStart w:id="1" w:name="_Toc228208936"/>
      <w:r w:rsidRPr="0070233C">
        <w:rPr>
          <w:rFonts w:eastAsia="Times New Roman"/>
          <w:b/>
          <w:bCs/>
          <w:i/>
          <w:iCs/>
          <w:sz w:val="24"/>
          <w:szCs w:val="24"/>
          <w:lang w:val="en-US" w:eastAsia="en-US"/>
        </w:rPr>
        <w:t>Age-Related Health Inequality among Older Adults in the UK</w:t>
      </w:r>
      <w:bookmarkEnd w:id="1"/>
    </w:p>
    <w:p w14:paraId="646DC8E3" w14:textId="77777777" w:rsidR="00A42AA9" w:rsidRPr="0070233C" w:rsidRDefault="00A42AA9" w:rsidP="0070233C">
      <w:pPr>
        <w:pStyle w:val="Heading2"/>
        <w:spacing w:after="240"/>
        <w:rPr>
          <w:rFonts w:ascii="Arial" w:hAnsi="Arial" w:cs="Arial"/>
          <w:lang w:val="en-US" w:eastAsia="en-US"/>
        </w:rPr>
      </w:pPr>
      <w:bookmarkStart w:id="2" w:name="_Toc228208937"/>
      <w:r w:rsidRPr="0070233C">
        <w:rPr>
          <w:rFonts w:ascii="Arial" w:hAnsi="Arial" w:cs="Arial"/>
          <w:lang w:val="en-US" w:eastAsia="en-US"/>
        </w:rPr>
        <w:t>Introduction</w:t>
      </w:r>
      <w:bookmarkEnd w:id="2"/>
    </w:p>
    <w:p w14:paraId="0EC873DC" w14:textId="62FEEE61" w:rsidR="00185A46" w:rsidRDefault="00D71AC9" w:rsidP="0070233C">
      <w:pPr>
        <w:pStyle w:val="NormalWeb"/>
        <w:spacing w:before="240" w:beforeAutospacing="0" w:after="240" w:afterAutospacing="0" w:line="360" w:lineRule="auto"/>
        <w:jc w:val="both"/>
        <w:rPr>
          <w:rFonts w:ascii="Arial" w:hAnsi="Arial" w:cs="Arial"/>
        </w:rPr>
      </w:pPr>
      <w:r>
        <w:rPr>
          <w:rFonts w:ascii="Arial" w:hAnsi="Arial" w:cs="Arial"/>
          <w:noProof/>
        </w:rPr>
        <w:drawing>
          <wp:anchor distT="0" distB="0" distL="114300" distR="114300" simplePos="0" relativeHeight="251659264" behindDoc="0" locked="0" layoutInCell="1" allowOverlap="1" wp14:anchorId="7ECD0C9D" wp14:editId="2E7F071B">
            <wp:simplePos x="0" y="0"/>
            <wp:positionH relativeFrom="column">
              <wp:posOffset>0</wp:posOffset>
            </wp:positionH>
            <wp:positionV relativeFrom="paragraph">
              <wp:posOffset>2503805</wp:posOffset>
            </wp:positionV>
            <wp:extent cx="5733415" cy="4053840"/>
            <wp:effectExtent l="0" t="0" r="635" b="3810"/>
            <wp:wrapTopAndBottom/>
            <wp:docPr id="6521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1709" name="Picture 6521709"/>
                    <pic:cNvPicPr/>
                  </pic:nvPicPr>
                  <pic:blipFill>
                    <a:blip r:embed="rId9">
                      <a:extLst>
                        <a:ext uri="{28A0092B-C50C-407E-A947-70E740481C1C}">
                          <a14:useLocalDpi xmlns:a14="http://schemas.microsoft.com/office/drawing/2010/main" val="0"/>
                        </a:ext>
                      </a:extLst>
                    </a:blip>
                    <a:stretch>
                      <a:fillRect/>
                    </a:stretch>
                  </pic:blipFill>
                  <pic:spPr>
                    <a:xfrm>
                      <a:off x="0" y="0"/>
                      <a:ext cx="5733415" cy="4053840"/>
                    </a:xfrm>
                    <a:prstGeom prst="rect">
                      <a:avLst/>
                    </a:prstGeom>
                  </pic:spPr>
                </pic:pic>
              </a:graphicData>
            </a:graphic>
          </wp:anchor>
        </w:drawing>
      </w:r>
      <w:r w:rsidR="00185A46" w:rsidRPr="0070233C">
        <w:rPr>
          <w:rFonts w:ascii="Arial" w:hAnsi="Arial" w:cs="Arial"/>
        </w:rPr>
        <w:t>Health inequalities associated with ageing are unfair and avoidable variations in health status, access to health services and well-being among older adults. This page explores the UK's population aged 65+</w:t>
      </w:r>
      <w:r w:rsidR="00B84FFA">
        <w:rPr>
          <w:rFonts w:ascii="Arial" w:hAnsi="Arial" w:cs="Arial"/>
        </w:rPr>
        <w:t xml:space="preserve"> (</w:t>
      </w:r>
      <w:proofErr w:type="spellStart"/>
      <w:r w:rsidR="00B84FFA">
        <w:rPr>
          <w:rFonts w:ascii="Arial" w:hAnsi="Arial" w:cs="Arial"/>
        </w:rPr>
        <w:t>Ageuk</w:t>
      </w:r>
      <w:proofErr w:type="spellEnd"/>
      <w:r w:rsidR="00B84FFA">
        <w:rPr>
          <w:rFonts w:ascii="Arial" w:hAnsi="Arial" w:cs="Arial"/>
        </w:rPr>
        <w:t>, 2025)</w:t>
      </w:r>
      <w:r w:rsidR="00185A46" w:rsidRPr="0070233C">
        <w:rPr>
          <w:rFonts w:ascii="Arial" w:hAnsi="Arial" w:cs="Arial"/>
        </w:rPr>
        <w:t>. Older people are at risk of health inequalities as ageing is associated with an increased risk of chronic illness, poverty, loss, disability, social isolation and reliance on health and social care services. But not all older adults experience ageing in the same way. The Centre for Ageing Better suggests that incomes, housing, jobs, disability and local services in later life are key factors shaping later life: some people have fewer health resources than others as they enter later life (Centre for Ageing Better, 2024a).</w:t>
      </w:r>
    </w:p>
    <w:p w14:paraId="17E70D7F" w14:textId="63FC14CB" w:rsidR="00B20AC0" w:rsidRDefault="00D71AC9" w:rsidP="00D71AC9">
      <w:pPr>
        <w:pStyle w:val="NormalWeb"/>
        <w:spacing w:before="240" w:beforeAutospacing="0" w:after="240" w:afterAutospacing="0" w:line="360" w:lineRule="auto"/>
        <w:jc w:val="center"/>
        <w:rPr>
          <w:rFonts w:ascii="Arial" w:hAnsi="Arial" w:cs="Arial"/>
          <w:b/>
          <w:bCs/>
        </w:rPr>
      </w:pPr>
      <w:r>
        <w:rPr>
          <w:rFonts w:ascii="Arial" w:hAnsi="Arial" w:cs="Arial"/>
          <w:b/>
          <w:bCs/>
        </w:rPr>
        <w:t xml:space="preserve">Figure 1: </w:t>
      </w:r>
      <w:r w:rsidR="00B84FFA">
        <w:rPr>
          <w:rFonts w:ascii="Arial" w:hAnsi="Arial" w:cs="Arial"/>
          <w:b/>
          <w:bCs/>
        </w:rPr>
        <w:t xml:space="preserve">Population of </w:t>
      </w:r>
      <w:proofErr w:type="spellStart"/>
      <w:r w:rsidR="00B84FFA">
        <w:rPr>
          <w:rFonts w:ascii="Arial" w:hAnsi="Arial" w:cs="Arial"/>
          <w:b/>
          <w:bCs/>
        </w:rPr>
        <w:t>OldAge</w:t>
      </w:r>
      <w:proofErr w:type="spellEnd"/>
    </w:p>
    <w:p w14:paraId="715E07E8" w14:textId="755F000D" w:rsidR="00B84FFA" w:rsidRPr="00B84FFA" w:rsidRDefault="00B84FFA" w:rsidP="00D71AC9">
      <w:pPr>
        <w:pStyle w:val="NormalWeb"/>
        <w:spacing w:before="240" w:beforeAutospacing="0" w:after="240" w:afterAutospacing="0" w:line="360" w:lineRule="auto"/>
        <w:jc w:val="center"/>
        <w:rPr>
          <w:rFonts w:ascii="Arial" w:hAnsi="Arial" w:cs="Arial"/>
        </w:rPr>
      </w:pPr>
      <w:r>
        <w:rPr>
          <w:rFonts w:ascii="Arial" w:hAnsi="Arial" w:cs="Arial"/>
        </w:rPr>
        <w:t xml:space="preserve">(Source: </w:t>
      </w:r>
      <w:proofErr w:type="spellStart"/>
      <w:r>
        <w:rPr>
          <w:rFonts w:ascii="Arial" w:hAnsi="Arial" w:cs="Arial"/>
        </w:rPr>
        <w:t>Ageuk</w:t>
      </w:r>
      <w:proofErr w:type="spellEnd"/>
      <w:r>
        <w:rPr>
          <w:rFonts w:ascii="Arial" w:hAnsi="Arial" w:cs="Arial"/>
        </w:rPr>
        <w:t>, 2025)</w:t>
      </w:r>
    </w:p>
    <w:p w14:paraId="3B116F07"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lastRenderedPageBreak/>
        <w:t>The UK is getting older. The Centre for Ageing Better estimates the population aged 65-79 will almost increase by 30% in the next 40 years, while those aged 80 and over will more than double (Centre for Ageing Better, 2024b). This means age inequality is a significant public health challenge, rather than just an individual problem of ageing.</w:t>
      </w:r>
    </w:p>
    <w:p w14:paraId="26DD2A8C" w14:textId="77777777" w:rsidR="00185A46" w:rsidRPr="0070233C" w:rsidRDefault="00185A46" w:rsidP="0070233C">
      <w:pPr>
        <w:pStyle w:val="Heading2"/>
        <w:spacing w:after="240"/>
        <w:rPr>
          <w:rFonts w:ascii="Arial" w:hAnsi="Arial" w:cs="Arial"/>
        </w:rPr>
      </w:pPr>
      <w:bookmarkStart w:id="3" w:name="_Toc228208938"/>
      <w:r w:rsidRPr="0070233C">
        <w:rPr>
          <w:rFonts w:ascii="Arial" w:hAnsi="Arial" w:cs="Arial"/>
        </w:rPr>
        <w:t>Contextual Background and Underlying Factors</w:t>
      </w:r>
      <w:bookmarkEnd w:id="3"/>
    </w:p>
    <w:p w14:paraId="0DB60FE2" w14:textId="77777777" w:rsidR="00185A46" w:rsidRPr="0070233C" w:rsidRDefault="00185A46" w:rsidP="0070233C">
      <w:pPr>
        <w:pStyle w:val="NormalWeb"/>
        <w:spacing w:before="240" w:beforeAutospacing="0" w:after="240" w:afterAutospacing="0" w:line="360" w:lineRule="auto"/>
        <w:jc w:val="both"/>
        <w:rPr>
          <w:rFonts w:ascii="Arial" w:hAnsi="Arial" w:cs="Arial"/>
          <w:b/>
          <w:bCs/>
          <w:i/>
          <w:iCs/>
        </w:rPr>
      </w:pPr>
      <w:r w:rsidRPr="0070233C">
        <w:rPr>
          <w:rFonts w:ascii="Arial" w:hAnsi="Arial" w:cs="Arial"/>
          <w:b/>
          <w:bCs/>
          <w:i/>
          <w:iCs/>
        </w:rPr>
        <w:t>Dementia</w:t>
      </w:r>
    </w:p>
    <w:p w14:paraId="1C8C0E78" w14:textId="77777777" w:rsidR="00185A46"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t>Dementia is a significant illness inequality for older people. In the UK, Alzheimer's Society estimates that approximately one million people are living with dementia, and by 2040 this will increase to 1.4 million people (Alzheimer's Society, 2024). According to Alzheimer's Disease International, dementia is also a global concern as the number of people living with this condition is rising at the same rate as population ageing (Alzheimer's Disease International, 2024). While the greatest risk factor for developing dementia is ageing, it is also associated with social factors throughout life.</w:t>
      </w:r>
    </w:p>
    <w:p w14:paraId="624617FC" w14:textId="609B20FC" w:rsidR="004A0E4D" w:rsidRDefault="006B60F5" w:rsidP="004B6353">
      <w:pPr>
        <w:pStyle w:val="NormalWeb"/>
        <w:spacing w:before="240" w:beforeAutospacing="0" w:after="240" w:afterAutospacing="0" w:line="360" w:lineRule="auto"/>
        <w:jc w:val="center"/>
        <w:rPr>
          <w:rFonts w:ascii="Arial" w:hAnsi="Arial" w:cs="Arial"/>
          <w:b/>
          <w:bCs/>
        </w:rPr>
      </w:pPr>
      <w:r>
        <w:rPr>
          <w:rFonts w:ascii="Arial" w:hAnsi="Arial" w:cs="Arial"/>
          <w:noProof/>
        </w:rPr>
        <w:lastRenderedPageBreak/>
        <w:drawing>
          <wp:anchor distT="0" distB="0" distL="114300" distR="114300" simplePos="0" relativeHeight="251660288" behindDoc="0" locked="0" layoutInCell="1" allowOverlap="1" wp14:anchorId="7F4ADF75" wp14:editId="7CF8C938">
            <wp:simplePos x="0" y="0"/>
            <wp:positionH relativeFrom="column">
              <wp:posOffset>0</wp:posOffset>
            </wp:positionH>
            <wp:positionV relativeFrom="paragraph">
              <wp:posOffset>0</wp:posOffset>
            </wp:positionV>
            <wp:extent cx="5733415" cy="5608320"/>
            <wp:effectExtent l="0" t="0" r="635" b="0"/>
            <wp:wrapTopAndBottom/>
            <wp:docPr id="10315365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536570" name="Picture 1031536570"/>
                    <pic:cNvPicPr/>
                  </pic:nvPicPr>
                  <pic:blipFill>
                    <a:blip r:embed="rId10">
                      <a:extLst>
                        <a:ext uri="{28A0092B-C50C-407E-A947-70E740481C1C}">
                          <a14:useLocalDpi xmlns:a14="http://schemas.microsoft.com/office/drawing/2010/main" val="0"/>
                        </a:ext>
                      </a:extLst>
                    </a:blip>
                    <a:stretch>
                      <a:fillRect/>
                    </a:stretch>
                  </pic:blipFill>
                  <pic:spPr>
                    <a:xfrm>
                      <a:off x="0" y="0"/>
                      <a:ext cx="5733415" cy="5608320"/>
                    </a:xfrm>
                    <a:prstGeom prst="rect">
                      <a:avLst/>
                    </a:prstGeom>
                  </pic:spPr>
                </pic:pic>
              </a:graphicData>
            </a:graphic>
          </wp:anchor>
        </w:drawing>
      </w:r>
      <w:r w:rsidR="004B6353">
        <w:rPr>
          <w:rFonts w:ascii="Arial" w:hAnsi="Arial" w:cs="Arial"/>
          <w:b/>
          <w:bCs/>
        </w:rPr>
        <w:t xml:space="preserve">Figure 2: Annual Worldwide Cost of </w:t>
      </w:r>
      <w:proofErr w:type="spellStart"/>
      <w:r w:rsidR="004B6353">
        <w:rPr>
          <w:rFonts w:ascii="Arial" w:hAnsi="Arial" w:cs="Arial"/>
          <w:b/>
          <w:bCs/>
        </w:rPr>
        <w:t>Dimentia</w:t>
      </w:r>
      <w:proofErr w:type="spellEnd"/>
      <w:r w:rsidR="004B6353">
        <w:rPr>
          <w:rFonts w:ascii="Arial" w:hAnsi="Arial" w:cs="Arial"/>
          <w:b/>
          <w:bCs/>
        </w:rPr>
        <w:t xml:space="preserve"> </w:t>
      </w:r>
    </w:p>
    <w:p w14:paraId="3FFF5339" w14:textId="799AC80D" w:rsidR="004B6353" w:rsidRPr="004B6353" w:rsidRDefault="004B6353" w:rsidP="004B6353">
      <w:pPr>
        <w:pStyle w:val="NormalWeb"/>
        <w:spacing w:before="240" w:beforeAutospacing="0" w:after="240" w:afterAutospacing="0" w:line="360" w:lineRule="auto"/>
        <w:jc w:val="center"/>
        <w:rPr>
          <w:rFonts w:ascii="Arial" w:hAnsi="Arial" w:cs="Arial"/>
        </w:rPr>
      </w:pPr>
      <w:r>
        <w:rPr>
          <w:rFonts w:ascii="Arial" w:hAnsi="Arial" w:cs="Arial"/>
        </w:rPr>
        <w:t>(Source: Alzheimer’s Society, 2024)</w:t>
      </w:r>
    </w:p>
    <w:p w14:paraId="4413E25E"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t>Livingston et al. (2024) attribute dementia risk to potentially modifiable factors including low education, hearing loss, depression, physical inactivity and social isolation, as well as diabetes and air pollution. So, dementia inequality is not biological. Low socioeconomic status in older adults means an older adult may be diagnosed later, have less access to memory clinics and fewer family or community resources.</w:t>
      </w:r>
    </w:p>
    <w:p w14:paraId="49E002A5" w14:textId="77777777" w:rsidR="00185A46" w:rsidRPr="0070233C" w:rsidRDefault="00185A46" w:rsidP="0070233C">
      <w:pPr>
        <w:pStyle w:val="NormalWeb"/>
        <w:spacing w:before="240" w:beforeAutospacing="0" w:after="240" w:afterAutospacing="0" w:line="360" w:lineRule="auto"/>
        <w:jc w:val="both"/>
        <w:rPr>
          <w:rFonts w:ascii="Arial" w:hAnsi="Arial" w:cs="Arial"/>
          <w:b/>
          <w:bCs/>
          <w:i/>
          <w:iCs/>
        </w:rPr>
      </w:pPr>
      <w:r w:rsidRPr="0070233C">
        <w:rPr>
          <w:rFonts w:ascii="Arial" w:hAnsi="Arial" w:cs="Arial"/>
          <w:b/>
          <w:bCs/>
          <w:i/>
          <w:iCs/>
        </w:rPr>
        <w:t>Heart Disease and Other Long-Term Conditions</w:t>
      </w:r>
    </w:p>
    <w:p w14:paraId="31D24D42" w14:textId="14FE02C8" w:rsidR="00185A46"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t xml:space="preserve">Another health inequality for older adults is cardiovascular disease. It becomes more prevalent with age, but occurs more in people exposed to poverty, poor housing, poor </w:t>
      </w:r>
      <w:r w:rsidRPr="0070233C">
        <w:rPr>
          <w:rFonts w:ascii="Arial" w:hAnsi="Arial" w:cs="Arial"/>
        </w:rPr>
        <w:lastRenderedPageBreak/>
        <w:t xml:space="preserve">diet, smoking, stress and low prevention in the early life course. The NHS Health Check is aimed at detecting risk of heart disease, stroke, diabetes and kidney disease in adults 40-74 years of age (Office for Health Improvement and Disparities, 2022). But people who are most vulnerable may be less likely to attend if they have trouble </w:t>
      </w:r>
      <w:r w:rsidR="00BE7AD2">
        <w:rPr>
          <w:rFonts w:ascii="Arial" w:hAnsi="Arial" w:cs="Arial"/>
          <w:noProof/>
        </w:rPr>
        <w:drawing>
          <wp:anchor distT="0" distB="0" distL="114300" distR="114300" simplePos="0" relativeHeight="251661312" behindDoc="0" locked="0" layoutInCell="1" allowOverlap="1" wp14:anchorId="0ED175BD" wp14:editId="511DAB59">
            <wp:simplePos x="0" y="0"/>
            <wp:positionH relativeFrom="column">
              <wp:posOffset>0</wp:posOffset>
            </wp:positionH>
            <wp:positionV relativeFrom="paragraph">
              <wp:posOffset>1466215</wp:posOffset>
            </wp:positionV>
            <wp:extent cx="5733415" cy="4040505"/>
            <wp:effectExtent l="0" t="0" r="635" b="0"/>
            <wp:wrapTopAndBottom/>
            <wp:docPr id="4718931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893165" name="Picture 471893165"/>
                    <pic:cNvPicPr/>
                  </pic:nvPicPr>
                  <pic:blipFill>
                    <a:blip r:embed="rId11">
                      <a:extLst>
                        <a:ext uri="{28A0092B-C50C-407E-A947-70E740481C1C}">
                          <a14:useLocalDpi xmlns:a14="http://schemas.microsoft.com/office/drawing/2010/main" val="0"/>
                        </a:ext>
                      </a:extLst>
                    </a:blip>
                    <a:stretch>
                      <a:fillRect/>
                    </a:stretch>
                  </pic:blipFill>
                  <pic:spPr>
                    <a:xfrm>
                      <a:off x="0" y="0"/>
                      <a:ext cx="5733415" cy="4040505"/>
                    </a:xfrm>
                    <a:prstGeom prst="rect">
                      <a:avLst/>
                    </a:prstGeom>
                  </pic:spPr>
                </pic:pic>
              </a:graphicData>
            </a:graphic>
          </wp:anchor>
        </w:drawing>
      </w:r>
      <w:r w:rsidRPr="0070233C">
        <w:rPr>
          <w:rFonts w:ascii="Arial" w:hAnsi="Arial" w:cs="Arial"/>
        </w:rPr>
        <w:t>accessing transport or are digitally excluded, or lack confidence in services.</w:t>
      </w:r>
    </w:p>
    <w:p w14:paraId="1C694DEC" w14:textId="2856909A" w:rsidR="004B6353" w:rsidRDefault="00BE7AD2" w:rsidP="00BE7AD2">
      <w:pPr>
        <w:pStyle w:val="NormalWeb"/>
        <w:spacing w:before="240" w:beforeAutospacing="0" w:after="240" w:afterAutospacing="0" w:line="360" w:lineRule="auto"/>
        <w:jc w:val="center"/>
        <w:rPr>
          <w:rFonts w:ascii="Arial" w:hAnsi="Arial" w:cs="Arial"/>
          <w:b/>
          <w:bCs/>
        </w:rPr>
      </w:pPr>
      <w:r>
        <w:rPr>
          <w:rFonts w:ascii="Arial" w:hAnsi="Arial" w:cs="Arial"/>
          <w:b/>
          <w:bCs/>
        </w:rPr>
        <w:t xml:space="preserve">Figure 3: Health State Prevalence </w:t>
      </w:r>
    </w:p>
    <w:p w14:paraId="7847C276" w14:textId="319F71AB" w:rsidR="00BE7AD2" w:rsidRPr="00BE7AD2" w:rsidRDefault="00BE7AD2" w:rsidP="00BE7AD2">
      <w:pPr>
        <w:pStyle w:val="NormalWeb"/>
        <w:spacing w:before="240" w:beforeAutospacing="0" w:after="240" w:afterAutospacing="0" w:line="360" w:lineRule="auto"/>
        <w:jc w:val="center"/>
        <w:rPr>
          <w:rFonts w:ascii="Arial" w:hAnsi="Arial" w:cs="Arial"/>
        </w:rPr>
      </w:pPr>
      <w:r>
        <w:rPr>
          <w:rFonts w:ascii="Arial" w:hAnsi="Arial" w:cs="Arial"/>
        </w:rPr>
        <w:t>(Source::Office for Health Improvement and Disparities, 2022)</w:t>
      </w:r>
    </w:p>
    <w:p w14:paraId="6BEAA43B"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t>The Marmot Review 10 Years On concluded health inequalities in England have grown, and that residents of more deprived areas live more years in poor health (Institute of Health Equity, 2020). This is significant because many older people don't become ill only in later life; they have become ill as a result of inequalities that have accumulated from exposure to poverty, insecure employment, poor housing and unequal exposure to prevention.</w:t>
      </w:r>
    </w:p>
    <w:p w14:paraId="23AB61AC" w14:textId="77777777" w:rsidR="00185A46" w:rsidRPr="0070233C" w:rsidRDefault="00185A46" w:rsidP="0070233C">
      <w:pPr>
        <w:pStyle w:val="NormalWeb"/>
        <w:spacing w:before="240" w:beforeAutospacing="0" w:after="240" w:afterAutospacing="0" w:line="360" w:lineRule="auto"/>
        <w:jc w:val="both"/>
        <w:rPr>
          <w:rFonts w:ascii="Arial" w:hAnsi="Arial" w:cs="Arial"/>
          <w:b/>
          <w:bCs/>
          <w:i/>
          <w:iCs/>
        </w:rPr>
      </w:pPr>
      <w:r w:rsidRPr="0070233C">
        <w:rPr>
          <w:rFonts w:ascii="Arial" w:hAnsi="Arial" w:cs="Arial"/>
          <w:b/>
          <w:bCs/>
          <w:i/>
          <w:iCs/>
        </w:rPr>
        <w:t>Mental Illness, Loneliness and Multimorbidity</w:t>
      </w:r>
    </w:p>
    <w:p w14:paraId="00CECF17"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lastRenderedPageBreak/>
        <w:t xml:space="preserve">Psychological disorders among older adults are often overlooked as depression and anxiety may be perceived as normal ageing. Age UK estimates 940,000 people (65 years and older) in the UK are lonely regularly, which is one in fourteen older adults (Age UK, 2024b). Donovan and Blazer (2020) demonstrate that social isolation and loneliness affect mental and physical health among older people. </w:t>
      </w:r>
      <w:proofErr w:type="spellStart"/>
      <w:r w:rsidRPr="0070233C">
        <w:rPr>
          <w:rFonts w:ascii="Arial" w:hAnsi="Arial" w:cs="Arial"/>
        </w:rPr>
        <w:t>Hounkpatin</w:t>
      </w:r>
      <w:proofErr w:type="spellEnd"/>
      <w:r w:rsidRPr="0070233C">
        <w:rPr>
          <w:rFonts w:ascii="Arial" w:hAnsi="Arial" w:cs="Arial"/>
        </w:rPr>
        <w:t xml:space="preserve"> et al. (2025) also show that loneliness and social isolation are associated with multimorbidity, by demonstrating that social disadvantage can exacerbate multiple chronic health conditions.</w:t>
      </w:r>
    </w:p>
    <w:p w14:paraId="18EB6366"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t xml:space="preserve">Loneliness is a broader issue with ageing populations. </w:t>
      </w:r>
      <w:proofErr w:type="spellStart"/>
      <w:r w:rsidRPr="0070233C">
        <w:rPr>
          <w:rFonts w:ascii="Arial" w:hAnsi="Arial" w:cs="Arial"/>
        </w:rPr>
        <w:t>Puyané</w:t>
      </w:r>
      <w:proofErr w:type="spellEnd"/>
      <w:r w:rsidRPr="0070233C">
        <w:rPr>
          <w:rFonts w:ascii="Arial" w:hAnsi="Arial" w:cs="Arial"/>
        </w:rPr>
        <w:t xml:space="preserve"> et al. (2025) say loneliness is increasingly important for public health as the population ages. This means we need to prioritise community engagement, access to services and prevention to tackle mental illness among older adults, not just medication.</w:t>
      </w:r>
    </w:p>
    <w:p w14:paraId="195102D2" w14:textId="77777777" w:rsidR="00185A46" w:rsidRPr="0070233C" w:rsidRDefault="00185A46" w:rsidP="0070233C">
      <w:pPr>
        <w:pStyle w:val="Heading2"/>
        <w:spacing w:after="240"/>
        <w:rPr>
          <w:rFonts w:ascii="Arial" w:hAnsi="Arial" w:cs="Arial"/>
        </w:rPr>
      </w:pPr>
      <w:bookmarkStart w:id="4" w:name="_Toc228208939"/>
      <w:r w:rsidRPr="0070233C">
        <w:rPr>
          <w:rFonts w:ascii="Arial" w:hAnsi="Arial" w:cs="Arial"/>
        </w:rPr>
        <w:t>Social Issues Facing Older Adults</w:t>
      </w:r>
      <w:bookmarkEnd w:id="4"/>
    </w:p>
    <w:p w14:paraId="53E5EB32" w14:textId="77777777" w:rsidR="00185A46" w:rsidRPr="0070233C" w:rsidRDefault="00185A46" w:rsidP="0070233C">
      <w:pPr>
        <w:pStyle w:val="NormalWeb"/>
        <w:spacing w:before="240" w:beforeAutospacing="0" w:after="240" w:afterAutospacing="0" w:line="360" w:lineRule="auto"/>
        <w:jc w:val="both"/>
        <w:rPr>
          <w:rFonts w:ascii="Arial" w:hAnsi="Arial" w:cs="Arial"/>
          <w:b/>
          <w:bCs/>
          <w:i/>
          <w:iCs/>
        </w:rPr>
      </w:pPr>
      <w:r w:rsidRPr="0070233C">
        <w:rPr>
          <w:rFonts w:ascii="Arial" w:hAnsi="Arial" w:cs="Arial"/>
          <w:b/>
          <w:bCs/>
          <w:i/>
          <w:iCs/>
        </w:rPr>
        <w:t>Poverty and Less Healthy Life</w:t>
      </w:r>
    </w:p>
    <w:p w14:paraId="367CC880" w14:textId="77777777" w:rsidR="00185A46"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t>Health inequalities associated with ageing are caused in part by poverty. The Centre for Ageing Better states that at age 65, people living in the least deprived areas have around twice the number of remaining healthy years as those in the most deprived areas (men around 13.5 healthy years compared to men around 6.6, women around 14.3 compared to women around 7.1) (Centre for Ageing Better, 2024c). This demonstrates inequality continues into old age and is associated with income, housing and neighbourhood opportunities.</w:t>
      </w:r>
    </w:p>
    <w:p w14:paraId="1BF0A05B" w14:textId="77777777" w:rsidR="00B334F1" w:rsidRDefault="00B334F1" w:rsidP="0070233C">
      <w:pPr>
        <w:pStyle w:val="NormalWeb"/>
        <w:spacing w:before="240" w:beforeAutospacing="0" w:after="240" w:afterAutospacing="0" w:line="360" w:lineRule="auto"/>
        <w:jc w:val="both"/>
        <w:rPr>
          <w:rFonts w:ascii="Arial" w:hAnsi="Arial" w:cs="Arial"/>
        </w:rPr>
      </w:pPr>
    </w:p>
    <w:p w14:paraId="564CEBDC" w14:textId="77777777" w:rsidR="00B334F1" w:rsidRDefault="00B334F1" w:rsidP="0070233C">
      <w:pPr>
        <w:pStyle w:val="NormalWeb"/>
        <w:spacing w:before="240" w:beforeAutospacing="0" w:after="240" w:afterAutospacing="0" w:line="360" w:lineRule="auto"/>
        <w:jc w:val="both"/>
        <w:rPr>
          <w:rFonts w:ascii="Arial" w:hAnsi="Arial" w:cs="Arial"/>
        </w:rPr>
      </w:pPr>
    </w:p>
    <w:p w14:paraId="2782087B" w14:textId="77777777" w:rsidR="00B334F1" w:rsidRDefault="00B334F1" w:rsidP="0070233C">
      <w:pPr>
        <w:pStyle w:val="NormalWeb"/>
        <w:spacing w:before="240" w:beforeAutospacing="0" w:after="240" w:afterAutospacing="0" w:line="360" w:lineRule="auto"/>
        <w:jc w:val="both"/>
        <w:rPr>
          <w:rFonts w:ascii="Arial" w:hAnsi="Arial" w:cs="Arial"/>
        </w:rPr>
      </w:pPr>
    </w:p>
    <w:p w14:paraId="14D2B183" w14:textId="77777777" w:rsidR="00B334F1" w:rsidRDefault="00B334F1" w:rsidP="0070233C">
      <w:pPr>
        <w:pStyle w:val="NormalWeb"/>
        <w:spacing w:before="240" w:beforeAutospacing="0" w:after="240" w:afterAutospacing="0" w:line="360" w:lineRule="auto"/>
        <w:jc w:val="both"/>
        <w:rPr>
          <w:rFonts w:ascii="Arial" w:hAnsi="Arial" w:cs="Arial"/>
        </w:rPr>
      </w:pPr>
    </w:p>
    <w:p w14:paraId="3AAB13A3" w14:textId="77777777" w:rsidR="00B334F1" w:rsidRDefault="00B334F1" w:rsidP="0070233C">
      <w:pPr>
        <w:pStyle w:val="NormalWeb"/>
        <w:spacing w:before="240" w:beforeAutospacing="0" w:after="240" w:afterAutospacing="0" w:line="360" w:lineRule="auto"/>
        <w:jc w:val="both"/>
        <w:rPr>
          <w:rFonts w:ascii="Arial" w:hAnsi="Arial" w:cs="Arial"/>
        </w:rPr>
      </w:pPr>
    </w:p>
    <w:p w14:paraId="09F866B6" w14:textId="77777777" w:rsidR="00B334F1" w:rsidRDefault="00B334F1" w:rsidP="0070233C">
      <w:pPr>
        <w:pStyle w:val="NormalWeb"/>
        <w:spacing w:before="240" w:beforeAutospacing="0" w:after="240" w:afterAutospacing="0" w:line="360" w:lineRule="auto"/>
        <w:jc w:val="both"/>
        <w:rPr>
          <w:rFonts w:ascii="Arial" w:hAnsi="Arial" w:cs="Arial"/>
        </w:rPr>
      </w:pPr>
    </w:p>
    <w:p w14:paraId="35BA3418" w14:textId="4496BA32" w:rsidR="00B334F1" w:rsidRDefault="0006712D" w:rsidP="0006712D">
      <w:pPr>
        <w:pStyle w:val="NormalWeb"/>
        <w:spacing w:before="240" w:beforeAutospacing="0" w:after="240" w:afterAutospacing="0" w:line="360" w:lineRule="auto"/>
        <w:jc w:val="center"/>
        <w:rPr>
          <w:rFonts w:ascii="Arial" w:hAnsi="Arial" w:cs="Arial"/>
          <w:b/>
          <w:bCs/>
        </w:rPr>
      </w:pPr>
      <w:r>
        <w:rPr>
          <w:rFonts w:ascii="Arial" w:hAnsi="Arial" w:cs="Arial"/>
          <w:noProof/>
        </w:rPr>
        <w:lastRenderedPageBreak/>
        <w:drawing>
          <wp:anchor distT="0" distB="0" distL="114300" distR="114300" simplePos="0" relativeHeight="251662336" behindDoc="0" locked="0" layoutInCell="1" allowOverlap="1" wp14:anchorId="3776F02C" wp14:editId="04B7AAF3">
            <wp:simplePos x="0" y="0"/>
            <wp:positionH relativeFrom="column">
              <wp:posOffset>27940</wp:posOffset>
            </wp:positionH>
            <wp:positionV relativeFrom="paragraph">
              <wp:posOffset>49530</wp:posOffset>
            </wp:positionV>
            <wp:extent cx="5733415" cy="6158865"/>
            <wp:effectExtent l="0" t="0" r="635" b="0"/>
            <wp:wrapTopAndBottom/>
            <wp:docPr id="17044586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458640" name="Picture 1704458640"/>
                    <pic:cNvPicPr/>
                  </pic:nvPicPr>
                  <pic:blipFill>
                    <a:blip r:embed="rId12">
                      <a:extLst>
                        <a:ext uri="{28A0092B-C50C-407E-A947-70E740481C1C}">
                          <a14:useLocalDpi xmlns:a14="http://schemas.microsoft.com/office/drawing/2010/main" val="0"/>
                        </a:ext>
                      </a:extLst>
                    </a:blip>
                    <a:stretch>
                      <a:fillRect/>
                    </a:stretch>
                  </pic:blipFill>
                  <pic:spPr>
                    <a:xfrm>
                      <a:off x="0" y="0"/>
                      <a:ext cx="5733415" cy="6158865"/>
                    </a:xfrm>
                    <a:prstGeom prst="rect">
                      <a:avLst/>
                    </a:prstGeom>
                  </pic:spPr>
                </pic:pic>
              </a:graphicData>
            </a:graphic>
          </wp:anchor>
        </w:drawing>
      </w:r>
      <w:r>
        <w:rPr>
          <w:rFonts w:ascii="Arial" w:hAnsi="Arial" w:cs="Arial"/>
          <w:b/>
          <w:bCs/>
        </w:rPr>
        <w:t xml:space="preserve">Figure 4: Living Shorter Lives </w:t>
      </w:r>
    </w:p>
    <w:p w14:paraId="5F1F4F0A" w14:textId="35CE1E5D" w:rsidR="0006712D" w:rsidRPr="0006712D" w:rsidRDefault="0006712D" w:rsidP="0006712D">
      <w:pPr>
        <w:pStyle w:val="NormalWeb"/>
        <w:spacing w:before="240" w:beforeAutospacing="0" w:after="240" w:afterAutospacing="0" w:line="360" w:lineRule="auto"/>
        <w:jc w:val="center"/>
        <w:rPr>
          <w:rFonts w:ascii="Arial" w:hAnsi="Arial" w:cs="Arial"/>
        </w:rPr>
      </w:pPr>
      <w:r>
        <w:rPr>
          <w:rFonts w:ascii="Arial" w:hAnsi="Arial" w:cs="Arial"/>
        </w:rPr>
        <w:t>(Source: Centre for Ageing Better, 2024)</w:t>
      </w:r>
    </w:p>
    <w:p w14:paraId="6C24A4DF"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t>The Office for National Statistics also calculate healthy life expectancy, which is helpful as it demonstrates not just how long we live, but how long we live in good health (Office for National Statistics, 2024). This is important because some older adults live longer but for many years with pain, discomfort, mobility issues and care needs.</w:t>
      </w:r>
    </w:p>
    <w:p w14:paraId="54D5FF10" w14:textId="77777777" w:rsidR="00185A46" w:rsidRPr="0070233C" w:rsidRDefault="00185A46" w:rsidP="0070233C">
      <w:pPr>
        <w:pStyle w:val="NormalWeb"/>
        <w:spacing w:before="240" w:beforeAutospacing="0" w:after="240" w:afterAutospacing="0" w:line="360" w:lineRule="auto"/>
        <w:jc w:val="both"/>
        <w:rPr>
          <w:rFonts w:ascii="Arial" w:hAnsi="Arial" w:cs="Arial"/>
          <w:b/>
          <w:bCs/>
          <w:i/>
          <w:iCs/>
        </w:rPr>
      </w:pPr>
      <w:r w:rsidRPr="0070233C">
        <w:rPr>
          <w:rFonts w:ascii="Arial" w:hAnsi="Arial" w:cs="Arial"/>
          <w:b/>
          <w:bCs/>
          <w:i/>
          <w:iCs/>
        </w:rPr>
        <w:t>Access to NHS and Social Care</w:t>
      </w:r>
    </w:p>
    <w:p w14:paraId="30A6F2FD"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lastRenderedPageBreak/>
        <w:t>Older adults may encounter barriers in accessing health and social care services, such as waiting times, lack of integrated services, transport issues, lack of digital literacy and unmet needs. Age UK claims many older people are finding it difficult to get quality NHS care and social care services and that the system is "not ready for an ageing population" (Age UK, 2024a). Khan (2024) also claims that ageing populations need better public health planning, prevention and community approaches to support.</w:t>
      </w:r>
    </w:p>
    <w:p w14:paraId="0FC49626"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t>This causes inequality as older people with family support, wealth, transport and digital skills can access services. Older people who are single, poor or have disability may face delayed diagnosis, avoidable hospitalisation and disability.</w:t>
      </w:r>
    </w:p>
    <w:p w14:paraId="03C0F92A" w14:textId="77777777" w:rsidR="00185A46" w:rsidRPr="0070233C" w:rsidRDefault="00185A46" w:rsidP="0070233C">
      <w:pPr>
        <w:pStyle w:val="NormalWeb"/>
        <w:spacing w:before="240" w:beforeAutospacing="0" w:after="240" w:afterAutospacing="0" w:line="360" w:lineRule="auto"/>
        <w:jc w:val="both"/>
        <w:rPr>
          <w:rFonts w:ascii="Arial" w:hAnsi="Arial" w:cs="Arial"/>
          <w:b/>
          <w:bCs/>
          <w:i/>
          <w:iCs/>
        </w:rPr>
      </w:pPr>
      <w:r w:rsidRPr="0070233C">
        <w:rPr>
          <w:rFonts w:ascii="Arial" w:hAnsi="Arial" w:cs="Arial"/>
          <w:b/>
          <w:bCs/>
          <w:i/>
          <w:iCs/>
        </w:rPr>
        <w:t>Housing, Fuel Poverty and Community Exclusion</w:t>
      </w:r>
    </w:p>
    <w:p w14:paraId="1D236D11"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t>Housing is a critical social determinant. Housing can increase the risk of falls, respiratory illnesses, lack of warmth and feelings of isolation and non-security. The Centre for Ageing Better connects health and well-being in later life to housing, employment, income and health, revealing social factors shape our experiences of ageing (Centre for Ageing Better, 2024a). Inadequate housing can limit older adults' participation in social and physical activities.</w:t>
      </w:r>
    </w:p>
    <w:p w14:paraId="731BF07A" w14:textId="77777777" w:rsidR="00185A46" w:rsidRPr="0070233C" w:rsidRDefault="00185A46" w:rsidP="0070233C">
      <w:pPr>
        <w:pStyle w:val="NormalWeb"/>
        <w:spacing w:before="240" w:beforeAutospacing="0" w:after="240" w:afterAutospacing="0" w:line="360" w:lineRule="auto"/>
        <w:jc w:val="both"/>
        <w:rPr>
          <w:rFonts w:ascii="Arial" w:hAnsi="Arial" w:cs="Arial"/>
          <w:b/>
          <w:bCs/>
          <w:i/>
          <w:iCs/>
        </w:rPr>
      </w:pPr>
      <w:r w:rsidRPr="0070233C">
        <w:rPr>
          <w:rFonts w:ascii="Arial" w:hAnsi="Arial" w:cs="Arial"/>
          <w:b/>
          <w:bCs/>
          <w:i/>
          <w:iCs/>
        </w:rPr>
        <w:t>National Responses and Organisations</w:t>
      </w:r>
    </w:p>
    <w:p w14:paraId="11E56738"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t>First, there is the national response from NHS England with its Core20PLUS5 strategy, which seeks to address inequalities in health by prioritising the most deprived 20% of the population, locally identified inclusion groups and five key clinical areas (NHS England, 2024a). Brennan et al. (2024) suggest Core20PLUS5 can assist health systems on their journey from general principles of equality to action. But it needs to be locally delivered and monitored to ensure it reaches older people in disadvantaged areas.</w:t>
      </w:r>
    </w:p>
    <w:p w14:paraId="28B57C3A"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t>Another approach is the NHS Health Check, which helps prevent disease by detecting cardiovascular and metabolic risk factors before people become ill (Office for Health Improvement and Disparities, 2022). Eberhardt et al. (2025) demonstrate that there are still inequalities preventing those in need from accessing NHS Health Checks, so outreach is needed.</w:t>
      </w:r>
    </w:p>
    <w:p w14:paraId="556B8F57"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lastRenderedPageBreak/>
        <w:t>Age UK is a voluntary organisation for older people. It gives advice and campaigns on improving health and care, and supports the prevention of loneliness and poverty (Age UK, 2024a). This is because national health inequality cannot be addressed by the National Health Service (NHS) alone; voluntary organisations are also required.</w:t>
      </w:r>
    </w:p>
    <w:p w14:paraId="1A66E762" w14:textId="77777777" w:rsidR="00185A46" w:rsidRPr="0070233C" w:rsidRDefault="00185A46" w:rsidP="0070233C">
      <w:pPr>
        <w:pStyle w:val="Heading2"/>
        <w:spacing w:after="240"/>
        <w:rPr>
          <w:rFonts w:ascii="Arial" w:hAnsi="Arial" w:cs="Arial"/>
        </w:rPr>
      </w:pPr>
      <w:bookmarkStart w:id="5" w:name="_Toc228208940"/>
      <w:r w:rsidRPr="0070233C">
        <w:rPr>
          <w:rFonts w:ascii="Arial" w:hAnsi="Arial" w:cs="Arial"/>
        </w:rPr>
        <w:t>Task 1 Conclusion</w:t>
      </w:r>
      <w:bookmarkEnd w:id="5"/>
    </w:p>
    <w:p w14:paraId="78C747DB"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t>Health inequality in older age groups is driven by both health and social factors. Dementia, heart disease and mental health are key health issues; poverty, isolation, poor housing and access to health care are key social issues. National initiatives including Core20PLUS5 and NHS Health Checks are crucial but better outreach, more investment in social care and housing and partnerships with the voluntary sector are essential to address preventable inequalities.</w:t>
      </w:r>
    </w:p>
    <w:p w14:paraId="101C91AD"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t xml:space="preserve"> </w:t>
      </w:r>
    </w:p>
    <w:p w14:paraId="1E99C62E" w14:textId="77777777" w:rsidR="005E300C" w:rsidRPr="0070233C" w:rsidRDefault="005E300C" w:rsidP="00C26564">
      <w:pPr>
        <w:spacing w:before="240" w:after="240" w:line="360" w:lineRule="auto"/>
        <w:jc w:val="both"/>
        <w:rPr>
          <w:b/>
          <w:bCs/>
          <w:sz w:val="24"/>
          <w:szCs w:val="24"/>
        </w:rPr>
      </w:pPr>
      <w:bookmarkStart w:id="6" w:name="_Toc228208941"/>
      <w:r w:rsidRPr="0070233C">
        <w:rPr>
          <w:b/>
          <w:bCs/>
          <w:sz w:val="24"/>
          <w:szCs w:val="24"/>
        </w:rPr>
        <w:br w:type="page"/>
      </w:r>
    </w:p>
    <w:p w14:paraId="330D49BA" w14:textId="77777777" w:rsidR="00185A46" w:rsidRPr="0070233C" w:rsidRDefault="00185A46" w:rsidP="0070233C">
      <w:pPr>
        <w:pStyle w:val="Heading1"/>
        <w:spacing w:before="240" w:after="240"/>
        <w:rPr>
          <w:rFonts w:ascii="Arial" w:hAnsi="Arial" w:cs="Arial"/>
          <w:sz w:val="24"/>
          <w:szCs w:val="24"/>
        </w:rPr>
      </w:pPr>
      <w:r w:rsidRPr="0070233C">
        <w:rPr>
          <w:rFonts w:ascii="Arial" w:hAnsi="Arial" w:cs="Arial"/>
          <w:sz w:val="24"/>
          <w:szCs w:val="24"/>
        </w:rPr>
        <w:lastRenderedPageBreak/>
        <w:t>Task 2: Epidemiological Analysis</w:t>
      </w:r>
      <w:bookmarkEnd w:id="6"/>
    </w:p>
    <w:p w14:paraId="1FD24109" w14:textId="77777777" w:rsidR="00185A46" w:rsidRPr="0070233C" w:rsidRDefault="00185A46" w:rsidP="0070233C">
      <w:pPr>
        <w:pStyle w:val="NormalWeb"/>
        <w:spacing w:before="240" w:beforeAutospacing="0" w:after="240" w:afterAutospacing="0" w:line="360" w:lineRule="auto"/>
        <w:jc w:val="both"/>
        <w:rPr>
          <w:rFonts w:ascii="Arial" w:hAnsi="Arial" w:cs="Arial"/>
          <w:b/>
          <w:bCs/>
          <w:i/>
          <w:iCs/>
        </w:rPr>
      </w:pPr>
      <w:r w:rsidRPr="0070233C">
        <w:rPr>
          <w:rFonts w:ascii="Arial" w:hAnsi="Arial" w:cs="Arial"/>
          <w:b/>
          <w:bCs/>
          <w:i/>
          <w:iCs/>
        </w:rPr>
        <w:t>Type 2 Diabetes in East London: South Asians</w:t>
      </w:r>
    </w:p>
    <w:p w14:paraId="6015AF4A" w14:textId="77777777" w:rsidR="00185A46" w:rsidRPr="0070233C" w:rsidRDefault="00185A46" w:rsidP="0070233C">
      <w:pPr>
        <w:pStyle w:val="Heading2"/>
        <w:spacing w:after="240"/>
        <w:rPr>
          <w:rFonts w:ascii="Arial" w:hAnsi="Arial" w:cs="Arial"/>
        </w:rPr>
      </w:pPr>
      <w:bookmarkStart w:id="7" w:name="_Toc228208942"/>
      <w:r w:rsidRPr="0070233C">
        <w:rPr>
          <w:rFonts w:ascii="Arial" w:hAnsi="Arial" w:cs="Arial"/>
        </w:rPr>
        <w:t>Introduction</w:t>
      </w:r>
      <w:bookmarkEnd w:id="7"/>
    </w:p>
    <w:p w14:paraId="3AF28C7D"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t>Diabetes type 2 is a chronic disease where blood sugar (glucose) rises because the body can't produce enough insulin or properly use the insulin it does produce. Complications include heart disease, kidney disease, eye disease, nerve damage, foot ulcers and death. This task is focused on South Asian adults in East London as this group is at greater risk of diabetes at a younger age and resides in a location that is a convergence of ethnicity, low socioeconomic status and a lack of access to health services.</w:t>
      </w:r>
    </w:p>
    <w:p w14:paraId="060472C0"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t>Diabetes is a global health challenge. According to the World Health Organization, 830 million people globally have diabetes (World Health Organization, 2024a). According to the International Diabetes Federation, 589 million adults between the ages of 20-79 years were living with diabetes in 2024, and will increase to 853 million by 2050 (International Diabetes Federation, 2025a). IDF Diabetes Atlas fact sheets also reveal that rates of diabetes are growing globally and is a leading cause of preventable complications and other health system costs (International Diabetes Federation, 2025b).</w:t>
      </w:r>
    </w:p>
    <w:p w14:paraId="73B2F355"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t>In the UK, more than 5.8 million people are living with diabetes according to an estimate from Diabetes UK (including diagnosed and undiagnosed diabetes) (Diabetes UK, 2024a). This makes diabetes a leading long-term health issue in the UK.</w:t>
      </w:r>
    </w:p>
    <w:p w14:paraId="332DFDF0" w14:textId="77777777" w:rsidR="00185A46" w:rsidRPr="0070233C" w:rsidRDefault="00185A46" w:rsidP="0070233C">
      <w:pPr>
        <w:pStyle w:val="Heading2"/>
        <w:spacing w:after="240"/>
        <w:rPr>
          <w:rFonts w:ascii="Arial" w:hAnsi="Arial" w:cs="Arial"/>
        </w:rPr>
      </w:pPr>
      <w:bookmarkStart w:id="8" w:name="_Toc228208943"/>
      <w:r w:rsidRPr="0070233C">
        <w:rPr>
          <w:rFonts w:ascii="Arial" w:hAnsi="Arial" w:cs="Arial"/>
        </w:rPr>
        <w:t>Incidence, Prevalence and Inequality</w:t>
      </w:r>
      <w:bookmarkEnd w:id="8"/>
    </w:p>
    <w:p w14:paraId="0673B5FC"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t>Type 2 diabetes is highly ethnic, socio-economically and aged-based. According to Diabetes UK, South Asian, Black African and African Caribbean people are at higher risk from around 25 years of age than White people, who are at risk from 40 years of age (Diabetes UK, 2024b). This has implications for starting prevention and screening at an earlier age among South Asian adults.</w:t>
      </w:r>
    </w:p>
    <w:p w14:paraId="20193733"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lastRenderedPageBreak/>
        <w:t>Mathur et al. (2022), analysing data from East London, found that there were ethnic differences in multimorbidity progression among those with type 2 diabetes. This makes East London very important for epidemiological research. Misra et al. (2025) also note that South Asians with type 2 diabetes have early age of onset, central obesity and are at risk for developing cardiometabolic complications. Wang et al. (2024) also note that current BMI cutoff points may not predict the same level of cardiometabolic risk across ethnicities, which suggests risk profiling must be ethnicity-sensitive.</w:t>
      </w:r>
    </w:p>
    <w:p w14:paraId="02677147" w14:textId="77777777" w:rsidR="00185A46" w:rsidRPr="0070233C" w:rsidRDefault="00185A46" w:rsidP="0070233C">
      <w:pPr>
        <w:pStyle w:val="Heading2"/>
        <w:spacing w:after="240"/>
        <w:rPr>
          <w:rFonts w:ascii="Arial" w:hAnsi="Arial" w:cs="Arial"/>
        </w:rPr>
      </w:pPr>
      <w:bookmarkStart w:id="9" w:name="_Toc228208944"/>
      <w:r w:rsidRPr="0070233C">
        <w:rPr>
          <w:rFonts w:ascii="Arial" w:hAnsi="Arial" w:cs="Arial"/>
        </w:rPr>
        <w:t>Public Health Measures Using the 3 Ps</w:t>
      </w:r>
      <w:bookmarkEnd w:id="9"/>
    </w:p>
    <w:p w14:paraId="55716AC9"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t>The first public health measure is prevention. Prevention measures include the NHS England’s Healthier You Diabetes Prevention Programme, which identifies people at risk of type 2 diabetes and supports them to participate in a nine-month lifestyle change programme (NHS England, 2024b). For South Asian adults living in East London, prevention should start earlier with HbA1c screening, culturally safe food recommendations and walking groups and family-based lifestyle programs.</w:t>
      </w:r>
    </w:p>
    <w:p w14:paraId="7B1A917C"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t>The second measure is protection. Diabetes patients require HbA1c monitoring, blood pressure control, cholesterol control, renal monitoring, eye monitoring and foot monitoring. According to the World Health Organization, diabetes management involves medication (if needed) and screening for complications (retinopathy, kidney disease and foot ulcers) (World Health Organization, 2024b). NHS Digital's National Diabetes Audit reveals variation in processes and treatment targets for people with diabetes (NHS Digital, 2023a), and so monitoring is important to prevent disparities.</w:t>
      </w:r>
    </w:p>
    <w:p w14:paraId="454C4B8A"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t>The third measure is promotion. Promotion should overcome ignorance, stigma and create healthier environments. It should promote messages in multiple languages, via local leaders, faith-based organisations, pharmacies and voluntary organisations for South Asian adults. Promotion should not emphasise culture as diet and physical activity are influenced by employment, income, price, stress and housing.</w:t>
      </w:r>
    </w:p>
    <w:p w14:paraId="1AFAD2F7" w14:textId="77777777" w:rsidR="00185A46" w:rsidRPr="0070233C" w:rsidRDefault="00185A46" w:rsidP="0070233C">
      <w:pPr>
        <w:pStyle w:val="Heading2"/>
        <w:spacing w:after="240"/>
        <w:rPr>
          <w:rFonts w:ascii="Arial" w:hAnsi="Arial" w:cs="Arial"/>
        </w:rPr>
      </w:pPr>
      <w:bookmarkStart w:id="10" w:name="_Toc228208945"/>
      <w:r w:rsidRPr="0070233C">
        <w:rPr>
          <w:rFonts w:ascii="Arial" w:hAnsi="Arial" w:cs="Arial"/>
        </w:rPr>
        <w:t>Determinants and Risk Factors</w:t>
      </w:r>
      <w:bookmarkEnd w:id="10"/>
    </w:p>
    <w:p w14:paraId="237BFB70"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t xml:space="preserve">Risk factors for type 2 diabetes are family history, central obesity, diet, physical inactivity, deprivation, age and history of gestational diabetes. Seidu et al. (2025) </w:t>
      </w:r>
      <w:r w:rsidRPr="0070233C">
        <w:rPr>
          <w:rFonts w:ascii="Arial" w:hAnsi="Arial" w:cs="Arial"/>
        </w:rPr>
        <w:lastRenderedPageBreak/>
        <w:t>demonstrate the inequities in diabetes care and medicine supply, which mean the inequality doesn't stop once a person is diagnosed. NHS Digital's health inequalities analysis also demonstrates variations in diabetes outcomes and processes by deprivation and ethnicity (NHS Digital, 2023b).</w:t>
      </w:r>
    </w:p>
    <w:p w14:paraId="6669C9E2"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t>In East London, deprivation might result in access to low quality, high-calorie food; precarious employment; stress and limited opportunities for physical activity. So, South Asian ethnicity should not be considered as a sole risk factor. A better explanation of the risk is the interaction of biological, socioeconomic, food availability and health care inequalities.</w:t>
      </w:r>
    </w:p>
    <w:p w14:paraId="0372C6E9" w14:textId="77777777" w:rsidR="00185A46" w:rsidRPr="0070233C" w:rsidRDefault="00185A46" w:rsidP="0070233C">
      <w:pPr>
        <w:pStyle w:val="Heading2"/>
        <w:spacing w:after="240"/>
        <w:rPr>
          <w:rFonts w:ascii="Arial" w:hAnsi="Arial" w:cs="Arial"/>
        </w:rPr>
      </w:pPr>
      <w:bookmarkStart w:id="11" w:name="_Toc228208946"/>
      <w:r w:rsidRPr="0070233C">
        <w:rPr>
          <w:rFonts w:ascii="Arial" w:hAnsi="Arial" w:cs="Arial"/>
        </w:rPr>
        <w:t>Epidemiological Studies and Surveillance</w:t>
      </w:r>
      <w:bookmarkEnd w:id="11"/>
    </w:p>
    <w:p w14:paraId="65458A05"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t>Epidemiology tells us who, where and how to respond in terms of public services. In this instance, "person" is South Asian adults aged 25 years and over, those with family history, women with a history of gestational diabetes and adults with central obesity. “Place” is East London, where higher proportion of South Asians and deprivation co-exist. “Time” is crucial as the incidence of diabetes continues to increase and undiagnosed disease remains high.</w:t>
      </w:r>
    </w:p>
    <w:p w14:paraId="37CCD68E"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t>Surveillance systems include general practitioner (GP) registration, haemoglobin A1c (HbA1c) testing, the NHS Health Check, the National Diabetes Audit, local authority public health profiles and diabetic eye screening. This is useful in identifying gaps in care and at-risk groups. But they may miss people not registered with a GP, illegal migrants or with missing ethnicity data.</w:t>
      </w:r>
    </w:p>
    <w:p w14:paraId="484FDF46" w14:textId="77777777" w:rsidR="00185A46" w:rsidRPr="0070233C" w:rsidRDefault="00185A46" w:rsidP="0070233C">
      <w:pPr>
        <w:pStyle w:val="Heading2"/>
        <w:spacing w:after="240"/>
        <w:rPr>
          <w:rFonts w:ascii="Arial" w:hAnsi="Arial" w:cs="Arial"/>
        </w:rPr>
      </w:pPr>
      <w:bookmarkStart w:id="12" w:name="_Toc228208947"/>
      <w:r w:rsidRPr="0070233C">
        <w:rPr>
          <w:rFonts w:ascii="Arial" w:hAnsi="Arial" w:cs="Arial"/>
        </w:rPr>
        <w:t>Proposed Public Health Intervention</w:t>
      </w:r>
      <w:bookmarkEnd w:id="12"/>
    </w:p>
    <w:p w14:paraId="3B356A87"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t>Appropriate interventions in East London include a South Asian Diabetes Prevention and Early Detection Programme. This would include primary care, pharmacies, mosques, temples, community centres, local government and voluntary organisations. The intervention would involve HbA1c blood testing, waist circumference, multi-lingual educational sessions, culturally sensitive nutrition sessions and referral to Healthier You.</w:t>
      </w:r>
    </w:p>
    <w:p w14:paraId="0B449EAE"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lastRenderedPageBreak/>
        <w:t>There would be three phases of the intervention. First, outreach events would identify adults aged 25 and over with family history, central obesity or a history of gestational diabetes. Second, those at risk would be referred to NHS Diabetes Prevention Programme or local culturally-tailored sessions. Third, six and 12 month follow-up would assess HbA1c, weight, waist circumference, attendance and self-confidence.</w:t>
      </w:r>
    </w:p>
    <w:p w14:paraId="62882052"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t>Assessment should be quantitative and qualitative. Numbers would demonstrate risk reduction while interviews would offer insights on barriers including language, stigma, time, work and trust. This is crucial because a programme may be considered successful if people attend, but not if it doesn't overcome social barriers.</w:t>
      </w:r>
    </w:p>
    <w:p w14:paraId="1B4CE2F3" w14:textId="77777777" w:rsidR="00185A46" w:rsidRPr="0070233C" w:rsidRDefault="00185A46" w:rsidP="0070233C">
      <w:pPr>
        <w:pStyle w:val="Heading2"/>
        <w:spacing w:after="240"/>
        <w:rPr>
          <w:rFonts w:ascii="Arial" w:hAnsi="Arial" w:cs="Arial"/>
        </w:rPr>
      </w:pPr>
      <w:bookmarkStart w:id="13" w:name="_Toc228208948"/>
      <w:r w:rsidRPr="0070233C">
        <w:rPr>
          <w:rFonts w:ascii="Arial" w:hAnsi="Arial" w:cs="Arial"/>
        </w:rPr>
        <w:t>Strengths and Weaknesses of the Epidemiological Approach</w:t>
      </w:r>
      <w:bookmarkEnd w:id="13"/>
    </w:p>
    <w:p w14:paraId="6FAB5319"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t>Epidemiology is useful in recognising unequal patterns of disease and guiding prevention. It demonstrates adult South Asians in East London should be screened earlier and given culturally sensitive support. It also ensures equitable allocation of resources.</w:t>
      </w:r>
    </w:p>
    <w:p w14:paraId="1A9FE995" w14:textId="77777777" w:rsidR="00185A46" w:rsidRPr="0070233C" w:rsidRDefault="00185A46" w:rsidP="0070233C">
      <w:pPr>
        <w:pStyle w:val="NormalWeb"/>
        <w:spacing w:before="240" w:beforeAutospacing="0" w:after="240" w:afterAutospacing="0" w:line="360" w:lineRule="auto"/>
        <w:jc w:val="both"/>
        <w:rPr>
          <w:rFonts w:ascii="Arial" w:hAnsi="Arial" w:cs="Arial"/>
        </w:rPr>
      </w:pPr>
      <w:r w:rsidRPr="0070233C">
        <w:rPr>
          <w:rFonts w:ascii="Arial" w:hAnsi="Arial" w:cs="Arial"/>
        </w:rPr>
        <w:t>But there are limitations. Epidemiology can be excessively focused on personal lifestyles if it does not incorporate social determinants. Aggregating "South Asian" will mask differences between the Indian, Pakistani, Bangladeshi and Sri Lankan communities. Poorer ethnic data and undiagnosed diabetes may also skew the results. So, epidemiology needs to be complemented by community involvement and qualitative understanding.</w:t>
      </w:r>
    </w:p>
    <w:p w14:paraId="03D0CA94" w14:textId="77777777" w:rsidR="00185A46" w:rsidRPr="0070233C" w:rsidRDefault="00185A46" w:rsidP="0070233C">
      <w:pPr>
        <w:pStyle w:val="Heading2"/>
        <w:spacing w:after="240"/>
        <w:rPr>
          <w:rFonts w:ascii="Arial" w:hAnsi="Arial" w:cs="Arial"/>
        </w:rPr>
      </w:pPr>
      <w:bookmarkStart w:id="14" w:name="_Toc228208949"/>
      <w:r w:rsidRPr="0070233C">
        <w:rPr>
          <w:rFonts w:ascii="Arial" w:hAnsi="Arial" w:cs="Arial"/>
        </w:rPr>
        <w:t>Task 2 Conclusion</w:t>
      </w:r>
      <w:bookmarkEnd w:id="14"/>
    </w:p>
    <w:p w14:paraId="2869C065" w14:textId="5DD87C0E" w:rsidR="00A42AA9" w:rsidRPr="0070233C" w:rsidRDefault="00185A46" w:rsidP="0070233C">
      <w:pPr>
        <w:spacing w:before="240" w:after="240" w:line="360" w:lineRule="auto"/>
        <w:jc w:val="both"/>
        <w:rPr>
          <w:rFonts w:eastAsia="Times New Roman"/>
          <w:sz w:val="24"/>
          <w:szCs w:val="24"/>
          <w:lang w:val="en-US" w:eastAsia="en-US"/>
        </w:rPr>
      </w:pPr>
      <w:r w:rsidRPr="0070233C">
        <w:rPr>
          <w:sz w:val="24"/>
          <w:szCs w:val="24"/>
        </w:rPr>
        <w:t>Type 2 diabetes is a significant public health problem for South Asian adults in East London due to its high prevalence, inequalities and association with complications. The findings from the WHO, IDF, Diabetes UK, NHS England, NHS Digital and studies in East London highlight the need for early prevention, improved surveillance and culturally sensitive intervention. A community-based diabetes prevention and early detection programme would reduce undiagnosed diabetes, boost referral to prevention programmes and prevent long-term health inequalities</w:t>
      </w:r>
    </w:p>
    <w:p w14:paraId="0672132E" w14:textId="77777777" w:rsidR="0070233C" w:rsidRPr="0070233C" w:rsidRDefault="0070233C" w:rsidP="00C26564">
      <w:pPr>
        <w:spacing w:before="240" w:after="240" w:line="360" w:lineRule="auto"/>
        <w:jc w:val="both"/>
        <w:rPr>
          <w:sz w:val="24"/>
          <w:szCs w:val="24"/>
        </w:rPr>
      </w:pPr>
      <w:r w:rsidRPr="0070233C">
        <w:rPr>
          <w:sz w:val="24"/>
          <w:szCs w:val="24"/>
        </w:rPr>
        <w:br w:type="page"/>
      </w:r>
    </w:p>
    <w:p w14:paraId="7C06A29A" w14:textId="77777777" w:rsidR="00A42AA9" w:rsidRPr="0070233C" w:rsidRDefault="00A42AA9" w:rsidP="0070233C">
      <w:pPr>
        <w:pStyle w:val="Heading1"/>
        <w:rPr>
          <w:rFonts w:ascii="Arial" w:hAnsi="Arial" w:cs="Arial"/>
          <w:lang w:val="en-US" w:eastAsia="en-US"/>
        </w:rPr>
      </w:pPr>
      <w:bookmarkStart w:id="15" w:name="_Toc228208950"/>
      <w:r w:rsidRPr="0070233C">
        <w:rPr>
          <w:rFonts w:ascii="Arial" w:hAnsi="Arial" w:cs="Arial"/>
          <w:lang w:val="en-US" w:eastAsia="en-US"/>
        </w:rPr>
        <w:lastRenderedPageBreak/>
        <w:t>Reference List</w:t>
      </w:r>
      <w:bookmarkEnd w:id="15"/>
    </w:p>
    <w:p w14:paraId="7BD0C77B"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r w:rsidRPr="00C11F9A">
        <w:rPr>
          <w:rFonts w:eastAsia="Times New Roman"/>
          <w:sz w:val="24"/>
          <w:szCs w:val="24"/>
          <w:lang w:val="en-US" w:eastAsia="en-US"/>
        </w:rPr>
        <w:t xml:space="preserve">Age UK (2024a) </w:t>
      </w:r>
      <w:r w:rsidRPr="00C11F9A">
        <w:rPr>
          <w:rFonts w:eastAsia="Times New Roman"/>
          <w:i/>
          <w:iCs/>
          <w:sz w:val="24"/>
          <w:szCs w:val="24"/>
          <w:lang w:val="en-US" w:eastAsia="en-US"/>
        </w:rPr>
        <w:t>The state of health and care of older people in England 2024</w:t>
      </w:r>
      <w:r w:rsidRPr="00C11F9A">
        <w:rPr>
          <w:rFonts w:eastAsia="Times New Roman"/>
          <w:sz w:val="24"/>
          <w:szCs w:val="24"/>
          <w:lang w:val="en-US" w:eastAsia="en-US"/>
        </w:rPr>
        <w:t xml:space="preserve">. Available at: </w:t>
      </w:r>
      <w:hyperlink r:id="rId13" w:history="1">
        <w:r w:rsidRPr="00C11F9A">
          <w:rPr>
            <w:rFonts w:eastAsia="Times New Roman"/>
            <w:color w:val="0000FF"/>
            <w:sz w:val="24"/>
            <w:szCs w:val="24"/>
            <w:u w:val="single"/>
            <w:lang w:val="en-US" w:eastAsia="en-US"/>
          </w:rPr>
          <w:t>https://www.ageuk.org.uk/siteassets/documents/reports-and-publications/reports-and-briefings/health--wellbeing/state-of-health-and-care/state_of_health_and_social_care_24.pdf</w:t>
        </w:r>
      </w:hyperlink>
      <w:r w:rsidRPr="00C11F9A">
        <w:rPr>
          <w:rFonts w:eastAsia="Times New Roman"/>
          <w:sz w:val="24"/>
          <w:szCs w:val="24"/>
          <w:lang w:val="en-US" w:eastAsia="en-US"/>
        </w:rPr>
        <w:t xml:space="preserve"> (Accessed: 27 April 2026).</w:t>
      </w:r>
    </w:p>
    <w:p w14:paraId="1381AC54"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r w:rsidRPr="00C11F9A">
        <w:rPr>
          <w:rFonts w:eastAsia="Times New Roman"/>
          <w:sz w:val="24"/>
          <w:szCs w:val="24"/>
          <w:lang w:val="en-US" w:eastAsia="en-US"/>
        </w:rPr>
        <w:t xml:space="preserve">Age UK (2024b) </w:t>
      </w:r>
      <w:r w:rsidRPr="00C11F9A">
        <w:rPr>
          <w:rFonts w:eastAsia="Times New Roman"/>
          <w:i/>
          <w:iCs/>
          <w:sz w:val="24"/>
          <w:szCs w:val="24"/>
          <w:lang w:val="en-US" w:eastAsia="en-US"/>
        </w:rPr>
        <w:t>Age UK’s new report shows “You are not alone in feeling lonely”</w:t>
      </w:r>
      <w:r w:rsidRPr="00C11F9A">
        <w:rPr>
          <w:rFonts w:eastAsia="Times New Roman"/>
          <w:sz w:val="24"/>
          <w:szCs w:val="24"/>
          <w:lang w:val="en-US" w:eastAsia="en-US"/>
        </w:rPr>
        <w:t xml:space="preserve">. Available at: </w:t>
      </w:r>
      <w:hyperlink r:id="rId14" w:history="1">
        <w:r w:rsidRPr="00C11F9A">
          <w:rPr>
            <w:rFonts w:eastAsia="Times New Roman"/>
            <w:color w:val="0000FF"/>
            <w:sz w:val="24"/>
            <w:szCs w:val="24"/>
            <w:u w:val="single"/>
            <w:lang w:val="en-US" w:eastAsia="en-US"/>
          </w:rPr>
          <w:t>https://www.ageuk.org.uk/latest-press/articles/age-uks-new-report-shows-you-are-not-alone-in-feeling-lonely/</w:t>
        </w:r>
      </w:hyperlink>
      <w:r w:rsidRPr="00C11F9A">
        <w:rPr>
          <w:rFonts w:eastAsia="Times New Roman"/>
          <w:sz w:val="24"/>
          <w:szCs w:val="24"/>
          <w:lang w:val="en-US" w:eastAsia="en-US"/>
        </w:rPr>
        <w:t xml:space="preserve"> (Accessed: 27 April 2026).</w:t>
      </w:r>
    </w:p>
    <w:p w14:paraId="70BCC28B"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r w:rsidRPr="00C11F9A">
        <w:rPr>
          <w:rFonts w:eastAsia="Times New Roman"/>
          <w:sz w:val="24"/>
          <w:szCs w:val="24"/>
          <w:lang w:val="en-US" w:eastAsia="en-US"/>
        </w:rPr>
        <w:t xml:space="preserve">Alzheimer’s Disease International (2024) </w:t>
      </w:r>
      <w:r w:rsidRPr="00C11F9A">
        <w:rPr>
          <w:rFonts w:eastAsia="Times New Roman"/>
          <w:i/>
          <w:iCs/>
          <w:sz w:val="24"/>
          <w:szCs w:val="24"/>
          <w:lang w:val="en-US" w:eastAsia="en-US"/>
        </w:rPr>
        <w:t>Dementia statistics</w:t>
      </w:r>
      <w:r w:rsidRPr="00C11F9A">
        <w:rPr>
          <w:rFonts w:eastAsia="Times New Roman"/>
          <w:sz w:val="24"/>
          <w:szCs w:val="24"/>
          <w:lang w:val="en-US" w:eastAsia="en-US"/>
        </w:rPr>
        <w:t xml:space="preserve">. Available at: </w:t>
      </w:r>
      <w:hyperlink r:id="rId15" w:history="1">
        <w:r w:rsidRPr="00C11F9A">
          <w:rPr>
            <w:rFonts w:eastAsia="Times New Roman"/>
            <w:color w:val="0000FF"/>
            <w:sz w:val="24"/>
            <w:szCs w:val="24"/>
            <w:u w:val="single"/>
            <w:lang w:val="en-US" w:eastAsia="en-US"/>
          </w:rPr>
          <w:t>https://www.alzint.org/about/dementia-facts-figures/dementia-statistics/</w:t>
        </w:r>
      </w:hyperlink>
      <w:r w:rsidRPr="00C11F9A">
        <w:rPr>
          <w:rFonts w:eastAsia="Times New Roman"/>
          <w:sz w:val="24"/>
          <w:szCs w:val="24"/>
          <w:lang w:val="en-US" w:eastAsia="en-US"/>
        </w:rPr>
        <w:t xml:space="preserve"> (Accessed: 27 April 2026).</w:t>
      </w:r>
    </w:p>
    <w:p w14:paraId="148038E6"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r w:rsidRPr="00C11F9A">
        <w:rPr>
          <w:rFonts w:eastAsia="Times New Roman"/>
          <w:sz w:val="24"/>
          <w:szCs w:val="24"/>
          <w:lang w:val="en-US" w:eastAsia="en-US"/>
        </w:rPr>
        <w:t xml:space="preserve">Alzheimer’s Society (2024) </w:t>
      </w:r>
      <w:r w:rsidRPr="00C11F9A">
        <w:rPr>
          <w:rFonts w:eastAsia="Times New Roman"/>
          <w:i/>
          <w:iCs/>
          <w:sz w:val="24"/>
          <w:szCs w:val="24"/>
          <w:lang w:val="en-US" w:eastAsia="en-US"/>
        </w:rPr>
        <w:t>Facts for the media about dementia</w:t>
      </w:r>
      <w:r w:rsidRPr="00C11F9A">
        <w:rPr>
          <w:rFonts w:eastAsia="Times New Roman"/>
          <w:sz w:val="24"/>
          <w:szCs w:val="24"/>
          <w:lang w:val="en-US" w:eastAsia="en-US"/>
        </w:rPr>
        <w:t xml:space="preserve">. Available at: </w:t>
      </w:r>
      <w:hyperlink r:id="rId16" w:history="1">
        <w:r w:rsidRPr="00C11F9A">
          <w:rPr>
            <w:rFonts w:eastAsia="Times New Roman"/>
            <w:color w:val="0000FF"/>
            <w:sz w:val="24"/>
            <w:szCs w:val="24"/>
            <w:u w:val="single"/>
            <w:lang w:val="en-US" w:eastAsia="en-US"/>
          </w:rPr>
          <w:t>https://www.alzheimers.org.uk/what-we-do/news-and-media/facts-media</w:t>
        </w:r>
      </w:hyperlink>
      <w:r w:rsidRPr="00C11F9A">
        <w:rPr>
          <w:rFonts w:eastAsia="Times New Roman"/>
          <w:sz w:val="24"/>
          <w:szCs w:val="24"/>
          <w:lang w:val="en-US" w:eastAsia="en-US"/>
        </w:rPr>
        <w:t xml:space="preserve"> (Accessed: 27 April 2026).</w:t>
      </w:r>
    </w:p>
    <w:p w14:paraId="16138056"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r w:rsidRPr="00C11F9A">
        <w:rPr>
          <w:rFonts w:eastAsia="Times New Roman"/>
          <w:sz w:val="24"/>
          <w:szCs w:val="24"/>
          <w:lang w:val="en-US" w:eastAsia="en-US"/>
        </w:rPr>
        <w:t xml:space="preserve">Brennan, A. (2024) ‘Applying the Core20PLUS5 approach to address health inequalities’, </w:t>
      </w:r>
      <w:r w:rsidRPr="00C11F9A">
        <w:rPr>
          <w:rFonts w:eastAsia="Times New Roman"/>
          <w:i/>
          <w:iCs/>
          <w:sz w:val="24"/>
          <w:szCs w:val="24"/>
          <w:lang w:val="en-US" w:eastAsia="en-US"/>
        </w:rPr>
        <w:t>BJGP Open</w:t>
      </w:r>
      <w:r w:rsidRPr="00C11F9A">
        <w:rPr>
          <w:rFonts w:eastAsia="Times New Roman"/>
          <w:sz w:val="24"/>
          <w:szCs w:val="24"/>
          <w:lang w:val="en-US" w:eastAsia="en-US"/>
        </w:rPr>
        <w:t xml:space="preserve">. Available at: </w:t>
      </w:r>
      <w:hyperlink r:id="rId17" w:history="1">
        <w:r w:rsidRPr="00C11F9A">
          <w:rPr>
            <w:rFonts w:eastAsia="Times New Roman"/>
            <w:color w:val="0000FF"/>
            <w:sz w:val="24"/>
            <w:szCs w:val="24"/>
            <w:u w:val="single"/>
            <w:lang w:val="en-US" w:eastAsia="en-US"/>
          </w:rPr>
          <w:t>https://pmc.ncbi.nlm.nih.gov/articles/PMC11738064/</w:t>
        </w:r>
      </w:hyperlink>
      <w:r w:rsidRPr="00C11F9A">
        <w:rPr>
          <w:rFonts w:eastAsia="Times New Roman"/>
          <w:sz w:val="24"/>
          <w:szCs w:val="24"/>
          <w:lang w:val="en-US" w:eastAsia="en-US"/>
        </w:rPr>
        <w:t xml:space="preserve"> (Accessed: 27 April 2026).</w:t>
      </w:r>
    </w:p>
    <w:p w14:paraId="052F203D"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r w:rsidRPr="00C11F9A">
        <w:rPr>
          <w:rFonts w:eastAsia="Times New Roman"/>
          <w:sz w:val="24"/>
          <w:szCs w:val="24"/>
          <w:lang w:val="en-US" w:eastAsia="en-US"/>
        </w:rPr>
        <w:t xml:space="preserve">Centre for Ageing Better (2024a) </w:t>
      </w:r>
      <w:r w:rsidRPr="00C11F9A">
        <w:rPr>
          <w:rFonts w:eastAsia="Times New Roman"/>
          <w:i/>
          <w:iCs/>
          <w:sz w:val="24"/>
          <w:szCs w:val="24"/>
          <w:lang w:val="en-US" w:eastAsia="en-US"/>
        </w:rPr>
        <w:t>The state of ageing 2023–24</w:t>
      </w:r>
      <w:r w:rsidRPr="00C11F9A">
        <w:rPr>
          <w:rFonts w:eastAsia="Times New Roman"/>
          <w:sz w:val="24"/>
          <w:szCs w:val="24"/>
          <w:lang w:val="en-US" w:eastAsia="en-US"/>
        </w:rPr>
        <w:t xml:space="preserve">. Available at: </w:t>
      </w:r>
      <w:hyperlink r:id="rId18" w:history="1">
        <w:r w:rsidRPr="00C11F9A">
          <w:rPr>
            <w:rFonts w:eastAsia="Times New Roman"/>
            <w:color w:val="0000FF"/>
            <w:sz w:val="24"/>
            <w:szCs w:val="24"/>
            <w:u w:val="single"/>
            <w:lang w:val="en-US" w:eastAsia="en-US"/>
          </w:rPr>
          <w:t>https://ageing-better.org.uk/the-state-of-ageing-2023-4</w:t>
        </w:r>
      </w:hyperlink>
      <w:r w:rsidRPr="00C11F9A">
        <w:rPr>
          <w:rFonts w:eastAsia="Times New Roman"/>
          <w:sz w:val="24"/>
          <w:szCs w:val="24"/>
          <w:lang w:val="en-US" w:eastAsia="en-US"/>
        </w:rPr>
        <w:t xml:space="preserve"> (Accessed: 27 April 2026).</w:t>
      </w:r>
    </w:p>
    <w:p w14:paraId="7BF47216"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r w:rsidRPr="00C11F9A">
        <w:rPr>
          <w:rFonts w:eastAsia="Times New Roman"/>
          <w:sz w:val="24"/>
          <w:szCs w:val="24"/>
          <w:lang w:val="en-US" w:eastAsia="en-US"/>
        </w:rPr>
        <w:t xml:space="preserve">Centre for Ageing Better (2024b) </w:t>
      </w:r>
      <w:r w:rsidRPr="00C11F9A">
        <w:rPr>
          <w:rFonts w:eastAsia="Times New Roman"/>
          <w:i/>
          <w:iCs/>
          <w:sz w:val="24"/>
          <w:szCs w:val="24"/>
          <w:lang w:val="en-US" w:eastAsia="en-US"/>
        </w:rPr>
        <w:t>Our ageing population: The state of ageing 2023–24</w:t>
      </w:r>
      <w:r w:rsidRPr="00C11F9A">
        <w:rPr>
          <w:rFonts w:eastAsia="Times New Roman"/>
          <w:sz w:val="24"/>
          <w:szCs w:val="24"/>
          <w:lang w:val="en-US" w:eastAsia="en-US"/>
        </w:rPr>
        <w:t xml:space="preserve">. Available at: </w:t>
      </w:r>
      <w:hyperlink r:id="rId19" w:history="1">
        <w:r w:rsidRPr="00C11F9A">
          <w:rPr>
            <w:rFonts w:eastAsia="Times New Roman"/>
            <w:color w:val="0000FF"/>
            <w:sz w:val="24"/>
            <w:szCs w:val="24"/>
            <w:u w:val="single"/>
            <w:lang w:val="en-US" w:eastAsia="en-US"/>
          </w:rPr>
          <w:t>https://ageing-better.org.uk/our-ageing-population-state-ageing-2023-4</w:t>
        </w:r>
      </w:hyperlink>
      <w:r w:rsidRPr="00C11F9A">
        <w:rPr>
          <w:rFonts w:eastAsia="Times New Roman"/>
          <w:sz w:val="24"/>
          <w:szCs w:val="24"/>
          <w:lang w:val="en-US" w:eastAsia="en-US"/>
        </w:rPr>
        <w:t xml:space="preserve"> (Accessed: 27 April 2026).</w:t>
      </w:r>
    </w:p>
    <w:p w14:paraId="6BC9C374"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r w:rsidRPr="00C11F9A">
        <w:rPr>
          <w:rFonts w:eastAsia="Times New Roman"/>
          <w:sz w:val="24"/>
          <w:szCs w:val="24"/>
          <w:lang w:val="en-US" w:eastAsia="en-US"/>
        </w:rPr>
        <w:t xml:space="preserve">Centre for Ageing Better (2024c) </w:t>
      </w:r>
      <w:r w:rsidRPr="00C11F9A">
        <w:rPr>
          <w:rFonts w:eastAsia="Times New Roman"/>
          <w:i/>
          <w:iCs/>
          <w:sz w:val="24"/>
          <w:szCs w:val="24"/>
          <w:lang w:val="en-US" w:eastAsia="en-US"/>
        </w:rPr>
        <w:t>Health and wellbeing: The state of ageing 2023–24</w:t>
      </w:r>
      <w:r w:rsidRPr="00C11F9A">
        <w:rPr>
          <w:rFonts w:eastAsia="Times New Roman"/>
          <w:sz w:val="24"/>
          <w:szCs w:val="24"/>
          <w:lang w:val="en-US" w:eastAsia="en-US"/>
        </w:rPr>
        <w:t xml:space="preserve">. Available at: </w:t>
      </w:r>
      <w:hyperlink r:id="rId20" w:history="1">
        <w:r w:rsidRPr="00C11F9A">
          <w:rPr>
            <w:rFonts w:eastAsia="Times New Roman"/>
            <w:color w:val="0000FF"/>
            <w:sz w:val="24"/>
            <w:szCs w:val="24"/>
            <w:u w:val="single"/>
            <w:lang w:val="en-US" w:eastAsia="en-US"/>
          </w:rPr>
          <w:t>https://ageing-better.org.uk/health-and-wellbeing-state-ageing-2023-4</w:t>
        </w:r>
      </w:hyperlink>
      <w:r w:rsidRPr="00C11F9A">
        <w:rPr>
          <w:rFonts w:eastAsia="Times New Roman"/>
          <w:sz w:val="24"/>
          <w:szCs w:val="24"/>
          <w:lang w:val="en-US" w:eastAsia="en-US"/>
        </w:rPr>
        <w:t xml:space="preserve"> (Accessed: 27 April 2026).</w:t>
      </w:r>
    </w:p>
    <w:p w14:paraId="365C36F2"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r w:rsidRPr="00C11F9A">
        <w:rPr>
          <w:rFonts w:eastAsia="Times New Roman"/>
          <w:sz w:val="24"/>
          <w:szCs w:val="24"/>
          <w:lang w:val="en-US" w:eastAsia="en-US"/>
        </w:rPr>
        <w:lastRenderedPageBreak/>
        <w:t xml:space="preserve">Diabetes UK (2024a) </w:t>
      </w:r>
      <w:r w:rsidRPr="00C11F9A">
        <w:rPr>
          <w:rFonts w:eastAsia="Times New Roman"/>
          <w:i/>
          <w:iCs/>
          <w:sz w:val="24"/>
          <w:szCs w:val="24"/>
          <w:lang w:val="en-US" w:eastAsia="en-US"/>
        </w:rPr>
        <w:t>How many people in the UK have diabetes?</w:t>
      </w:r>
      <w:r w:rsidRPr="00C11F9A">
        <w:rPr>
          <w:rFonts w:eastAsia="Times New Roman"/>
          <w:sz w:val="24"/>
          <w:szCs w:val="24"/>
          <w:lang w:val="en-US" w:eastAsia="en-US"/>
        </w:rPr>
        <w:t xml:space="preserve"> Available at: </w:t>
      </w:r>
      <w:hyperlink r:id="rId21" w:history="1">
        <w:r w:rsidRPr="00C11F9A">
          <w:rPr>
            <w:rFonts w:eastAsia="Times New Roman"/>
            <w:color w:val="0000FF"/>
            <w:sz w:val="24"/>
            <w:szCs w:val="24"/>
            <w:u w:val="single"/>
            <w:lang w:val="en-US" w:eastAsia="en-US"/>
          </w:rPr>
          <w:t>https://www.diabetes.org.uk/about-us/about-the-charity/our-strategy/statistics</w:t>
        </w:r>
      </w:hyperlink>
      <w:r w:rsidRPr="00C11F9A">
        <w:rPr>
          <w:rFonts w:eastAsia="Times New Roman"/>
          <w:sz w:val="24"/>
          <w:szCs w:val="24"/>
          <w:lang w:val="en-US" w:eastAsia="en-US"/>
        </w:rPr>
        <w:t xml:space="preserve"> (Accessed: 27 April 2026).</w:t>
      </w:r>
    </w:p>
    <w:p w14:paraId="0AB4BADC"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r w:rsidRPr="00C11F9A">
        <w:rPr>
          <w:rFonts w:eastAsia="Times New Roman"/>
          <w:sz w:val="24"/>
          <w:szCs w:val="24"/>
          <w:lang w:val="en-US" w:eastAsia="en-US"/>
        </w:rPr>
        <w:t xml:space="preserve">Diabetes UK (2024b) </w:t>
      </w:r>
      <w:r w:rsidRPr="00C11F9A">
        <w:rPr>
          <w:rFonts w:eastAsia="Times New Roman"/>
          <w:i/>
          <w:iCs/>
          <w:sz w:val="24"/>
          <w:szCs w:val="24"/>
          <w:lang w:val="en-US" w:eastAsia="en-US"/>
        </w:rPr>
        <w:t>Diabetes and ethnicity</w:t>
      </w:r>
      <w:r w:rsidRPr="00C11F9A">
        <w:rPr>
          <w:rFonts w:eastAsia="Times New Roman"/>
          <w:sz w:val="24"/>
          <w:szCs w:val="24"/>
          <w:lang w:val="en-US" w:eastAsia="en-US"/>
        </w:rPr>
        <w:t xml:space="preserve">. Available at: </w:t>
      </w:r>
      <w:hyperlink r:id="rId22" w:history="1">
        <w:r w:rsidRPr="00C11F9A">
          <w:rPr>
            <w:rFonts w:eastAsia="Times New Roman"/>
            <w:color w:val="0000FF"/>
            <w:sz w:val="24"/>
            <w:szCs w:val="24"/>
            <w:u w:val="single"/>
            <w:lang w:val="en-US" w:eastAsia="en-US"/>
          </w:rPr>
          <w:t>https://www.diabetes.org.uk/about-diabetes/type-2-diabetes/diabetes-ethnicity</w:t>
        </w:r>
      </w:hyperlink>
      <w:r w:rsidRPr="00C11F9A">
        <w:rPr>
          <w:rFonts w:eastAsia="Times New Roman"/>
          <w:sz w:val="24"/>
          <w:szCs w:val="24"/>
          <w:lang w:val="en-US" w:eastAsia="en-US"/>
        </w:rPr>
        <w:t xml:space="preserve"> (Accessed: 27 April 2026).</w:t>
      </w:r>
    </w:p>
    <w:p w14:paraId="52712E56"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r w:rsidRPr="00C11F9A">
        <w:rPr>
          <w:rFonts w:eastAsia="Times New Roman"/>
          <w:sz w:val="24"/>
          <w:szCs w:val="24"/>
          <w:lang w:val="en-US" w:eastAsia="en-US"/>
        </w:rPr>
        <w:t xml:space="preserve">Donovan, N.J. and Blazer, D. (2020) ‘Social isolation and loneliness in older adults: Review and commentary of a National Academies report’, </w:t>
      </w:r>
      <w:r w:rsidRPr="00C11F9A">
        <w:rPr>
          <w:rFonts w:eastAsia="Times New Roman"/>
          <w:i/>
          <w:iCs/>
          <w:sz w:val="24"/>
          <w:szCs w:val="24"/>
          <w:lang w:val="en-US" w:eastAsia="en-US"/>
        </w:rPr>
        <w:t>The American Journal of Geriatric Psychiatry</w:t>
      </w:r>
      <w:r w:rsidRPr="00C11F9A">
        <w:rPr>
          <w:rFonts w:eastAsia="Times New Roman"/>
          <w:sz w:val="24"/>
          <w:szCs w:val="24"/>
          <w:lang w:val="en-US" w:eastAsia="en-US"/>
        </w:rPr>
        <w:t xml:space="preserve">, 28(12), pp. 1233–1244. Available at: </w:t>
      </w:r>
      <w:hyperlink r:id="rId23" w:history="1">
        <w:r w:rsidRPr="00C11F9A">
          <w:rPr>
            <w:rFonts w:eastAsia="Times New Roman"/>
            <w:color w:val="0000FF"/>
            <w:sz w:val="24"/>
            <w:szCs w:val="24"/>
            <w:u w:val="single"/>
            <w:lang w:val="en-US" w:eastAsia="en-US"/>
          </w:rPr>
          <w:t>https://pmc.ncbi.nlm.nih.gov/articles/PMC7437541/</w:t>
        </w:r>
      </w:hyperlink>
      <w:r w:rsidRPr="00C11F9A">
        <w:rPr>
          <w:rFonts w:eastAsia="Times New Roman"/>
          <w:sz w:val="24"/>
          <w:szCs w:val="24"/>
          <w:lang w:val="en-US" w:eastAsia="en-US"/>
        </w:rPr>
        <w:t xml:space="preserve"> (Accessed: 27 April 2026).</w:t>
      </w:r>
    </w:p>
    <w:p w14:paraId="5B0B7DB8"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r w:rsidRPr="00C11F9A">
        <w:rPr>
          <w:rFonts w:eastAsia="Times New Roman"/>
          <w:sz w:val="24"/>
          <w:szCs w:val="24"/>
          <w:lang w:val="en-US" w:eastAsia="en-US"/>
        </w:rPr>
        <w:t xml:space="preserve">Eberhardt, J., Kane, L., Portman, R., Ling, J., Goddard, T., Johnston, M., Robinson, C., Reay, A., Divers, A. and Newbury-Birch, D. (2025) ‘Barriers and facilitators of NHS Health Checks in socioeconomically deprived communities in the North East of England: A qualitative study with peer researchers’, </w:t>
      </w:r>
      <w:r w:rsidRPr="00C11F9A">
        <w:rPr>
          <w:rFonts w:eastAsia="Times New Roman"/>
          <w:i/>
          <w:iCs/>
          <w:sz w:val="24"/>
          <w:szCs w:val="24"/>
          <w:lang w:val="en-US" w:eastAsia="en-US"/>
        </w:rPr>
        <w:t>Health Expectations</w:t>
      </w:r>
      <w:r w:rsidRPr="00C11F9A">
        <w:rPr>
          <w:rFonts w:eastAsia="Times New Roman"/>
          <w:sz w:val="24"/>
          <w:szCs w:val="24"/>
          <w:lang w:val="en-US" w:eastAsia="en-US"/>
        </w:rPr>
        <w:t xml:space="preserve">. Available at: </w:t>
      </w:r>
      <w:hyperlink r:id="rId24" w:history="1">
        <w:r w:rsidRPr="00C11F9A">
          <w:rPr>
            <w:rFonts w:eastAsia="Times New Roman"/>
            <w:color w:val="0000FF"/>
            <w:sz w:val="24"/>
            <w:szCs w:val="24"/>
            <w:u w:val="single"/>
            <w:lang w:val="en-US" w:eastAsia="en-US"/>
          </w:rPr>
          <w:t>https://pmc.ncbi.nlm.nih.gov/articles/PMC12000538/</w:t>
        </w:r>
      </w:hyperlink>
      <w:r w:rsidRPr="00C11F9A">
        <w:rPr>
          <w:rFonts w:eastAsia="Times New Roman"/>
          <w:sz w:val="24"/>
          <w:szCs w:val="24"/>
          <w:lang w:val="en-US" w:eastAsia="en-US"/>
        </w:rPr>
        <w:t xml:space="preserve"> (Accessed: 27 April 2026).</w:t>
      </w:r>
    </w:p>
    <w:p w14:paraId="62E2EBEF"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proofErr w:type="spellStart"/>
      <w:r w:rsidRPr="00C11F9A">
        <w:rPr>
          <w:rFonts w:eastAsia="Times New Roman"/>
          <w:sz w:val="24"/>
          <w:szCs w:val="24"/>
          <w:lang w:val="en-US" w:eastAsia="en-US"/>
        </w:rPr>
        <w:t>Hounkpatin</w:t>
      </w:r>
      <w:proofErr w:type="spellEnd"/>
      <w:r w:rsidRPr="00C11F9A">
        <w:rPr>
          <w:rFonts w:eastAsia="Times New Roman"/>
          <w:sz w:val="24"/>
          <w:szCs w:val="24"/>
          <w:lang w:val="en-US" w:eastAsia="en-US"/>
        </w:rPr>
        <w:t xml:space="preserve">, H.O., Islam, N., Stuart, B. and Dambha-Miller, H. (2025) ‘The association of loneliness and social isolation with multimorbidity over 14 years in older adults in England: A population-based cohort study’, </w:t>
      </w:r>
      <w:r w:rsidRPr="00C11F9A">
        <w:rPr>
          <w:rFonts w:eastAsia="Times New Roman"/>
          <w:i/>
          <w:iCs/>
          <w:sz w:val="24"/>
          <w:szCs w:val="24"/>
          <w:lang w:val="en-US" w:eastAsia="en-US"/>
        </w:rPr>
        <w:t>Archives of Gerontology and Geriatrics</w:t>
      </w:r>
      <w:r w:rsidRPr="00C11F9A">
        <w:rPr>
          <w:rFonts w:eastAsia="Times New Roman"/>
          <w:sz w:val="24"/>
          <w:szCs w:val="24"/>
          <w:lang w:val="en-US" w:eastAsia="en-US"/>
        </w:rPr>
        <w:t xml:space="preserve">, 131, article 105763. Available at: </w:t>
      </w:r>
      <w:hyperlink r:id="rId25" w:history="1">
        <w:r w:rsidRPr="00C11F9A">
          <w:rPr>
            <w:rFonts w:eastAsia="Times New Roman"/>
            <w:color w:val="0000FF"/>
            <w:sz w:val="24"/>
            <w:szCs w:val="24"/>
            <w:u w:val="single"/>
            <w:lang w:val="en-US" w:eastAsia="en-US"/>
          </w:rPr>
          <w:t>https://www.sciencedirect.com/science/article/pii/S0167494325000214</w:t>
        </w:r>
      </w:hyperlink>
      <w:r w:rsidRPr="00C11F9A">
        <w:rPr>
          <w:rFonts w:eastAsia="Times New Roman"/>
          <w:sz w:val="24"/>
          <w:szCs w:val="24"/>
          <w:lang w:val="en-US" w:eastAsia="en-US"/>
        </w:rPr>
        <w:t xml:space="preserve"> (Accessed: 27 April 2026).</w:t>
      </w:r>
    </w:p>
    <w:p w14:paraId="368225D6"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r w:rsidRPr="00C11F9A">
        <w:rPr>
          <w:rFonts w:eastAsia="Times New Roman"/>
          <w:sz w:val="24"/>
          <w:szCs w:val="24"/>
          <w:lang w:val="en-US" w:eastAsia="en-US"/>
        </w:rPr>
        <w:t xml:space="preserve">Institute of Health Equity (2020) </w:t>
      </w:r>
      <w:r w:rsidRPr="00C11F9A">
        <w:rPr>
          <w:rFonts w:eastAsia="Times New Roman"/>
          <w:i/>
          <w:iCs/>
          <w:sz w:val="24"/>
          <w:szCs w:val="24"/>
          <w:lang w:val="en-US" w:eastAsia="en-US"/>
        </w:rPr>
        <w:t>Health equity in England: The Marmot Review 10 years on</w:t>
      </w:r>
      <w:r w:rsidRPr="00C11F9A">
        <w:rPr>
          <w:rFonts w:eastAsia="Times New Roman"/>
          <w:sz w:val="24"/>
          <w:szCs w:val="24"/>
          <w:lang w:val="en-US" w:eastAsia="en-US"/>
        </w:rPr>
        <w:t xml:space="preserve">. Available at: </w:t>
      </w:r>
      <w:hyperlink r:id="rId26" w:history="1">
        <w:r w:rsidRPr="00C11F9A">
          <w:rPr>
            <w:rFonts w:eastAsia="Times New Roman"/>
            <w:color w:val="0000FF"/>
            <w:sz w:val="24"/>
            <w:szCs w:val="24"/>
            <w:u w:val="single"/>
            <w:lang w:val="en-US" w:eastAsia="en-US"/>
          </w:rPr>
          <w:t>https://www.instituteofhealthequity.org/resources-reports/marmot-review-10-years-on</w:t>
        </w:r>
      </w:hyperlink>
      <w:r w:rsidRPr="00C11F9A">
        <w:rPr>
          <w:rFonts w:eastAsia="Times New Roman"/>
          <w:sz w:val="24"/>
          <w:szCs w:val="24"/>
          <w:lang w:val="en-US" w:eastAsia="en-US"/>
        </w:rPr>
        <w:t xml:space="preserve"> (Accessed: 27 April 2026).</w:t>
      </w:r>
    </w:p>
    <w:p w14:paraId="39F25FCE"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r w:rsidRPr="00C11F9A">
        <w:rPr>
          <w:rFonts w:eastAsia="Times New Roman"/>
          <w:sz w:val="24"/>
          <w:szCs w:val="24"/>
          <w:lang w:val="en-US" w:eastAsia="en-US"/>
        </w:rPr>
        <w:t xml:space="preserve">International Diabetes Federation (2025a) </w:t>
      </w:r>
      <w:r w:rsidRPr="00C11F9A">
        <w:rPr>
          <w:rFonts w:eastAsia="Times New Roman"/>
          <w:i/>
          <w:iCs/>
          <w:sz w:val="24"/>
          <w:szCs w:val="24"/>
          <w:lang w:val="en-US" w:eastAsia="en-US"/>
        </w:rPr>
        <w:t>Diabetes facts and figures</w:t>
      </w:r>
      <w:r w:rsidRPr="00C11F9A">
        <w:rPr>
          <w:rFonts w:eastAsia="Times New Roman"/>
          <w:sz w:val="24"/>
          <w:szCs w:val="24"/>
          <w:lang w:val="en-US" w:eastAsia="en-US"/>
        </w:rPr>
        <w:t xml:space="preserve">. Available at: </w:t>
      </w:r>
      <w:hyperlink r:id="rId27" w:history="1">
        <w:r w:rsidRPr="00C11F9A">
          <w:rPr>
            <w:rFonts w:eastAsia="Times New Roman"/>
            <w:color w:val="0000FF"/>
            <w:sz w:val="24"/>
            <w:szCs w:val="24"/>
            <w:u w:val="single"/>
            <w:lang w:val="en-US" w:eastAsia="en-US"/>
          </w:rPr>
          <w:t>https://idf.org/about-diabetes/diabetes-facts-figures/</w:t>
        </w:r>
      </w:hyperlink>
      <w:r w:rsidRPr="00C11F9A">
        <w:rPr>
          <w:rFonts w:eastAsia="Times New Roman"/>
          <w:sz w:val="24"/>
          <w:szCs w:val="24"/>
          <w:lang w:val="en-US" w:eastAsia="en-US"/>
        </w:rPr>
        <w:t xml:space="preserve"> (Accessed: 27 April 2026).</w:t>
      </w:r>
    </w:p>
    <w:p w14:paraId="22522C3E"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r w:rsidRPr="00C11F9A">
        <w:rPr>
          <w:rFonts w:eastAsia="Times New Roman"/>
          <w:sz w:val="24"/>
          <w:szCs w:val="24"/>
          <w:lang w:val="en-US" w:eastAsia="en-US"/>
        </w:rPr>
        <w:t xml:space="preserve">International Diabetes Federation (2025b) </w:t>
      </w:r>
      <w:r w:rsidRPr="00C11F9A">
        <w:rPr>
          <w:rFonts w:eastAsia="Times New Roman"/>
          <w:i/>
          <w:iCs/>
          <w:sz w:val="24"/>
          <w:szCs w:val="24"/>
          <w:lang w:val="en-US" w:eastAsia="en-US"/>
        </w:rPr>
        <w:t>IDF Diabetes Atlas: Fact sheets and key data</w:t>
      </w:r>
      <w:r w:rsidRPr="00C11F9A">
        <w:rPr>
          <w:rFonts w:eastAsia="Times New Roman"/>
          <w:sz w:val="24"/>
          <w:szCs w:val="24"/>
          <w:lang w:val="en-US" w:eastAsia="en-US"/>
        </w:rPr>
        <w:t xml:space="preserve">. Available at: </w:t>
      </w:r>
      <w:hyperlink r:id="rId28" w:history="1">
        <w:r w:rsidRPr="00C11F9A">
          <w:rPr>
            <w:rFonts w:eastAsia="Times New Roman"/>
            <w:color w:val="0000FF"/>
            <w:sz w:val="24"/>
            <w:szCs w:val="24"/>
            <w:u w:val="single"/>
            <w:lang w:val="en-US" w:eastAsia="en-US"/>
          </w:rPr>
          <w:t>https://diabetesatlas.org/resources/factsheets/</w:t>
        </w:r>
      </w:hyperlink>
      <w:r w:rsidRPr="00C11F9A">
        <w:rPr>
          <w:rFonts w:eastAsia="Times New Roman"/>
          <w:sz w:val="24"/>
          <w:szCs w:val="24"/>
          <w:lang w:val="en-US" w:eastAsia="en-US"/>
        </w:rPr>
        <w:t xml:space="preserve"> (Accessed: 27 April 2026).</w:t>
      </w:r>
    </w:p>
    <w:p w14:paraId="45780829"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r w:rsidRPr="00C11F9A">
        <w:rPr>
          <w:rFonts w:eastAsia="Times New Roman"/>
          <w:sz w:val="24"/>
          <w:szCs w:val="24"/>
          <w:lang w:val="en-US" w:eastAsia="en-US"/>
        </w:rPr>
        <w:lastRenderedPageBreak/>
        <w:t xml:space="preserve">Khan, H.T.A. (2024) ‘Public health challenges and responses to the growing ageing population’, </w:t>
      </w:r>
      <w:r w:rsidRPr="00C11F9A">
        <w:rPr>
          <w:rFonts w:eastAsia="Times New Roman"/>
          <w:i/>
          <w:iCs/>
          <w:sz w:val="24"/>
          <w:szCs w:val="24"/>
          <w:lang w:val="en-US" w:eastAsia="en-US"/>
        </w:rPr>
        <w:t>Healthcare</w:t>
      </w:r>
      <w:r w:rsidRPr="00C11F9A">
        <w:rPr>
          <w:rFonts w:eastAsia="Times New Roman"/>
          <w:sz w:val="24"/>
          <w:szCs w:val="24"/>
          <w:lang w:val="en-US" w:eastAsia="en-US"/>
        </w:rPr>
        <w:t xml:space="preserve">. Available at: </w:t>
      </w:r>
      <w:hyperlink r:id="rId29" w:history="1">
        <w:r w:rsidRPr="00C11F9A">
          <w:rPr>
            <w:rFonts w:eastAsia="Times New Roman"/>
            <w:color w:val="0000FF"/>
            <w:sz w:val="24"/>
            <w:szCs w:val="24"/>
            <w:u w:val="single"/>
            <w:lang w:val="en-US" w:eastAsia="en-US"/>
          </w:rPr>
          <w:t>https://pmc.ncbi.nlm.nih.gov/articles/PMC12039680/</w:t>
        </w:r>
      </w:hyperlink>
      <w:r w:rsidRPr="00C11F9A">
        <w:rPr>
          <w:rFonts w:eastAsia="Times New Roman"/>
          <w:sz w:val="24"/>
          <w:szCs w:val="24"/>
          <w:lang w:val="en-US" w:eastAsia="en-US"/>
        </w:rPr>
        <w:t xml:space="preserve"> (Accessed: 27 April 2026).</w:t>
      </w:r>
    </w:p>
    <w:p w14:paraId="28DDEB3B"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r w:rsidRPr="00C11F9A">
        <w:rPr>
          <w:rFonts w:eastAsia="Times New Roman"/>
          <w:sz w:val="24"/>
          <w:szCs w:val="24"/>
          <w:lang w:val="en-US" w:eastAsia="en-US"/>
        </w:rPr>
        <w:t xml:space="preserve">Livingston, G., Huntley, J., Liu, K.Y., </w:t>
      </w:r>
      <w:proofErr w:type="spellStart"/>
      <w:r w:rsidRPr="00C11F9A">
        <w:rPr>
          <w:rFonts w:eastAsia="Times New Roman"/>
          <w:sz w:val="24"/>
          <w:szCs w:val="24"/>
          <w:lang w:val="en-US" w:eastAsia="en-US"/>
        </w:rPr>
        <w:t>Costafreda</w:t>
      </w:r>
      <w:proofErr w:type="spellEnd"/>
      <w:r w:rsidRPr="00C11F9A">
        <w:rPr>
          <w:rFonts w:eastAsia="Times New Roman"/>
          <w:sz w:val="24"/>
          <w:szCs w:val="24"/>
          <w:lang w:val="en-US" w:eastAsia="en-US"/>
        </w:rPr>
        <w:t xml:space="preserve">, S.G., </w:t>
      </w:r>
      <w:proofErr w:type="spellStart"/>
      <w:r w:rsidRPr="00C11F9A">
        <w:rPr>
          <w:rFonts w:eastAsia="Times New Roman"/>
          <w:sz w:val="24"/>
          <w:szCs w:val="24"/>
          <w:lang w:val="en-US" w:eastAsia="en-US"/>
        </w:rPr>
        <w:t>Selbæk</w:t>
      </w:r>
      <w:proofErr w:type="spellEnd"/>
      <w:r w:rsidRPr="00C11F9A">
        <w:rPr>
          <w:rFonts w:eastAsia="Times New Roman"/>
          <w:sz w:val="24"/>
          <w:szCs w:val="24"/>
          <w:lang w:val="en-US" w:eastAsia="en-US"/>
        </w:rPr>
        <w:t xml:space="preserve">, G., Alladi, S., Ames, D., Banerjee, S., Burns, A., </w:t>
      </w:r>
      <w:proofErr w:type="spellStart"/>
      <w:r w:rsidRPr="00C11F9A">
        <w:rPr>
          <w:rFonts w:eastAsia="Times New Roman"/>
          <w:sz w:val="24"/>
          <w:szCs w:val="24"/>
          <w:lang w:val="en-US" w:eastAsia="en-US"/>
        </w:rPr>
        <w:t>Brayne</w:t>
      </w:r>
      <w:proofErr w:type="spellEnd"/>
      <w:r w:rsidRPr="00C11F9A">
        <w:rPr>
          <w:rFonts w:eastAsia="Times New Roman"/>
          <w:sz w:val="24"/>
          <w:szCs w:val="24"/>
          <w:lang w:val="en-US" w:eastAsia="en-US"/>
        </w:rPr>
        <w:t xml:space="preserve">, C., Fox, N.C., Ferri, C.P., Gitlin, L.N., Howard, R., Kales, H.C., Kivimäki, M., Larson, E.B., </w:t>
      </w:r>
      <w:proofErr w:type="spellStart"/>
      <w:r w:rsidRPr="00C11F9A">
        <w:rPr>
          <w:rFonts w:eastAsia="Times New Roman"/>
          <w:sz w:val="24"/>
          <w:szCs w:val="24"/>
          <w:lang w:val="en-US" w:eastAsia="en-US"/>
        </w:rPr>
        <w:t>Nakasujja</w:t>
      </w:r>
      <w:proofErr w:type="spellEnd"/>
      <w:r w:rsidRPr="00C11F9A">
        <w:rPr>
          <w:rFonts w:eastAsia="Times New Roman"/>
          <w:sz w:val="24"/>
          <w:szCs w:val="24"/>
          <w:lang w:val="en-US" w:eastAsia="en-US"/>
        </w:rPr>
        <w:t>, N., Rockwood, K., Samus, Q., Shirai, K., Singh-</w:t>
      </w:r>
      <w:proofErr w:type="spellStart"/>
      <w:r w:rsidRPr="00C11F9A">
        <w:rPr>
          <w:rFonts w:eastAsia="Times New Roman"/>
          <w:sz w:val="24"/>
          <w:szCs w:val="24"/>
          <w:lang w:val="en-US" w:eastAsia="en-US"/>
        </w:rPr>
        <w:t>Manoux</w:t>
      </w:r>
      <w:proofErr w:type="spellEnd"/>
      <w:r w:rsidRPr="00C11F9A">
        <w:rPr>
          <w:rFonts w:eastAsia="Times New Roman"/>
          <w:sz w:val="24"/>
          <w:szCs w:val="24"/>
          <w:lang w:val="en-US" w:eastAsia="en-US"/>
        </w:rPr>
        <w:t xml:space="preserve">, A., Schneider, L.S., Walsh, S., Yao, Y., </w:t>
      </w:r>
      <w:proofErr w:type="spellStart"/>
      <w:r w:rsidRPr="00C11F9A">
        <w:rPr>
          <w:rFonts w:eastAsia="Times New Roman"/>
          <w:sz w:val="24"/>
          <w:szCs w:val="24"/>
          <w:lang w:val="en-US" w:eastAsia="en-US"/>
        </w:rPr>
        <w:t>Sommerlad</w:t>
      </w:r>
      <w:proofErr w:type="spellEnd"/>
      <w:r w:rsidRPr="00C11F9A">
        <w:rPr>
          <w:rFonts w:eastAsia="Times New Roman"/>
          <w:sz w:val="24"/>
          <w:szCs w:val="24"/>
          <w:lang w:val="en-US" w:eastAsia="en-US"/>
        </w:rPr>
        <w:t xml:space="preserve">, A. and Mukadam, N. (2024) ‘Dementia prevention, intervention, and care: 2024 report of the Lancet standing Commission’, </w:t>
      </w:r>
      <w:r w:rsidRPr="00C11F9A">
        <w:rPr>
          <w:rFonts w:eastAsia="Times New Roman"/>
          <w:i/>
          <w:iCs/>
          <w:sz w:val="24"/>
          <w:szCs w:val="24"/>
          <w:lang w:val="en-US" w:eastAsia="en-US"/>
        </w:rPr>
        <w:t>The Lancet</w:t>
      </w:r>
      <w:r w:rsidRPr="00C11F9A">
        <w:rPr>
          <w:rFonts w:eastAsia="Times New Roman"/>
          <w:sz w:val="24"/>
          <w:szCs w:val="24"/>
          <w:lang w:val="en-US" w:eastAsia="en-US"/>
        </w:rPr>
        <w:t xml:space="preserve">, 404(10452), pp. 572–628. Available at: </w:t>
      </w:r>
      <w:hyperlink r:id="rId30" w:history="1">
        <w:r w:rsidRPr="00C11F9A">
          <w:rPr>
            <w:rFonts w:eastAsia="Times New Roman"/>
            <w:color w:val="0000FF"/>
            <w:sz w:val="24"/>
            <w:szCs w:val="24"/>
            <w:u w:val="single"/>
            <w:lang w:val="en-US" w:eastAsia="en-US"/>
          </w:rPr>
          <w:t>https://www.thelancet.com/commissions/dementia-prevention-intervention-care</w:t>
        </w:r>
      </w:hyperlink>
      <w:r w:rsidRPr="00C11F9A">
        <w:rPr>
          <w:rFonts w:eastAsia="Times New Roman"/>
          <w:sz w:val="24"/>
          <w:szCs w:val="24"/>
          <w:lang w:val="en-US" w:eastAsia="en-US"/>
        </w:rPr>
        <w:t xml:space="preserve"> (Accessed: 27 April 2026).</w:t>
      </w:r>
    </w:p>
    <w:p w14:paraId="64960435"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r w:rsidRPr="00C11F9A">
        <w:rPr>
          <w:rFonts w:eastAsia="Times New Roman"/>
          <w:sz w:val="24"/>
          <w:szCs w:val="24"/>
          <w:lang w:val="en-US" w:eastAsia="en-US"/>
        </w:rPr>
        <w:t>Mathur, R., Hull, S.A., Hodgson, S. and Finer, S. (2022) ‘</w:t>
      </w:r>
      <w:proofErr w:type="spellStart"/>
      <w:r w:rsidRPr="00C11F9A">
        <w:rPr>
          <w:rFonts w:eastAsia="Times New Roman"/>
          <w:sz w:val="24"/>
          <w:szCs w:val="24"/>
          <w:lang w:val="en-US" w:eastAsia="en-US"/>
        </w:rPr>
        <w:t>Characterisation</w:t>
      </w:r>
      <w:proofErr w:type="spellEnd"/>
      <w:r w:rsidRPr="00C11F9A">
        <w:rPr>
          <w:rFonts w:eastAsia="Times New Roman"/>
          <w:sz w:val="24"/>
          <w:szCs w:val="24"/>
          <w:lang w:val="en-US" w:eastAsia="en-US"/>
        </w:rPr>
        <w:t xml:space="preserve"> of type 2 diabetes subgroups and their association with ethnicity and clinical outcomes: A UK real-world data study using the East London Database’, </w:t>
      </w:r>
      <w:r w:rsidRPr="00C11F9A">
        <w:rPr>
          <w:rFonts w:eastAsia="Times New Roman"/>
          <w:i/>
          <w:iCs/>
          <w:sz w:val="24"/>
          <w:szCs w:val="24"/>
          <w:lang w:val="en-US" w:eastAsia="en-US"/>
        </w:rPr>
        <w:t>British Journal of General Practice</w:t>
      </w:r>
      <w:r w:rsidRPr="00C11F9A">
        <w:rPr>
          <w:rFonts w:eastAsia="Times New Roman"/>
          <w:sz w:val="24"/>
          <w:szCs w:val="24"/>
          <w:lang w:val="en-US" w:eastAsia="en-US"/>
        </w:rPr>
        <w:t xml:space="preserve">, 72(719), pp. e421–e430. Available at: </w:t>
      </w:r>
      <w:hyperlink r:id="rId31" w:history="1">
        <w:r w:rsidRPr="00C11F9A">
          <w:rPr>
            <w:rFonts w:eastAsia="Times New Roman"/>
            <w:color w:val="0000FF"/>
            <w:sz w:val="24"/>
            <w:szCs w:val="24"/>
            <w:u w:val="single"/>
            <w:lang w:val="en-US" w:eastAsia="en-US"/>
          </w:rPr>
          <w:t>https://bjgp.org/content/72/719/e421</w:t>
        </w:r>
      </w:hyperlink>
      <w:r w:rsidRPr="00C11F9A">
        <w:rPr>
          <w:rFonts w:eastAsia="Times New Roman"/>
          <w:sz w:val="24"/>
          <w:szCs w:val="24"/>
          <w:lang w:val="en-US" w:eastAsia="en-US"/>
        </w:rPr>
        <w:t xml:space="preserve"> (Accessed: 27 April 2026).</w:t>
      </w:r>
    </w:p>
    <w:p w14:paraId="6A2C53EC"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r w:rsidRPr="00C11F9A">
        <w:rPr>
          <w:rFonts w:eastAsia="Times New Roman"/>
          <w:sz w:val="24"/>
          <w:szCs w:val="24"/>
          <w:lang w:val="en-US" w:eastAsia="en-US"/>
        </w:rPr>
        <w:t xml:space="preserve">Misra, A., Sattar, N. and Ghosh, A. (2025) ‘Type 2 diabetes in South Asians’, </w:t>
      </w:r>
      <w:r w:rsidRPr="00C11F9A">
        <w:rPr>
          <w:rFonts w:eastAsia="Times New Roman"/>
          <w:i/>
          <w:iCs/>
          <w:sz w:val="24"/>
          <w:szCs w:val="24"/>
          <w:lang w:val="en-US" w:eastAsia="en-US"/>
        </w:rPr>
        <w:t>BMJ</w:t>
      </w:r>
      <w:r w:rsidRPr="00C11F9A">
        <w:rPr>
          <w:rFonts w:eastAsia="Times New Roman"/>
          <w:sz w:val="24"/>
          <w:szCs w:val="24"/>
          <w:lang w:val="en-US" w:eastAsia="en-US"/>
        </w:rPr>
        <w:t xml:space="preserve">, 390, e079801. Available at: </w:t>
      </w:r>
      <w:hyperlink r:id="rId32" w:history="1">
        <w:r w:rsidRPr="00C11F9A">
          <w:rPr>
            <w:rFonts w:eastAsia="Times New Roman"/>
            <w:color w:val="0000FF"/>
            <w:sz w:val="24"/>
            <w:szCs w:val="24"/>
            <w:u w:val="single"/>
            <w:lang w:val="en-US" w:eastAsia="en-US"/>
          </w:rPr>
          <w:t>https://pubmed.ncbi.nlm.nih.gov/40796264/</w:t>
        </w:r>
      </w:hyperlink>
      <w:r w:rsidRPr="00C11F9A">
        <w:rPr>
          <w:rFonts w:eastAsia="Times New Roman"/>
          <w:sz w:val="24"/>
          <w:szCs w:val="24"/>
          <w:lang w:val="en-US" w:eastAsia="en-US"/>
        </w:rPr>
        <w:t xml:space="preserve"> (Accessed: 27 April 2026).</w:t>
      </w:r>
    </w:p>
    <w:p w14:paraId="419C6970"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r w:rsidRPr="00C11F9A">
        <w:rPr>
          <w:rFonts w:eastAsia="Times New Roman"/>
          <w:sz w:val="24"/>
          <w:szCs w:val="24"/>
          <w:lang w:val="en-US" w:eastAsia="en-US"/>
        </w:rPr>
        <w:t xml:space="preserve">NHS Digital (2023a) </w:t>
      </w:r>
      <w:r w:rsidRPr="00C11F9A">
        <w:rPr>
          <w:rFonts w:eastAsia="Times New Roman"/>
          <w:i/>
          <w:iCs/>
          <w:sz w:val="24"/>
          <w:szCs w:val="24"/>
          <w:lang w:val="en-US" w:eastAsia="en-US"/>
        </w:rPr>
        <w:t>National Diabetes Audit 2021–22: Report 1, Care processes and treatment targets</w:t>
      </w:r>
      <w:r w:rsidRPr="00C11F9A">
        <w:rPr>
          <w:rFonts w:eastAsia="Times New Roman"/>
          <w:sz w:val="24"/>
          <w:szCs w:val="24"/>
          <w:lang w:val="en-US" w:eastAsia="en-US"/>
        </w:rPr>
        <w:t xml:space="preserve">. Available at: </w:t>
      </w:r>
      <w:hyperlink r:id="rId33" w:history="1">
        <w:r w:rsidRPr="00C11F9A">
          <w:rPr>
            <w:rFonts w:eastAsia="Times New Roman"/>
            <w:color w:val="0000FF"/>
            <w:sz w:val="24"/>
            <w:szCs w:val="24"/>
            <w:u w:val="single"/>
            <w:lang w:val="en-US" w:eastAsia="en-US"/>
          </w:rPr>
          <w:t>https://digital.nhs.uk/data-and-information/publications/statistical/national-diabetes-audit/report-1-care-processes-and-treatment-targets-2021-22-full-report</w:t>
        </w:r>
      </w:hyperlink>
      <w:r w:rsidRPr="00C11F9A">
        <w:rPr>
          <w:rFonts w:eastAsia="Times New Roman"/>
          <w:sz w:val="24"/>
          <w:szCs w:val="24"/>
          <w:lang w:val="en-US" w:eastAsia="en-US"/>
        </w:rPr>
        <w:t xml:space="preserve"> (Accessed: 27 April 2026).</w:t>
      </w:r>
    </w:p>
    <w:p w14:paraId="2885CC53"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r w:rsidRPr="00C11F9A">
        <w:rPr>
          <w:rFonts w:eastAsia="Times New Roman"/>
          <w:sz w:val="24"/>
          <w:szCs w:val="24"/>
          <w:lang w:val="en-US" w:eastAsia="en-US"/>
        </w:rPr>
        <w:t xml:space="preserve">NHS Digital (2023b) </w:t>
      </w:r>
      <w:r w:rsidRPr="00C11F9A">
        <w:rPr>
          <w:rFonts w:eastAsia="Times New Roman"/>
          <w:i/>
          <w:iCs/>
          <w:sz w:val="24"/>
          <w:szCs w:val="24"/>
          <w:lang w:val="en-US" w:eastAsia="en-US"/>
        </w:rPr>
        <w:t>Health inequalities in diabetes, 2017–18 to 2021–22</w:t>
      </w:r>
      <w:r w:rsidRPr="00C11F9A">
        <w:rPr>
          <w:rFonts w:eastAsia="Times New Roman"/>
          <w:sz w:val="24"/>
          <w:szCs w:val="24"/>
          <w:lang w:val="en-US" w:eastAsia="en-US"/>
        </w:rPr>
        <w:t xml:space="preserve">. Available at: </w:t>
      </w:r>
      <w:hyperlink r:id="rId34" w:history="1">
        <w:r w:rsidRPr="00C11F9A">
          <w:rPr>
            <w:rFonts w:eastAsia="Times New Roman"/>
            <w:color w:val="0000FF"/>
            <w:sz w:val="24"/>
            <w:szCs w:val="24"/>
            <w:u w:val="single"/>
            <w:lang w:val="en-US" w:eastAsia="en-US"/>
          </w:rPr>
          <w:t>https://digital.nhs.uk/data-and-information/publications/statistical/national-diabetes-audit/report-1-care-processes-and-treatment-targets-2021-22-full-report/health-ineq-1718-2122</w:t>
        </w:r>
      </w:hyperlink>
      <w:r w:rsidRPr="00C11F9A">
        <w:rPr>
          <w:rFonts w:eastAsia="Times New Roman"/>
          <w:sz w:val="24"/>
          <w:szCs w:val="24"/>
          <w:lang w:val="en-US" w:eastAsia="en-US"/>
        </w:rPr>
        <w:t xml:space="preserve"> (Accessed: 27 April 2026).</w:t>
      </w:r>
    </w:p>
    <w:p w14:paraId="2FFC4F70"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r w:rsidRPr="00C11F9A">
        <w:rPr>
          <w:rFonts w:eastAsia="Times New Roman"/>
          <w:sz w:val="24"/>
          <w:szCs w:val="24"/>
          <w:lang w:val="en-US" w:eastAsia="en-US"/>
        </w:rPr>
        <w:t xml:space="preserve">NHS England (2024a) </w:t>
      </w:r>
      <w:r w:rsidRPr="00C11F9A">
        <w:rPr>
          <w:rFonts w:eastAsia="Times New Roman"/>
          <w:i/>
          <w:iCs/>
          <w:sz w:val="24"/>
          <w:szCs w:val="24"/>
          <w:lang w:val="en-US" w:eastAsia="en-US"/>
        </w:rPr>
        <w:t>Core20PLUS5: An approach to reducing healthcare inequalities</w:t>
      </w:r>
      <w:r w:rsidRPr="00C11F9A">
        <w:rPr>
          <w:rFonts w:eastAsia="Times New Roman"/>
          <w:sz w:val="24"/>
          <w:szCs w:val="24"/>
          <w:lang w:val="en-US" w:eastAsia="en-US"/>
        </w:rPr>
        <w:t xml:space="preserve">. Available at: </w:t>
      </w:r>
      <w:hyperlink r:id="rId35" w:history="1">
        <w:r w:rsidRPr="00C11F9A">
          <w:rPr>
            <w:rFonts w:eastAsia="Times New Roman"/>
            <w:color w:val="0000FF"/>
            <w:sz w:val="24"/>
            <w:szCs w:val="24"/>
            <w:u w:val="single"/>
            <w:lang w:val="en-US" w:eastAsia="en-US"/>
          </w:rPr>
          <w:t>https://www.england.nhs.uk/about/equality/equality-</w:t>
        </w:r>
        <w:r w:rsidRPr="00C11F9A">
          <w:rPr>
            <w:rFonts w:eastAsia="Times New Roman"/>
            <w:color w:val="0000FF"/>
            <w:sz w:val="24"/>
            <w:szCs w:val="24"/>
            <w:u w:val="single"/>
            <w:lang w:val="en-US" w:eastAsia="en-US"/>
          </w:rPr>
          <w:lastRenderedPageBreak/>
          <w:t>hub/national-healthcare-inequalities-improvement-programme/core20plus5/</w:t>
        </w:r>
      </w:hyperlink>
      <w:r w:rsidRPr="00C11F9A">
        <w:rPr>
          <w:rFonts w:eastAsia="Times New Roman"/>
          <w:sz w:val="24"/>
          <w:szCs w:val="24"/>
          <w:lang w:val="en-US" w:eastAsia="en-US"/>
        </w:rPr>
        <w:t xml:space="preserve"> (Accessed: 27 April 2026).</w:t>
      </w:r>
    </w:p>
    <w:p w14:paraId="7D8059DE"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r w:rsidRPr="00C11F9A">
        <w:rPr>
          <w:rFonts w:eastAsia="Times New Roman"/>
          <w:sz w:val="24"/>
          <w:szCs w:val="24"/>
          <w:lang w:val="en-US" w:eastAsia="en-US"/>
        </w:rPr>
        <w:t xml:space="preserve">NHS England (2024b) </w:t>
      </w:r>
      <w:r w:rsidRPr="00C11F9A">
        <w:rPr>
          <w:rFonts w:eastAsia="Times New Roman"/>
          <w:i/>
          <w:iCs/>
          <w:sz w:val="24"/>
          <w:szCs w:val="24"/>
          <w:lang w:val="en-US" w:eastAsia="en-US"/>
        </w:rPr>
        <w:t>Healthier You: NHS Diabetes Prevention Programme</w:t>
      </w:r>
      <w:r w:rsidRPr="00C11F9A">
        <w:rPr>
          <w:rFonts w:eastAsia="Times New Roman"/>
          <w:sz w:val="24"/>
          <w:szCs w:val="24"/>
          <w:lang w:val="en-US" w:eastAsia="en-US"/>
        </w:rPr>
        <w:t xml:space="preserve">. Available at: </w:t>
      </w:r>
      <w:hyperlink r:id="rId36" w:history="1">
        <w:r w:rsidRPr="00C11F9A">
          <w:rPr>
            <w:rFonts w:eastAsia="Times New Roman"/>
            <w:color w:val="0000FF"/>
            <w:sz w:val="24"/>
            <w:szCs w:val="24"/>
            <w:u w:val="single"/>
            <w:lang w:val="en-US" w:eastAsia="en-US"/>
          </w:rPr>
          <w:t>https://www.england.nhs.uk/diabetes/diabetes-prevention/</w:t>
        </w:r>
      </w:hyperlink>
      <w:r w:rsidRPr="00C11F9A">
        <w:rPr>
          <w:rFonts w:eastAsia="Times New Roman"/>
          <w:sz w:val="24"/>
          <w:szCs w:val="24"/>
          <w:lang w:val="en-US" w:eastAsia="en-US"/>
        </w:rPr>
        <w:t xml:space="preserve"> (Accessed: 27 April 2026).</w:t>
      </w:r>
    </w:p>
    <w:p w14:paraId="4004A637"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r w:rsidRPr="00C11F9A">
        <w:rPr>
          <w:rFonts w:eastAsia="Times New Roman"/>
          <w:sz w:val="24"/>
          <w:szCs w:val="24"/>
          <w:lang w:val="en-US" w:eastAsia="en-US"/>
        </w:rPr>
        <w:t xml:space="preserve">Office for Health Improvement and Disparities (2022) </w:t>
      </w:r>
      <w:r w:rsidRPr="00C11F9A">
        <w:rPr>
          <w:rFonts w:eastAsia="Times New Roman"/>
          <w:i/>
          <w:iCs/>
          <w:sz w:val="24"/>
          <w:szCs w:val="24"/>
          <w:lang w:val="en-US" w:eastAsia="en-US"/>
        </w:rPr>
        <w:t>NHS Health Checks: Applying All Our Health</w:t>
      </w:r>
      <w:r w:rsidRPr="00C11F9A">
        <w:rPr>
          <w:rFonts w:eastAsia="Times New Roman"/>
          <w:sz w:val="24"/>
          <w:szCs w:val="24"/>
          <w:lang w:val="en-US" w:eastAsia="en-US"/>
        </w:rPr>
        <w:t xml:space="preserve">. Available at: </w:t>
      </w:r>
      <w:hyperlink r:id="rId37" w:history="1">
        <w:r w:rsidRPr="00C11F9A">
          <w:rPr>
            <w:rFonts w:eastAsia="Times New Roman"/>
            <w:color w:val="0000FF"/>
            <w:sz w:val="24"/>
            <w:szCs w:val="24"/>
            <w:u w:val="single"/>
            <w:lang w:val="en-US" w:eastAsia="en-US"/>
          </w:rPr>
          <w:t>https://www.gov.uk/government/publications/nhs-health-checks-applying-all-our-health/nhs-health-checks-applying-all-our-health</w:t>
        </w:r>
      </w:hyperlink>
      <w:r w:rsidRPr="00C11F9A">
        <w:rPr>
          <w:rFonts w:eastAsia="Times New Roman"/>
          <w:sz w:val="24"/>
          <w:szCs w:val="24"/>
          <w:lang w:val="en-US" w:eastAsia="en-US"/>
        </w:rPr>
        <w:t xml:space="preserve"> (Accessed: 27 April 2026).</w:t>
      </w:r>
    </w:p>
    <w:p w14:paraId="0D695C88"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r w:rsidRPr="00C11F9A">
        <w:rPr>
          <w:rFonts w:eastAsia="Times New Roman"/>
          <w:sz w:val="24"/>
          <w:szCs w:val="24"/>
          <w:lang w:val="en-US" w:eastAsia="en-US"/>
        </w:rPr>
        <w:t xml:space="preserve">Office for National Statistics (2024) </w:t>
      </w:r>
      <w:r w:rsidRPr="00C11F9A">
        <w:rPr>
          <w:rFonts w:eastAsia="Times New Roman"/>
          <w:i/>
          <w:iCs/>
          <w:sz w:val="24"/>
          <w:szCs w:val="24"/>
          <w:lang w:val="en-US" w:eastAsia="en-US"/>
        </w:rPr>
        <w:t>Health state life expectancies, UK QMI: 2021 to 2023</w:t>
      </w:r>
      <w:r w:rsidRPr="00C11F9A">
        <w:rPr>
          <w:rFonts w:eastAsia="Times New Roman"/>
          <w:sz w:val="24"/>
          <w:szCs w:val="24"/>
          <w:lang w:val="en-US" w:eastAsia="en-US"/>
        </w:rPr>
        <w:t xml:space="preserve">. Available at: </w:t>
      </w:r>
      <w:hyperlink r:id="rId38" w:history="1">
        <w:r w:rsidRPr="00C11F9A">
          <w:rPr>
            <w:rFonts w:eastAsia="Times New Roman"/>
            <w:color w:val="0000FF"/>
            <w:sz w:val="24"/>
            <w:szCs w:val="24"/>
            <w:u w:val="single"/>
            <w:lang w:val="en-US" w:eastAsia="en-US"/>
          </w:rPr>
          <w:t>https://www.ons.gov.uk/peoplepopulationandcommunity/healthandsocialcare/healthandlifeexpectancies/methodologies/healthstatelifeexpectanciesukqmi2020to2022</w:t>
        </w:r>
      </w:hyperlink>
      <w:r w:rsidRPr="00C11F9A">
        <w:rPr>
          <w:rFonts w:eastAsia="Times New Roman"/>
          <w:sz w:val="24"/>
          <w:szCs w:val="24"/>
          <w:lang w:val="en-US" w:eastAsia="en-US"/>
        </w:rPr>
        <w:t xml:space="preserve"> (Accessed: 27 April 2026).</w:t>
      </w:r>
    </w:p>
    <w:p w14:paraId="1E0F8B00"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proofErr w:type="spellStart"/>
      <w:r w:rsidRPr="00C11F9A">
        <w:rPr>
          <w:rFonts w:eastAsia="Times New Roman"/>
          <w:sz w:val="24"/>
          <w:szCs w:val="24"/>
          <w:lang w:val="en-US" w:eastAsia="en-US"/>
        </w:rPr>
        <w:t>Puyané</w:t>
      </w:r>
      <w:proofErr w:type="spellEnd"/>
      <w:r w:rsidRPr="00C11F9A">
        <w:rPr>
          <w:rFonts w:eastAsia="Times New Roman"/>
          <w:sz w:val="24"/>
          <w:szCs w:val="24"/>
          <w:lang w:val="en-US" w:eastAsia="en-US"/>
        </w:rPr>
        <w:t xml:space="preserve">, M., </w:t>
      </w:r>
      <w:proofErr w:type="spellStart"/>
      <w:r w:rsidRPr="00C11F9A">
        <w:rPr>
          <w:rFonts w:eastAsia="Times New Roman"/>
          <w:sz w:val="24"/>
          <w:szCs w:val="24"/>
          <w:lang w:val="en-US" w:eastAsia="en-US"/>
        </w:rPr>
        <w:t>Chabrera</w:t>
      </w:r>
      <w:proofErr w:type="spellEnd"/>
      <w:r w:rsidRPr="00C11F9A">
        <w:rPr>
          <w:rFonts w:eastAsia="Times New Roman"/>
          <w:sz w:val="24"/>
          <w:szCs w:val="24"/>
          <w:lang w:val="en-US" w:eastAsia="en-US"/>
        </w:rPr>
        <w:t xml:space="preserve">, C., </w:t>
      </w:r>
      <w:proofErr w:type="spellStart"/>
      <w:r w:rsidRPr="00C11F9A">
        <w:rPr>
          <w:rFonts w:eastAsia="Times New Roman"/>
          <w:sz w:val="24"/>
          <w:szCs w:val="24"/>
          <w:lang w:val="en-US" w:eastAsia="en-US"/>
        </w:rPr>
        <w:t>Camón</w:t>
      </w:r>
      <w:proofErr w:type="spellEnd"/>
      <w:r w:rsidRPr="00C11F9A">
        <w:rPr>
          <w:rFonts w:eastAsia="Times New Roman"/>
          <w:sz w:val="24"/>
          <w:szCs w:val="24"/>
          <w:lang w:val="en-US" w:eastAsia="en-US"/>
        </w:rPr>
        <w:t xml:space="preserve">, E. and Cabrera, E. (2025) ‘Uncovering the impact of loneliness in ageing populations: A comprehensive scoping review’, </w:t>
      </w:r>
      <w:r w:rsidRPr="00C11F9A">
        <w:rPr>
          <w:rFonts w:eastAsia="Times New Roman"/>
          <w:i/>
          <w:iCs/>
          <w:sz w:val="24"/>
          <w:szCs w:val="24"/>
          <w:lang w:val="en-US" w:eastAsia="en-US"/>
        </w:rPr>
        <w:t>BMC Geriatrics</w:t>
      </w:r>
      <w:r w:rsidRPr="00C11F9A">
        <w:rPr>
          <w:rFonts w:eastAsia="Times New Roman"/>
          <w:sz w:val="24"/>
          <w:szCs w:val="24"/>
          <w:lang w:val="en-US" w:eastAsia="en-US"/>
        </w:rPr>
        <w:t xml:space="preserve">, 25, article 244. Available at: </w:t>
      </w:r>
      <w:hyperlink r:id="rId39" w:history="1">
        <w:r w:rsidRPr="00C11F9A">
          <w:rPr>
            <w:rFonts w:eastAsia="Times New Roman"/>
            <w:color w:val="0000FF"/>
            <w:sz w:val="24"/>
            <w:szCs w:val="24"/>
            <w:u w:val="single"/>
            <w:lang w:val="en-US" w:eastAsia="en-US"/>
          </w:rPr>
          <w:t>https://link.springer.com/article/10.1186/s12877-025-05846-4</w:t>
        </w:r>
      </w:hyperlink>
      <w:r w:rsidRPr="00C11F9A">
        <w:rPr>
          <w:rFonts w:eastAsia="Times New Roman"/>
          <w:sz w:val="24"/>
          <w:szCs w:val="24"/>
          <w:lang w:val="en-US" w:eastAsia="en-US"/>
        </w:rPr>
        <w:t xml:space="preserve"> (Accessed: 27 April 2026).</w:t>
      </w:r>
    </w:p>
    <w:p w14:paraId="55543E50"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r w:rsidRPr="00C11F9A">
        <w:rPr>
          <w:rFonts w:eastAsia="Times New Roman"/>
          <w:sz w:val="24"/>
          <w:szCs w:val="24"/>
          <w:lang w:val="en-US" w:eastAsia="en-US"/>
        </w:rPr>
        <w:t xml:space="preserve">Seidu, S., Tetteh, J., </w:t>
      </w:r>
      <w:proofErr w:type="spellStart"/>
      <w:r w:rsidRPr="00C11F9A">
        <w:rPr>
          <w:rFonts w:eastAsia="Times New Roman"/>
          <w:sz w:val="24"/>
          <w:szCs w:val="24"/>
          <w:lang w:val="en-US" w:eastAsia="en-US"/>
        </w:rPr>
        <w:t>Kunutsor</w:t>
      </w:r>
      <w:proofErr w:type="spellEnd"/>
      <w:r w:rsidRPr="00C11F9A">
        <w:rPr>
          <w:rFonts w:eastAsia="Times New Roman"/>
          <w:sz w:val="24"/>
          <w:szCs w:val="24"/>
          <w:lang w:val="en-US" w:eastAsia="en-US"/>
        </w:rPr>
        <w:t xml:space="preserve">, S., Choudhary, P., Khunti, K. and </w:t>
      </w:r>
      <w:proofErr w:type="spellStart"/>
      <w:r w:rsidRPr="00C11F9A">
        <w:rPr>
          <w:rFonts w:eastAsia="Times New Roman"/>
          <w:sz w:val="24"/>
          <w:szCs w:val="24"/>
          <w:lang w:val="en-US" w:eastAsia="en-US"/>
        </w:rPr>
        <w:t>Ajjan</w:t>
      </w:r>
      <w:proofErr w:type="spellEnd"/>
      <w:r w:rsidRPr="00C11F9A">
        <w:rPr>
          <w:rFonts w:eastAsia="Times New Roman"/>
          <w:sz w:val="24"/>
          <w:szCs w:val="24"/>
          <w:lang w:val="en-US" w:eastAsia="en-US"/>
        </w:rPr>
        <w:t xml:space="preserve">, R.A. (2025) ‘Prescription distribution and inequities in diabetes care: A comparative analysis of continuous glucose monitoring access by diabetes status, ethnicity and socio-economic factors in England’, </w:t>
      </w:r>
      <w:r w:rsidRPr="00C11F9A">
        <w:rPr>
          <w:rFonts w:eastAsia="Times New Roman"/>
          <w:i/>
          <w:iCs/>
          <w:sz w:val="24"/>
          <w:szCs w:val="24"/>
          <w:lang w:val="en-US" w:eastAsia="en-US"/>
        </w:rPr>
        <w:t>Diabetic Medicine</w:t>
      </w:r>
      <w:r w:rsidRPr="00C11F9A">
        <w:rPr>
          <w:rFonts w:eastAsia="Times New Roman"/>
          <w:sz w:val="24"/>
          <w:szCs w:val="24"/>
          <w:lang w:val="en-US" w:eastAsia="en-US"/>
        </w:rPr>
        <w:t xml:space="preserve">, 42(11), article e70130. Available at: </w:t>
      </w:r>
      <w:hyperlink r:id="rId40" w:history="1">
        <w:r w:rsidRPr="00C11F9A">
          <w:rPr>
            <w:rFonts w:eastAsia="Times New Roman"/>
            <w:color w:val="0000FF"/>
            <w:sz w:val="24"/>
            <w:szCs w:val="24"/>
            <w:u w:val="single"/>
            <w:lang w:val="en-US" w:eastAsia="en-US"/>
          </w:rPr>
          <w:t>https://pmc.ncbi.nlm.nih.gov/articles/PMC12535368/</w:t>
        </w:r>
      </w:hyperlink>
      <w:r w:rsidRPr="00C11F9A">
        <w:rPr>
          <w:rFonts w:eastAsia="Times New Roman"/>
          <w:sz w:val="24"/>
          <w:szCs w:val="24"/>
          <w:lang w:val="en-US" w:eastAsia="en-US"/>
        </w:rPr>
        <w:t xml:space="preserve"> (Accessed: 27 April 2026).</w:t>
      </w:r>
    </w:p>
    <w:p w14:paraId="1BE76F90"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r w:rsidRPr="00C11F9A">
        <w:rPr>
          <w:rFonts w:eastAsia="Times New Roman"/>
          <w:sz w:val="24"/>
          <w:szCs w:val="24"/>
          <w:lang w:val="en-US" w:eastAsia="en-US"/>
        </w:rPr>
        <w:t xml:space="preserve">Wang, S., Shen, J., Koh, W.P., Yuan, J.M., Gao, X., Peng, Y., Xu, Y., Shi, S., Huang, Y., Dong, Y. and Zhong, V.W. (2024) ‘Comparison of race- and ethnicity-specific BMI cutoffs for categorizing obesity severity: A </w:t>
      </w:r>
      <w:proofErr w:type="spellStart"/>
      <w:r w:rsidRPr="00C11F9A">
        <w:rPr>
          <w:rFonts w:eastAsia="Times New Roman"/>
          <w:sz w:val="24"/>
          <w:szCs w:val="24"/>
          <w:lang w:val="en-US" w:eastAsia="en-US"/>
        </w:rPr>
        <w:t>multicountry</w:t>
      </w:r>
      <w:proofErr w:type="spellEnd"/>
      <w:r w:rsidRPr="00C11F9A">
        <w:rPr>
          <w:rFonts w:eastAsia="Times New Roman"/>
          <w:sz w:val="24"/>
          <w:szCs w:val="24"/>
          <w:lang w:val="en-US" w:eastAsia="en-US"/>
        </w:rPr>
        <w:t xml:space="preserve"> prospective cohort study’, </w:t>
      </w:r>
      <w:r w:rsidRPr="00C11F9A">
        <w:rPr>
          <w:rFonts w:eastAsia="Times New Roman"/>
          <w:i/>
          <w:iCs/>
          <w:sz w:val="24"/>
          <w:szCs w:val="24"/>
          <w:lang w:val="en-US" w:eastAsia="en-US"/>
        </w:rPr>
        <w:t>Obesity</w:t>
      </w:r>
      <w:r w:rsidRPr="00C11F9A">
        <w:rPr>
          <w:rFonts w:eastAsia="Times New Roman"/>
          <w:sz w:val="24"/>
          <w:szCs w:val="24"/>
          <w:lang w:val="en-US" w:eastAsia="en-US"/>
        </w:rPr>
        <w:t xml:space="preserve">, 32(10), pp. 1958–1966. Available at: </w:t>
      </w:r>
      <w:hyperlink r:id="rId41" w:history="1">
        <w:r w:rsidRPr="00C11F9A">
          <w:rPr>
            <w:rFonts w:eastAsia="Times New Roman"/>
            <w:color w:val="0000FF"/>
            <w:sz w:val="24"/>
            <w:szCs w:val="24"/>
            <w:u w:val="single"/>
            <w:lang w:val="en-US" w:eastAsia="en-US"/>
          </w:rPr>
          <w:t>https://pmc.ncbi.nlm.nih.gov/articles/PMC11421961/</w:t>
        </w:r>
      </w:hyperlink>
      <w:r w:rsidRPr="00C11F9A">
        <w:rPr>
          <w:rFonts w:eastAsia="Times New Roman"/>
          <w:sz w:val="24"/>
          <w:szCs w:val="24"/>
          <w:lang w:val="en-US" w:eastAsia="en-US"/>
        </w:rPr>
        <w:t xml:space="preserve"> (Accessed: 27 April 2026).</w:t>
      </w:r>
    </w:p>
    <w:p w14:paraId="18AF9B64"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r w:rsidRPr="00C11F9A">
        <w:rPr>
          <w:rFonts w:eastAsia="Times New Roman"/>
          <w:sz w:val="24"/>
          <w:szCs w:val="24"/>
          <w:lang w:val="en-US" w:eastAsia="en-US"/>
        </w:rPr>
        <w:lastRenderedPageBreak/>
        <w:t xml:space="preserve">World Health Organization (2024a) </w:t>
      </w:r>
      <w:r w:rsidRPr="00C11F9A">
        <w:rPr>
          <w:rFonts w:eastAsia="Times New Roman"/>
          <w:i/>
          <w:iCs/>
          <w:sz w:val="24"/>
          <w:szCs w:val="24"/>
          <w:lang w:val="en-US" w:eastAsia="en-US"/>
        </w:rPr>
        <w:t>Diabetes</w:t>
      </w:r>
      <w:r w:rsidRPr="00C11F9A">
        <w:rPr>
          <w:rFonts w:eastAsia="Times New Roman"/>
          <w:sz w:val="24"/>
          <w:szCs w:val="24"/>
          <w:lang w:val="en-US" w:eastAsia="en-US"/>
        </w:rPr>
        <w:t xml:space="preserve">. Available at: </w:t>
      </w:r>
      <w:hyperlink r:id="rId42" w:history="1">
        <w:r w:rsidRPr="00C11F9A">
          <w:rPr>
            <w:rFonts w:eastAsia="Times New Roman"/>
            <w:color w:val="0000FF"/>
            <w:sz w:val="24"/>
            <w:szCs w:val="24"/>
            <w:u w:val="single"/>
            <w:lang w:val="en-US" w:eastAsia="en-US"/>
          </w:rPr>
          <w:t>https://www.who.int/news-room/fact-sheets/detail/diabetes</w:t>
        </w:r>
      </w:hyperlink>
      <w:r w:rsidRPr="00C11F9A">
        <w:rPr>
          <w:rFonts w:eastAsia="Times New Roman"/>
          <w:sz w:val="24"/>
          <w:szCs w:val="24"/>
          <w:lang w:val="en-US" w:eastAsia="en-US"/>
        </w:rPr>
        <w:t xml:space="preserve"> (Accessed: 27 April 2026).</w:t>
      </w:r>
    </w:p>
    <w:p w14:paraId="23E90806" w14:textId="77777777" w:rsidR="002906CB" w:rsidRPr="00C11F9A" w:rsidRDefault="002906CB" w:rsidP="00C11F9A">
      <w:pPr>
        <w:spacing w:before="240" w:after="100" w:afterAutospacing="1" w:line="360" w:lineRule="auto"/>
        <w:jc w:val="both"/>
        <w:rPr>
          <w:rFonts w:eastAsia="Times New Roman"/>
          <w:sz w:val="24"/>
          <w:szCs w:val="24"/>
          <w:lang w:val="en-US" w:eastAsia="en-US"/>
        </w:rPr>
      </w:pPr>
      <w:r w:rsidRPr="00C11F9A">
        <w:rPr>
          <w:rFonts w:eastAsia="Times New Roman"/>
          <w:sz w:val="24"/>
          <w:szCs w:val="24"/>
          <w:lang w:val="en-US" w:eastAsia="en-US"/>
        </w:rPr>
        <w:t xml:space="preserve">World Health Organization (2024b) </w:t>
      </w:r>
      <w:r w:rsidRPr="00C11F9A">
        <w:rPr>
          <w:rFonts w:eastAsia="Times New Roman"/>
          <w:i/>
          <w:iCs/>
          <w:sz w:val="24"/>
          <w:szCs w:val="24"/>
          <w:lang w:val="en-US" w:eastAsia="en-US"/>
        </w:rPr>
        <w:t>Diabetes health topic</w:t>
      </w:r>
      <w:r w:rsidRPr="00C11F9A">
        <w:rPr>
          <w:rFonts w:eastAsia="Times New Roman"/>
          <w:sz w:val="24"/>
          <w:szCs w:val="24"/>
          <w:lang w:val="en-US" w:eastAsia="en-US"/>
        </w:rPr>
        <w:t xml:space="preserve">. Available at: </w:t>
      </w:r>
      <w:hyperlink r:id="rId43" w:history="1">
        <w:r w:rsidRPr="00C11F9A">
          <w:rPr>
            <w:rFonts w:eastAsia="Times New Roman"/>
            <w:color w:val="0000FF"/>
            <w:sz w:val="24"/>
            <w:szCs w:val="24"/>
            <w:u w:val="single"/>
            <w:lang w:val="en-US" w:eastAsia="en-US"/>
          </w:rPr>
          <w:t>https://www.who.int/health-topics/diabetes</w:t>
        </w:r>
      </w:hyperlink>
      <w:r w:rsidRPr="00C11F9A">
        <w:rPr>
          <w:rFonts w:eastAsia="Times New Roman"/>
          <w:sz w:val="24"/>
          <w:szCs w:val="24"/>
          <w:lang w:val="en-US" w:eastAsia="en-US"/>
        </w:rPr>
        <w:t xml:space="preserve"> (Accessed: 27 April 2026).</w:t>
      </w:r>
    </w:p>
    <w:p w14:paraId="4981E506" w14:textId="77777777" w:rsidR="00891BF0" w:rsidRPr="00C11F9A" w:rsidRDefault="00891BF0" w:rsidP="00C11F9A">
      <w:pPr>
        <w:spacing w:before="240" w:after="240" w:line="360" w:lineRule="auto"/>
        <w:jc w:val="both"/>
        <w:rPr>
          <w:rFonts w:eastAsia="Times New Roman"/>
          <w:sz w:val="24"/>
          <w:szCs w:val="24"/>
          <w:lang w:val="en-US" w:eastAsia="en-US"/>
        </w:rPr>
      </w:pPr>
    </w:p>
    <w:sectPr w:rsidR="00891BF0" w:rsidRPr="00C11F9A" w:rsidSect="007A7557">
      <w:footerReference w:type="default" r:id="rId4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0581C1" w14:textId="77777777" w:rsidR="001747DF" w:rsidRDefault="001747DF" w:rsidP="007A7557">
      <w:pPr>
        <w:spacing w:line="240" w:lineRule="auto"/>
      </w:pPr>
      <w:r>
        <w:separator/>
      </w:r>
    </w:p>
  </w:endnote>
  <w:endnote w:type="continuationSeparator" w:id="0">
    <w:p w14:paraId="764D383A" w14:textId="77777777" w:rsidR="001747DF" w:rsidRDefault="001747DF" w:rsidP="007A75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ptos Narrow">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0486857"/>
      <w:docPartObj>
        <w:docPartGallery w:val="Page Numbers (Bottom of Page)"/>
        <w:docPartUnique/>
      </w:docPartObj>
    </w:sdtPr>
    <w:sdtEndPr>
      <w:rPr>
        <w:noProof/>
      </w:rPr>
    </w:sdtEndPr>
    <w:sdtContent>
      <w:p w14:paraId="3F36AD2D" w14:textId="6A8EC572" w:rsidR="007A7557" w:rsidRDefault="007A75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79BF68" w14:textId="77777777" w:rsidR="007A7557" w:rsidRDefault="007A75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FD4452" w14:textId="77777777" w:rsidR="001747DF" w:rsidRDefault="001747DF" w:rsidP="007A7557">
      <w:pPr>
        <w:spacing w:line="240" w:lineRule="auto"/>
      </w:pPr>
      <w:r>
        <w:separator/>
      </w:r>
    </w:p>
  </w:footnote>
  <w:footnote w:type="continuationSeparator" w:id="0">
    <w:p w14:paraId="3482FCCC" w14:textId="77777777" w:rsidR="001747DF" w:rsidRDefault="001747DF" w:rsidP="007A755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60930"/>
    <w:multiLevelType w:val="hybridMultilevel"/>
    <w:tmpl w:val="01E62DCA"/>
    <w:lvl w:ilvl="0" w:tplc="FFFFFFFF">
      <w:start w:val="4"/>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A148D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B3382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540143"/>
    <w:multiLevelType w:val="hybridMultilevel"/>
    <w:tmpl w:val="203ABD40"/>
    <w:lvl w:ilvl="0" w:tplc="FFFFFFFF">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5A4CD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4A7312"/>
    <w:multiLevelType w:val="multilevel"/>
    <w:tmpl w:val="FFFFFFFF"/>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FA615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5156D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46143A"/>
    <w:multiLevelType w:val="hybridMultilevel"/>
    <w:tmpl w:val="5F469BBE"/>
    <w:lvl w:ilvl="0" w:tplc="04090001">
      <w:start w:val="1"/>
      <w:numFmt w:val="bullet"/>
      <w:lvlText w:val=""/>
      <w:lvlJc w:val="left"/>
      <w:pPr>
        <w:ind w:left="720" w:hanging="360"/>
      </w:pPr>
      <w:rPr>
        <w:rFonts w:ascii="Symbol" w:hAnsi="Symbol" w:hint="default"/>
      </w:rPr>
    </w:lvl>
    <w:lvl w:ilvl="1" w:tplc="CC8C8D38">
      <w:start w:val="4"/>
      <w:numFmt w:val="bullet"/>
      <w:lvlText w:val=""/>
      <w:lvlJc w:val="left"/>
      <w:pPr>
        <w:ind w:left="1440" w:hanging="360"/>
      </w:pPr>
      <w:rPr>
        <w:rFonts w:ascii="Symbol" w:eastAsia="Times New Roman" w:hAnsi="Symbol" w:cs="Times New Roman"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301044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385FB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3C75D0"/>
    <w:multiLevelType w:val="hybridMultilevel"/>
    <w:tmpl w:val="1D0EFCA2"/>
    <w:lvl w:ilvl="0" w:tplc="FFFFFFFF">
      <w:start w:val="1"/>
      <w:numFmt w:val="decimal"/>
      <w:lvlText w:val="%1."/>
      <w:lvlJc w:val="left"/>
      <w:pPr>
        <w:ind w:left="727" w:hanging="367"/>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35B1330"/>
    <w:multiLevelType w:val="multilevel"/>
    <w:tmpl w:val="FFFFFFFF"/>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536435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64433A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ADC7A21"/>
    <w:multiLevelType w:val="hybridMultilevel"/>
    <w:tmpl w:val="4D2C28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C957CBB"/>
    <w:multiLevelType w:val="hybridMultilevel"/>
    <w:tmpl w:val="1F4879D4"/>
    <w:lvl w:ilvl="0" w:tplc="04090001">
      <w:start w:val="1"/>
      <w:numFmt w:val="bullet"/>
      <w:lvlText w:val=""/>
      <w:lvlJc w:val="left"/>
      <w:pPr>
        <w:ind w:left="720" w:hanging="360"/>
      </w:pPr>
      <w:rPr>
        <w:rFonts w:ascii="Symbol" w:hAnsi="Symbol" w:hint="default"/>
      </w:rPr>
    </w:lvl>
    <w:lvl w:ilvl="1" w:tplc="FFFFFFFF">
      <w:start w:val="4"/>
      <w:numFmt w:val="bullet"/>
      <w:lvlText w:val=""/>
      <w:lvlJc w:val="left"/>
      <w:pPr>
        <w:ind w:left="1440" w:hanging="360"/>
      </w:pPr>
      <w:rPr>
        <w:rFonts w:ascii="Symbol" w:eastAsia="Times New Roman" w:hAnsi="Symbol" w:cs="Times New Roman"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2D775BE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0C10BA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0F27D9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55E0894"/>
    <w:multiLevelType w:val="hybridMultilevel"/>
    <w:tmpl w:val="75641866"/>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1" w15:restartNumberingAfterBreak="0">
    <w:nsid w:val="3B9D2F2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C3459DA"/>
    <w:multiLevelType w:val="hybridMultilevel"/>
    <w:tmpl w:val="06622CA4"/>
    <w:lvl w:ilvl="0" w:tplc="FFFFFFFF">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D0356F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D1F19E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06D630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2C1290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32E6DCC"/>
    <w:multiLevelType w:val="hybridMultilevel"/>
    <w:tmpl w:val="033C7A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3F473EF"/>
    <w:multiLevelType w:val="hybridMultilevel"/>
    <w:tmpl w:val="D8BC48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6540CD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0D9269F"/>
    <w:multiLevelType w:val="hybridMultilevel"/>
    <w:tmpl w:val="B90EF6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9512710"/>
    <w:multiLevelType w:val="hybridMultilevel"/>
    <w:tmpl w:val="777C478A"/>
    <w:lvl w:ilvl="0" w:tplc="FFFFFFFF">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AB032BA"/>
    <w:multiLevelType w:val="hybridMultilevel"/>
    <w:tmpl w:val="920EAC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D4B290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FF12DB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2626B6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2C41CB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941733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CCC73A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DCA0D8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DD6488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7920977">
    <w:abstractNumId w:val="8"/>
  </w:num>
  <w:num w:numId="2" w16cid:durableId="1893878809">
    <w:abstractNumId w:val="16"/>
  </w:num>
  <w:num w:numId="3" w16cid:durableId="851181991">
    <w:abstractNumId w:val="0"/>
  </w:num>
  <w:num w:numId="4" w16cid:durableId="1818254029">
    <w:abstractNumId w:val="39"/>
  </w:num>
  <w:num w:numId="5" w16cid:durableId="261842707">
    <w:abstractNumId w:val="38"/>
  </w:num>
  <w:num w:numId="6" w16cid:durableId="1333987849">
    <w:abstractNumId w:val="12"/>
  </w:num>
  <w:num w:numId="7" w16cid:durableId="1154295600">
    <w:abstractNumId w:val="5"/>
  </w:num>
  <w:num w:numId="8" w16cid:durableId="1823813933">
    <w:abstractNumId w:val="2"/>
  </w:num>
  <w:num w:numId="9" w16cid:durableId="1221139331">
    <w:abstractNumId w:val="26"/>
  </w:num>
  <w:num w:numId="10" w16cid:durableId="1687369038">
    <w:abstractNumId w:val="13"/>
  </w:num>
  <w:num w:numId="11" w16cid:durableId="650057885">
    <w:abstractNumId w:val="17"/>
  </w:num>
  <w:num w:numId="12" w16cid:durableId="1085032690">
    <w:abstractNumId w:val="20"/>
  </w:num>
  <w:num w:numId="13" w16cid:durableId="248003068">
    <w:abstractNumId w:val="15"/>
  </w:num>
  <w:num w:numId="14" w16cid:durableId="925652152">
    <w:abstractNumId w:val="32"/>
  </w:num>
  <w:num w:numId="15" w16cid:durableId="1384911361">
    <w:abstractNumId w:val="7"/>
  </w:num>
  <w:num w:numId="16" w16cid:durableId="1131708278">
    <w:abstractNumId w:val="36"/>
  </w:num>
  <w:num w:numId="17" w16cid:durableId="2054383474">
    <w:abstractNumId w:val="28"/>
  </w:num>
  <w:num w:numId="18" w16cid:durableId="1324354420">
    <w:abstractNumId w:val="22"/>
  </w:num>
  <w:num w:numId="19" w16cid:durableId="1091663022">
    <w:abstractNumId w:val="3"/>
  </w:num>
  <w:num w:numId="20" w16cid:durableId="24328962">
    <w:abstractNumId w:val="11"/>
  </w:num>
  <w:num w:numId="21" w16cid:durableId="486366696">
    <w:abstractNumId w:val="31"/>
  </w:num>
  <w:num w:numId="22" w16cid:durableId="970136858">
    <w:abstractNumId w:val="37"/>
  </w:num>
  <w:num w:numId="23" w16cid:durableId="1303535438">
    <w:abstractNumId w:val="19"/>
  </w:num>
  <w:num w:numId="24" w16cid:durableId="269628815">
    <w:abstractNumId w:val="1"/>
  </w:num>
  <w:num w:numId="25" w16cid:durableId="658652628">
    <w:abstractNumId w:val="40"/>
  </w:num>
  <w:num w:numId="26" w16cid:durableId="677578694">
    <w:abstractNumId w:val="23"/>
  </w:num>
  <w:num w:numId="27" w16cid:durableId="599604791">
    <w:abstractNumId w:val="21"/>
  </w:num>
  <w:num w:numId="28" w16cid:durableId="664018006">
    <w:abstractNumId w:val="14"/>
  </w:num>
  <w:num w:numId="29" w16cid:durableId="884293504">
    <w:abstractNumId w:val="24"/>
  </w:num>
  <w:num w:numId="30" w16cid:durableId="1596555134">
    <w:abstractNumId w:val="30"/>
  </w:num>
  <w:num w:numId="31" w16cid:durableId="2100830350">
    <w:abstractNumId w:val="34"/>
  </w:num>
  <w:num w:numId="32" w16cid:durableId="1475760440">
    <w:abstractNumId w:val="6"/>
  </w:num>
  <w:num w:numId="33" w16cid:durableId="1658458053">
    <w:abstractNumId w:val="9"/>
  </w:num>
  <w:num w:numId="34" w16cid:durableId="315456527">
    <w:abstractNumId w:val="10"/>
  </w:num>
  <w:num w:numId="35" w16cid:durableId="166016495">
    <w:abstractNumId w:val="4"/>
  </w:num>
  <w:num w:numId="36" w16cid:durableId="1503549802">
    <w:abstractNumId w:val="25"/>
  </w:num>
  <w:num w:numId="37" w16cid:durableId="1401252907">
    <w:abstractNumId w:val="35"/>
  </w:num>
  <w:num w:numId="38" w16cid:durableId="387847708">
    <w:abstractNumId w:val="33"/>
  </w:num>
  <w:num w:numId="39" w16cid:durableId="1670717392">
    <w:abstractNumId w:val="29"/>
  </w:num>
  <w:num w:numId="40" w16cid:durableId="1843007744">
    <w:abstractNumId w:val="18"/>
  </w:num>
  <w:num w:numId="41" w16cid:durableId="136996465">
    <w:abstractNumId w:val="27"/>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0B5E"/>
    <w:rsid w:val="000011DE"/>
    <w:rsid w:val="00001282"/>
    <w:rsid w:val="000027C4"/>
    <w:rsid w:val="00004ABB"/>
    <w:rsid w:val="00004C00"/>
    <w:rsid w:val="00005904"/>
    <w:rsid w:val="0000788D"/>
    <w:rsid w:val="00007D88"/>
    <w:rsid w:val="00010299"/>
    <w:rsid w:val="000123DF"/>
    <w:rsid w:val="00012724"/>
    <w:rsid w:val="00014240"/>
    <w:rsid w:val="000147A1"/>
    <w:rsid w:val="00014CB0"/>
    <w:rsid w:val="000151F6"/>
    <w:rsid w:val="000162FF"/>
    <w:rsid w:val="000217DC"/>
    <w:rsid w:val="00021C29"/>
    <w:rsid w:val="000222E9"/>
    <w:rsid w:val="0002231E"/>
    <w:rsid w:val="000227A2"/>
    <w:rsid w:val="000227F6"/>
    <w:rsid w:val="00026073"/>
    <w:rsid w:val="00026CA4"/>
    <w:rsid w:val="000314FE"/>
    <w:rsid w:val="00033168"/>
    <w:rsid w:val="000363F1"/>
    <w:rsid w:val="00036EE8"/>
    <w:rsid w:val="0004239A"/>
    <w:rsid w:val="00042C24"/>
    <w:rsid w:val="0004398F"/>
    <w:rsid w:val="000439FA"/>
    <w:rsid w:val="00043E63"/>
    <w:rsid w:val="0004436A"/>
    <w:rsid w:val="00050E83"/>
    <w:rsid w:val="0005122B"/>
    <w:rsid w:val="00052A5A"/>
    <w:rsid w:val="00052BC7"/>
    <w:rsid w:val="00060FA9"/>
    <w:rsid w:val="00063862"/>
    <w:rsid w:val="0006392C"/>
    <w:rsid w:val="0006712D"/>
    <w:rsid w:val="00067B3E"/>
    <w:rsid w:val="00072365"/>
    <w:rsid w:val="00073FCC"/>
    <w:rsid w:val="00073FEA"/>
    <w:rsid w:val="000805F1"/>
    <w:rsid w:val="00081049"/>
    <w:rsid w:val="000821EC"/>
    <w:rsid w:val="000823AD"/>
    <w:rsid w:val="00082EFB"/>
    <w:rsid w:val="00085FDB"/>
    <w:rsid w:val="00090F0E"/>
    <w:rsid w:val="00091B16"/>
    <w:rsid w:val="00094CD3"/>
    <w:rsid w:val="00095DC4"/>
    <w:rsid w:val="00095FFE"/>
    <w:rsid w:val="000972C9"/>
    <w:rsid w:val="00097BBE"/>
    <w:rsid w:val="000A18A2"/>
    <w:rsid w:val="000A2B0E"/>
    <w:rsid w:val="000A2D90"/>
    <w:rsid w:val="000A5A29"/>
    <w:rsid w:val="000B11E2"/>
    <w:rsid w:val="000B14E5"/>
    <w:rsid w:val="000B2257"/>
    <w:rsid w:val="000B2DC7"/>
    <w:rsid w:val="000B3191"/>
    <w:rsid w:val="000B7482"/>
    <w:rsid w:val="000C02C3"/>
    <w:rsid w:val="000C03B2"/>
    <w:rsid w:val="000C0605"/>
    <w:rsid w:val="000C4D6E"/>
    <w:rsid w:val="000C7935"/>
    <w:rsid w:val="000D005C"/>
    <w:rsid w:val="000D2E08"/>
    <w:rsid w:val="000D3AAB"/>
    <w:rsid w:val="000D3D25"/>
    <w:rsid w:val="000D4A20"/>
    <w:rsid w:val="000D4CA2"/>
    <w:rsid w:val="000D5752"/>
    <w:rsid w:val="000D77F5"/>
    <w:rsid w:val="000E2239"/>
    <w:rsid w:val="000E52E2"/>
    <w:rsid w:val="000E60A4"/>
    <w:rsid w:val="000F0AF5"/>
    <w:rsid w:val="000F3125"/>
    <w:rsid w:val="000F380B"/>
    <w:rsid w:val="000F6A5E"/>
    <w:rsid w:val="001038FD"/>
    <w:rsid w:val="00104047"/>
    <w:rsid w:val="00106880"/>
    <w:rsid w:val="001101C5"/>
    <w:rsid w:val="0011189E"/>
    <w:rsid w:val="00112F7F"/>
    <w:rsid w:val="00115F26"/>
    <w:rsid w:val="001219A3"/>
    <w:rsid w:val="00121C98"/>
    <w:rsid w:val="00124206"/>
    <w:rsid w:val="0012531A"/>
    <w:rsid w:val="00125B3B"/>
    <w:rsid w:val="00125D91"/>
    <w:rsid w:val="00125F97"/>
    <w:rsid w:val="00127DB4"/>
    <w:rsid w:val="0013029B"/>
    <w:rsid w:val="0013655B"/>
    <w:rsid w:val="00140AEA"/>
    <w:rsid w:val="00141E46"/>
    <w:rsid w:val="001430A1"/>
    <w:rsid w:val="00143641"/>
    <w:rsid w:val="0014399B"/>
    <w:rsid w:val="001450F6"/>
    <w:rsid w:val="00147B61"/>
    <w:rsid w:val="0015010C"/>
    <w:rsid w:val="00150261"/>
    <w:rsid w:val="00151AF4"/>
    <w:rsid w:val="00155760"/>
    <w:rsid w:val="00161D47"/>
    <w:rsid w:val="00162247"/>
    <w:rsid w:val="00164C93"/>
    <w:rsid w:val="00166AB5"/>
    <w:rsid w:val="00171808"/>
    <w:rsid w:val="0017217B"/>
    <w:rsid w:val="00173D97"/>
    <w:rsid w:val="001747DF"/>
    <w:rsid w:val="0017531E"/>
    <w:rsid w:val="0018017D"/>
    <w:rsid w:val="001808D8"/>
    <w:rsid w:val="001826AA"/>
    <w:rsid w:val="00185A46"/>
    <w:rsid w:val="0018727D"/>
    <w:rsid w:val="00190458"/>
    <w:rsid w:val="00190607"/>
    <w:rsid w:val="00191056"/>
    <w:rsid w:val="0019224C"/>
    <w:rsid w:val="001926F8"/>
    <w:rsid w:val="001931C3"/>
    <w:rsid w:val="001940B6"/>
    <w:rsid w:val="00196904"/>
    <w:rsid w:val="00196B8A"/>
    <w:rsid w:val="001A1D99"/>
    <w:rsid w:val="001A270C"/>
    <w:rsid w:val="001A36FF"/>
    <w:rsid w:val="001A3FC5"/>
    <w:rsid w:val="001A4B25"/>
    <w:rsid w:val="001B2FCE"/>
    <w:rsid w:val="001B34F9"/>
    <w:rsid w:val="001B4BDC"/>
    <w:rsid w:val="001B5306"/>
    <w:rsid w:val="001B6139"/>
    <w:rsid w:val="001B75B7"/>
    <w:rsid w:val="001C05F0"/>
    <w:rsid w:val="001C3790"/>
    <w:rsid w:val="001C4591"/>
    <w:rsid w:val="001C5332"/>
    <w:rsid w:val="001C5E3D"/>
    <w:rsid w:val="001D0A61"/>
    <w:rsid w:val="001D1FE6"/>
    <w:rsid w:val="001D2024"/>
    <w:rsid w:val="001D62D3"/>
    <w:rsid w:val="001D6B02"/>
    <w:rsid w:val="001D795F"/>
    <w:rsid w:val="001E04E4"/>
    <w:rsid w:val="001E0F28"/>
    <w:rsid w:val="001E3527"/>
    <w:rsid w:val="001E3A25"/>
    <w:rsid w:val="001E438D"/>
    <w:rsid w:val="001F1F09"/>
    <w:rsid w:val="001F462A"/>
    <w:rsid w:val="001F578C"/>
    <w:rsid w:val="001F7FE2"/>
    <w:rsid w:val="00201E74"/>
    <w:rsid w:val="00207C76"/>
    <w:rsid w:val="00210013"/>
    <w:rsid w:val="0021019A"/>
    <w:rsid w:val="00210430"/>
    <w:rsid w:val="002114BA"/>
    <w:rsid w:val="00211F7A"/>
    <w:rsid w:val="002131CF"/>
    <w:rsid w:val="002135A7"/>
    <w:rsid w:val="00215B6D"/>
    <w:rsid w:val="0021788A"/>
    <w:rsid w:val="00225AE9"/>
    <w:rsid w:val="002347FC"/>
    <w:rsid w:val="00237096"/>
    <w:rsid w:val="002410A0"/>
    <w:rsid w:val="00242201"/>
    <w:rsid w:val="0024342C"/>
    <w:rsid w:val="00243FE6"/>
    <w:rsid w:val="00245098"/>
    <w:rsid w:val="00246199"/>
    <w:rsid w:val="002507C6"/>
    <w:rsid w:val="002509F6"/>
    <w:rsid w:val="00250BE5"/>
    <w:rsid w:val="002525E2"/>
    <w:rsid w:val="00252695"/>
    <w:rsid w:val="00253834"/>
    <w:rsid w:val="00253CDA"/>
    <w:rsid w:val="0025408E"/>
    <w:rsid w:val="00256326"/>
    <w:rsid w:val="00256CFB"/>
    <w:rsid w:val="0026148F"/>
    <w:rsid w:val="002615D6"/>
    <w:rsid w:val="00266A3E"/>
    <w:rsid w:val="00266E81"/>
    <w:rsid w:val="00271B4B"/>
    <w:rsid w:val="00271F25"/>
    <w:rsid w:val="00274C79"/>
    <w:rsid w:val="002771D1"/>
    <w:rsid w:val="00282F7C"/>
    <w:rsid w:val="00283046"/>
    <w:rsid w:val="00286124"/>
    <w:rsid w:val="002906CB"/>
    <w:rsid w:val="00290C87"/>
    <w:rsid w:val="00290D2A"/>
    <w:rsid w:val="00291366"/>
    <w:rsid w:val="002939FD"/>
    <w:rsid w:val="00294555"/>
    <w:rsid w:val="002A1824"/>
    <w:rsid w:val="002A417C"/>
    <w:rsid w:val="002A4307"/>
    <w:rsid w:val="002A4CEB"/>
    <w:rsid w:val="002A4D48"/>
    <w:rsid w:val="002A5193"/>
    <w:rsid w:val="002A52BE"/>
    <w:rsid w:val="002A552C"/>
    <w:rsid w:val="002A66A4"/>
    <w:rsid w:val="002A7153"/>
    <w:rsid w:val="002A7C27"/>
    <w:rsid w:val="002B0DC2"/>
    <w:rsid w:val="002B0FC8"/>
    <w:rsid w:val="002B151A"/>
    <w:rsid w:val="002B1864"/>
    <w:rsid w:val="002B3916"/>
    <w:rsid w:val="002B4827"/>
    <w:rsid w:val="002B6AF2"/>
    <w:rsid w:val="002B6E74"/>
    <w:rsid w:val="002B7B99"/>
    <w:rsid w:val="002C1C33"/>
    <w:rsid w:val="002C2ACC"/>
    <w:rsid w:val="002C2E56"/>
    <w:rsid w:val="002C30EA"/>
    <w:rsid w:val="002C36F2"/>
    <w:rsid w:val="002C4CF5"/>
    <w:rsid w:val="002C5035"/>
    <w:rsid w:val="002C5608"/>
    <w:rsid w:val="002C6AE1"/>
    <w:rsid w:val="002D17B2"/>
    <w:rsid w:val="002D25A6"/>
    <w:rsid w:val="002D41F1"/>
    <w:rsid w:val="002D61F4"/>
    <w:rsid w:val="002E3084"/>
    <w:rsid w:val="002E3DB6"/>
    <w:rsid w:val="002E68D0"/>
    <w:rsid w:val="002E6908"/>
    <w:rsid w:val="002E6A39"/>
    <w:rsid w:val="002F0426"/>
    <w:rsid w:val="002F659B"/>
    <w:rsid w:val="002F6758"/>
    <w:rsid w:val="00303550"/>
    <w:rsid w:val="00304A6D"/>
    <w:rsid w:val="003067D2"/>
    <w:rsid w:val="00306AE3"/>
    <w:rsid w:val="00306E94"/>
    <w:rsid w:val="00306F74"/>
    <w:rsid w:val="00310A38"/>
    <w:rsid w:val="003113DF"/>
    <w:rsid w:val="00313265"/>
    <w:rsid w:val="00314733"/>
    <w:rsid w:val="00316167"/>
    <w:rsid w:val="0031618F"/>
    <w:rsid w:val="003163E3"/>
    <w:rsid w:val="003168A9"/>
    <w:rsid w:val="003176E1"/>
    <w:rsid w:val="00317DC1"/>
    <w:rsid w:val="00320950"/>
    <w:rsid w:val="0032328F"/>
    <w:rsid w:val="0032402A"/>
    <w:rsid w:val="00325310"/>
    <w:rsid w:val="00325C5D"/>
    <w:rsid w:val="00325FFB"/>
    <w:rsid w:val="0032603D"/>
    <w:rsid w:val="00326AC9"/>
    <w:rsid w:val="00326F01"/>
    <w:rsid w:val="00327608"/>
    <w:rsid w:val="003309C7"/>
    <w:rsid w:val="00331427"/>
    <w:rsid w:val="003338E9"/>
    <w:rsid w:val="003351E5"/>
    <w:rsid w:val="003404CA"/>
    <w:rsid w:val="003430FD"/>
    <w:rsid w:val="00343143"/>
    <w:rsid w:val="0034318D"/>
    <w:rsid w:val="00344A8A"/>
    <w:rsid w:val="00346683"/>
    <w:rsid w:val="00347676"/>
    <w:rsid w:val="00350BA4"/>
    <w:rsid w:val="00352D09"/>
    <w:rsid w:val="00352E3C"/>
    <w:rsid w:val="0035586C"/>
    <w:rsid w:val="0035592B"/>
    <w:rsid w:val="00356AD0"/>
    <w:rsid w:val="00357842"/>
    <w:rsid w:val="00357C57"/>
    <w:rsid w:val="00357FCE"/>
    <w:rsid w:val="00360823"/>
    <w:rsid w:val="003628A8"/>
    <w:rsid w:val="0036442C"/>
    <w:rsid w:val="0036702F"/>
    <w:rsid w:val="00367D63"/>
    <w:rsid w:val="0037026B"/>
    <w:rsid w:val="00373033"/>
    <w:rsid w:val="003763EA"/>
    <w:rsid w:val="003776D3"/>
    <w:rsid w:val="0037777F"/>
    <w:rsid w:val="00380E0D"/>
    <w:rsid w:val="003815B6"/>
    <w:rsid w:val="00385199"/>
    <w:rsid w:val="00386AFE"/>
    <w:rsid w:val="003879BD"/>
    <w:rsid w:val="003902A5"/>
    <w:rsid w:val="0039093F"/>
    <w:rsid w:val="0039256B"/>
    <w:rsid w:val="00396A9A"/>
    <w:rsid w:val="003A3817"/>
    <w:rsid w:val="003A49F8"/>
    <w:rsid w:val="003A61E3"/>
    <w:rsid w:val="003A7E49"/>
    <w:rsid w:val="003B0827"/>
    <w:rsid w:val="003B268E"/>
    <w:rsid w:val="003B2802"/>
    <w:rsid w:val="003B2E66"/>
    <w:rsid w:val="003B4105"/>
    <w:rsid w:val="003B54FF"/>
    <w:rsid w:val="003B5E1F"/>
    <w:rsid w:val="003B62E9"/>
    <w:rsid w:val="003B7A50"/>
    <w:rsid w:val="003C6284"/>
    <w:rsid w:val="003C7053"/>
    <w:rsid w:val="003C7AB6"/>
    <w:rsid w:val="003C7D7B"/>
    <w:rsid w:val="003D3103"/>
    <w:rsid w:val="003D5A78"/>
    <w:rsid w:val="003D7C1E"/>
    <w:rsid w:val="003E11B4"/>
    <w:rsid w:val="003E2B73"/>
    <w:rsid w:val="003E305E"/>
    <w:rsid w:val="003E56F8"/>
    <w:rsid w:val="003E5C99"/>
    <w:rsid w:val="003F1ABD"/>
    <w:rsid w:val="003F3B24"/>
    <w:rsid w:val="003F4425"/>
    <w:rsid w:val="003F6095"/>
    <w:rsid w:val="0040072F"/>
    <w:rsid w:val="0040082C"/>
    <w:rsid w:val="00401E6D"/>
    <w:rsid w:val="00402A37"/>
    <w:rsid w:val="00404043"/>
    <w:rsid w:val="004040F9"/>
    <w:rsid w:val="00407A2F"/>
    <w:rsid w:val="00412DCB"/>
    <w:rsid w:val="00412EC5"/>
    <w:rsid w:val="0041634F"/>
    <w:rsid w:val="00416D31"/>
    <w:rsid w:val="0042102E"/>
    <w:rsid w:val="004213F6"/>
    <w:rsid w:val="0042575B"/>
    <w:rsid w:val="00426249"/>
    <w:rsid w:val="004270A6"/>
    <w:rsid w:val="004308FD"/>
    <w:rsid w:val="00432515"/>
    <w:rsid w:val="0043314D"/>
    <w:rsid w:val="0044170B"/>
    <w:rsid w:val="00444643"/>
    <w:rsid w:val="00444865"/>
    <w:rsid w:val="00446F69"/>
    <w:rsid w:val="0044753A"/>
    <w:rsid w:val="00447E0D"/>
    <w:rsid w:val="0045497C"/>
    <w:rsid w:val="004563FB"/>
    <w:rsid w:val="00457417"/>
    <w:rsid w:val="004577B6"/>
    <w:rsid w:val="00457A29"/>
    <w:rsid w:val="00461B16"/>
    <w:rsid w:val="00462837"/>
    <w:rsid w:val="00462F23"/>
    <w:rsid w:val="00465672"/>
    <w:rsid w:val="00465A01"/>
    <w:rsid w:val="004741D8"/>
    <w:rsid w:val="00475468"/>
    <w:rsid w:val="004777E0"/>
    <w:rsid w:val="00477934"/>
    <w:rsid w:val="004805E5"/>
    <w:rsid w:val="00482178"/>
    <w:rsid w:val="004823B5"/>
    <w:rsid w:val="0048240F"/>
    <w:rsid w:val="0048355D"/>
    <w:rsid w:val="00483DA9"/>
    <w:rsid w:val="00486822"/>
    <w:rsid w:val="0049433D"/>
    <w:rsid w:val="00494A0B"/>
    <w:rsid w:val="00496B1F"/>
    <w:rsid w:val="00497392"/>
    <w:rsid w:val="004A0D81"/>
    <w:rsid w:val="004A0E4D"/>
    <w:rsid w:val="004A3899"/>
    <w:rsid w:val="004A491D"/>
    <w:rsid w:val="004A7052"/>
    <w:rsid w:val="004A7DD7"/>
    <w:rsid w:val="004B05C5"/>
    <w:rsid w:val="004B05CD"/>
    <w:rsid w:val="004B1D80"/>
    <w:rsid w:val="004B1DDD"/>
    <w:rsid w:val="004B274E"/>
    <w:rsid w:val="004B4268"/>
    <w:rsid w:val="004B4A49"/>
    <w:rsid w:val="004B5EC2"/>
    <w:rsid w:val="004B6353"/>
    <w:rsid w:val="004B71CC"/>
    <w:rsid w:val="004B7376"/>
    <w:rsid w:val="004C0671"/>
    <w:rsid w:val="004C0BB1"/>
    <w:rsid w:val="004C1431"/>
    <w:rsid w:val="004C17BC"/>
    <w:rsid w:val="004C296A"/>
    <w:rsid w:val="004C2B3A"/>
    <w:rsid w:val="004C47DE"/>
    <w:rsid w:val="004C6148"/>
    <w:rsid w:val="004C6901"/>
    <w:rsid w:val="004D2009"/>
    <w:rsid w:val="004D3B5C"/>
    <w:rsid w:val="004D3F13"/>
    <w:rsid w:val="004D79F3"/>
    <w:rsid w:val="004E0855"/>
    <w:rsid w:val="004E5C40"/>
    <w:rsid w:val="004E68BB"/>
    <w:rsid w:val="004E71EC"/>
    <w:rsid w:val="004F0895"/>
    <w:rsid w:val="004F448B"/>
    <w:rsid w:val="004F62F7"/>
    <w:rsid w:val="004F6D15"/>
    <w:rsid w:val="004F7903"/>
    <w:rsid w:val="0050220F"/>
    <w:rsid w:val="005024A3"/>
    <w:rsid w:val="00502C03"/>
    <w:rsid w:val="00503775"/>
    <w:rsid w:val="005037DB"/>
    <w:rsid w:val="00503EDD"/>
    <w:rsid w:val="005071DA"/>
    <w:rsid w:val="005077F1"/>
    <w:rsid w:val="00510A6A"/>
    <w:rsid w:val="0051168A"/>
    <w:rsid w:val="0051367C"/>
    <w:rsid w:val="005154A5"/>
    <w:rsid w:val="00516BF6"/>
    <w:rsid w:val="00521259"/>
    <w:rsid w:val="005222AB"/>
    <w:rsid w:val="00522330"/>
    <w:rsid w:val="00522EDA"/>
    <w:rsid w:val="005236C9"/>
    <w:rsid w:val="00523D75"/>
    <w:rsid w:val="00524CB9"/>
    <w:rsid w:val="00527707"/>
    <w:rsid w:val="00531B3A"/>
    <w:rsid w:val="00532BD9"/>
    <w:rsid w:val="00536085"/>
    <w:rsid w:val="0054447F"/>
    <w:rsid w:val="005446C8"/>
    <w:rsid w:val="00546EDD"/>
    <w:rsid w:val="00547322"/>
    <w:rsid w:val="005474C3"/>
    <w:rsid w:val="00547E69"/>
    <w:rsid w:val="0055054D"/>
    <w:rsid w:val="00551373"/>
    <w:rsid w:val="00553AAA"/>
    <w:rsid w:val="00553EFF"/>
    <w:rsid w:val="005546BE"/>
    <w:rsid w:val="005577F7"/>
    <w:rsid w:val="005578A8"/>
    <w:rsid w:val="005579FB"/>
    <w:rsid w:val="005619AD"/>
    <w:rsid w:val="00561AEC"/>
    <w:rsid w:val="0056224E"/>
    <w:rsid w:val="00564527"/>
    <w:rsid w:val="00564EC7"/>
    <w:rsid w:val="00566C91"/>
    <w:rsid w:val="005705A2"/>
    <w:rsid w:val="005708D9"/>
    <w:rsid w:val="005715E7"/>
    <w:rsid w:val="00572272"/>
    <w:rsid w:val="0057230F"/>
    <w:rsid w:val="00572E49"/>
    <w:rsid w:val="0057349A"/>
    <w:rsid w:val="00575B26"/>
    <w:rsid w:val="00581B04"/>
    <w:rsid w:val="00581DA1"/>
    <w:rsid w:val="00583BE6"/>
    <w:rsid w:val="00583CB2"/>
    <w:rsid w:val="00583D10"/>
    <w:rsid w:val="00584DC6"/>
    <w:rsid w:val="00590081"/>
    <w:rsid w:val="00593E8F"/>
    <w:rsid w:val="0059517F"/>
    <w:rsid w:val="00595B5C"/>
    <w:rsid w:val="005A103C"/>
    <w:rsid w:val="005A1A4B"/>
    <w:rsid w:val="005A4A87"/>
    <w:rsid w:val="005A6FE2"/>
    <w:rsid w:val="005A7C7A"/>
    <w:rsid w:val="005B3E1C"/>
    <w:rsid w:val="005B6998"/>
    <w:rsid w:val="005C01DA"/>
    <w:rsid w:val="005C3BF4"/>
    <w:rsid w:val="005C62DC"/>
    <w:rsid w:val="005C6D65"/>
    <w:rsid w:val="005C7087"/>
    <w:rsid w:val="005D0A25"/>
    <w:rsid w:val="005D189E"/>
    <w:rsid w:val="005D1A19"/>
    <w:rsid w:val="005D1F67"/>
    <w:rsid w:val="005D25A0"/>
    <w:rsid w:val="005D27CA"/>
    <w:rsid w:val="005D35B4"/>
    <w:rsid w:val="005D41D0"/>
    <w:rsid w:val="005D5160"/>
    <w:rsid w:val="005D536B"/>
    <w:rsid w:val="005D5960"/>
    <w:rsid w:val="005E035E"/>
    <w:rsid w:val="005E1A26"/>
    <w:rsid w:val="005E1EE6"/>
    <w:rsid w:val="005E2340"/>
    <w:rsid w:val="005E300C"/>
    <w:rsid w:val="005E4870"/>
    <w:rsid w:val="005E5C15"/>
    <w:rsid w:val="005E6972"/>
    <w:rsid w:val="005E6D45"/>
    <w:rsid w:val="005E6EE4"/>
    <w:rsid w:val="005F2C88"/>
    <w:rsid w:val="005F3E93"/>
    <w:rsid w:val="005F3F61"/>
    <w:rsid w:val="005F48E6"/>
    <w:rsid w:val="005F4C93"/>
    <w:rsid w:val="005F6761"/>
    <w:rsid w:val="005F6A9D"/>
    <w:rsid w:val="005F6CAF"/>
    <w:rsid w:val="005F7619"/>
    <w:rsid w:val="00603B67"/>
    <w:rsid w:val="006044B9"/>
    <w:rsid w:val="00611E59"/>
    <w:rsid w:val="00612752"/>
    <w:rsid w:val="006143C1"/>
    <w:rsid w:val="00614685"/>
    <w:rsid w:val="00616BF6"/>
    <w:rsid w:val="0062372E"/>
    <w:rsid w:val="00624B81"/>
    <w:rsid w:val="006261E6"/>
    <w:rsid w:val="00626405"/>
    <w:rsid w:val="00630429"/>
    <w:rsid w:val="00631B7C"/>
    <w:rsid w:val="00633230"/>
    <w:rsid w:val="00633B27"/>
    <w:rsid w:val="00646721"/>
    <w:rsid w:val="00646A15"/>
    <w:rsid w:val="00647BB3"/>
    <w:rsid w:val="0065242E"/>
    <w:rsid w:val="00653B38"/>
    <w:rsid w:val="00655614"/>
    <w:rsid w:val="006559AE"/>
    <w:rsid w:val="00656B2C"/>
    <w:rsid w:val="00657C5C"/>
    <w:rsid w:val="006618C5"/>
    <w:rsid w:val="006637E2"/>
    <w:rsid w:val="00664901"/>
    <w:rsid w:val="00664AA3"/>
    <w:rsid w:val="006663C3"/>
    <w:rsid w:val="00670825"/>
    <w:rsid w:val="006730A3"/>
    <w:rsid w:val="00673100"/>
    <w:rsid w:val="006735B2"/>
    <w:rsid w:val="00673F4D"/>
    <w:rsid w:val="00674260"/>
    <w:rsid w:val="0067426B"/>
    <w:rsid w:val="006746B7"/>
    <w:rsid w:val="00675363"/>
    <w:rsid w:val="006771B1"/>
    <w:rsid w:val="00677DEA"/>
    <w:rsid w:val="006810F7"/>
    <w:rsid w:val="00681157"/>
    <w:rsid w:val="006823C6"/>
    <w:rsid w:val="006832CF"/>
    <w:rsid w:val="00683525"/>
    <w:rsid w:val="006839B0"/>
    <w:rsid w:val="006861AF"/>
    <w:rsid w:val="00687E56"/>
    <w:rsid w:val="0069221F"/>
    <w:rsid w:val="00696817"/>
    <w:rsid w:val="006A1CDB"/>
    <w:rsid w:val="006A5C1B"/>
    <w:rsid w:val="006A61BC"/>
    <w:rsid w:val="006A6710"/>
    <w:rsid w:val="006A7854"/>
    <w:rsid w:val="006B152B"/>
    <w:rsid w:val="006B1A3F"/>
    <w:rsid w:val="006B1D5E"/>
    <w:rsid w:val="006B2FA6"/>
    <w:rsid w:val="006B496A"/>
    <w:rsid w:val="006B60F5"/>
    <w:rsid w:val="006B7812"/>
    <w:rsid w:val="006C0927"/>
    <w:rsid w:val="006C168C"/>
    <w:rsid w:val="006C2626"/>
    <w:rsid w:val="006C2B6B"/>
    <w:rsid w:val="006C36A9"/>
    <w:rsid w:val="006C412D"/>
    <w:rsid w:val="006C4CF4"/>
    <w:rsid w:val="006C5965"/>
    <w:rsid w:val="006C5DDF"/>
    <w:rsid w:val="006D26F5"/>
    <w:rsid w:val="006D3C6E"/>
    <w:rsid w:val="006D4CAF"/>
    <w:rsid w:val="006D6BF1"/>
    <w:rsid w:val="006E0321"/>
    <w:rsid w:val="006E0A3D"/>
    <w:rsid w:val="006E0EE1"/>
    <w:rsid w:val="006E33F5"/>
    <w:rsid w:val="006E3536"/>
    <w:rsid w:val="006E36DD"/>
    <w:rsid w:val="006E3DE7"/>
    <w:rsid w:val="006E50FE"/>
    <w:rsid w:val="006F26DD"/>
    <w:rsid w:val="006F4101"/>
    <w:rsid w:val="006F4DBE"/>
    <w:rsid w:val="006F5248"/>
    <w:rsid w:val="006F533B"/>
    <w:rsid w:val="006F662A"/>
    <w:rsid w:val="006F7159"/>
    <w:rsid w:val="006F7810"/>
    <w:rsid w:val="007006EE"/>
    <w:rsid w:val="00702013"/>
    <w:rsid w:val="0070233C"/>
    <w:rsid w:val="00703FAD"/>
    <w:rsid w:val="00704F73"/>
    <w:rsid w:val="00707A42"/>
    <w:rsid w:val="007114E3"/>
    <w:rsid w:val="0071283D"/>
    <w:rsid w:val="00713A5C"/>
    <w:rsid w:val="007143DE"/>
    <w:rsid w:val="0071595B"/>
    <w:rsid w:val="00716948"/>
    <w:rsid w:val="00716C5E"/>
    <w:rsid w:val="00721A6E"/>
    <w:rsid w:val="007249C0"/>
    <w:rsid w:val="00724A0F"/>
    <w:rsid w:val="007264EA"/>
    <w:rsid w:val="00726A32"/>
    <w:rsid w:val="00730100"/>
    <w:rsid w:val="00730FD8"/>
    <w:rsid w:val="007348AB"/>
    <w:rsid w:val="00734A60"/>
    <w:rsid w:val="00736AB1"/>
    <w:rsid w:val="00736EAA"/>
    <w:rsid w:val="007376CF"/>
    <w:rsid w:val="007410D7"/>
    <w:rsid w:val="00741BEC"/>
    <w:rsid w:val="0074257F"/>
    <w:rsid w:val="007451D5"/>
    <w:rsid w:val="007463B3"/>
    <w:rsid w:val="00746E29"/>
    <w:rsid w:val="007470DC"/>
    <w:rsid w:val="0074741A"/>
    <w:rsid w:val="0074764B"/>
    <w:rsid w:val="007518C4"/>
    <w:rsid w:val="00752519"/>
    <w:rsid w:val="007600AF"/>
    <w:rsid w:val="00760345"/>
    <w:rsid w:val="0076200D"/>
    <w:rsid w:val="00763422"/>
    <w:rsid w:val="007668F8"/>
    <w:rsid w:val="00766D8D"/>
    <w:rsid w:val="0076701C"/>
    <w:rsid w:val="0077063E"/>
    <w:rsid w:val="00770BBF"/>
    <w:rsid w:val="00770D37"/>
    <w:rsid w:val="007710DA"/>
    <w:rsid w:val="00771B42"/>
    <w:rsid w:val="00771E0B"/>
    <w:rsid w:val="00772A78"/>
    <w:rsid w:val="007747AF"/>
    <w:rsid w:val="00774CE3"/>
    <w:rsid w:val="00775570"/>
    <w:rsid w:val="007758A5"/>
    <w:rsid w:val="0078007B"/>
    <w:rsid w:val="007802FF"/>
    <w:rsid w:val="00780D49"/>
    <w:rsid w:val="00782E3E"/>
    <w:rsid w:val="007907D8"/>
    <w:rsid w:val="00793E2C"/>
    <w:rsid w:val="00794CA9"/>
    <w:rsid w:val="007959CF"/>
    <w:rsid w:val="007966EE"/>
    <w:rsid w:val="00797FB6"/>
    <w:rsid w:val="007A100B"/>
    <w:rsid w:val="007A1910"/>
    <w:rsid w:val="007A2353"/>
    <w:rsid w:val="007A2E07"/>
    <w:rsid w:val="007A2E90"/>
    <w:rsid w:val="007A34CB"/>
    <w:rsid w:val="007A6B07"/>
    <w:rsid w:val="007A7557"/>
    <w:rsid w:val="007A7F14"/>
    <w:rsid w:val="007B001C"/>
    <w:rsid w:val="007B009A"/>
    <w:rsid w:val="007B067C"/>
    <w:rsid w:val="007B0CDD"/>
    <w:rsid w:val="007B0EB3"/>
    <w:rsid w:val="007B1F71"/>
    <w:rsid w:val="007B3C33"/>
    <w:rsid w:val="007B41EE"/>
    <w:rsid w:val="007B5583"/>
    <w:rsid w:val="007B5670"/>
    <w:rsid w:val="007B71AB"/>
    <w:rsid w:val="007C01C3"/>
    <w:rsid w:val="007C2B2D"/>
    <w:rsid w:val="007C5219"/>
    <w:rsid w:val="007C53B0"/>
    <w:rsid w:val="007C5FC3"/>
    <w:rsid w:val="007D0563"/>
    <w:rsid w:val="007D1813"/>
    <w:rsid w:val="007D2FDB"/>
    <w:rsid w:val="007D4425"/>
    <w:rsid w:val="007E004F"/>
    <w:rsid w:val="007E0962"/>
    <w:rsid w:val="007E3D5A"/>
    <w:rsid w:val="007E503C"/>
    <w:rsid w:val="007E612A"/>
    <w:rsid w:val="007E6FA3"/>
    <w:rsid w:val="007E7D42"/>
    <w:rsid w:val="007F0B5E"/>
    <w:rsid w:val="007F1646"/>
    <w:rsid w:val="007F1EE4"/>
    <w:rsid w:val="007F370B"/>
    <w:rsid w:val="007F5335"/>
    <w:rsid w:val="007F5886"/>
    <w:rsid w:val="007F5E6C"/>
    <w:rsid w:val="007F60DA"/>
    <w:rsid w:val="0080337C"/>
    <w:rsid w:val="008050C7"/>
    <w:rsid w:val="00805F6E"/>
    <w:rsid w:val="0080629C"/>
    <w:rsid w:val="00806CA7"/>
    <w:rsid w:val="0080741C"/>
    <w:rsid w:val="00810AE6"/>
    <w:rsid w:val="00810F67"/>
    <w:rsid w:val="00817D04"/>
    <w:rsid w:val="0082063C"/>
    <w:rsid w:val="00820C40"/>
    <w:rsid w:val="00822ADC"/>
    <w:rsid w:val="00822C6B"/>
    <w:rsid w:val="008236C8"/>
    <w:rsid w:val="00826B0E"/>
    <w:rsid w:val="0083089F"/>
    <w:rsid w:val="00831F3B"/>
    <w:rsid w:val="00831F88"/>
    <w:rsid w:val="00834E7A"/>
    <w:rsid w:val="00840A7F"/>
    <w:rsid w:val="00840EDE"/>
    <w:rsid w:val="0084190D"/>
    <w:rsid w:val="00843BCE"/>
    <w:rsid w:val="0084688B"/>
    <w:rsid w:val="0084707C"/>
    <w:rsid w:val="00852280"/>
    <w:rsid w:val="008533AB"/>
    <w:rsid w:val="00853A8B"/>
    <w:rsid w:val="008558AE"/>
    <w:rsid w:val="00860F26"/>
    <w:rsid w:val="00863DC2"/>
    <w:rsid w:val="00863ED4"/>
    <w:rsid w:val="00866085"/>
    <w:rsid w:val="008717D0"/>
    <w:rsid w:val="008726AC"/>
    <w:rsid w:val="00872D50"/>
    <w:rsid w:val="0087739E"/>
    <w:rsid w:val="0088002D"/>
    <w:rsid w:val="0088018A"/>
    <w:rsid w:val="00881A88"/>
    <w:rsid w:val="008824F5"/>
    <w:rsid w:val="00883291"/>
    <w:rsid w:val="00883D0C"/>
    <w:rsid w:val="00885A82"/>
    <w:rsid w:val="008911F6"/>
    <w:rsid w:val="00891BF0"/>
    <w:rsid w:val="00892323"/>
    <w:rsid w:val="00896F29"/>
    <w:rsid w:val="008A1D56"/>
    <w:rsid w:val="008A5386"/>
    <w:rsid w:val="008A5981"/>
    <w:rsid w:val="008A6118"/>
    <w:rsid w:val="008A657E"/>
    <w:rsid w:val="008B1856"/>
    <w:rsid w:val="008B5186"/>
    <w:rsid w:val="008B57F2"/>
    <w:rsid w:val="008B57FB"/>
    <w:rsid w:val="008B5A93"/>
    <w:rsid w:val="008B6B54"/>
    <w:rsid w:val="008B713B"/>
    <w:rsid w:val="008C11EE"/>
    <w:rsid w:val="008C445E"/>
    <w:rsid w:val="008C55CD"/>
    <w:rsid w:val="008C5EB3"/>
    <w:rsid w:val="008C62DB"/>
    <w:rsid w:val="008C6320"/>
    <w:rsid w:val="008C63CF"/>
    <w:rsid w:val="008D13FF"/>
    <w:rsid w:val="008D5181"/>
    <w:rsid w:val="008D546B"/>
    <w:rsid w:val="008D6464"/>
    <w:rsid w:val="008D706A"/>
    <w:rsid w:val="008E06F8"/>
    <w:rsid w:val="008E090F"/>
    <w:rsid w:val="008E3E37"/>
    <w:rsid w:val="008E552F"/>
    <w:rsid w:val="008E7ADE"/>
    <w:rsid w:val="008F197B"/>
    <w:rsid w:val="008F22F6"/>
    <w:rsid w:val="008F2672"/>
    <w:rsid w:val="008F2B40"/>
    <w:rsid w:val="008F5DE6"/>
    <w:rsid w:val="008F6A4C"/>
    <w:rsid w:val="008F75E7"/>
    <w:rsid w:val="008F7D46"/>
    <w:rsid w:val="008F7DDF"/>
    <w:rsid w:val="00900A36"/>
    <w:rsid w:val="00900AC3"/>
    <w:rsid w:val="0090336D"/>
    <w:rsid w:val="0090567A"/>
    <w:rsid w:val="0090628E"/>
    <w:rsid w:val="00907086"/>
    <w:rsid w:val="009107E4"/>
    <w:rsid w:val="0091153C"/>
    <w:rsid w:val="00911619"/>
    <w:rsid w:val="00911AFD"/>
    <w:rsid w:val="00911BFC"/>
    <w:rsid w:val="00911EB1"/>
    <w:rsid w:val="0091235E"/>
    <w:rsid w:val="00913803"/>
    <w:rsid w:val="00913EAA"/>
    <w:rsid w:val="00922170"/>
    <w:rsid w:val="00922F16"/>
    <w:rsid w:val="009245F7"/>
    <w:rsid w:val="009277C8"/>
    <w:rsid w:val="00927EDC"/>
    <w:rsid w:val="00933524"/>
    <w:rsid w:val="00933D2C"/>
    <w:rsid w:val="00933DC9"/>
    <w:rsid w:val="009340B9"/>
    <w:rsid w:val="00935BCE"/>
    <w:rsid w:val="00937DB2"/>
    <w:rsid w:val="00940B4F"/>
    <w:rsid w:val="00941B1D"/>
    <w:rsid w:val="00941E0E"/>
    <w:rsid w:val="00942B73"/>
    <w:rsid w:val="00942D57"/>
    <w:rsid w:val="00942F48"/>
    <w:rsid w:val="00944E54"/>
    <w:rsid w:val="009462E6"/>
    <w:rsid w:val="0094768B"/>
    <w:rsid w:val="0095093C"/>
    <w:rsid w:val="00952A10"/>
    <w:rsid w:val="009537C5"/>
    <w:rsid w:val="00956216"/>
    <w:rsid w:val="00957BE3"/>
    <w:rsid w:val="00957FEF"/>
    <w:rsid w:val="009622FE"/>
    <w:rsid w:val="0096355A"/>
    <w:rsid w:val="00963FEF"/>
    <w:rsid w:val="009652E4"/>
    <w:rsid w:val="009662F6"/>
    <w:rsid w:val="009734BA"/>
    <w:rsid w:val="00975592"/>
    <w:rsid w:val="00976E08"/>
    <w:rsid w:val="00981B73"/>
    <w:rsid w:val="00983B5D"/>
    <w:rsid w:val="00983E98"/>
    <w:rsid w:val="00983FB2"/>
    <w:rsid w:val="00984AAD"/>
    <w:rsid w:val="0099175D"/>
    <w:rsid w:val="00992963"/>
    <w:rsid w:val="00993517"/>
    <w:rsid w:val="009956E6"/>
    <w:rsid w:val="00995FB6"/>
    <w:rsid w:val="00997EBF"/>
    <w:rsid w:val="009A231D"/>
    <w:rsid w:val="009A2793"/>
    <w:rsid w:val="009A30ED"/>
    <w:rsid w:val="009A6FDC"/>
    <w:rsid w:val="009B3928"/>
    <w:rsid w:val="009B5FFB"/>
    <w:rsid w:val="009B631B"/>
    <w:rsid w:val="009B71BC"/>
    <w:rsid w:val="009C04FA"/>
    <w:rsid w:val="009C361B"/>
    <w:rsid w:val="009C4F0A"/>
    <w:rsid w:val="009C63AD"/>
    <w:rsid w:val="009C6A59"/>
    <w:rsid w:val="009D1410"/>
    <w:rsid w:val="009D2E89"/>
    <w:rsid w:val="009D40C2"/>
    <w:rsid w:val="009D65D5"/>
    <w:rsid w:val="009D6F17"/>
    <w:rsid w:val="009D71B1"/>
    <w:rsid w:val="009E56CB"/>
    <w:rsid w:val="009F1235"/>
    <w:rsid w:val="009F24F4"/>
    <w:rsid w:val="009F3B4D"/>
    <w:rsid w:val="009F42FA"/>
    <w:rsid w:val="009F65E9"/>
    <w:rsid w:val="009F7969"/>
    <w:rsid w:val="00A0005A"/>
    <w:rsid w:val="00A0254F"/>
    <w:rsid w:val="00A025F0"/>
    <w:rsid w:val="00A0563B"/>
    <w:rsid w:val="00A1124B"/>
    <w:rsid w:val="00A1145F"/>
    <w:rsid w:val="00A12986"/>
    <w:rsid w:val="00A13067"/>
    <w:rsid w:val="00A137CA"/>
    <w:rsid w:val="00A14AE9"/>
    <w:rsid w:val="00A1604F"/>
    <w:rsid w:val="00A21271"/>
    <w:rsid w:val="00A21D2C"/>
    <w:rsid w:val="00A23670"/>
    <w:rsid w:val="00A312AF"/>
    <w:rsid w:val="00A314DA"/>
    <w:rsid w:val="00A315FA"/>
    <w:rsid w:val="00A32B11"/>
    <w:rsid w:val="00A33BE5"/>
    <w:rsid w:val="00A35E9C"/>
    <w:rsid w:val="00A37284"/>
    <w:rsid w:val="00A3750D"/>
    <w:rsid w:val="00A3754A"/>
    <w:rsid w:val="00A42405"/>
    <w:rsid w:val="00A42AA9"/>
    <w:rsid w:val="00A42B62"/>
    <w:rsid w:val="00A440D7"/>
    <w:rsid w:val="00A4571E"/>
    <w:rsid w:val="00A4571F"/>
    <w:rsid w:val="00A45BFF"/>
    <w:rsid w:val="00A50955"/>
    <w:rsid w:val="00A51258"/>
    <w:rsid w:val="00A5139E"/>
    <w:rsid w:val="00A52E27"/>
    <w:rsid w:val="00A535EE"/>
    <w:rsid w:val="00A57CCA"/>
    <w:rsid w:val="00A6064A"/>
    <w:rsid w:val="00A62EEF"/>
    <w:rsid w:val="00A63857"/>
    <w:rsid w:val="00A64CA9"/>
    <w:rsid w:val="00A7139A"/>
    <w:rsid w:val="00A75375"/>
    <w:rsid w:val="00A774E0"/>
    <w:rsid w:val="00A801E5"/>
    <w:rsid w:val="00A80E43"/>
    <w:rsid w:val="00A827B6"/>
    <w:rsid w:val="00A848A3"/>
    <w:rsid w:val="00A849A2"/>
    <w:rsid w:val="00A84C70"/>
    <w:rsid w:val="00A85280"/>
    <w:rsid w:val="00A862E8"/>
    <w:rsid w:val="00A86882"/>
    <w:rsid w:val="00A91D43"/>
    <w:rsid w:val="00A92B19"/>
    <w:rsid w:val="00A96CC6"/>
    <w:rsid w:val="00AA03AE"/>
    <w:rsid w:val="00AA19AF"/>
    <w:rsid w:val="00AA1F76"/>
    <w:rsid w:val="00AA6154"/>
    <w:rsid w:val="00AA72FC"/>
    <w:rsid w:val="00AB05CF"/>
    <w:rsid w:val="00AB0CCB"/>
    <w:rsid w:val="00AB0CFF"/>
    <w:rsid w:val="00AB18CD"/>
    <w:rsid w:val="00AB31EF"/>
    <w:rsid w:val="00AB4E60"/>
    <w:rsid w:val="00AB608C"/>
    <w:rsid w:val="00AC0D0F"/>
    <w:rsid w:val="00AC1ED0"/>
    <w:rsid w:val="00AC2D0E"/>
    <w:rsid w:val="00AD1BF0"/>
    <w:rsid w:val="00AD37A2"/>
    <w:rsid w:val="00AD380C"/>
    <w:rsid w:val="00AD3D67"/>
    <w:rsid w:val="00AD3E38"/>
    <w:rsid w:val="00AD4642"/>
    <w:rsid w:val="00AD6E3C"/>
    <w:rsid w:val="00AE2D37"/>
    <w:rsid w:val="00AE4E4C"/>
    <w:rsid w:val="00AE4FD8"/>
    <w:rsid w:val="00AE5D22"/>
    <w:rsid w:val="00AF1F2A"/>
    <w:rsid w:val="00AF4802"/>
    <w:rsid w:val="00AF603F"/>
    <w:rsid w:val="00AF7232"/>
    <w:rsid w:val="00B008F9"/>
    <w:rsid w:val="00B00E77"/>
    <w:rsid w:val="00B0102D"/>
    <w:rsid w:val="00B01395"/>
    <w:rsid w:val="00B01C6A"/>
    <w:rsid w:val="00B02192"/>
    <w:rsid w:val="00B03C7E"/>
    <w:rsid w:val="00B04DC3"/>
    <w:rsid w:val="00B05068"/>
    <w:rsid w:val="00B10AA5"/>
    <w:rsid w:val="00B11DE9"/>
    <w:rsid w:val="00B12D56"/>
    <w:rsid w:val="00B13D9E"/>
    <w:rsid w:val="00B14A46"/>
    <w:rsid w:val="00B20AC0"/>
    <w:rsid w:val="00B23BEF"/>
    <w:rsid w:val="00B242DF"/>
    <w:rsid w:val="00B24EE1"/>
    <w:rsid w:val="00B27F93"/>
    <w:rsid w:val="00B334F1"/>
    <w:rsid w:val="00B343B4"/>
    <w:rsid w:val="00B35A80"/>
    <w:rsid w:val="00B362B1"/>
    <w:rsid w:val="00B37CEE"/>
    <w:rsid w:val="00B4354E"/>
    <w:rsid w:val="00B4443F"/>
    <w:rsid w:val="00B448F4"/>
    <w:rsid w:val="00B4595C"/>
    <w:rsid w:val="00B4604D"/>
    <w:rsid w:val="00B51CB6"/>
    <w:rsid w:val="00B5338B"/>
    <w:rsid w:val="00B55BC9"/>
    <w:rsid w:val="00B56497"/>
    <w:rsid w:val="00B56F59"/>
    <w:rsid w:val="00B57EA4"/>
    <w:rsid w:val="00B6195C"/>
    <w:rsid w:val="00B622E1"/>
    <w:rsid w:val="00B62A53"/>
    <w:rsid w:val="00B642A0"/>
    <w:rsid w:val="00B65BFF"/>
    <w:rsid w:val="00B667C8"/>
    <w:rsid w:val="00B66F2D"/>
    <w:rsid w:val="00B72624"/>
    <w:rsid w:val="00B738FB"/>
    <w:rsid w:val="00B746EE"/>
    <w:rsid w:val="00B75B00"/>
    <w:rsid w:val="00B763F6"/>
    <w:rsid w:val="00B767BD"/>
    <w:rsid w:val="00B80DA0"/>
    <w:rsid w:val="00B82C6A"/>
    <w:rsid w:val="00B83116"/>
    <w:rsid w:val="00B84FFA"/>
    <w:rsid w:val="00B8622E"/>
    <w:rsid w:val="00B87642"/>
    <w:rsid w:val="00B90F3B"/>
    <w:rsid w:val="00B91825"/>
    <w:rsid w:val="00B9238F"/>
    <w:rsid w:val="00B93076"/>
    <w:rsid w:val="00BA10B1"/>
    <w:rsid w:val="00BA14DB"/>
    <w:rsid w:val="00BA2ADE"/>
    <w:rsid w:val="00BA35AC"/>
    <w:rsid w:val="00BA3D13"/>
    <w:rsid w:val="00BA4232"/>
    <w:rsid w:val="00BA5185"/>
    <w:rsid w:val="00BA5718"/>
    <w:rsid w:val="00BA640B"/>
    <w:rsid w:val="00BA7690"/>
    <w:rsid w:val="00BB1EEC"/>
    <w:rsid w:val="00BB3833"/>
    <w:rsid w:val="00BB5105"/>
    <w:rsid w:val="00BB751A"/>
    <w:rsid w:val="00BC00CD"/>
    <w:rsid w:val="00BC06FB"/>
    <w:rsid w:val="00BC30D1"/>
    <w:rsid w:val="00BC3574"/>
    <w:rsid w:val="00BC36EC"/>
    <w:rsid w:val="00BC40F4"/>
    <w:rsid w:val="00BC57B1"/>
    <w:rsid w:val="00BD008C"/>
    <w:rsid w:val="00BD212A"/>
    <w:rsid w:val="00BD665E"/>
    <w:rsid w:val="00BD77E7"/>
    <w:rsid w:val="00BD7B51"/>
    <w:rsid w:val="00BE0075"/>
    <w:rsid w:val="00BE0BFA"/>
    <w:rsid w:val="00BE37F0"/>
    <w:rsid w:val="00BE3CB9"/>
    <w:rsid w:val="00BE4F0B"/>
    <w:rsid w:val="00BE52C6"/>
    <w:rsid w:val="00BE5849"/>
    <w:rsid w:val="00BE7AD2"/>
    <w:rsid w:val="00BF0075"/>
    <w:rsid w:val="00BF32E8"/>
    <w:rsid w:val="00BF35B2"/>
    <w:rsid w:val="00BF4530"/>
    <w:rsid w:val="00BF6558"/>
    <w:rsid w:val="00BF6941"/>
    <w:rsid w:val="00BF7182"/>
    <w:rsid w:val="00C013DF"/>
    <w:rsid w:val="00C0215D"/>
    <w:rsid w:val="00C02A50"/>
    <w:rsid w:val="00C05484"/>
    <w:rsid w:val="00C06DED"/>
    <w:rsid w:val="00C071AB"/>
    <w:rsid w:val="00C073E5"/>
    <w:rsid w:val="00C11F9A"/>
    <w:rsid w:val="00C135FA"/>
    <w:rsid w:val="00C14644"/>
    <w:rsid w:val="00C1750C"/>
    <w:rsid w:val="00C200D4"/>
    <w:rsid w:val="00C21526"/>
    <w:rsid w:val="00C21C95"/>
    <w:rsid w:val="00C224B3"/>
    <w:rsid w:val="00C23771"/>
    <w:rsid w:val="00C23A45"/>
    <w:rsid w:val="00C248C8"/>
    <w:rsid w:val="00C25B77"/>
    <w:rsid w:val="00C25D8B"/>
    <w:rsid w:val="00C31DF6"/>
    <w:rsid w:val="00C33967"/>
    <w:rsid w:val="00C33AB6"/>
    <w:rsid w:val="00C33CBF"/>
    <w:rsid w:val="00C34A55"/>
    <w:rsid w:val="00C36262"/>
    <w:rsid w:val="00C36868"/>
    <w:rsid w:val="00C40CF8"/>
    <w:rsid w:val="00C414FA"/>
    <w:rsid w:val="00C43ACA"/>
    <w:rsid w:val="00C44615"/>
    <w:rsid w:val="00C4465D"/>
    <w:rsid w:val="00C46125"/>
    <w:rsid w:val="00C50475"/>
    <w:rsid w:val="00C51900"/>
    <w:rsid w:val="00C52255"/>
    <w:rsid w:val="00C53493"/>
    <w:rsid w:val="00C54383"/>
    <w:rsid w:val="00C56AA5"/>
    <w:rsid w:val="00C57862"/>
    <w:rsid w:val="00C605ED"/>
    <w:rsid w:val="00C61B4B"/>
    <w:rsid w:val="00C64489"/>
    <w:rsid w:val="00C723A2"/>
    <w:rsid w:val="00C74211"/>
    <w:rsid w:val="00C7554B"/>
    <w:rsid w:val="00C75F3F"/>
    <w:rsid w:val="00C77B37"/>
    <w:rsid w:val="00C809AD"/>
    <w:rsid w:val="00C82739"/>
    <w:rsid w:val="00C8411A"/>
    <w:rsid w:val="00C86665"/>
    <w:rsid w:val="00C87D3F"/>
    <w:rsid w:val="00C90F58"/>
    <w:rsid w:val="00C934E5"/>
    <w:rsid w:val="00C93687"/>
    <w:rsid w:val="00C94157"/>
    <w:rsid w:val="00C94A58"/>
    <w:rsid w:val="00C95219"/>
    <w:rsid w:val="00C95C77"/>
    <w:rsid w:val="00C95EB0"/>
    <w:rsid w:val="00C97D69"/>
    <w:rsid w:val="00CA1175"/>
    <w:rsid w:val="00CA130E"/>
    <w:rsid w:val="00CA323B"/>
    <w:rsid w:val="00CA3CFD"/>
    <w:rsid w:val="00CA4635"/>
    <w:rsid w:val="00CA4AF8"/>
    <w:rsid w:val="00CB311C"/>
    <w:rsid w:val="00CB33B3"/>
    <w:rsid w:val="00CB3C4C"/>
    <w:rsid w:val="00CB609D"/>
    <w:rsid w:val="00CB7501"/>
    <w:rsid w:val="00CC00B7"/>
    <w:rsid w:val="00CC02C7"/>
    <w:rsid w:val="00CC0D46"/>
    <w:rsid w:val="00CC17DC"/>
    <w:rsid w:val="00CC720F"/>
    <w:rsid w:val="00CD0C74"/>
    <w:rsid w:val="00CD46E2"/>
    <w:rsid w:val="00CD5FE0"/>
    <w:rsid w:val="00CE1CEA"/>
    <w:rsid w:val="00CE35BF"/>
    <w:rsid w:val="00CE38F1"/>
    <w:rsid w:val="00CE4A27"/>
    <w:rsid w:val="00CE597A"/>
    <w:rsid w:val="00CE6293"/>
    <w:rsid w:val="00CF09A7"/>
    <w:rsid w:val="00CF0B3F"/>
    <w:rsid w:val="00CF2309"/>
    <w:rsid w:val="00CF4C8A"/>
    <w:rsid w:val="00CF5FBB"/>
    <w:rsid w:val="00CF63CA"/>
    <w:rsid w:val="00D0545F"/>
    <w:rsid w:val="00D120E1"/>
    <w:rsid w:val="00D12B2F"/>
    <w:rsid w:val="00D13C00"/>
    <w:rsid w:val="00D14D1D"/>
    <w:rsid w:val="00D16CDE"/>
    <w:rsid w:val="00D204F1"/>
    <w:rsid w:val="00D231D7"/>
    <w:rsid w:val="00D2351D"/>
    <w:rsid w:val="00D23955"/>
    <w:rsid w:val="00D2510E"/>
    <w:rsid w:val="00D25323"/>
    <w:rsid w:val="00D278C7"/>
    <w:rsid w:val="00D30A13"/>
    <w:rsid w:val="00D312C2"/>
    <w:rsid w:val="00D321D5"/>
    <w:rsid w:val="00D33F0C"/>
    <w:rsid w:val="00D346B6"/>
    <w:rsid w:val="00D40375"/>
    <w:rsid w:val="00D40663"/>
    <w:rsid w:val="00D41333"/>
    <w:rsid w:val="00D41E09"/>
    <w:rsid w:val="00D43C47"/>
    <w:rsid w:val="00D43F0C"/>
    <w:rsid w:val="00D44672"/>
    <w:rsid w:val="00D449CA"/>
    <w:rsid w:val="00D45374"/>
    <w:rsid w:val="00D45536"/>
    <w:rsid w:val="00D468AB"/>
    <w:rsid w:val="00D46A5C"/>
    <w:rsid w:val="00D475BF"/>
    <w:rsid w:val="00D50E4C"/>
    <w:rsid w:val="00D52896"/>
    <w:rsid w:val="00D52CFE"/>
    <w:rsid w:val="00D55DA7"/>
    <w:rsid w:val="00D5658F"/>
    <w:rsid w:val="00D57E3C"/>
    <w:rsid w:val="00D63BEF"/>
    <w:rsid w:val="00D66566"/>
    <w:rsid w:val="00D67FF5"/>
    <w:rsid w:val="00D70621"/>
    <w:rsid w:val="00D7075C"/>
    <w:rsid w:val="00D713DE"/>
    <w:rsid w:val="00D718CF"/>
    <w:rsid w:val="00D71AC9"/>
    <w:rsid w:val="00D73AB1"/>
    <w:rsid w:val="00D74151"/>
    <w:rsid w:val="00D76060"/>
    <w:rsid w:val="00D77D67"/>
    <w:rsid w:val="00D81AD0"/>
    <w:rsid w:val="00D825D5"/>
    <w:rsid w:val="00D8331F"/>
    <w:rsid w:val="00D87042"/>
    <w:rsid w:val="00D87283"/>
    <w:rsid w:val="00D87EAA"/>
    <w:rsid w:val="00D91FBA"/>
    <w:rsid w:val="00D937B7"/>
    <w:rsid w:val="00D94F9A"/>
    <w:rsid w:val="00D964E4"/>
    <w:rsid w:val="00DA11B0"/>
    <w:rsid w:val="00DA2EEE"/>
    <w:rsid w:val="00DA3562"/>
    <w:rsid w:val="00DA4D48"/>
    <w:rsid w:val="00DA6FD3"/>
    <w:rsid w:val="00DA768F"/>
    <w:rsid w:val="00DA7BDF"/>
    <w:rsid w:val="00DB13BD"/>
    <w:rsid w:val="00DC0A72"/>
    <w:rsid w:val="00DC1AB6"/>
    <w:rsid w:val="00DC2638"/>
    <w:rsid w:val="00DC3AC4"/>
    <w:rsid w:val="00DC5659"/>
    <w:rsid w:val="00DC56C7"/>
    <w:rsid w:val="00DC6536"/>
    <w:rsid w:val="00DC7B06"/>
    <w:rsid w:val="00DD02FB"/>
    <w:rsid w:val="00DD1534"/>
    <w:rsid w:val="00DD5C68"/>
    <w:rsid w:val="00DD6401"/>
    <w:rsid w:val="00DD7866"/>
    <w:rsid w:val="00DD78E9"/>
    <w:rsid w:val="00DE0784"/>
    <w:rsid w:val="00DE29B6"/>
    <w:rsid w:val="00DE4BBE"/>
    <w:rsid w:val="00DE57D4"/>
    <w:rsid w:val="00DF0FD1"/>
    <w:rsid w:val="00DF1843"/>
    <w:rsid w:val="00DF49FA"/>
    <w:rsid w:val="00DF5A5C"/>
    <w:rsid w:val="00E0024C"/>
    <w:rsid w:val="00E01887"/>
    <w:rsid w:val="00E02DE6"/>
    <w:rsid w:val="00E05E73"/>
    <w:rsid w:val="00E06316"/>
    <w:rsid w:val="00E07DFE"/>
    <w:rsid w:val="00E1106E"/>
    <w:rsid w:val="00E123D8"/>
    <w:rsid w:val="00E14942"/>
    <w:rsid w:val="00E14B4E"/>
    <w:rsid w:val="00E15052"/>
    <w:rsid w:val="00E15D41"/>
    <w:rsid w:val="00E162ED"/>
    <w:rsid w:val="00E1798B"/>
    <w:rsid w:val="00E179D6"/>
    <w:rsid w:val="00E17ACA"/>
    <w:rsid w:val="00E17EA9"/>
    <w:rsid w:val="00E232C4"/>
    <w:rsid w:val="00E23C42"/>
    <w:rsid w:val="00E2574A"/>
    <w:rsid w:val="00E303CB"/>
    <w:rsid w:val="00E30AD2"/>
    <w:rsid w:val="00E30C7F"/>
    <w:rsid w:val="00E317E1"/>
    <w:rsid w:val="00E357A9"/>
    <w:rsid w:val="00E403FE"/>
    <w:rsid w:val="00E41C7F"/>
    <w:rsid w:val="00E434D2"/>
    <w:rsid w:val="00E46638"/>
    <w:rsid w:val="00E51BF2"/>
    <w:rsid w:val="00E53129"/>
    <w:rsid w:val="00E621C7"/>
    <w:rsid w:val="00E62B88"/>
    <w:rsid w:val="00E63390"/>
    <w:rsid w:val="00E63D73"/>
    <w:rsid w:val="00E649FB"/>
    <w:rsid w:val="00E67B87"/>
    <w:rsid w:val="00E71E70"/>
    <w:rsid w:val="00E71F1B"/>
    <w:rsid w:val="00E72577"/>
    <w:rsid w:val="00E732EB"/>
    <w:rsid w:val="00E73C0E"/>
    <w:rsid w:val="00E73E23"/>
    <w:rsid w:val="00E741EE"/>
    <w:rsid w:val="00E744D1"/>
    <w:rsid w:val="00E75AC7"/>
    <w:rsid w:val="00E814B8"/>
    <w:rsid w:val="00E83715"/>
    <w:rsid w:val="00E84241"/>
    <w:rsid w:val="00E9007C"/>
    <w:rsid w:val="00E91BEA"/>
    <w:rsid w:val="00E94FE8"/>
    <w:rsid w:val="00E96D8B"/>
    <w:rsid w:val="00E970A6"/>
    <w:rsid w:val="00E97532"/>
    <w:rsid w:val="00EA0315"/>
    <w:rsid w:val="00EA0986"/>
    <w:rsid w:val="00EA41A9"/>
    <w:rsid w:val="00EA50DA"/>
    <w:rsid w:val="00EA60C7"/>
    <w:rsid w:val="00EA736A"/>
    <w:rsid w:val="00EA7AFA"/>
    <w:rsid w:val="00EB4B80"/>
    <w:rsid w:val="00EB55E4"/>
    <w:rsid w:val="00EB56D6"/>
    <w:rsid w:val="00EC35FA"/>
    <w:rsid w:val="00EC3D49"/>
    <w:rsid w:val="00EC4B23"/>
    <w:rsid w:val="00EC56D9"/>
    <w:rsid w:val="00EC6997"/>
    <w:rsid w:val="00EC7296"/>
    <w:rsid w:val="00ED1B71"/>
    <w:rsid w:val="00ED417C"/>
    <w:rsid w:val="00ED4458"/>
    <w:rsid w:val="00ED4B83"/>
    <w:rsid w:val="00EE0339"/>
    <w:rsid w:val="00EE29DB"/>
    <w:rsid w:val="00EE3ACB"/>
    <w:rsid w:val="00EE4206"/>
    <w:rsid w:val="00EE54BA"/>
    <w:rsid w:val="00EE5E19"/>
    <w:rsid w:val="00EE6AA1"/>
    <w:rsid w:val="00EE75FC"/>
    <w:rsid w:val="00EE7A4B"/>
    <w:rsid w:val="00EF0B41"/>
    <w:rsid w:val="00EF0BC2"/>
    <w:rsid w:val="00EF1DB1"/>
    <w:rsid w:val="00EF4FC7"/>
    <w:rsid w:val="00EF747E"/>
    <w:rsid w:val="00EF751F"/>
    <w:rsid w:val="00F02C5B"/>
    <w:rsid w:val="00F03218"/>
    <w:rsid w:val="00F03FF9"/>
    <w:rsid w:val="00F04D14"/>
    <w:rsid w:val="00F055AC"/>
    <w:rsid w:val="00F05D68"/>
    <w:rsid w:val="00F06CA5"/>
    <w:rsid w:val="00F104D1"/>
    <w:rsid w:val="00F11083"/>
    <w:rsid w:val="00F11648"/>
    <w:rsid w:val="00F157AC"/>
    <w:rsid w:val="00F16EF2"/>
    <w:rsid w:val="00F1786E"/>
    <w:rsid w:val="00F205B6"/>
    <w:rsid w:val="00F220C8"/>
    <w:rsid w:val="00F305BA"/>
    <w:rsid w:val="00F33125"/>
    <w:rsid w:val="00F35175"/>
    <w:rsid w:val="00F351AA"/>
    <w:rsid w:val="00F3523C"/>
    <w:rsid w:val="00F35608"/>
    <w:rsid w:val="00F40024"/>
    <w:rsid w:val="00F40538"/>
    <w:rsid w:val="00F41183"/>
    <w:rsid w:val="00F42CB6"/>
    <w:rsid w:val="00F42D47"/>
    <w:rsid w:val="00F44C13"/>
    <w:rsid w:val="00F450DB"/>
    <w:rsid w:val="00F47133"/>
    <w:rsid w:val="00F473B8"/>
    <w:rsid w:val="00F4753D"/>
    <w:rsid w:val="00F52323"/>
    <w:rsid w:val="00F52B82"/>
    <w:rsid w:val="00F54C05"/>
    <w:rsid w:val="00F55A6B"/>
    <w:rsid w:val="00F600A9"/>
    <w:rsid w:val="00F60DB2"/>
    <w:rsid w:val="00F61029"/>
    <w:rsid w:val="00F61AEF"/>
    <w:rsid w:val="00F6275E"/>
    <w:rsid w:val="00F644E5"/>
    <w:rsid w:val="00F64E37"/>
    <w:rsid w:val="00F65402"/>
    <w:rsid w:val="00F6541E"/>
    <w:rsid w:val="00F65A8B"/>
    <w:rsid w:val="00F67B9B"/>
    <w:rsid w:val="00F71E58"/>
    <w:rsid w:val="00F720E8"/>
    <w:rsid w:val="00F72B86"/>
    <w:rsid w:val="00F75A78"/>
    <w:rsid w:val="00F763B4"/>
    <w:rsid w:val="00F77305"/>
    <w:rsid w:val="00F77D44"/>
    <w:rsid w:val="00F819A3"/>
    <w:rsid w:val="00F87352"/>
    <w:rsid w:val="00F9082E"/>
    <w:rsid w:val="00F911C9"/>
    <w:rsid w:val="00F936FA"/>
    <w:rsid w:val="00F93AB4"/>
    <w:rsid w:val="00F954E9"/>
    <w:rsid w:val="00F9707D"/>
    <w:rsid w:val="00FA1F00"/>
    <w:rsid w:val="00FA2E5C"/>
    <w:rsid w:val="00FA4791"/>
    <w:rsid w:val="00FB01AE"/>
    <w:rsid w:val="00FB2602"/>
    <w:rsid w:val="00FB2D02"/>
    <w:rsid w:val="00FB3CA9"/>
    <w:rsid w:val="00FB5152"/>
    <w:rsid w:val="00FB5CC7"/>
    <w:rsid w:val="00FC0542"/>
    <w:rsid w:val="00FC237E"/>
    <w:rsid w:val="00FC3971"/>
    <w:rsid w:val="00FC536B"/>
    <w:rsid w:val="00FC5816"/>
    <w:rsid w:val="00FC73AD"/>
    <w:rsid w:val="00FC7918"/>
    <w:rsid w:val="00FD0008"/>
    <w:rsid w:val="00FD2097"/>
    <w:rsid w:val="00FD3668"/>
    <w:rsid w:val="00FD5B89"/>
    <w:rsid w:val="00FD6750"/>
    <w:rsid w:val="00FD6D77"/>
    <w:rsid w:val="00FD7400"/>
    <w:rsid w:val="00FD7D17"/>
    <w:rsid w:val="00FE06DE"/>
    <w:rsid w:val="00FE1428"/>
    <w:rsid w:val="00FE4BA8"/>
    <w:rsid w:val="00FE4F45"/>
    <w:rsid w:val="00FE5C86"/>
    <w:rsid w:val="00FE5DF1"/>
    <w:rsid w:val="00FE5F97"/>
    <w:rsid w:val="00FE60C1"/>
    <w:rsid w:val="00FE69D7"/>
    <w:rsid w:val="00FF1541"/>
    <w:rsid w:val="00FF34FD"/>
    <w:rsid w:val="00FF7EE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168881"/>
  <w15:docId w15:val="{102A1F80-BC6D-441A-B7E6-35C4C8C38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63B4"/>
  </w:style>
  <w:style w:type="paragraph" w:styleId="Heading1">
    <w:name w:val="heading 1"/>
    <w:basedOn w:val="Heading3"/>
    <w:next w:val="Normal"/>
    <w:link w:val="Heading1Char"/>
    <w:uiPriority w:val="9"/>
    <w:qFormat/>
    <w:rsid w:val="007A7557"/>
    <w:pPr>
      <w:outlineLvl w:val="0"/>
    </w:pPr>
    <w:rPr>
      <w:bCs/>
      <w:i w:val="0"/>
      <w:iCs/>
      <w:sz w:val="28"/>
      <w:szCs w:val="28"/>
    </w:rPr>
  </w:style>
  <w:style w:type="paragraph" w:styleId="Heading2">
    <w:name w:val="heading 2"/>
    <w:basedOn w:val="Heading4"/>
    <w:next w:val="Normal"/>
    <w:link w:val="Heading2Char"/>
    <w:uiPriority w:val="9"/>
    <w:unhideWhenUsed/>
    <w:qFormat/>
    <w:rsid w:val="007A7557"/>
    <w:pPr>
      <w:keepNext w:val="0"/>
      <w:keepLines w:val="0"/>
      <w:spacing w:before="240" w:after="40" w:line="360" w:lineRule="auto"/>
      <w:jc w:val="both"/>
      <w:outlineLvl w:val="1"/>
    </w:pPr>
    <w:rPr>
      <w:rFonts w:ascii="Times New Roman" w:eastAsia="Times New Roman" w:hAnsi="Times New Roman" w:cs="Times New Roman"/>
      <w:b/>
      <w:color w:val="000000"/>
    </w:rPr>
  </w:style>
  <w:style w:type="paragraph" w:styleId="Heading3">
    <w:name w:val="heading 3"/>
    <w:basedOn w:val="Normal"/>
    <w:next w:val="Normal"/>
    <w:link w:val="Heading3Char"/>
    <w:uiPriority w:val="9"/>
    <w:unhideWhenUsed/>
    <w:qFormat/>
    <w:rsid w:val="007A7557"/>
    <w:pPr>
      <w:spacing w:before="280" w:after="80" w:line="360" w:lineRule="auto"/>
      <w:jc w:val="both"/>
      <w:outlineLvl w:val="2"/>
    </w:pPr>
    <w:rPr>
      <w:rFonts w:ascii="Times New Roman" w:eastAsia="Times New Roman" w:hAnsi="Times New Roman" w:cs="Times New Roman"/>
      <w:b/>
      <w:i/>
      <w:color w:val="000000"/>
      <w:sz w:val="24"/>
      <w:szCs w:val="24"/>
    </w:rPr>
  </w:style>
  <w:style w:type="paragraph" w:styleId="Heading4">
    <w:name w:val="heading 4"/>
    <w:basedOn w:val="Normal"/>
    <w:next w:val="Normal"/>
    <w:link w:val="Heading4Char"/>
    <w:uiPriority w:val="9"/>
    <w:unhideWhenUsed/>
    <w:qFormat/>
    <w:pPr>
      <w:keepNext/>
      <w:keepLines/>
      <w:spacing w:before="280" w:after="80"/>
      <w:outlineLvl w:val="3"/>
    </w:pPr>
    <w:rPr>
      <w:color w:val="666666"/>
      <w:sz w:val="24"/>
      <w:szCs w:val="24"/>
    </w:rPr>
  </w:style>
  <w:style w:type="paragraph" w:styleId="Heading5">
    <w:name w:val="heading 5"/>
    <w:basedOn w:val="Normal"/>
    <w:next w:val="Normal"/>
    <w:link w:val="Heading5Char"/>
    <w:uiPriority w:val="9"/>
    <w:semiHidden/>
    <w:unhideWhenUsed/>
    <w:qFormat/>
    <w:pPr>
      <w:keepNext/>
      <w:keepLines/>
      <w:spacing w:before="240" w:after="80"/>
      <w:outlineLvl w:val="4"/>
    </w:pPr>
    <w:rPr>
      <w:color w:val="666666"/>
    </w:rPr>
  </w:style>
  <w:style w:type="paragraph" w:styleId="Heading6">
    <w:name w:val="heading 6"/>
    <w:basedOn w:val="Normal"/>
    <w:next w:val="Normal"/>
    <w:link w:val="Heading6Char"/>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link w:val="SubtitleChar"/>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7A7557"/>
    <w:pPr>
      <w:tabs>
        <w:tab w:val="center" w:pos="4513"/>
        <w:tab w:val="right" w:pos="9026"/>
      </w:tabs>
      <w:spacing w:line="240" w:lineRule="auto"/>
    </w:pPr>
  </w:style>
  <w:style w:type="character" w:customStyle="1" w:styleId="HeaderChar">
    <w:name w:val="Header Char"/>
    <w:basedOn w:val="DefaultParagraphFont"/>
    <w:link w:val="Header"/>
    <w:uiPriority w:val="99"/>
    <w:rsid w:val="007A7557"/>
  </w:style>
  <w:style w:type="paragraph" w:styleId="Footer">
    <w:name w:val="footer"/>
    <w:basedOn w:val="Normal"/>
    <w:link w:val="FooterChar"/>
    <w:unhideWhenUsed/>
    <w:rsid w:val="007A7557"/>
    <w:pPr>
      <w:tabs>
        <w:tab w:val="center" w:pos="4513"/>
        <w:tab w:val="right" w:pos="9026"/>
      </w:tabs>
      <w:spacing w:line="240" w:lineRule="auto"/>
    </w:pPr>
  </w:style>
  <w:style w:type="character" w:customStyle="1" w:styleId="FooterChar">
    <w:name w:val="Footer Char"/>
    <w:basedOn w:val="DefaultParagraphFont"/>
    <w:link w:val="Footer"/>
    <w:rsid w:val="007A7557"/>
  </w:style>
  <w:style w:type="paragraph" w:styleId="NormalWeb">
    <w:name w:val="Normal (Web)"/>
    <w:basedOn w:val="Normal"/>
    <w:uiPriority w:val="99"/>
    <w:unhideWhenUsed/>
    <w:rsid w:val="007A7557"/>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TOCHeading">
    <w:name w:val="TOC Heading"/>
    <w:basedOn w:val="Heading1"/>
    <w:next w:val="Normal"/>
    <w:uiPriority w:val="39"/>
    <w:unhideWhenUsed/>
    <w:qFormat/>
    <w:rsid w:val="007A7557"/>
    <w:pPr>
      <w:keepNext/>
      <w:keepLines/>
      <w:spacing w:before="240" w:after="0" w:line="259" w:lineRule="auto"/>
      <w:jc w:val="left"/>
      <w:outlineLvl w:val="9"/>
    </w:pPr>
    <w:rPr>
      <w:rFonts w:asciiTheme="majorHAnsi" w:eastAsiaTheme="majorEastAsia" w:hAnsiTheme="majorHAnsi" w:cstheme="majorBidi"/>
      <w:b w:val="0"/>
      <w:bCs w:val="0"/>
      <w:iCs w:val="0"/>
      <w:color w:val="365F91" w:themeColor="accent1" w:themeShade="BF"/>
      <w:sz w:val="32"/>
      <w:szCs w:val="32"/>
      <w:lang w:val="en-US" w:eastAsia="en-US"/>
    </w:rPr>
  </w:style>
  <w:style w:type="paragraph" w:styleId="TOC1">
    <w:name w:val="toc 1"/>
    <w:basedOn w:val="Normal"/>
    <w:next w:val="Normal"/>
    <w:autoRedefine/>
    <w:uiPriority w:val="39"/>
    <w:unhideWhenUsed/>
    <w:rsid w:val="007A7557"/>
    <w:pPr>
      <w:tabs>
        <w:tab w:val="right" w:leader="dot" w:pos="9019"/>
      </w:tabs>
      <w:spacing w:after="100"/>
    </w:pPr>
  </w:style>
  <w:style w:type="paragraph" w:styleId="TOC2">
    <w:name w:val="toc 2"/>
    <w:basedOn w:val="Normal"/>
    <w:next w:val="Normal"/>
    <w:autoRedefine/>
    <w:uiPriority w:val="39"/>
    <w:unhideWhenUsed/>
    <w:rsid w:val="007A7557"/>
    <w:pPr>
      <w:spacing w:after="100"/>
      <w:ind w:left="220"/>
    </w:pPr>
  </w:style>
  <w:style w:type="paragraph" w:styleId="TOC3">
    <w:name w:val="toc 3"/>
    <w:basedOn w:val="Normal"/>
    <w:next w:val="Normal"/>
    <w:autoRedefine/>
    <w:uiPriority w:val="39"/>
    <w:unhideWhenUsed/>
    <w:rsid w:val="007A7557"/>
    <w:pPr>
      <w:spacing w:after="100"/>
      <w:ind w:left="440"/>
    </w:pPr>
  </w:style>
  <w:style w:type="character" w:styleId="Hyperlink">
    <w:name w:val="Hyperlink"/>
    <w:basedOn w:val="DefaultParagraphFont"/>
    <w:uiPriority w:val="99"/>
    <w:unhideWhenUsed/>
    <w:rsid w:val="007A7557"/>
    <w:rPr>
      <w:color w:val="0000FF" w:themeColor="hyperlink"/>
      <w:u w:val="single"/>
    </w:rPr>
  </w:style>
  <w:style w:type="character" w:styleId="UnresolvedMention">
    <w:name w:val="Unresolved Mention"/>
    <w:basedOn w:val="DefaultParagraphFont"/>
    <w:uiPriority w:val="99"/>
    <w:semiHidden/>
    <w:unhideWhenUsed/>
    <w:rsid w:val="00E1798B"/>
    <w:rPr>
      <w:color w:val="605E5C"/>
      <w:shd w:val="clear" w:color="auto" w:fill="E1DFDD"/>
    </w:rPr>
  </w:style>
  <w:style w:type="character" w:styleId="Strong">
    <w:name w:val="Strong"/>
    <w:basedOn w:val="DefaultParagraphFont"/>
    <w:uiPriority w:val="22"/>
    <w:qFormat/>
    <w:rsid w:val="00E1798B"/>
    <w:rPr>
      <w:b/>
      <w:bCs/>
    </w:rPr>
  </w:style>
  <w:style w:type="paragraph" w:styleId="ListParagraph">
    <w:name w:val="List Paragraph"/>
    <w:basedOn w:val="Normal"/>
    <w:uiPriority w:val="34"/>
    <w:qFormat/>
    <w:rsid w:val="002F659B"/>
    <w:pPr>
      <w:ind w:left="720"/>
      <w:contextualSpacing/>
    </w:pPr>
  </w:style>
  <w:style w:type="character" w:customStyle="1" w:styleId="font51">
    <w:name w:val="font51"/>
    <w:basedOn w:val="DefaultParagraphFont"/>
    <w:rsid w:val="00BB3833"/>
    <w:rPr>
      <w:rFonts w:ascii="Aptos Narrow" w:hAnsi="Aptos Narrow" w:hint="default"/>
      <w:b/>
      <w:bCs/>
      <w:i w:val="0"/>
      <w:iCs w:val="0"/>
      <w:strike w:val="0"/>
      <w:dstrike w:val="0"/>
      <w:color w:val="000000"/>
      <w:sz w:val="22"/>
      <w:szCs w:val="22"/>
      <w:u w:val="none"/>
      <w:effect w:val="none"/>
    </w:rPr>
  </w:style>
  <w:style w:type="character" w:customStyle="1" w:styleId="font01">
    <w:name w:val="font01"/>
    <w:basedOn w:val="DefaultParagraphFont"/>
    <w:rsid w:val="00BB3833"/>
    <w:rPr>
      <w:rFonts w:ascii="Aptos Narrow" w:hAnsi="Aptos Narrow" w:hint="default"/>
      <w:b w:val="0"/>
      <w:bCs w:val="0"/>
      <w:i w:val="0"/>
      <w:iCs w:val="0"/>
      <w:strike w:val="0"/>
      <w:dstrike w:val="0"/>
      <w:color w:val="000000"/>
      <w:sz w:val="22"/>
      <w:szCs w:val="22"/>
      <w:u w:val="none"/>
      <w:effect w:val="none"/>
    </w:rPr>
  </w:style>
  <w:style w:type="character" w:styleId="Emphasis">
    <w:name w:val="Emphasis"/>
    <w:basedOn w:val="DefaultParagraphFont"/>
    <w:uiPriority w:val="20"/>
    <w:qFormat/>
    <w:rsid w:val="0019224C"/>
    <w:rPr>
      <w:i/>
      <w:iCs/>
    </w:rPr>
  </w:style>
  <w:style w:type="character" w:customStyle="1" w:styleId="Heading1Char">
    <w:name w:val="Heading 1 Char"/>
    <w:basedOn w:val="DefaultParagraphFont"/>
    <w:link w:val="Heading1"/>
    <w:uiPriority w:val="9"/>
    <w:rsid w:val="00C44615"/>
    <w:rPr>
      <w:rFonts w:ascii="Times New Roman" w:eastAsia="Times New Roman" w:hAnsi="Times New Roman" w:cs="Times New Roman"/>
      <w:b/>
      <w:bCs/>
      <w:iCs/>
      <w:color w:val="000000"/>
      <w:sz w:val="28"/>
      <w:szCs w:val="28"/>
    </w:rPr>
  </w:style>
  <w:style w:type="character" w:styleId="FollowedHyperlink">
    <w:name w:val="FollowedHyperlink"/>
    <w:basedOn w:val="DefaultParagraphFont"/>
    <w:uiPriority w:val="99"/>
    <w:semiHidden/>
    <w:unhideWhenUsed/>
    <w:rsid w:val="009C4F0A"/>
    <w:rPr>
      <w:color w:val="800080" w:themeColor="followedHyperlink"/>
      <w:u w:val="single"/>
    </w:rPr>
  </w:style>
  <w:style w:type="character" w:customStyle="1" w:styleId="Heading3Char">
    <w:name w:val="Heading 3 Char"/>
    <w:basedOn w:val="DefaultParagraphFont"/>
    <w:link w:val="Heading3"/>
    <w:uiPriority w:val="9"/>
    <w:rsid w:val="00317DC1"/>
    <w:rPr>
      <w:rFonts w:ascii="Times New Roman" w:eastAsia="Times New Roman" w:hAnsi="Times New Roman" w:cs="Times New Roman"/>
      <w:b/>
      <w:i/>
      <w:color w:val="000000"/>
      <w:sz w:val="24"/>
      <w:szCs w:val="24"/>
    </w:rPr>
  </w:style>
  <w:style w:type="character" w:customStyle="1" w:styleId="overflow-hidden">
    <w:name w:val="overflow-hidden"/>
    <w:basedOn w:val="DefaultParagraphFont"/>
    <w:rsid w:val="00317DC1"/>
  </w:style>
  <w:style w:type="paragraph" w:styleId="z-TopofForm">
    <w:name w:val="HTML Top of Form"/>
    <w:basedOn w:val="Normal"/>
    <w:next w:val="Normal"/>
    <w:link w:val="z-TopofFormChar"/>
    <w:hidden/>
    <w:uiPriority w:val="99"/>
    <w:semiHidden/>
    <w:unhideWhenUsed/>
    <w:rsid w:val="00317DC1"/>
    <w:pPr>
      <w:pBdr>
        <w:bottom w:val="single" w:sz="6" w:space="1" w:color="auto"/>
      </w:pBdr>
      <w:spacing w:line="240" w:lineRule="auto"/>
      <w:jc w:val="center"/>
    </w:pPr>
    <w:rPr>
      <w:rFonts w:eastAsiaTheme="minorEastAsia"/>
      <w:vanish/>
      <w:sz w:val="16"/>
      <w:szCs w:val="16"/>
      <w:lang w:val="en-US" w:eastAsia="en-US"/>
    </w:rPr>
  </w:style>
  <w:style w:type="character" w:customStyle="1" w:styleId="z-TopofFormChar">
    <w:name w:val="z-Top of Form Char"/>
    <w:basedOn w:val="DefaultParagraphFont"/>
    <w:link w:val="z-TopofForm"/>
    <w:uiPriority w:val="99"/>
    <w:semiHidden/>
    <w:rsid w:val="00317DC1"/>
    <w:rPr>
      <w:rFonts w:eastAsiaTheme="minorEastAsia"/>
      <w:vanish/>
      <w:sz w:val="16"/>
      <w:szCs w:val="16"/>
      <w:lang w:val="en-US" w:eastAsia="en-US"/>
    </w:rPr>
  </w:style>
  <w:style w:type="paragraph" w:customStyle="1" w:styleId="placeholder">
    <w:name w:val="placeholder"/>
    <w:basedOn w:val="Normal"/>
    <w:rsid w:val="00317DC1"/>
    <w:pPr>
      <w:spacing w:before="100" w:beforeAutospacing="1" w:after="100" w:afterAutospacing="1" w:line="240" w:lineRule="auto"/>
    </w:pPr>
    <w:rPr>
      <w:rFonts w:ascii="Times New Roman" w:eastAsiaTheme="minorEastAsia" w:hAnsi="Times New Roman" w:cs="Times New Roman"/>
      <w:sz w:val="24"/>
      <w:szCs w:val="24"/>
      <w:lang w:val="en-US" w:eastAsia="en-US"/>
    </w:rPr>
  </w:style>
  <w:style w:type="paragraph" w:styleId="z-BottomofForm">
    <w:name w:val="HTML Bottom of Form"/>
    <w:basedOn w:val="Normal"/>
    <w:next w:val="Normal"/>
    <w:link w:val="z-BottomofFormChar"/>
    <w:hidden/>
    <w:uiPriority w:val="99"/>
    <w:semiHidden/>
    <w:unhideWhenUsed/>
    <w:rsid w:val="00317DC1"/>
    <w:pPr>
      <w:pBdr>
        <w:top w:val="single" w:sz="6" w:space="1" w:color="auto"/>
      </w:pBdr>
      <w:spacing w:line="240" w:lineRule="auto"/>
      <w:jc w:val="center"/>
    </w:pPr>
    <w:rPr>
      <w:rFonts w:eastAsiaTheme="minorEastAsia"/>
      <w:vanish/>
      <w:sz w:val="16"/>
      <w:szCs w:val="16"/>
      <w:lang w:val="en-US" w:eastAsia="en-US"/>
    </w:rPr>
  </w:style>
  <w:style w:type="character" w:customStyle="1" w:styleId="z-BottomofFormChar">
    <w:name w:val="z-Bottom of Form Char"/>
    <w:basedOn w:val="DefaultParagraphFont"/>
    <w:link w:val="z-BottomofForm"/>
    <w:uiPriority w:val="99"/>
    <w:semiHidden/>
    <w:rsid w:val="00317DC1"/>
    <w:rPr>
      <w:rFonts w:eastAsiaTheme="minorEastAsia"/>
      <w:vanish/>
      <w:sz w:val="16"/>
      <w:szCs w:val="16"/>
      <w:lang w:val="en-US" w:eastAsia="en-US"/>
    </w:rPr>
  </w:style>
  <w:style w:type="table" w:styleId="GridTable4-Accent1">
    <w:name w:val="Grid Table 4 Accent 1"/>
    <w:basedOn w:val="TableNormal"/>
    <w:uiPriority w:val="49"/>
    <w:rsid w:val="005F48E6"/>
    <w:pPr>
      <w:spacing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4-Accent3">
    <w:name w:val="Grid Table 4 Accent 3"/>
    <w:basedOn w:val="TableNormal"/>
    <w:uiPriority w:val="49"/>
    <w:rsid w:val="00F75A78"/>
    <w:pPr>
      <w:spacing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ListTable3-Accent5">
    <w:name w:val="List Table 3 Accent 5"/>
    <w:basedOn w:val="TableNormal"/>
    <w:uiPriority w:val="48"/>
    <w:rsid w:val="006A5C1B"/>
    <w:pPr>
      <w:spacing w:line="240" w:lineRule="auto"/>
    </w:pPr>
    <w:tblPr>
      <w:tblStyleRowBandSize w:val="1"/>
      <w:tblStyleColBandSize w:val="1"/>
      <w:tblBorders>
        <w:top w:val="single" w:sz="4" w:space="0" w:color="4BACC6" w:themeColor="accent5"/>
        <w:left w:val="single" w:sz="4" w:space="0" w:color="4BACC6" w:themeColor="accent5"/>
        <w:bottom w:val="single" w:sz="4" w:space="0" w:color="4BACC6" w:themeColor="accent5"/>
        <w:right w:val="single" w:sz="4" w:space="0" w:color="4BACC6" w:themeColor="accent5"/>
      </w:tblBorders>
    </w:tblPr>
    <w:tblStylePr w:type="firstRow">
      <w:rPr>
        <w:b/>
        <w:bCs/>
        <w:color w:val="FFFFFF" w:themeColor="background1"/>
      </w:rPr>
      <w:tblPr/>
      <w:tcPr>
        <w:shd w:val="clear" w:color="auto" w:fill="4BACC6" w:themeFill="accent5"/>
      </w:tcPr>
    </w:tblStylePr>
    <w:tblStylePr w:type="lastRow">
      <w:rPr>
        <w:b/>
        <w:bCs/>
      </w:rPr>
      <w:tblPr/>
      <w:tcPr>
        <w:tcBorders>
          <w:top w:val="double" w:sz="4" w:space="0" w:color="4BACC6"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BACC6" w:themeColor="accent5"/>
          <w:right w:val="single" w:sz="4" w:space="0" w:color="4BACC6" w:themeColor="accent5"/>
        </w:tcBorders>
      </w:tcPr>
    </w:tblStylePr>
    <w:tblStylePr w:type="band1Horz">
      <w:tblPr/>
      <w:tcPr>
        <w:tcBorders>
          <w:top w:val="single" w:sz="4" w:space="0" w:color="4BACC6" w:themeColor="accent5"/>
          <w:bottom w:val="single" w:sz="4" w:space="0" w:color="4BACC6"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BACC6" w:themeColor="accent5"/>
          <w:left w:val="nil"/>
        </w:tcBorders>
      </w:tcPr>
    </w:tblStylePr>
    <w:tblStylePr w:type="swCell">
      <w:tblPr/>
      <w:tcPr>
        <w:tcBorders>
          <w:top w:val="double" w:sz="4" w:space="0" w:color="4BACC6" w:themeColor="accent5"/>
          <w:right w:val="nil"/>
        </w:tcBorders>
      </w:tcPr>
    </w:tblStylePr>
  </w:style>
  <w:style w:type="table" w:styleId="ListTable3-Accent1">
    <w:name w:val="List Table 3 Accent 1"/>
    <w:basedOn w:val="TableNormal"/>
    <w:uiPriority w:val="48"/>
    <w:rsid w:val="006A5C1B"/>
    <w:pPr>
      <w:spacing w:line="240" w:lineRule="auto"/>
    </w:pPr>
    <w:tblPr>
      <w:tblStyleRowBandSize w:val="1"/>
      <w:tblStyleColBandSize w:val="1"/>
      <w:tblBorders>
        <w:top w:val="single" w:sz="4" w:space="0" w:color="4F81BD" w:themeColor="accent1"/>
        <w:left w:val="single" w:sz="4" w:space="0" w:color="4F81BD" w:themeColor="accent1"/>
        <w:bottom w:val="single" w:sz="4" w:space="0" w:color="4F81BD" w:themeColor="accent1"/>
        <w:right w:val="single" w:sz="4" w:space="0" w:color="4F81BD" w:themeColor="accent1"/>
      </w:tblBorders>
    </w:tblPr>
    <w:tblStylePr w:type="firstRow">
      <w:rPr>
        <w:b/>
        <w:bCs/>
        <w:color w:val="FFFFFF" w:themeColor="background1"/>
      </w:rPr>
      <w:tblPr/>
      <w:tcPr>
        <w:shd w:val="clear" w:color="auto" w:fill="4F81BD" w:themeFill="accent1"/>
      </w:tcPr>
    </w:tblStylePr>
    <w:tblStylePr w:type="lastRow">
      <w:rPr>
        <w:b/>
        <w:bCs/>
      </w:rPr>
      <w:tblPr/>
      <w:tcPr>
        <w:tcBorders>
          <w:top w:val="double" w:sz="4" w:space="0" w:color="4F81BD"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F81BD" w:themeColor="accent1"/>
          <w:right w:val="single" w:sz="4" w:space="0" w:color="4F81BD" w:themeColor="accent1"/>
        </w:tcBorders>
      </w:tcPr>
    </w:tblStylePr>
    <w:tblStylePr w:type="band1Horz">
      <w:tblPr/>
      <w:tcPr>
        <w:tcBorders>
          <w:top w:val="single" w:sz="4" w:space="0" w:color="4F81BD" w:themeColor="accent1"/>
          <w:bottom w:val="single" w:sz="4" w:space="0" w:color="4F81BD"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F81BD" w:themeColor="accent1"/>
          <w:left w:val="nil"/>
        </w:tcBorders>
      </w:tcPr>
    </w:tblStylePr>
    <w:tblStylePr w:type="swCell">
      <w:tblPr/>
      <w:tcPr>
        <w:tcBorders>
          <w:top w:val="double" w:sz="4" w:space="0" w:color="4F81BD" w:themeColor="accent1"/>
          <w:right w:val="nil"/>
        </w:tcBorders>
      </w:tcPr>
    </w:tblStylePr>
  </w:style>
  <w:style w:type="character" w:customStyle="1" w:styleId="Heading2Char">
    <w:name w:val="Heading 2 Char"/>
    <w:basedOn w:val="DefaultParagraphFont"/>
    <w:link w:val="Heading2"/>
    <w:uiPriority w:val="9"/>
    <w:rsid w:val="00140AEA"/>
    <w:rPr>
      <w:rFonts w:ascii="Times New Roman" w:eastAsia="Times New Roman" w:hAnsi="Times New Roman" w:cs="Times New Roman"/>
      <w:b/>
      <w:color w:val="000000"/>
      <w:sz w:val="24"/>
      <w:szCs w:val="24"/>
    </w:rPr>
  </w:style>
  <w:style w:type="table" w:styleId="GridTable4-Accent6">
    <w:name w:val="Grid Table 4 Accent 6"/>
    <w:basedOn w:val="TableNormal"/>
    <w:uiPriority w:val="49"/>
    <w:rsid w:val="007B71AB"/>
    <w:pPr>
      <w:spacing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5Dark-Accent1">
    <w:name w:val="Grid Table 5 Dark Accent 1"/>
    <w:basedOn w:val="TableNormal"/>
    <w:uiPriority w:val="50"/>
    <w:rsid w:val="00036EE8"/>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4-Accent2">
    <w:name w:val="Grid Table 4 Accent 2"/>
    <w:basedOn w:val="TableNormal"/>
    <w:uiPriority w:val="49"/>
    <w:rsid w:val="00D278C7"/>
    <w:pPr>
      <w:spacing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character" w:customStyle="1" w:styleId="fadeinm1hgl8">
    <w:name w:val="_fadein_m1hgl_8"/>
    <w:basedOn w:val="DefaultParagraphFont"/>
    <w:rsid w:val="001A36FF"/>
  </w:style>
  <w:style w:type="table" w:customStyle="1" w:styleId="TableGrid1">
    <w:name w:val="Table Grid1"/>
    <w:basedOn w:val="TableNormal"/>
    <w:next w:val="TableGrid"/>
    <w:uiPriority w:val="59"/>
    <w:rsid w:val="00532BD9"/>
    <w:pPr>
      <w:spacing w:line="240" w:lineRule="auto"/>
    </w:pPr>
    <w:rPr>
      <w:rFonts w:ascii="Calibri" w:eastAsia="Calibri" w:hAnsi="Calibri" w:cs="Times New Roman"/>
      <w:lang w:val="en-US" w:eastAsia="en-US"/>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BodyText">
    <w:name w:val="Body Text"/>
    <w:basedOn w:val="Normal"/>
    <w:link w:val="BodyTextChar"/>
    <w:uiPriority w:val="1"/>
    <w:qFormat/>
    <w:rsid w:val="00532BD9"/>
    <w:pPr>
      <w:widowControl w:val="0"/>
      <w:autoSpaceDE w:val="0"/>
      <w:autoSpaceDN w:val="0"/>
      <w:spacing w:line="240" w:lineRule="auto"/>
    </w:pPr>
    <w:rPr>
      <w:rFonts w:ascii="Calibri" w:eastAsia="Calibri" w:hAnsi="Calibri" w:cs="Calibri"/>
      <w:lang w:val="en-US" w:eastAsia="en-US"/>
    </w:rPr>
  </w:style>
  <w:style w:type="character" w:customStyle="1" w:styleId="BodyTextChar">
    <w:name w:val="Body Text Char"/>
    <w:basedOn w:val="DefaultParagraphFont"/>
    <w:link w:val="BodyText"/>
    <w:uiPriority w:val="1"/>
    <w:rsid w:val="00532BD9"/>
    <w:rPr>
      <w:rFonts w:ascii="Calibri" w:eastAsia="Calibri" w:hAnsi="Calibri" w:cs="Calibri"/>
      <w:lang w:val="en-US" w:eastAsia="en-US"/>
    </w:rPr>
  </w:style>
  <w:style w:type="table" w:customStyle="1" w:styleId="GridTable4-Accent21">
    <w:name w:val="Grid Table 4 - Accent 21"/>
    <w:basedOn w:val="TableNormal"/>
    <w:next w:val="GridTable4-Accent2"/>
    <w:uiPriority w:val="49"/>
    <w:rsid w:val="00532BD9"/>
    <w:pPr>
      <w:spacing w:line="240" w:lineRule="auto"/>
    </w:pPr>
    <w:rPr>
      <w:rFonts w:ascii="Calibri" w:eastAsia="Calibri" w:hAnsi="Calibri" w:cs="Times New Roman"/>
      <w:lang w:val="en-US" w:eastAsia="en-US"/>
    </w:rPr>
    <w:tblPr>
      <w:tblStyleRowBandSize w:val="1"/>
      <w:tblStyleColBandSize w:val="1"/>
      <w:tblBorders>
        <w:top w:val="single" w:sz="4" w:space="0" w:color="D99594"/>
        <w:left w:val="single" w:sz="4" w:space="0" w:color="D99594"/>
        <w:bottom w:val="single" w:sz="4" w:space="0" w:color="D99594"/>
        <w:right w:val="single" w:sz="4" w:space="0" w:color="D99594"/>
        <w:insideH w:val="single" w:sz="4" w:space="0" w:color="D99594"/>
        <w:insideV w:val="single" w:sz="4" w:space="0" w:color="D99594"/>
      </w:tblBorders>
    </w:tblPr>
    <w:tblStylePr w:type="firstRow">
      <w:rPr>
        <w:b/>
        <w:bCs/>
        <w:color w:val="FFFFFF"/>
      </w:rPr>
      <w:tblPr/>
      <w:tcPr>
        <w:tcBorders>
          <w:top w:val="single" w:sz="4" w:space="0" w:color="C0504D"/>
          <w:left w:val="single" w:sz="4" w:space="0" w:color="C0504D"/>
          <w:bottom w:val="single" w:sz="4" w:space="0" w:color="C0504D"/>
          <w:right w:val="single" w:sz="4" w:space="0" w:color="C0504D"/>
          <w:insideH w:val="nil"/>
          <w:insideV w:val="nil"/>
        </w:tcBorders>
        <w:shd w:val="clear" w:color="auto" w:fill="C0504D"/>
      </w:tcPr>
    </w:tblStylePr>
    <w:tblStylePr w:type="lastRow">
      <w:rPr>
        <w:b/>
        <w:bCs/>
      </w:rPr>
      <w:tblPr/>
      <w:tcPr>
        <w:tcBorders>
          <w:top w:val="double" w:sz="4" w:space="0" w:color="C0504D"/>
        </w:tcBorders>
      </w:tcPr>
    </w:tblStylePr>
    <w:tblStylePr w:type="firstCol">
      <w:rPr>
        <w:b/>
        <w:bCs/>
      </w:rPr>
    </w:tblStylePr>
    <w:tblStylePr w:type="lastCol">
      <w:rPr>
        <w:b/>
        <w:bCs/>
      </w:rPr>
    </w:tblStylePr>
    <w:tblStylePr w:type="band1Vert">
      <w:tblPr/>
      <w:tcPr>
        <w:shd w:val="clear" w:color="auto" w:fill="F2DBDB"/>
      </w:tcPr>
    </w:tblStylePr>
    <w:tblStylePr w:type="band1Horz">
      <w:tblPr/>
      <w:tcPr>
        <w:shd w:val="clear" w:color="auto" w:fill="F2DBDB"/>
      </w:tcPr>
    </w:tblStylePr>
  </w:style>
  <w:style w:type="table" w:styleId="TableGrid">
    <w:name w:val="Table Grid"/>
    <w:basedOn w:val="TableNormal"/>
    <w:uiPriority w:val="39"/>
    <w:rsid w:val="00532BD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EC35FA"/>
    <w:pPr>
      <w:spacing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customStyle="1" w:styleId="Heading4Char">
    <w:name w:val="Heading 4 Char"/>
    <w:basedOn w:val="DefaultParagraphFont"/>
    <w:link w:val="Heading4"/>
    <w:uiPriority w:val="9"/>
    <w:rsid w:val="00E232C4"/>
    <w:rPr>
      <w:color w:val="666666"/>
      <w:sz w:val="24"/>
      <w:szCs w:val="24"/>
    </w:rPr>
  </w:style>
  <w:style w:type="character" w:customStyle="1" w:styleId="Heading5Char">
    <w:name w:val="Heading 5 Char"/>
    <w:basedOn w:val="DefaultParagraphFont"/>
    <w:link w:val="Heading5"/>
    <w:uiPriority w:val="9"/>
    <w:semiHidden/>
    <w:rsid w:val="00E232C4"/>
    <w:rPr>
      <w:color w:val="666666"/>
    </w:rPr>
  </w:style>
  <w:style w:type="character" w:customStyle="1" w:styleId="Heading6Char">
    <w:name w:val="Heading 6 Char"/>
    <w:basedOn w:val="DefaultParagraphFont"/>
    <w:link w:val="Heading6"/>
    <w:uiPriority w:val="9"/>
    <w:semiHidden/>
    <w:rsid w:val="00E232C4"/>
    <w:rPr>
      <w:i/>
      <w:color w:val="666666"/>
    </w:rPr>
  </w:style>
  <w:style w:type="table" w:customStyle="1" w:styleId="TableNormal0">
    <w:name w:val="TableNormal"/>
    <w:rsid w:val="00E232C4"/>
    <w:rPr>
      <w:lang w:eastAsia="en-US"/>
    </w:rPr>
    <w:tblPr>
      <w:tblCellMar>
        <w:top w:w="100" w:type="dxa"/>
        <w:left w:w="100" w:type="dxa"/>
        <w:bottom w:w="100" w:type="dxa"/>
        <w:right w:w="100" w:type="dxa"/>
      </w:tblCellMar>
    </w:tblPr>
  </w:style>
  <w:style w:type="character" w:customStyle="1" w:styleId="TitleChar">
    <w:name w:val="Title Char"/>
    <w:basedOn w:val="DefaultParagraphFont"/>
    <w:link w:val="Title"/>
    <w:uiPriority w:val="10"/>
    <w:rsid w:val="00E232C4"/>
    <w:rPr>
      <w:sz w:val="52"/>
      <w:szCs w:val="52"/>
    </w:rPr>
  </w:style>
  <w:style w:type="character" w:customStyle="1" w:styleId="SubtitleChar">
    <w:name w:val="Subtitle Char"/>
    <w:basedOn w:val="DefaultParagraphFont"/>
    <w:link w:val="Subtitle"/>
    <w:uiPriority w:val="11"/>
    <w:rsid w:val="00E232C4"/>
    <w:rPr>
      <w:color w:val="666666"/>
      <w:sz w:val="30"/>
      <w:szCs w:val="30"/>
    </w:rPr>
  </w:style>
  <w:style w:type="table" w:styleId="GridTable5Dark-Accent5">
    <w:name w:val="Grid Table 5 Dark Accent 5"/>
    <w:basedOn w:val="TableNormal"/>
    <w:uiPriority w:val="50"/>
    <w:rsid w:val="00C02A5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1Light">
    <w:name w:val="Grid Table 1 Light"/>
    <w:basedOn w:val="TableNormal"/>
    <w:uiPriority w:val="46"/>
    <w:rsid w:val="0039256B"/>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PageNumber">
    <w:name w:val="page number"/>
    <w:basedOn w:val="DefaultParagraphFont"/>
    <w:rsid w:val="00C504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8732">
      <w:bodyDiv w:val="1"/>
      <w:marLeft w:val="0"/>
      <w:marRight w:val="0"/>
      <w:marTop w:val="0"/>
      <w:marBottom w:val="0"/>
      <w:divBdr>
        <w:top w:val="none" w:sz="0" w:space="0" w:color="auto"/>
        <w:left w:val="none" w:sz="0" w:space="0" w:color="auto"/>
        <w:bottom w:val="none" w:sz="0" w:space="0" w:color="auto"/>
        <w:right w:val="none" w:sz="0" w:space="0" w:color="auto"/>
      </w:divBdr>
    </w:div>
    <w:div w:id="17439350">
      <w:bodyDiv w:val="1"/>
      <w:marLeft w:val="0"/>
      <w:marRight w:val="0"/>
      <w:marTop w:val="0"/>
      <w:marBottom w:val="0"/>
      <w:divBdr>
        <w:top w:val="none" w:sz="0" w:space="0" w:color="auto"/>
        <w:left w:val="none" w:sz="0" w:space="0" w:color="auto"/>
        <w:bottom w:val="none" w:sz="0" w:space="0" w:color="auto"/>
        <w:right w:val="none" w:sz="0" w:space="0" w:color="auto"/>
      </w:divBdr>
    </w:div>
    <w:div w:id="48694347">
      <w:bodyDiv w:val="1"/>
      <w:marLeft w:val="0"/>
      <w:marRight w:val="0"/>
      <w:marTop w:val="0"/>
      <w:marBottom w:val="0"/>
      <w:divBdr>
        <w:top w:val="none" w:sz="0" w:space="0" w:color="auto"/>
        <w:left w:val="none" w:sz="0" w:space="0" w:color="auto"/>
        <w:bottom w:val="none" w:sz="0" w:space="0" w:color="auto"/>
        <w:right w:val="none" w:sz="0" w:space="0" w:color="auto"/>
      </w:divBdr>
    </w:div>
    <w:div w:id="115412312">
      <w:bodyDiv w:val="1"/>
      <w:marLeft w:val="0"/>
      <w:marRight w:val="0"/>
      <w:marTop w:val="0"/>
      <w:marBottom w:val="0"/>
      <w:divBdr>
        <w:top w:val="none" w:sz="0" w:space="0" w:color="auto"/>
        <w:left w:val="none" w:sz="0" w:space="0" w:color="auto"/>
        <w:bottom w:val="none" w:sz="0" w:space="0" w:color="auto"/>
        <w:right w:val="none" w:sz="0" w:space="0" w:color="auto"/>
      </w:divBdr>
    </w:div>
    <w:div w:id="124737956">
      <w:bodyDiv w:val="1"/>
      <w:marLeft w:val="0"/>
      <w:marRight w:val="0"/>
      <w:marTop w:val="0"/>
      <w:marBottom w:val="0"/>
      <w:divBdr>
        <w:top w:val="none" w:sz="0" w:space="0" w:color="auto"/>
        <w:left w:val="none" w:sz="0" w:space="0" w:color="auto"/>
        <w:bottom w:val="none" w:sz="0" w:space="0" w:color="auto"/>
        <w:right w:val="none" w:sz="0" w:space="0" w:color="auto"/>
      </w:divBdr>
    </w:div>
    <w:div w:id="246228628">
      <w:bodyDiv w:val="1"/>
      <w:marLeft w:val="0"/>
      <w:marRight w:val="0"/>
      <w:marTop w:val="0"/>
      <w:marBottom w:val="0"/>
      <w:divBdr>
        <w:top w:val="none" w:sz="0" w:space="0" w:color="auto"/>
        <w:left w:val="none" w:sz="0" w:space="0" w:color="auto"/>
        <w:bottom w:val="none" w:sz="0" w:space="0" w:color="auto"/>
        <w:right w:val="none" w:sz="0" w:space="0" w:color="auto"/>
      </w:divBdr>
    </w:div>
    <w:div w:id="264389416">
      <w:bodyDiv w:val="1"/>
      <w:marLeft w:val="0"/>
      <w:marRight w:val="0"/>
      <w:marTop w:val="0"/>
      <w:marBottom w:val="0"/>
      <w:divBdr>
        <w:top w:val="none" w:sz="0" w:space="0" w:color="auto"/>
        <w:left w:val="none" w:sz="0" w:space="0" w:color="auto"/>
        <w:bottom w:val="none" w:sz="0" w:space="0" w:color="auto"/>
        <w:right w:val="none" w:sz="0" w:space="0" w:color="auto"/>
      </w:divBdr>
    </w:div>
    <w:div w:id="383452741">
      <w:bodyDiv w:val="1"/>
      <w:marLeft w:val="0"/>
      <w:marRight w:val="0"/>
      <w:marTop w:val="0"/>
      <w:marBottom w:val="0"/>
      <w:divBdr>
        <w:top w:val="none" w:sz="0" w:space="0" w:color="auto"/>
        <w:left w:val="none" w:sz="0" w:space="0" w:color="auto"/>
        <w:bottom w:val="none" w:sz="0" w:space="0" w:color="auto"/>
        <w:right w:val="none" w:sz="0" w:space="0" w:color="auto"/>
      </w:divBdr>
      <w:divsChild>
        <w:div w:id="52398098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94016016">
      <w:bodyDiv w:val="1"/>
      <w:marLeft w:val="0"/>
      <w:marRight w:val="0"/>
      <w:marTop w:val="0"/>
      <w:marBottom w:val="0"/>
      <w:divBdr>
        <w:top w:val="none" w:sz="0" w:space="0" w:color="auto"/>
        <w:left w:val="none" w:sz="0" w:space="0" w:color="auto"/>
        <w:bottom w:val="none" w:sz="0" w:space="0" w:color="auto"/>
        <w:right w:val="none" w:sz="0" w:space="0" w:color="auto"/>
      </w:divBdr>
    </w:div>
    <w:div w:id="491994257">
      <w:bodyDiv w:val="1"/>
      <w:marLeft w:val="0"/>
      <w:marRight w:val="0"/>
      <w:marTop w:val="0"/>
      <w:marBottom w:val="0"/>
      <w:divBdr>
        <w:top w:val="none" w:sz="0" w:space="0" w:color="auto"/>
        <w:left w:val="none" w:sz="0" w:space="0" w:color="auto"/>
        <w:bottom w:val="none" w:sz="0" w:space="0" w:color="auto"/>
        <w:right w:val="none" w:sz="0" w:space="0" w:color="auto"/>
      </w:divBdr>
    </w:div>
    <w:div w:id="496120342">
      <w:bodyDiv w:val="1"/>
      <w:marLeft w:val="0"/>
      <w:marRight w:val="0"/>
      <w:marTop w:val="0"/>
      <w:marBottom w:val="0"/>
      <w:divBdr>
        <w:top w:val="none" w:sz="0" w:space="0" w:color="auto"/>
        <w:left w:val="none" w:sz="0" w:space="0" w:color="auto"/>
        <w:bottom w:val="none" w:sz="0" w:space="0" w:color="auto"/>
        <w:right w:val="none" w:sz="0" w:space="0" w:color="auto"/>
      </w:divBdr>
    </w:div>
    <w:div w:id="586764407">
      <w:bodyDiv w:val="1"/>
      <w:marLeft w:val="0"/>
      <w:marRight w:val="0"/>
      <w:marTop w:val="0"/>
      <w:marBottom w:val="0"/>
      <w:divBdr>
        <w:top w:val="none" w:sz="0" w:space="0" w:color="auto"/>
        <w:left w:val="none" w:sz="0" w:space="0" w:color="auto"/>
        <w:bottom w:val="none" w:sz="0" w:space="0" w:color="auto"/>
        <w:right w:val="none" w:sz="0" w:space="0" w:color="auto"/>
      </w:divBdr>
    </w:div>
    <w:div w:id="601376984">
      <w:bodyDiv w:val="1"/>
      <w:marLeft w:val="0"/>
      <w:marRight w:val="0"/>
      <w:marTop w:val="0"/>
      <w:marBottom w:val="0"/>
      <w:divBdr>
        <w:top w:val="none" w:sz="0" w:space="0" w:color="auto"/>
        <w:left w:val="none" w:sz="0" w:space="0" w:color="auto"/>
        <w:bottom w:val="none" w:sz="0" w:space="0" w:color="auto"/>
        <w:right w:val="none" w:sz="0" w:space="0" w:color="auto"/>
      </w:divBdr>
    </w:div>
    <w:div w:id="694381057">
      <w:bodyDiv w:val="1"/>
      <w:marLeft w:val="0"/>
      <w:marRight w:val="0"/>
      <w:marTop w:val="0"/>
      <w:marBottom w:val="0"/>
      <w:divBdr>
        <w:top w:val="none" w:sz="0" w:space="0" w:color="auto"/>
        <w:left w:val="none" w:sz="0" w:space="0" w:color="auto"/>
        <w:bottom w:val="none" w:sz="0" w:space="0" w:color="auto"/>
        <w:right w:val="none" w:sz="0" w:space="0" w:color="auto"/>
      </w:divBdr>
      <w:divsChild>
        <w:div w:id="1478258436">
          <w:marLeft w:val="0"/>
          <w:marRight w:val="0"/>
          <w:marTop w:val="0"/>
          <w:marBottom w:val="0"/>
          <w:divBdr>
            <w:top w:val="none" w:sz="0" w:space="0" w:color="auto"/>
            <w:left w:val="none" w:sz="0" w:space="0" w:color="auto"/>
            <w:bottom w:val="none" w:sz="0" w:space="0" w:color="auto"/>
            <w:right w:val="none" w:sz="0" w:space="0" w:color="auto"/>
          </w:divBdr>
          <w:divsChild>
            <w:div w:id="1319068561">
              <w:marLeft w:val="0"/>
              <w:marRight w:val="0"/>
              <w:marTop w:val="0"/>
              <w:marBottom w:val="0"/>
              <w:divBdr>
                <w:top w:val="none" w:sz="0" w:space="0" w:color="auto"/>
                <w:left w:val="none" w:sz="0" w:space="0" w:color="auto"/>
                <w:bottom w:val="none" w:sz="0" w:space="0" w:color="auto"/>
                <w:right w:val="none" w:sz="0" w:space="0" w:color="auto"/>
              </w:divBdr>
              <w:divsChild>
                <w:div w:id="1625773881">
                  <w:marLeft w:val="0"/>
                  <w:marRight w:val="0"/>
                  <w:marTop w:val="0"/>
                  <w:marBottom w:val="0"/>
                  <w:divBdr>
                    <w:top w:val="none" w:sz="0" w:space="0" w:color="auto"/>
                    <w:left w:val="none" w:sz="0" w:space="0" w:color="auto"/>
                    <w:bottom w:val="none" w:sz="0" w:space="0" w:color="auto"/>
                    <w:right w:val="none" w:sz="0" w:space="0" w:color="auto"/>
                  </w:divBdr>
                  <w:divsChild>
                    <w:div w:id="1708480661">
                      <w:marLeft w:val="0"/>
                      <w:marRight w:val="0"/>
                      <w:marTop w:val="0"/>
                      <w:marBottom w:val="0"/>
                      <w:divBdr>
                        <w:top w:val="none" w:sz="0" w:space="0" w:color="auto"/>
                        <w:left w:val="none" w:sz="0" w:space="0" w:color="auto"/>
                        <w:bottom w:val="none" w:sz="0" w:space="0" w:color="auto"/>
                        <w:right w:val="none" w:sz="0" w:space="0" w:color="auto"/>
                      </w:divBdr>
                      <w:divsChild>
                        <w:div w:id="96945429">
                          <w:marLeft w:val="0"/>
                          <w:marRight w:val="0"/>
                          <w:marTop w:val="0"/>
                          <w:marBottom w:val="0"/>
                          <w:divBdr>
                            <w:top w:val="none" w:sz="0" w:space="0" w:color="auto"/>
                            <w:left w:val="none" w:sz="0" w:space="0" w:color="auto"/>
                            <w:bottom w:val="none" w:sz="0" w:space="0" w:color="auto"/>
                            <w:right w:val="none" w:sz="0" w:space="0" w:color="auto"/>
                          </w:divBdr>
                          <w:divsChild>
                            <w:div w:id="510028848">
                              <w:marLeft w:val="0"/>
                              <w:marRight w:val="0"/>
                              <w:marTop w:val="0"/>
                              <w:marBottom w:val="0"/>
                              <w:divBdr>
                                <w:top w:val="none" w:sz="0" w:space="0" w:color="auto"/>
                                <w:left w:val="none" w:sz="0" w:space="0" w:color="auto"/>
                                <w:bottom w:val="none" w:sz="0" w:space="0" w:color="auto"/>
                                <w:right w:val="none" w:sz="0" w:space="0" w:color="auto"/>
                              </w:divBdr>
                              <w:divsChild>
                                <w:div w:id="36197923">
                                  <w:marLeft w:val="0"/>
                                  <w:marRight w:val="0"/>
                                  <w:marTop w:val="0"/>
                                  <w:marBottom w:val="0"/>
                                  <w:divBdr>
                                    <w:top w:val="none" w:sz="0" w:space="0" w:color="auto"/>
                                    <w:left w:val="none" w:sz="0" w:space="0" w:color="auto"/>
                                    <w:bottom w:val="none" w:sz="0" w:space="0" w:color="auto"/>
                                    <w:right w:val="none" w:sz="0" w:space="0" w:color="auto"/>
                                  </w:divBdr>
                                  <w:divsChild>
                                    <w:div w:id="477113073">
                                      <w:marLeft w:val="0"/>
                                      <w:marRight w:val="0"/>
                                      <w:marTop w:val="0"/>
                                      <w:marBottom w:val="0"/>
                                      <w:divBdr>
                                        <w:top w:val="none" w:sz="0" w:space="0" w:color="auto"/>
                                        <w:left w:val="none" w:sz="0" w:space="0" w:color="auto"/>
                                        <w:bottom w:val="none" w:sz="0" w:space="0" w:color="auto"/>
                                        <w:right w:val="none" w:sz="0" w:space="0" w:color="auto"/>
                                      </w:divBdr>
                                      <w:divsChild>
                                        <w:div w:id="929656190">
                                          <w:marLeft w:val="0"/>
                                          <w:marRight w:val="0"/>
                                          <w:marTop w:val="0"/>
                                          <w:marBottom w:val="0"/>
                                          <w:divBdr>
                                            <w:top w:val="none" w:sz="0" w:space="0" w:color="auto"/>
                                            <w:left w:val="none" w:sz="0" w:space="0" w:color="auto"/>
                                            <w:bottom w:val="none" w:sz="0" w:space="0" w:color="auto"/>
                                            <w:right w:val="none" w:sz="0" w:space="0" w:color="auto"/>
                                          </w:divBdr>
                                          <w:divsChild>
                                            <w:div w:id="978732302">
                                              <w:marLeft w:val="0"/>
                                              <w:marRight w:val="0"/>
                                              <w:marTop w:val="0"/>
                                              <w:marBottom w:val="0"/>
                                              <w:divBdr>
                                                <w:top w:val="none" w:sz="0" w:space="0" w:color="auto"/>
                                                <w:left w:val="none" w:sz="0" w:space="0" w:color="auto"/>
                                                <w:bottom w:val="none" w:sz="0" w:space="0" w:color="auto"/>
                                                <w:right w:val="none" w:sz="0" w:space="0" w:color="auto"/>
                                              </w:divBdr>
                                              <w:divsChild>
                                                <w:div w:id="1549760332">
                                                  <w:marLeft w:val="0"/>
                                                  <w:marRight w:val="0"/>
                                                  <w:marTop w:val="0"/>
                                                  <w:marBottom w:val="0"/>
                                                  <w:divBdr>
                                                    <w:top w:val="none" w:sz="0" w:space="0" w:color="auto"/>
                                                    <w:left w:val="none" w:sz="0" w:space="0" w:color="auto"/>
                                                    <w:bottom w:val="none" w:sz="0" w:space="0" w:color="auto"/>
                                                    <w:right w:val="none" w:sz="0" w:space="0" w:color="auto"/>
                                                  </w:divBdr>
                                                  <w:divsChild>
                                                    <w:div w:id="168447197">
                                                      <w:marLeft w:val="0"/>
                                                      <w:marRight w:val="0"/>
                                                      <w:marTop w:val="0"/>
                                                      <w:marBottom w:val="0"/>
                                                      <w:divBdr>
                                                        <w:top w:val="none" w:sz="0" w:space="0" w:color="auto"/>
                                                        <w:left w:val="none" w:sz="0" w:space="0" w:color="auto"/>
                                                        <w:bottom w:val="none" w:sz="0" w:space="0" w:color="auto"/>
                                                        <w:right w:val="none" w:sz="0" w:space="0" w:color="auto"/>
                                                      </w:divBdr>
                                                      <w:divsChild>
                                                        <w:div w:id="1989237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8764441">
                                          <w:marLeft w:val="0"/>
                                          <w:marRight w:val="0"/>
                                          <w:marTop w:val="0"/>
                                          <w:marBottom w:val="0"/>
                                          <w:divBdr>
                                            <w:top w:val="none" w:sz="0" w:space="0" w:color="auto"/>
                                            <w:left w:val="none" w:sz="0" w:space="0" w:color="auto"/>
                                            <w:bottom w:val="none" w:sz="0" w:space="0" w:color="auto"/>
                                            <w:right w:val="none" w:sz="0" w:space="0" w:color="auto"/>
                                          </w:divBdr>
                                          <w:divsChild>
                                            <w:div w:id="2082016568">
                                              <w:marLeft w:val="0"/>
                                              <w:marRight w:val="0"/>
                                              <w:marTop w:val="0"/>
                                              <w:marBottom w:val="0"/>
                                              <w:divBdr>
                                                <w:top w:val="none" w:sz="0" w:space="0" w:color="auto"/>
                                                <w:left w:val="none" w:sz="0" w:space="0" w:color="auto"/>
                                                <w:bottom w:val="none" w:sz="0" w:space="0" w:color="auto"/>
                                                <w:right w:val="none" w:sz="0" w:space="0" w:color="auto"/>
                                              </w:divBdr>
                                              <w:divsChild>
                                                <w:div w:id="789125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49238527">
          <w:marLeft w:val="0"/>
          <w:marRight w:val="0"/>
          <w:marTop w:val="0"/>
          <w:marBottom w:val="0"/>
          <w:divBdr>
            <w:top w:val="none" w:sz="0" w:space="0" w:color="auto"/>
            <w:left w:val="none" w:sz="0" w:space="0" w:color="auto"/>
            <w:bottom w:val="none" w:sz="0" w:space="0" w:color="auto"/>
            <w:right w:val="none" w:sz="0" w:space="0" w:color="auto"/>
          </w:divBdr>
          <w:divsChild>
            <w:div w:id="410781492">
              <w:marLeft w:val="0"/>
              <w:marRight w:val="0"/>
              <w:marTop w:val="0"/>
              <w:marBottom w:val="0"/>
              <w:divBdr>
                <w:top w:val="none" w:sz="0" w:space="0" w:color="auto"/>
                <w:left w:val="none" w:sz="0" w:space="0" w:color="auto"/>
                <w:bottom w:val="none" w:sz="0" w:space="0" w:color="auto"/>
                <w:right w:val="none" w:sz="0" w:space="0" w:color="auto"/>
              </w:divBdr>
              <w:divsChild>
                <w:div w:id="790057143">
                  <w:marLeft w:val="0"/>
                  <w:marRight w:val="0"/>
                  <w:marTop w:val="0"/>
                  <w:marBottom w:val="0"/>
                  <w:divBdr>
                    <w:top w:val="none" w:sz="0" w:space="0" w:color="auto"/>
                    <w:left w:val="none" w:sz="0" w:space="0" w:color="auto"/>
                    <w:bottom w:val="none" w:sz="0" w:space="0" w:color="auto"/>
                    <w:right w:val="none" w:sz="0" w:space="0" w:color="auto"/>
                  </w:divBdr>
                  <w:divsChild>
                    <w:div w:id="1556427714">
                      <w:marLeft w:val="0"/>
                      <w:marRight w:val="0"/>
                      <w:marTop w:val="0"/>
                      <w:marBottom w:val="0"/>
                      <w:divBdr>
                        <w:top w:val="none" w:sz="0" w:space="0" w:color="auto"/>
                        <w:left w:val="none" w:sz="0" w:space="0" w:color="auto"/>
                        <w:bottom w:val="none" w:sz="0" w:space="0" w:color="auto"/>
                        <w:right w:val="none" w:sz="0" w:space="0" w:color="auto"/>
                      </w:divBdr>
                      <w:divsChild>
                        <w:div w:id="1689794449">
                          <w:marLeft w:val="0"/>
                          <w:marRight w:val="0"/>
                          <w:marTop w:val="0"/>
                          <w:marBottom w:val="0"/>
                          <w:divBdr>
                            <w:top w:val="none" w:sz="0" w:space="0" w:color="auto"/>
                            <w:left w:val="none" w:sz="0" w:space="0" w:color="auto"/>
                            <w:bottom w:val="none" w:sz="0" w:space="0" w:color="auto"/>
                            <w:right w:val="none" w:sz="0" w:space="0" w:color="auto"/>
                          </w:divBdr>
                          <w:divsChild>
                            <w:div w:id="508715811">
                              <w:marLeft w:val="0"/>
                              <w:marRight w:val="0"/>
                              <w:marTop w:val="0"/>
                              <w:marBottom w:val="0"/>
                              <w:divBdr>
                                <w:top w:val="none" w:sz="0" w:space="0" w:color="auto"/>
                                <w:left w:val="none" w:sz="0" w:space="0" w:color="auto"/>
                                <w:bottom w:val="none" w:sz="0" w:space="0" w:color="auto"/>
                                <w:right w:val="none" w:sz="0" w:space="0" w:color="auto"/>
                              </w:divBdr>
                              <w:divsChild>
                                <w:div w:id="1917671161">
                                  <w:marLeft w:val="0"/>
                                  <w:marRight w:val="0"/>
                                  <w:marTop w:val="0"/>
                                  <w:marBottom w:val="0"/>
                                  <w:divBdr>
                                    <w:top w:val="none" w:sz="0" w:space="0" w:color="auto"/>
                                    <w:left w:val="none" w:sz="0" w:space="0" w:color="auto"/>
                                    <w:bottom w:val="none" w:sz="0" w:space="0" w:color="auto"/>
                                    <w:right w:val="none" w:sz="0" w:space="0" w:color="auto"/>
                                  </w:divBdr>
                                  <w:divsChild>
                                    <w:div w:id="287589125">
                                      <w:marLeft w:val="0"/>
                                      <w:marRight w:val="0"/>
                                      <w:marTop w:val="0"/>
                                      <w:marBottom w:val="0"/>
                                      <w:divBdr>
                                        <w:top w:val="none" w:sz="0" w:space="0" w:color="auto"/>
                                        <w:left w:val="none" w:sz="0" w:space="0" w:color="auto"/>
                                        <w:bottom w:val="none" w:sz="0" w:space="0" w:color="auto"/>
                                        <w:right w:val="none" w:sz="0" w:space="0" w:color="auto"/>
                                      </w:divBdr>
                                      <w:divsChild>
                                        <w:div w:id="1840147861">
                                          <w:marLeft w:val="0"/>
                                          <w:marRight w:val="0"/>
                                          <w:marTop w:val="0"/>
                                          <w:marBottom w:val="0"/>
                                          <w:divBdr>
                                            <w:top w:val="none" w:sz="0" w:space="0" w:color="auto"/>
                                            <w:left w:val="none" w:sz="0" w:space="0" w:color="auto"/>
                                            <w:bottom w:val="none" w:sz="0" w:space="0" w:color="auto"/>
                                            <w:right w:val="none" w:sz="0" w:space="0" w:color="auto"/>
                                          </w:divBdr>
                                          <w:divsChild>
                                            <w:div w:id="2016882174">
                                              <w:marLeft w:val="0"/>
                                              <w:marRight w:val="0"/>
                                              <w:marTop w:val="0"/>
                                              <w:marBottom w:val="0"/>
                                              <w:divBdr>
                                                <w:top w:val="none" w:sz="0" w:space="0" w:color="auto"/>
                                                <w:left w:val="none" w:sz="0" w:space="0" w:color="auto"/>
                                                <w:bottom w:val="none" w:sz="0" w:space="0" w:color="auto"/>
                                                <w:right w:val="none" w:sz="0" w:space="0" w:color="auto"/>
                                              </w:divBdr>
                                              <w:divsChild>
                                                <w:div w:id="654794765">
                                                  <w:marLeft w:val="0"/>
                                                  <w:marRight w:val="0"/>
                                                  <w:marTop w:val="0"/>
                                                  <w:marBottom w:val="0"/>
                                                  <w:divBdr>
                                                    <w:top w:val="none" w:sz="0" w:space="0" w:color="auto"/>
                                                    <w:left w:val="none" w:sz="0" w:space="0" w:color="auto"/>
                                                    <w:bottom w:val="none" w:sz="0" w:space="0" w:color="auto"/>
                                                    <w:right w:val="none" w:sz="0" w:space="0" w:color="auto"/>
                                                  </w:divBdr>
                                                  <w:divsChild>
                                                    <w:div w:id="256015283">
                                                      <w:marLeft w:val="0"/>
                                                      <w:marRight w:val="0"/>
                                                      <w:marTop w:val="0"/>
                                                      <w:marBottom w:val="0"/>
                                                      <w:divBdr>
                                                        <w:top w:val="none" w:sz="0" w:space="0" w:color="auto"/>
                                                        <w:left w:val="none" w:sz="0" w:space="0" w:color="auto"/>
                                                        <w:bottom w:val="none" w:sz="0" w:space="0" w:color="auto"/>
                                                        <w:right w:val="none" w:sz="0" w:space="0" w:color="auto"/>
                                                      </w:divBdr>
                                                      <w:divsChild>
                                                        <w:div w:id="460392359">
                                                          <w:marLeft w:val="0"/>
                                                          <w:marRight w:val="0"/>
                                                          <w:marTop w:val="0"/>
                                                          <w:marBottom w:val="0"/>
                                                          <w:divBdr>
                                                            <w:top w:val="none" w:sz="0" w:space="0" w:color="auto"/>
                                                            <w:left w:val="none" w:sz="0" w:space="0" w:color="auto"/>
                                                            <w:bottom w:val="none" w:sz="0" w:space="0" w:color="auto"/>
                                                            <w:right w:val="none" w:sz="0" w:space="0" w:color="auto"/>
                                                          </w:divBdr>
                                                          <w:divsChild>
                                                            <w:div w:id="1797287984">
                                                              <w:marLeft w:val="0"/>
                                                              <w:marRight w:val="0"/>
                                                              <w:marTop w:val="0"/>
                                                              <w:marBottom w:val="0"/>
                                                              <w:divBdr>
                                                                <w:top w:val="none" w:sz="0" w:space="0" w:color="auto"/>
                                                                <w:left w:val="none" w:sz="0" w:space="0" w:color="auto"/>
                                                                <w:bottom w:val="none" w:sz="0" w:space="0" w:color="auto"/>
                                                                <w:right w:val="none" w:sz="0" w:space="0" w:color="auto"/>
                                                              </w:divBdr>
                                                              <w:divsChild>
                                                                <w:div w:id="484471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7234302">
                                      <w:marLeft w:val="0"/>
                                      <w:marRight w:val="0"/>
                                      <w:marTop w:val="0"/>
                                      <w:marBottom w:val="0"/>
                                      <w:divBdr>
                                        <w:top w:val="none" w:sz="0" w:space="0" w:color="auto"/>
                                        <w:left w:val="none" w:sz="0" w:space="0" w:color="auto"/>
                                        <w:bottom w:val="none" w:sz="0" w:space="0" w:color="auto"/>
                                        <w:right w:val="none" w:sz="0" w:space="0" w:color="auto"/>
                                      </w:divBdr>
                                      <w:divsChild>
                                        <w:div w:id="1853838958">
                                          <w:marLeft w:val="0"/>
                                          <w:marRight w:val="0"/>
                                          <w:marTop w:val="0"/>
                                          <w:marBottom w:val="0"/>
                                          <w:divBdr>
                                            <w:top w:val="none" w:sz="0" w:space="0" w:color="auto"/>
                                            <w:left w:val="none" w:sz="0" w:space="0" w:color="auto"/>
                                            <w:bottom w:val="none" w:sz="0" w:space="0" w:color="auto"/>
                                            <w:right w:val="none" w:sz="0" w:space="0" w:color="auto"/>
                                          </w:divBdr>
                                          <w:divsChild>
                                            <w:div w:id="1784037096">
                                              <w:marLeft w:val="0"/>
                                              <w:marRight w:val="0"/>
                                              <w:marTop w:val="0"/>
                                              <w:marBottom w:val="0"/>
                                              <w:divBdr>
                                                <w:top w:val="none" w:sz="0" w:space="0" w:color="auto"/>
                                                <w:left w:val="none" w:sz="0" w:space="0" w:color="auto"/>
                                                <w:bottom w:val="none" w:sz="0" w:space="0" w:color="auto"/>
                                                <w:right w:val="none" w:sz="0" w:space="0" w:color="auto"/>
                                              </w:divBdr>
                                              <w:divsChild>
                                                <w:div w:id="1376125535">
                                                  <w:marLeft w:val="0"/>
                                                  <w:marRight w:val="0"/>
                                                  <w:marTop w:val="0"/>
                                                  <w:marBottom w:val="0"/>
                                                  <w:divBdr>
                                                    <w:top w:val="none" w:sz="0" w:space="0" w:color="auto"/>
                                                    <w:left w:val="none" w:sz="0" w:space="0" w:color="auto"/>
                                                    <w:bottom w:val="none" w:sz="0" w:space="0" w:color="auto"/>
                                                    <w:right w:val="none" w:sz="0" w:space="0" w:color="auto"/>
                                                  </w:divBdr>
                                                  <w:divsChild>
                                                    <w:div w:id="821578673">
                                                      <w:marLeft w:val="0"/>
                                                      <w:marRight w:val="0"/>
                                                      <w:marTop w:val="0"/>
                                                      <w:marBottom w:val="0"/>
                                                      <w:divBdr>
                                                        <w:top w:val="none" w:sz="0" w:space="0" w:color="auto"/>
                                                        <w:left w:val="none" w:sz="0" w:space="0" w:color="auto"/>
                                                        <w:bottom w:val="none" w:sz="0" w:space="0" w:color="auto"/>
                                                        <w:right w:val="none" w:sz="0" w:space="0" w:color="auto"/>
                                                      </w:divBdr>
                                                      <w:divsChild>
                                                        <w:div w:id="1986349930">
                                                          <w:marLeft w:val="0"/>
                                                          <w:marRight w:val="0"/>
                                                          <w:marTop w:val="0"/>
                                                          <w:marBottom w:val="0"/>
                                                          <w:divBdr>
                                                            <w:top w:val="none" w:sz="0" w:space="0" w:color="auto"/>
                                                            <w:left w:val="none" w:sz="0" w:space="0" w:color="auto"/>
                                                            <w:bottom w:val="none" w:sz="0" w:space="0" w:color="auto"/>
                                                            <w:right w:val="none" w:sz="0" w:space="0" w:color="auto"/>
                                                          </w:divBdr>
                                                          <w:divsChild>
                                                            <w:div w:id="640381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180657">
                                                  <w:marLeft w:val="0"/>
                                                  <w:marRight w:val="0"/>
                                                  <w:marTop w:val="0"/>
                                                  <w:marBottom w:val="0"/>
                                                  <w:divBdr>
                                                    <w:top w:val="none" w:sz="0" w:space="0" w:color="auto"/>
                                                    <w:left w:val="none" w:sz="0" w:space="0" w:color="auto"/>
                                                    <w:bottom w:val="none" w:sz="0" w:space="0" w:color="auto"/>
                                                    <w:right w:val="none" w:sz="0" w:space="0" w:color="auto"/>
                                                  </w:divBdr>
                                                  <w:divsChild>
                                                    <w:div w:id="2115516772">
                                                      <w:marLeft w:val="0"/>
                                                      <w:marRight w:val="0"/>
                                                      <w:marTop w:val="0"/>
                                                      <w:marBottom w:val="0"/>
                                                      <w:divBdr>
                                                        <w:top w:val="none" w:sz="0" w:space="0" w:color="auto"/>
                                                        <w:left w:val="none" w:sz="0" w:space="0" w:color="auto"/>
                                                        <w:bottom w:val="none" w:sz="0" w:space="0" w:color="auto"/>
                                                        <w:right w:val="none" w:sz="0" w:space="0" w:color="auto"/>
                                                      </w:divBdr>
                                                      <w:divsChild>
                                                        <w:div w:id="1810783078">
                                                          <w:marLeft w:val="0"/>
                                                          <w:marRight w:val="0"/>
                                                          <w:marTop w:val="0"/>
                                                          <w:marBottom w:val="0"/>
                                                          <w:divBdr>
                                                            <w:top w:val="none" w:sz="0" w:space="0" w:color="auto"/>
                                                            <w:left w:val="none" w:sz="0" w:space="0" w:color="auto"/>
                                                            <w:bottom w:val="none" w:sz="0" w:space="0" w:color="auto"/>
                                                            <w:right w:val="none" w:sz="0" w:space="0" w:color="auto"/>
                                                          </w:divBdr>
                                                          <w:divsChild>
                                                            <w:div w:id="187135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019991">
                                                  <w:marLeft w:val="0"/>
                                                  <w:marRight w:val="0"/>
                                                  <w:marTop w:val="0"/>
                                                  <w:marBottom w:val="0"/>
                                                  <w:divBdr>
                                                    <w:top w:val="none" w:sz="0" w:space="0" w:color="auto"/>
                                                    <w:left w:val="none" w:sz="0" w:space="0" w:color="auto"/>
                                                    <w:bottom w:val="none" w:sz="0" w:space="0" w:color="auto"/>
                                                    <w:right w:val="none" w:sz="0" w:space="0" w:color="auto"/>
                                                  </w:divBdr>
                                                  <w:divsChild>
                                                    <w:div w:id="1452362433">
                                                      <w:marLeft w:val="0"/>
                                                      <w:marRight w:val="0"/>
                                                      <w:marTop w:val="0"/>
                                                      <w:marBottom w:val="0"/>
                                                      <w:divBdr>
                                                        <w:top w:val="none" w:sz="0" w:space="0" w:color="auto"/>
                                                        <w:left w:val="none" w:sz="0" w:space="0" w:color="auto"/>
                                                        <w:bottom w:val="none" w:sz="0" w:space="0" w:color="auto"/>
                                                        <w:right w:val="none" w:sz="0" w:space="0" w:color="auto"/>
                                                      </w:divBdr>
                                                      <w:divsChild>
                                                        <w:div w:id="2005934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25427959">
              <w:marLeft w:val="0"/>
              <w:marRight w:val="0"/>
              <w:marTop w:val="0"/>
              <w:marBottom w:val="0"/>
              <w:divBdr>
                <w:top w:val="none" w:sz="0" w:space="0" w:color="auto"/>
                <w:left w:val="none" w:sz="0" w:space="0" w:color="auto"/>
                <w:bottom w:val="none" w:sz="0" w:space="0" w:color="auto"/>
                <w:right w:val="none" w:sz="0" w:space="0" w:color="auto"/>
              </w:divBdr>
              <w:divsChild>
                <w:div w:id="1779328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4816067">
      <w:bodyDiv w:val="1"/>
      <w:marLeft w:val="0"/>
      <w:marRight w:val="0"/>
      <w:marTop w:val="0"/>
      <w:marBottom w:val="0"/>
      <w:divBdr>
        <w:top w:val="none" w:sz="0" w:space="0" w:color="auto"/>
        <w:left w:val="none" w:sz="0" w:space="0" w:color="auto"/>
        <w:bottom w:val="none" w:sz="0" w:space="0" w:color="auto"/>
        <w:right w:val="none" w:sz="0" w:space="0" w:color="auto"/>
      </w:divBdr>
    </w:div>
    <w:div w:id="722757600">
      <w:bodyDiv w:val="1"/>
      <w:marLeft w:val="0"/>
      <w:marRight w:val="0"/>
      <w:marTop w:val="0"/>
      <w:marBottom w:val="0"/>
      <w:divBdr>
        <w:top w:val="none" w:sz="0" w:space="0" w:color="auto"/>
        <w:left w:val="none" w:sz="0" w:space="0" w:color="auto"/>
        <w:bottom w:val="none" w:sz="0" w:space="0" w:color="auto"/>
        <w:right w:val="none" w:sz="0" w:space="0" w:color="auto"/>
      </w:divBdr>
    </w:div>
    <w:div w:id="793133307">
      <w:bodyDiv w:val="1"/>
      <w:marLeft w:val="0"/>
      <w:marRight w:val="0"/>
      <w:marTop w:val="0"/>
      <w:marBottom w:val="0"/>
      <w:divBdr>
        <w:top w:val="none" w:sz="0" w:space="0" w:color="auto"/>
        <w:left w:val="none" w:sz="0" w:space="0" w:color="auto"/>
        <w:bottom w:val="none" w:sz="0" w:space="0" w:color="auto"/>
        <w:right w:val="none" w:sz="0" w:space="0" w:color="auto"/>
      </w:divBdr>
    </w:div>
    <w:div w:id="837422223">
      <w:bodyDiv w:val="1"/>
      <w:marLeft w:val="0"/>
      <w:marRight w:val="0"/>
      <w:marTop w:val="0"/>
      <w:marBottom w:val="0"/>
      <w:divBdr>
        <w:top w:val="none" w:sz="0" w:space="0" w:color="auto"/>
        <w:left w:val="none" w:sz="0" w:space="0" w:color="auto"/>
        <w:bottom w:val="none" w:sz="0" w:space="0" w:color="auto"/>
        <w:right w:val="none" w:sz="0" w:space="0" w:color="auto"/>
      </w:divBdr>
      <w:divsChild>
        <w:div w:id="911086918">
          <w:marLeft w:val="0"/>
          <w:marRight w:val="0"/>
          <w:marTop w:val="0"/>
          <w:marBottom w:val="0"/>
          <w:divBdr>
            <w:top w:val="none" w:sz="0" w:space="0" w:color="auto"/>
            <w:left w:val="none" w:sz="0" w:space="0" w:color="auto"/>
            <w:bottom w:val="none" w:sz="0" w:space="0" w:color="auto"/>
            <w:right w:val="none" w:sz="0" w:space="0" w:color="auto"/>
          </w:divBdr>
          <w:divsChild>
            <w:div w:id="1216087605">
              <w:marLeft w:val="0"/>
              <w:marRight w:val="0"/>
              <w:marTop w:val="0"/>
              <w:marBottom w:val="0"/>
              <w:divBdr>
                <w:top w:val="none" w:sz="0" w:space="0" w:color="auto"/>
                <w:left w:val="none" w:sz="0" w:space="0" w:color="auto"/>
                <w:bottom w:val="none" w:sz="0" w:space="0" w:color="auto"/>
                <w:right w:val="none" w:sz="0" w:space="0" w:color="auto"/>
              </w:divBdr>
              <w:divsChild>
                <w:div w:id="246042014">
                  <w:marLeft w:val="0"/>
                  <w:marRight w:val="0"/>
                  <w:marTop w:val="0"/>
                  <w:marBottom w:val="0"/>
                  <w:divBdr>
                    <w:top w:val="none" w:sz="0" w:space="0" w:color="auto"/>
                    <w:left w:val="none" w:sz="0" w:space="0" w:color="auto"/>
                    <w:bottom w:val="none" w:sz="0" w:space="0" w:color="auto"/>
                    <w:right w:val="none" w:sz="0" w:space="0" w:color="auto"/>
                  </w:divBdr>
                  <w:divsChild>
                    <w:div w:id="169030239">
                      <w:marLeft w:val="0"/>
                      <w:marRight w:val="0"/>
                      <w:marTop w:val="0"/>
                      <w:marBottom w:val="0"/>
                      <w:divBdr>
                        <w:top w:val="none" w:sz="0" w:space="0" w:color="auto"/>
                        <w:left w:val="none" w:sz="0" w:space="0" w:color="auto"/>
                        <w:bottom w:val="none" w:sz="0" w:space="0" w:color="auto"/>
                        <w:right w:val="none" w:sz="0" w:space="0" w:color="auto"/>
                      </w:divBdr>
                      <w:divsChild>
                        <w:div w:id="948704638">
                          <w:marLeft w:val="0"/>
                          <w:marRight w:val="0"/>
                          <w:marTop w:val="0"/>
                          <w:marBottom w:val="0"/>
                          <w:divBdr>
                            <w:top w:val="none" w:sz="0" w:space="0" w:color="auto"/>
                            <w:left w:val="none" w:sz="0" w:space="0" w:color="auto"/>
                            <w:bottom w:val="none" w:sz="0" w:space="0" w:color="auto"/>
                            <w:right w:val="none" w:sz="0" w:space="0" w:color="auto"/>
                          </w:divBdr>
                          <w:divsChild>
                            <w:div w:id="1512447480">
                              <w:marLeft w:val="0"/>
                              <w:marRight w:val="0"/>
                              <w:marTop w:val="0"/>
                              <w:marBottom w:val="0"/>
                              <w:divBdr>
                                <w:top w:val="none" w:sz="0" w:space="0" w:color="auto"/>
                                <w:left w:val="none" w:sz="0" w:space="0" w:color="auto"/>
                                <w:bottom w:val="none" w:sz="0" w:space="0" w:color="auto"/>
                                <w:right w:val="none" w:sz="0" w:space="0" w:color="auto"/>
                              </w:divBdr>
                              <w:divsChild>
                                <w:div w:id="473304130">
                                  <w:marLeft w:val="0"/>
                                  <w:marRight w:val="0"/>
                                  <w:marTop w:val="0"/>
                                  <w:marBottom w:val="0"/>
                                  <w:divBdr>
                                    <w:top w:val="none" w:sz="0" w:space="0" w:color="auto"/>
                                    <w:left w:val="none" w:sz="0" w:space="0" w:color="auto"/>
                                    <w:bottom w:val="none" w:sz="0" w:space="0" w:color="auto"/>
                                    <w:right w:val="none" w:sz="0" w:space="0" w:color="auto"/>
                                  </w:divBdr>
                                  <w:divsChild>
                                    <w:div w:id="280840531">
                                      <w:marLeft w:val="0"/>
                                      <w:marRight w:val="0"/>
                                      <w:marTop w:val="0"/>
                                      <w:marBottom w:val="0"/>
                                      <w:divBdr>
                                        <w:top w:val="none" w:sz="0" w:space="0" w:color="auto"/>
                                        <w:left w:val="none" w:sz="0" w:space="0" w:color="auto"/>
                                        <w:bottom w:val="none" w:sz="0" w:space="0" w:color="auto"/>
                                        <w:right w:val="none" w:sz="0" w:space="0" w:color="auto"/>
                                      </w:divBdr>
                                      <w:divsChild>
                                        <w:div w:id="526217675">
                                          <w:marLeft w:val="0"/>
                                          <w:marRight w:val="0"/>
                                          <w:marTop w:val="0"/>
                                          <w:marBottom w:val="0"/>
                                          <w:divBdr>
                                            <w:top w:val="none" w:sz="0" w:space="0" w:color="auto"/>
                                            <w:left w:val="none" w:sz="0" w:space="0" w:color="auto"/>
                                            <w:bottom w:val="none" w:sz="0" w:space="0" w:color="auto"/>
                                            <w:right w:val="none" w:sz="0" w:space="0" w:color="auto"/>
                                          </w:divBdr>
                                          <w:divsChild>
                                            <w:div w:id="1603418550">
                                              <w:marLeft w:val="0"/>
                                              <w:marRight w:val="0"/>
                                              <w:marTop w:val="0"/>
                                              <w:marBottom w:val="0"/>
                                              <w:divBdr>
                                                <w:top w:val="none" w:sz="0" w:space="0" w:color="auto"/>
                                                <w:left w:val="none" w:sz="0" w:space="0" w:color="auto"/>
                                                <w:bottom w:val="none" w:sz="0" w:space="0" w:color="auto"/>
                                                <w:right w:val="none" w:sz="0" w:space="0" w:color="auto"/>
                                              </w:divBdr>
                                              <w:divsChild>
                                                <w:div w:id="1164589860">
                                                  <w:marLeft w:val="0"/>
                                                  <w:marRight w:val="0"/>
                                                  <w:marTop w:val="0"/>
                                                  <w:marBottom w:val="0"/>
                                                  <w:divBdr>
                                                    <w:top w:val="none" w:sz="0" w:space="0" w:color="auto"/>
                                                    <w:left w:val="none" w:sz="0" w:space="0" w:color="auto"/>
                                                    <w:bottom w:val="none" w:sz="0" w:space="0" w:color="auto"/>
                                                    <w:right w:val="none" w:sz="0" w:space="0" w:color="auto"/>
                                                  </w:divBdr>
                                                  <w:divsChild>
                                                    <w:div w:id="176719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3116150">
                                          <w:marLeft w:val="0"/>
                                          <w:marRight w:val="0"/>
                                          <w:marTop w:val="0"/>
                                          <w:marBottom w:val="0"/>
                                          <w:divBdr>
                                            <w:top w:val="none" w:sz="0" w:space="0" w:color="auto"/>
                                            <w:left w:val="none" w:sz="0" w:space="0" w:color="auto"/>
                                            <w:bottom w:val="none" w:sz="0" w:space="0" w:color="auto"/>
                                            <w:right w:val="none" w:sz="0" w:space="0" w:color="auto"/>
                                          </w:divBdr>
                                          <w:divsChild>
                                            <w:div w:id="1326473191">
                                              <w:marLeft w:val="0"/>
                                              <w:marRight w:val="0"/>
                                              <w:marTop w:val="0"/>
                                              <w:marBottom w:val="0"/>
                                              <w:divBdr>
                                                <w:top w:val="none" w:sz="0" w:space="0" w:color="auto"/>
                                                <w:left w:val="none" w:sz="0" w:space="0" w:color="auto"/>
                                                <w:bottom w:val="none" w:sz="0" w:space="0" w:color="auto"/>
                                                <w:right w:val="none" w:sz="0" w:space="0" w:color="auto"/>
                                              </w:divBdr>
                                              <w:divsChild>
                                                <w:div w:id="574822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73651463">
          <w:marLeft w:val="0"/>
          <w:marRight w:val="0"/>
          <w:marTop w:val="0"/>
          <w:marBottom w:val="0"/>
          <w:divBdr>
            <w:top w:val="none" w:sz="0" w:space="0" w:color="auto"/>
            <w:left w:val="none" w:sz="0" w:space="0" w:color="auto"/>
            <w:bottom w:val="none" w:sz="0" w:space="0" w:color="auto"/>
            <w:right w:val="none" w:sz="0" w:space="0" w:color="auto"/>
          </w:divBdr>
          <w:divsChild>
            <w:div w:id="1386372999">
              <w:marLeft w:val="0"/>
              <w:marRight w:val="0"/>
              <w:marTop w:val="0"/>
              <w:marBottom w:val="0"/>
              <w:divBdr>
                <w:top w:val="none" w:sz="0" w:space="0" w:color="auto"/>
                <w:left w:val="none" w:sz="0" w:space="0" w:color="auto"/>
                <w:bottom w:val="none" w:sz="0" w:space="0" w:color="auto"/>
                <w:right w:val="none" w:sz="0" w:space="0" w:color="auto"/>
              </w:divBdr>
              <w:divsChild>
                <w:div w:id="1348556228">
                  <w:marLeft w:val="0"/>
                  <w:marRight w:val="0"/>
                  <w:marTop w:val="0"/>
                  <w:marBottom w:val="0"/>
                  <w:divBdr>
                    <w:top w:val="none" w:sz="0" w:space="0" w:color="auto"/>
                    <w:left w:val="none" w:sz="0" w:space="0" w:color="auto"/>
                    <w:bottom w:val="none" w:sz="0" w:space="0" w:color="auto"/>
                    <w:right w:val="none" w:sz="0" w:space="0" w:color="auto"/>
                  </w:divBdr>
                  <w:divsChild>
                    <w:div w:id="1035423014">
                      <w:marLeft w:val="0"/>
                      <w:marRight w:val="0"/>
                      <w:marTop w:val="0"/>
                      <w:marBottom w:val="0"/>
                      <w:divBdr>
                        <w:top w:val="none" w:sz="0" w:space="0" w:color="auto"/>
                        <w:left w:val="none" w:sz="0" w:space="0" w:color="auto"/>
                        <w:bottom w:val="none" w:sz="0" w:space="0" w:color="auto"/>
                        <w:right w:val="none" w:sz="0" w:space="0" w:color="auto"/>
                      </w:divBdr>
                      <w:divsChild>
                        <w:div w:id="1079137818">
                          <w:marLeft w:val="0"/>
                          <w:marRight w:val="0"/>
                          <w:marTop w:val="0"/>
                          <w:marBottom w:val="0"/>
                          <w:divBdr>
                            <w:top w:val="none" w:sz="0" w:space="0" w:color="auto"/>
                            <w:left w:val="none" w:sz="0" w:space="0" w:color="auto"/>
                            <w:bottom w:val="none" w:sz="0" w:space="0" w:color="auto"/>
                            <w:right w:val="none" w:sz="0" w:space="0" w:color="auto"/>
                          </w:divBdr>
                          <w:divsChild>
                            <w:div w:id="1163006475">
                              <w:marLeft w:val="0"/>
                              <w:marRight w:val="0"/>
                              <w:marTop w:val="0"/>
                              <w:marBottom w:val="0"/>
                              <w:divBdr>
                                <w:top w:val="none" w:sz="0" w:space="0" w:color="auto"/>
                                <w:left w:val="none" w:sz="0" w:space="0" w:color="auto"/>
                                <w:bottom w:val="none" w:sz="0" w:space="0" w:color="auto"/>
                                <w:right w:val="none" w:sz="0" w:space="0" w:color="auto"/>
                              </w:divBdr>
                              <w:divsChild>
                                <w:div w:id="1493644507">
                                  <w:marLeft w:val="0"/>
                                  <w:marRight w:val="0"/>
                                  <w:marTop w:val="0"/>
                                  <w:marBottom w:val="0"/>
                                  <w:divBdr>
                                    <w:top w:val="none" w:sz="0" w:space="0" w:color="auto"/>
                                    <w:left w:val="none" w:sz="0" w:space="0" w:color="auto"/>
                                    <w:bottom w:val="none" w:sz="0" w:space="0" w:color="auto"/>
                                    <w:right w:val="none" w:sz="0" w:space="0" w:color="auto"/>
                                  </w:divBdr>
                                  <w:divsChild>
                                    <w:div w:id="2059158502">
                                      <w:marLeft w:val="0"/>
                                      <w:marRight w:val="0"/>
                                      <w:marTop w:val="0"/>
                                      <w:marBottom w:val="0"/>
                                      <w:divBdr>
                                        <w:top w:val="none" w:sz="0" w:space="0" w:color="auto"/>
                                        <w:left w:val="none" w:sz="0" w:space="0" w:color="auto"/>
                                        <w:bottom w:val="none" w:sz="0" w:space="0" w:color="auto"/>
                                        <w:right w:val="none" w:sz="0" w:space="0" w:color="auto"/>
                                      </w:divBdr>
                                      <w:divsChild>
                                        <w:div w:id="2111774625">
                                          <w:marLeft w:val="0"/>
                                          <w:marRight w:val="0"/>
                                          <w:marTop w:val="0"/>
                                          <w:marBottom w:val="0"/>
                                          <w:divBdr>
                                            <w:top w:val="none" w:sz="0" w:space="0" w:color="auto"/>
                                            <w:left w:val="none" w:sz="0" w:space="0" w:color="auto"/>
                                            <w:bottom w:val="none" w:sz="0" w:space="0" w:color="auto"/>
                                            <w:right w:val="none" w:sz="0" w:space="0" w:color="auto"/>
                                          </w:divBdr>
                                          <w:divsChild>
                                            <w:div w:id="1588616011">
                                              <w:marLeft w:val="0"/>
                                              <w:marRight w:val="0"/>
                                              <w:marTop w:val="0"/>
                                              <w:marBottom w:val="0"/>
                                              <w:divBdr>
                                                <w:top w:val="none" w:sz="0" w:space="0" w:color="auto"/>
                                                <w:left w:val="none" w:sz="0" w:space="0" w:color="auto"/>
                                                <w:bottom w:val="none" w:sz="0" w:space="0" w:color="auto"/>
                                                <w:right w:val="none" w:sz="0" w:space="0" w:color="auto"/>
                                              </w:divBdr>
                                              <w:divsChild>
                                                <w:div w:id="1447701833">
                                                  <w:marLeft w:val="0"/>
                                                  <w:marRight w:val="0"/>
                                                  <w:marTop w:val="0"/>
                                                  <w:marBottom w:val="0"/>
                                                  <w:divBdr>
                                                    <w:top w:val="none" w:sz="0" w:space="0" w:color="auto"/>
                                                    <w:left w:val="none" w:sz="0" w:space="0" w:color="auto"/>
                                                    <w:bottom w:val="none" w:sz="0" w:space="0" w:color="auto"/>
                                                    <w:right w:val="none" w:sz="0" w:space="0" w:color="auto"/>
                                                  </w:divBdr>
                                                  <w:divsChild>
                                                    <w:div w:id="2120834530">
                                                      <w:marLeft w:val="0"/>
                                                      <w:marRight w:val="0"/>
                                                      <w:marTop w:val="0"/>
                                                      <w:marBottom w:val="0"/>
                                                      <w:divBdr>
                                                        <w:top w:val="none" w:sz="0" w:space="0" w:color="auto"/>
                                                        <w:left w:val="none" w:sz="0" w:space="0" w:color="auto"/>
                                                        <w:bottom w:val="none" w:sz="0" w:space="0" w:color="auto"/>
                                                        <w:right w:val="none" w:sz="0" w:space="0" w:color="auto"/>
                                                      </w:divBdr>
                                                      <w:divsChild>
                                                        <w:div w:id="2082629416">
                                                          <w:marLeft w:val="0"/>
                                                          <w:marRight w:val="0"/>
                                                          <w:marTop w:val="0"/>
                                                          <w:marBottom w:val="0"/>
                                                          <w:divBdr>
                                                            <w:top w:val="none" w:sz="0" w:space="0" w:color="auto"/>
                                                            <w:left w:val="none" w:sz="0" w:space="0" w:color="auto"/>
                                                            <w:bottom w:val="none" w:sz="0" w:space="0" w:color="auto"/>
                                                            <w:right w:val="none" w:sz="0" w:space="0" w:color="auto"/>
                                                          </w:divBdr>
                                                          <w:divsChild>
                                                            <w:div w:id="1794473612">
                                                              <w:marLeft w:val="0"/>
                                                              <w:marRight w:val="0"/>
                                                              <w:marTop w:val="0"/>
                                                              <w:marBottom w:val="0"/>
                                                              <w:divBdr>
                                                                <w:top w:val="none" w:sz="0" w:space="0" w:color="auto"/>
                                                                <w:left w:val="none" w:sz="0" w:space="0" w:color="auto"/>
                                                                <w:bottom w:val="none" w:sz="0" w:space="0" w:color="auto"/>
                                                                <w:right w:val="none" w:sz="0" w:space="0" w:color="auto"/>
                                                              </w:divBdr>
                                                              <w:divsChild>
                                                                <w:div w:id="760033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881946090">
      <w:bodyDiv w:val="1"/>
      <w:marLeft w:val="0"/>
      <w:marRight w:val="0"/>
      <w:marTop w:val="0"/>
      <w:marBottom w:val="0"/>
      <w:divBdr>
        <w:top w:val="none" w:sz="0" w:space="0" w:color="auto"/>
        <w:left w:val="none" w:sz="0" w:space="0" w:color="auto"/>
        <w:bottom w:val="none" w:sz="0" w:space="0" w:color="auto"/>
        <w:right w:val="none" w:sz="0" w:space="0" w:color="auto"/>
      </w:divBdr>
    </w:div>
    <w:div w:id="908736876">
      <w:bodyDiv w:val="1"/>
      <w:marLeft w:val="0"/>
      <w:marRight w:val="0"/>
      <w:marTop w:val="0"/>
      <w:marBottom w:val="0"/>
      <w:divBdr>
        <w:top w:val="none" w:sz="0" w:space="0" w:color="auto"/>
        <w:left w:val="none" w:sz="0" w:space="0" w:color="auto"/>
        <w:bottom w:val="none" w:sz="0" w:space="0" w:color="auto"/>
        <w:right w:val="none" w:sz="0" w:space="0" w:color="auto"/>
      </w:divBdr>
      <w:divsChild>
        <w:div w:id="1629125797">
          <w:marLeft w:val="0"/>
          <w:marRight w:val="0"/>
          <w:marTop w:val="0"/>
          <w:marBottom w:val="0"/>
          <w:divBdr>
            <w:top w:val="none" w:sz="0" w:space="0" w:color="auto"/>
            <w:left w:val="none" w:sz="0" w:space="0" w:color="auto"/>
            <w:bottom w:val="none" w:sz="0" w:space="0" w:color="auto"/>
            <w:right w:val="none" w:sz="0" w:space="0" w:color="auto"/>
          </w:divBdr>
        </w:div>
        <w:div w:id="547958412">
          <w:marLeft w:val="0"/>
          <w:marRight w:val="0"/>
          <w:marTop w:val="0"/>
          <w:marBottom w:val="0"/>
          <w:divBdr>
            <w:top w:val="none" w:sz="0" w:space="0" w:color="auto"/>
            <w:left w:val="none" w:sz="0" w:space="0" w:color="auto"/>
            <w:bottom w:val="none" w:sz="0" w:space="0" w:color="auto"/>
            <w:right w:val="none" w:sz="0" w:space="0" w:color="auto"/>
          </w:divBdr>
          <w:divsChild>
            <w:div w:id="501044167">
              <w:marLeft w:val="0"/>
              <w:marRight w:val="0"/>
              <w:marTop w:val="0"/>
              <w:marBottom w:val="0"/>
              <w:divBdr>
                <w:top w:val="none" w:sz="0" w:space="0" w:color="auto"/>
                <w:left w:val="none" w:sz="0" w:space="0" w:color="auto"/>
                <w:bottom w:val="none" w:sz="0" w:space="0" w:color="auto"/>
                <w:right w:val="none" w:sz="0" w:space="0" w:color="auto"/>
              </w:divBdr>
              <w:divsChild>
                <w:div w:id="2116051370">
                  <w:marLeft w:val="0"/>
                  <w:marRight w:val="0"/>
                  <w:marTop w:val="0"/>
                  <w:marBottom w:val="0"/>
                  <w:divBdr>
                    <w:top w:val="none" w:sz="0" w:space="0" w:color="auto"/>
                    <w:left w:val="none" w:sz="0" w:space="0" w:color="auto"/>
                    <w:bottom w:val="none" w:sz="0" w:space="0" w:color="auto"/>
                    <w:right w:val="none" w:sz="0" w:space="0" w:color="auto"/>
                  </w:divBdr>
                  <w:divsChild>
                    <w:div w:id="2146265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9908981">
      <w:bodyDiv w:val="1"/>
      <w:marLeft w:val="0"/>
      <w:marRight w:val="0"/>
      <w:marTop w:val="0"/>
      <w:marBottom w:val="0"/>
      <w:divBdr>
        <w:top w:val="none" w:sz="0" w:space="0" w:color="auto"/>
        <w:left w:val="none" w:sz="0" w:space="0" w:color="auto"/>
        <w:bottom w:val="none" w:sz="0" w:space="0" w:color="auto"/>
        <w:right w:val="none" w:sz="0" w:space="0" w:color="auto"/>
      </w:divBdr>
    </w:div>
    <w:div w:id="1133403569">
      <w:bodyDiv w:val="1"/>
      <w:marLeft w:val="0"/>
      <w:marRight w:val="0"/>
      <w:marTop w:val="0"/>
      <w:marBottom w:val="0"/>
      <w:divBdr>
        <w:top w:val="none" w:sz="0" w:space="0" w:color="auto"/>
        <w:left w:val="none" w:sz="0" w:space="0" w:color="auto"/>
        <w:bottom w:val="none" w:sz="0" w:space="0" w:color="auto"/>
        <w:right w:val="none" w:sz="0" w:space="0" w:color="auto"/>
      </w:divBdr>
    </w:div>
    <w:div w:id="1147169254">
      <w:bodyDiv w:val="1"/>
      <w:marLeft w:val="0"/>
      <w:marRight w:val="0"/>
      <w:marTop w:val="0"/>
      <w:marBottom w:val="0"/>
      <w:divBdr>
        <w:top w:val="none" w:sz="0" w:space="0" w:color="auto"/>
        <w:left w:val="none" w:sz="0" w:space="0" w:color="auto"/>
        <w:bottom w:val="none" w:sz="0" w:space="0" w:color="auto"/>
        <w:right w:val="none" w:sz="0" w:space="0" w:color="auto"/>
      </w:divBdr>
    </w:div>
    <w:div w:id="1191870429">
      <w:bodyDiv w:val="1"/>
      <w:marLeft w:val="0"/>
      <w:marRight w:val="0"/>
      <w:marTop w:val="0"/>
      <w:marBottom w:val="0"/>
      <w:divBdr>
        <w:top w:val="none" w:sz="0" w:space="0" w:color="auto"/>
        <w:left w:val="none" w:sz="0" w:space="0" w:color="auto"/>
        <w:bottom w:val="none" w:sz="0" w:space="0" w:color="auto"/>
        <w:right w:val="none" w:sz="0" w:space="0" w:color="auto"/>
      </w:divBdr>
    </w:div>
    <w:div w:id="1309825403">
      <w:bodyDiv w:val="1"/>
      <w:marLeft w:val="0"/>
      <w:marRight w:val="0"/>
      <w:marTop w:val="0"/>
      <w:marBottom w:val="0"/>
      <w:divBdr>
        <w:top w:val="none" w:sz="0" w:space="0" w:color="auto"/>
        <w:left w:val="none" w:sz="0" w:space="0" w:color="auto"/>
        <w:bottom w:val="none" w:sz="0" w:space="0" w:color="auto"/>
        <w:right w:val="none" w:sz="0" w:space="0" w:color="auto"/>
      </w:divBdr>
    </w:div>
    <w:div w:id="1365860548">
      <w:bodyDiv w:val="1"/>
      <w:marLeft w:val="0"/>
      <w:marRight w:val="0"/>
      <w:marTop w:val="0"/>
      <w:marBottom w:val="0"/>
      <w:divBdr>
        <w:top w:val="none" w:sz="0" w:space="0" w:color="auto"/>
        <w:left w:val="none" w:sz="0" w:space="0" w:color="auto"/>
        <w:bottom w:val="none" w:sz="0" w:space="0" w:color="auto"/>
        <w:right w:val="none" w:sz="0" w:space="0" w:color="auto"/>
      </w:divBdr>
    </w:div>
    <w:div w:id="1389843581">
      <w:bodyDiv w:val="1"/>
      <w:marLeft w:val="0"/>
      <w:marRight w:val="0"/>
      <w:marTop w:val="0"/>
      <w:marBottom w:val="0"/>
      <w:divBdr>
        <w:top w:val="none" w:sz="0" w:space="0" w:color="auto"/>
        <w:left w:val="none" w:sz="0" w:space="0" w:color="auto"/>
        <w:bottom w:val="none" w:sz="0" w:space="0" w:color="auto"/>
        <w:right w:val="none" w:sz="0" w:space="0" w:color="auto"/>
      </w:divBdr>
    </w:div>
    <w:div w:id="1393041311">
      <w:bodyDiv w:val="1"/>
      <w:marLeft w:val="0"/>
      <w:marRight w:val="0"/>
      <w:marTop w:val="0"/>
      <w:marBottom w:val="0"/>
      <w:divBdr>
        <w:top w:val="none" w:sz="0" w:space="0" w:color="auto"/>
        <w:left w:val="none" w:sz="0" w:space="0" w:color="auto"/>
        <w:bottom w:val="none" w:sz="0" w:space="0" w:color="auto"/>
        <w:right w:val="none" w:sz="0" w:space="0" w:color="auto"/>
      </w:divBdr>
    </w:div>
    <w:div w:id="1426456964">
      <w:bodyDiv w:val="1"/>
      <w:marLeft w:val="0"/>
      <w:marRight w:val="0"/>
      <w:marTop w:val="0"/>
      <w:marBottom w:val="0"/>
      <w:divBdr>
        <w:top w:val="none" w:sz="0" w:space="0" w:color="auto"/>
        <w:left w:val="none" w:sz="0" w:space="0" w:color="auto"/>
        <w:bottom w:val="none" w:sz="0" w:space="0" w:color="auto"/>
        <w:right w:val="none" w:sz="0" w:space="0" w:color="auto"/>
      </w:divBdr>
    </w:div>
    <w:div w:id="1455976332">
      <w:bodyDiv w:val="1"/>
      <w:marLeft w:val="0"/>
      <w:marRight w:val="0"/>
      <w:marTop w:val="0"/>
      <w:marBottom w:val="0"/>
      <w:divBdr>
        <w:top w:val="none" w:sz="0" w:space="0" w:color="auto"/>
        <w:left w:val="none" w:sz="0" w:space="0" w:color="auto"/>
        <w:bottom w:val="none" w:sz="0" w:space="0" w:color="auto"/>
        <w:right w:val="none" w:sz="0" w:space="0" w:color="auto"/>
      </w:divBdr>
    </w:div>
    <w:div w:id="1462454884">
      <w:bodyDiv w:val="1"/>
      <w:marLeft w:val="0"/>
      <w:marRight w:val="0"/>
      <w:marTop w:val="0"/>
      <w:marBottom w:val="0"/>
      <w:divBdr>
        <w:top w:val="none" w:sz="0" w:space="0" w:color="auto"/>
        <w:left w:val="none" w:sz="0" w:space="0" w:color="auto"/>
        <w:bottom w:val="none" w:sz="0" w:space="0" w:color="auto"/>
        <w:right w:val="none" w:sz="0" w:space="0" w:color="auto"/>
      </w:divBdr>
    </w:div>
    <w:div w:id="1547907341">
      <w:bodyDiv w:val="1"/>
      <w:marLeft w:val="0"/>
      <w:marRight w:val="0"/>
      <w:marTop w:val="0"/>
      <w:marBottom w:val="0"/>
      <w:divBdr>
        <w:top w:val="none" w:sz="0" w:space="0" w:color="auto"/>
        <w:left w:val="none" w:sz="0" w:space="0" w:color="auto"/>
        <w:bottom w:val="none" w:sz="0" w:space="0" w:color="auto"/>
        <w:right w:val="none" w:sz="0" w:space="0" w:color="auto"/>
      </w:divBdr>
    </w:div>
    <w:div w:id="1808425822">
      <w:bodyDiv w:val="1"/>
      <w:marLeft w:val="0"/>
      <w:marRight w:val="0"/>
      <w:marTop w:val="0"/>
      <w:marBottom w:val="0"/>
      <w:divBdr>
        <w:top w:val="none" w:sz="0" w:space="0" w:color="auto"/>
        <w:left w:val="none" w:sz="0" w:space="0" w:color="auto"/>
        <w:bottom w:val="none" w:sz="0" w:space="0" w:color="auto"/>
        <w:right w:val="none" w:sz="0" w:space="0" w:color="auto"/>
      </w:divBdr>
    </w:div>
    <w:div w:id="1854802138">
      <w:bodyDiv w:val="1"/>
      <w:marLeft w:val="0"/>
      <w:marRight w:val="0"/>
      <w:marTop w:val="0"/>
      <w:marBottom w:val="0"/>
      <w:divBdr>
        <w:top w:val="none" w:sz="0" w:space="0" w:color="auto"/>
        <w:left w:val="none" w:sz="0" w:space="0" w:color="auto"/>
        <w:bottom w:val="none" w:sz="0" w:space="0" w:color="auto"/>
        <w:right w:val="none" w:sz="0" w:space="0" w:color="auto"/>
      </w:divBdr>
    </w:div>
    <w:div w:id="1907447282">
      <w:bodyDiv w:val="1"/>
      <w:marLeft w:val="0"/>
      <w:marRight w:val="0"/>
      <w:marTop w:val="0"/>
      <w:marBottom w:val="0"/>
      <w:divBdr>
        <w:top w:val="none" w:sz="0" w:space="0" w:color="auto"/>
        <w:left w:val="none" w:sz="0" w:space="0" w:color="auto"/>
        <w:bottom w:val="none" w:sz="0" w:space="0" w:color="auto"/>
        <w:right w:val="none" w:sz="0" w:space="0" w:color="auto"/>
      </w:divBdr>
    </w:div>
    <w:div w:id="2004577702">
      <w:bodyDiv w:val="1"/>
      <w:marLeft w:val="0"/>
      <w:marRight w:val="0"/>
      <w:marTop w:val="0"/>
      <w:marBottom w:val="0"/>
      <w:divBdr>
        <w:top w:val="none" w:sz="0" w:space="0" w:color="auto"/>
        <w:left w:val="none" w:sz="0" w:space="0" w:color="auto"/>
        <w:bottom w:val="none" w:sz="0" w:space="0" w:color="auto"/>
        <w:right w:val="none" w:sz="0" w:space="0" w:color="auto"/>
      </w:divBdr>
      <w:divsChild>
        <w:div w:id="1086028788">
          <w:marLeft w:val="0"/>
          <w:marRight w:val="0"/>
          <w:marTop w:val="0"/>
          <w:marBottom w:val="0"/>
          <w:divBdr>
            <w:top w:val="none" w:sz="0" w:space="0" w:color="auto"/>
            <w:left w:val="none" w:sz="0" w:space="0" w:color="auto"/>
            <w:bottom w:val="none" w:sz="0" w:space="0" w:color="auto"/>
            <w:right w:val="none" w:sz="0" w:space="0" w:color="auto"/>
          </w:divBdr>
          <w:divsChild>
            <w:div w:id="172231148">
              <w:marLeft w:val="0"/>
              <w:marRight w:val="0"/>
              <w:marTop w:val="0"/>
              <w:marBottom w:val="0"/>
              <w:divBdr>
                <w:top w:val="none" w:sz="0" w:space="0" w:color="auto"/>
                <w:left w:val="none" w:sz="0" w:space="0" w:color="auto"/>
                <w:bottom w:val="none" w:sz="0" w:space="0" w:color="auto"/>
                <w:right w:val="none" w:sz="0" w:space="0" w:color="auto"/>
              </w:divBdr>
              <w:divsChild>
                <w:div w:id="186064935">
                  <w:marLeft w:val="0"/>
                  <w:marRight w:val="0"/>
                  <w:marTop w:val="0"/>
                  <w:marBottom w:val="0"/>
                  <w:divBdr>
                    <w:top w:val="none" w:sz="0" w:space="0" w:color="auto"/>
                    <w:left w:val="none" w:sz="0" w:space="0" w:color="auto"/>
                    <w:bottom w:val="none" w:sz="0" w:space="0" w:color="auto"/>
                    <w:right w:val="none" w:sz="0" w:space="0" w:color="auto"/>
                  </w:divBdr>
                  <w:divsChild>
                    <w:div w:id="111216470">
                      <w:marLeft w:val="0"/>
                      <w:marRight w:val="0"/>
                      <w:marTop w:val="0"/>
                      <w:marBottom w:val="0"/>
                      <w:divBdr>
                        <w:top w:val="none" w:sz="0" w:space="0" w:color="auto"/>
                        <w:left w:val="none" w:sz="0" w:space="0" w:color="auto"/>
                        <w:bottom w:val="none" w:sz="0" w:space="0" w:color="auto"/>
                        <w:right w:val="none" w:sz="0" w:space="0" w:color="auto"/>
                      </w:divBdr>
                      <w:divsChild>
                        <w:div w:id="33963536">
                          <w:marLeft w:val="0"/>
                          <w:marRight w:val="0"/>
                          <w:marTop w:val="0"/>
                          <w:marBottom w:val="0"/>
                          <w:divBdr>
                            <w:top w:val="none" w:sz="0" w:space="0" w:color="auto"/>
                            <w:left w:val="none" w:sz="0" w:space="0" w:color="auto"/>
                            <w:bottom w:val="none" w:sz="0" w:space="0" w:color="auto"/>
                            <w:right w:val="none" w:sz="0" w:space="0" w:color="auto"/>
                          </w:divBdr>
                          <w:divsChild>
                            <w:div w:id="735475580">
                              <w:marLeft w:val="0"/>
                              <w:marRight w:val="0"/>
                              <w:marTop w:val="0"/>
                              <w:marBottom w:val="0"/>
                              <w:divBdr>
                                <w:top w:val="none" w:sz="0" w:space="0" w:color="auto"/>
                                <w:left w:val="none" w:sz="0" w:space="0" w:color="auto"/>
                                <w:bottom w:val="none" w:sz="0" w:space="0" w:color="auto"/>
                                <w:right w:val="none" w:sz="0" w:space="0" w:color="auto"/>
                              </w:divBdr>
                              <w:divsChild>
                                <w:div w:id="897469947">
                                  <w:marLeft w:val="0"/>
                                  <w:marRight w:val="0"/>
                                  <w:marTop w:val="0"/>
                                  <w:marBottom w:val="0"/>
                                  <w:divBdr>
                                    <w:top w:val="none" w:sz="0" w:space="0" w:color="auto"/>
                                    <w:left w:val="none" w:sz="0" w:space="0" w:color="auto"/>
                                    <w:bottom w:val="none" w:sz="0" w:space="0" w:color="auto"/>
                                    <w:right w:val="none" w:sz="0" w:space="0" w:color="auto"/>
                                  </w:divBdr>
                                  <w:divsChild>
                                    <w:div w:id="501774095">
                                      <w:marLeft w:val="0"/>
                                      <w:marRight w:val="0"/>
                                      <w:marTop w:val="0"/>
                                      <w:marBottom w:val="0"/>
                                      <w:divBdr>
                                        <w:top w:val="none" w:sz="0" w:space="0" w:color="auto"/>
                                        <w:left w:val="none" w:sz="0" w:space="0" w:color="auto"/>
                                        <w:bottom w:val="none" w:sz="0" w:space="0" w:color="auto"/>
                                        <w:right w:val="none" w:sz="0" w:space="0" w:color="auto"/>
                                      </w:divBdr>
                                      <w:divsChild>
                                        <w:div w:id="1161889109">
                                          <w:marLeft w:val="0"/>
                                          <w:marRight w:val="0"/>
                                          <w:marTop w:val="0"/>
                                          <w:marBottom w:val="0"/>
                                          <w:divBdr>
                                            <w:top w:val="none" w:sz="0" w:space="0" w:color="auto"/>
                                            <w:left w:val="none" w:sz="0" w:space="0" w:color="auto"/>
                                            <w:bottom w:val="none" w:sz="0" w:space="0" w:color="auto"/>
                                            <w:right w:val="none" w:sz="0" w:space="0" w:color="auto"/>
                                          </w:divBdr>
                                          <w:divsChild>
                                            <w:div w:id="455489121">
                                              <w:marLeft w:val="0"/>
                                              <w:marRight w:val="0"/>
                                              <w:marTop w:val="0"/>
                                              <w:marBottom w:val="0"/>
                                              <w:divBdr>
                                                <w:top w:val="none" w:sz="0" w:space="0" w:color="auto"/>
                                                <w:left w:val="none" w:sz="0" w:space="0" w:color="auto"/>
                                                <w:bottom w:val="none" w:sz="0" w:space="0" w:color="auto"/>
                                                <w:right w:val="none" w:sz="0" w:space="0" w:color="auto"/>
                                              </w:divBdr>
                                              <w:divsChild>
                                                <w:div w:id="434135745">
                                                  <w:marLeft w:val="0"/>
                                                  <w:marRight w:val="0"/>
                                                  <w:marTop w:val="0"/>
                                                  <w:marBottom w:val="0"/>
                                                  <w:divBdr>
                                                    <w:top w:val="none" w:sz="0" w:space="0" w:color="auto"/>
                                                    <w:left w:val="none" w:sz="0" w:space="0" w:color="auto"/>
                                                    <w:bottom w:val="none" w:sz="0" w:space="0" w:color="auto"/>
                                                    <w:right w:val="none" w:sz="0" w:space="0" w:color="auto"/>
                                                  </w:divBdr>
                                                  <w:divsChild>
                                                    <w:div w:id="1218591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77012956">
          <w:marLeft w:val="0"/>
          <w:marRight w:val="0"/>
          <w:marTop w:val="0"/>
          <w:marBottom w:val="0"/>
          <w:divBdr>
            <w:top w:val="none" w:sz="0" w:space="0" w:color="auto"/>
            <w:left w:val="none" w:sz="0" w:space="0" w:color="auto"/>
            <w:bottom w:val="none" w:sz="0" w:space="0" w:color="auto"/>
            <w:right w:val="none" w:sz="0" w:space="0" w:color="auto"/>
          </w:divBdr>
          <w:divsChild>
            <w:div w:id="712001887">
              <w:marLeft w:val="0"/>
              <w:marRight w:val="0"/>
              <w:marTop w:val="0"/>
              <w:marBottom w:val="0"/>
              <w:divBdr>
                <w:top w:val="none" w:sz="0" w:space="0" w:color="auto"/>
                <w:left w:val="none" w:sz="0" w:space="0" w:color="auto"/>
                <w:bottom w:val="none" w:sz="0" w:space="0" w:color="auto"/>
                <w:right w:val="none" w:sz="0" w:space="0" w:color="auto"/>
              </w:divBdr>
              <w:divsChild>
                <w:div w:id="277418136">
                  <w:marLeft w:val="0"/>
                  <w:marRight w:val="0"/>
                  <w:marTop w:val="0"/>
                  <w:marBottom w:val="0"/>
                  <w:divBdr>
                    <w:top w:val="none" w:sz="0" w:space="0" w:color="auto"/>
                    <w:left w:val="none" w:sz="0" w:space="0" w:color="auto"/>
                    <w:bottom w:val="none" w:sz="0" w:space="0" w:color="auto"/>
                    <w:right w:val="none" w:sz="0" w:space="0" w:color="auto"/>
                  </w:divBdr>
                  <w:divsChild>
                    <w:div w:id="241989440">
                      <w:marLeft w:val="0"/>
                      <w:marRight w:val="0"/>
                      <w:marTop w:val="0"/>
                      <w:marBottom w:val="0"/>
                      <w:divBdr>
                        <w:top w:val="none" w:sz="0" w:space="0" w:color="auto"/>
                        <w:left w:val="none" w:sz="0" w:space="0" w:color="auto"/>
                        <w:bottom w:val="none" w:sz="0" w:space="0" w:color="auto"/>
                        <w:right w:val="none" w:sz="0" w:space="0" w:color="auto"/>
                      </w:divBdr>
                      <w:divsChild>
                        <w:div w:id="583875035">
                          <w:marLeft w:val="0"/>
                          <w:marRight w:val="0"/>
                          <w:marTop w:val="0"/>
                          <w:marBottom w:val="0"/>
                          <w:divBdr>
                            <w:top w:val="none" w:sz="0" w:space="0" w:color="auto"/>
                            <w:left w:val="none" w:sz="0" w:space="0" w:color="auto"/>
                            <w:bottom w:val="none" w:sz="0" w:space="0" w:color="auto"/>
                            <w:right w:val="none" w:sz="0" w:space="0" w:color="auto"/>
                          </w:divBdr>
                          <w:divsChild>
                            <w:div w:id="309330348">
                              <w:marLeft w:val="0"/>
                              <w:marRight w:val="0"/>
                              <w:marTop w:val="0"/>
                              <w:marBottom w:val="0"/>
                              <w:divBdr>
                                <w:top w:val="none" w:sz="0" w:space="0" w:color="auto"/>
                                <w:left w:val="none" w:sz="0" w:space="0" w:color="auto"/>
                                <w:bottom w:val="none" w:sz="0" w:space="0" w:color="auto"/>
                                <w:right w:val="none" w:sz="0" w:space="0" w:color="auto"/>
                              </w:divBdr>
                              <w:divsChild>
                                <w:div w:id="2144273018">
                                  <w:marLeft w:val="0"/>
                                  <w:marRight w:val="0"/>
                                  <w:marTop w:val="0"/>
                                  <w:marBottom w:val="0"/>
                                  <w:divBdr>
                                    <w:top w:val="none" w:sz="0" w:space="0" w:color="auto"/>
                                    <w:left w:val="none" w:sz="0" w:space="0" w:color="auto"/>
                                    <w:bottom w:val="none" w:sz="0" w:space="0" w:color="auto"/>
                                    <w:right w:val="none" w:sz="0" w:space="0" w:color="auto"/>
                                  </w:divBdr>
                                  <w:divsChild>
                                    <w:div w:id="1194223144">
                                      <w:marLeft w:val="0"/>
                                      <w:marRight w:val="0"/>
                                      <w:marTop w:val="0"/>
                                      <w:marBottom w:val="0"/>
                                      <w:divBdr>
                                        <w:top w:val="none" w:sz="0" w:space="0" w:color="auto"/>
                                        <w:left w:val="none" w:sz="0" w:space="0" w:color="auto"/>
                                        <w:bottom w:val="none" w:sz="0" w:space="0" w:color="auto"/>
                                        <w:right w:val="none" w:sz="0" w:space="0" w:color="auto"/>
                                      </w:divBdr>
                                      <w:divsChild>
                                        <w:div w:id="785932487">
                                          <w:marLeft w:val="0"/>
                                          <w:marRight w:val="0"/>
                                          <w:marTop w:val="0"/>
                                          <w:marBottom w:val="0"/>
                                          <w:divBdr>
                                            <w:top w:val="none" w:sz="0" w:space="0" w:color="auto"/>
                                            <w:left w:val="none" w:sz="0" w:space="0" w:color="auto"/>
                                            <w:bottom w:val="none" w:sz="0" w:space="0" w:color="auto"/>
                                            <w:right w:val="none" w:sz="0" w:space="0" w:color="auto"/>
                                          </w:divBdr>
                                          <w:divsChild>
                                            <w:div w:id="1603756030">
                                              <w:marLeft w:val="0"/>
                                              <w:marRight w:val="0"/>
                                              <w:marTop w:val="0"/>
                                              <w:marBottom w:val="0"/>
                                              <w:divBdr>
                                                <w:top w:val="none" w:sz="0" w:space="0" w:color="auto"/>
                                                <w:left w:val="none" w:sz="0" w:space="0" w:color="auto"/>
                                                <w:bottom w:val="none" w:sz="0" w:space="0" w:color="auto"/>
                                                <w:right w:val="none" w:sz="0" w:space="0" w:color="auto"/>
                                              </w:divBdr>
                                              <w:divsChild>
                                                <w:div w:id="586698276">
                                                  <w:marLeft w:val="0"/>
                                                  <w:marRight w:val="0"/>
                                                  <w:marTop w:val="0"/>
                                                  <w:marBottom w:val="0"/>
                                                  <w:divBdr>
                                                    <w:top w:val="none" w:sz="0" w:space="0" w:color="auto"/>
                                                    <w:left w:val="none" w:sz="0" w:space="0" w:color="auto"/>
                                                    <w:bottom w:val="none" w:sz="0" w:space="0" w:color="auto"/>
                                                    <w:right w:val="none" w:sz="0" w:space="0" w:color="auto"/>
                                                  </w:divBdr>
                                                  <w:divsChild>
                                                    <w:div w:id="2119248653">
                                                      <w:marLeft w:val="0"/>
                                                      <w:marRight w:val="0"/>
                                                      <w:marTop w:val="0"/>
                                                      <w:marBottom w:val="0"/>
                                                      <w:divBdr>
                                                        <w:top w:val="none" w:sz="0" w:space="0" w:color="auto"/>
                                                        <w:left w:val="none" w:sz="0" w:space="0" w:color="auto"/>
                                                        <w:bottom w:val="none" w:sz="0" w:space="0" w:color="auto"/>
                                                        <w:right w:val="none" w:sz="0" w:space="0" w:color="auto"/>
                                                      </w:divBdr>
                                                      <w:divsChild>
                                                        <w:div w:id="1276593921">
                                                          <w:marLeft w:val="0"/>
                                                          <w:marRight w:val="0"/>
                                                          <w:marTop w:val="0"/>
                                                          <w:marBottom w:val="0"/>
                                                          <w:divBdr>
                                                            <w:top w:val="none" w:sz="0" w:space="0" w:color="auto"/>
                                                            <w:left w:val="none" w:sz="0" w:space="0" w:color="auto"/>
                                                            <w:bottom w:val="none" w:sz="0" w:space="0" w:color="auto"/>
                                                            <w:right w:val="none" w:sz="0" w:space="0" w:color="auto"/>
                                                          </w:divBdr>
                                                          <w:divsChild>
                                                            <w:div w:id="926420001">
                                                              <w:marLeft w:val="0"/>
                                                              <w:marRight w:val="0"/>
                                                              <w:marTop w:val="0"/>
                                                              <w:marBottom w:val="0"/>
                                                              <w:divBdr>
                                                                <w:top w:val="none" w:sz="0" w:space="0" w:color="auto"/>
                                                                <w:left w:val="none" w:sz="0" w:space="0" w:color="auto"/>
                                                                <w:bottom w:val="none" w:sz="0" w:space="0" w:color="auto"/>
                                                                <w:right w:val="none" w:sz="0" w:space="0" w:color="auto"/>
                                                              </w:divBdr>
                                                              <w:divsChild>
                                                                <w:div w:id="1842624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8000685">
                                      <w:marLeft w:val="0"/>
                                      <w:marRight w:val="0"/>
                                      <w:marTop w:val="0"/>
                                      <w:marBottom w:val="0"/>
                                      <w:divBdr>
                                        <w:top w:val="none" w:sz="0" w:space="0" w:color="auto"/>
                                        <w:left w:val="none" w:sz="0" w:space="0" w:color="auto"/>
                                        <w:bottom w:val="none" w:sz="0" w:space="0" w:color="auto"/>
                                        <w:right w:val="none" w:sz="0" w:space="0" w:color="auto"/>
                                      </w:divBdr>
                                      <w:divsChild>
                                        <w:div w:id="695084729">
                                          <w:marLeft w:val="0"/>
                                          <w:marRight w:val="0"/>
                                          <w:marTop w:val="0"/>
                                          <w:marBottom w:val="0"/>
                                          <w:divBdr>
                                            <w:top w:val="none" w:sz="0" w:space="0" w:color="auto"/>
                                            <w:left w:val="none" w:sz="0" w:space="0" w:color="auto"/>
                                            <w:bottom w:val="none" w:sz="0" w:space="0" w:color="auto"/>
                                            <w:right w:val="none" w:sz="0" w:space="0" w:color="auto"/>
                                          </w:divBdr>
                                          <w:divsChild>
                                            <w:div w:id="1147285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5982938">
              <w:marLeft w:val="0"/>
              <w:marRight w:val="0"/>
              <w:marTop w:val="0"/>
              <w:marBottom w:val="0"/>
              <w:divBdr>
                <w:top w:val="none" w:sz="0" w:space="0" w:color="auto"/>
                <w:left w:val="none" w:sz="0" w:space="0" w:color="auto"/>
                <w:bottom w:val="none" w:sz="0" w:space="0" w:color="auto"/>
                <w:right w:val="none" w:sz="0" w:space="0" w:color="auto"/>
              </w:divBdr>
              <w:divsChild>
                <w:div w:id="1395465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68902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geuk.org.uk/siteassets/documents/reports-and-publications/reports-and-briefings/health--wellbeing/state-of-health-and-care/state_of_health_and_social_care_24.pdf" TargetMode="External"/><Relationship Id="rId18" Type="http://schemas.openxmlformats.org/officeDocument/2006/relationships/hyperlink" Target="https://ageing-better.org.uk/the-state-of-ageing-2023-4" TargetMode="External"/><Relationship Id="rId26" Type="http://schemas.openxmlformats.org/officeDocument/2006/relationships/hyperlink" Target="https://www.instituteofhealthequity.org/resources-reports/marmot-review-10-years-on" TargetMode="External"/><Relationship Id="rId39" Type="http://schemas.openxmlformats.org/officeDocument/2006/relationships/hyperlink" Target="https://link.springer.com/article/10.1186/s12877-025-05846-4" TargetMode="External"/><Relationship Id="rId21" Type="http://schemas.openxmlformats.org/officeDocument/2006/relationships/hyperlink" Target="https://www.diabetes.org.uk/about-us/about-the-charity/our-strategy/statistics" TargetMode="External"/><Relationship Id="rId34" Type="http://schemas.openxmlformats.org/officeDocument/2006/relationships/hyperlink" Target="https://digital.nhs.uk/data-and-information/publications/statistical/national-diabetes-audit/report-1-care-processes-and-treatment-targets-2021-22-full-report/health-ineq-1718-2122" TargetMode="External"/><Relationship Id="rId42" Type="http://schemas.openxmlformats.org/officeDocument/2006/relationships/hyperlink" Target="https://www.who.int/news-room/fact-sheets/detail/diabete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lzheimers.org.uk/what-we-do/news-and-media/facts-media" TargetMode="External"/><Relationship Id="rId29" Type="http://schemas.openxmlformats.org/officeDocument/2006/relationships/hyperlink" Target="https://pmc.ncbi.nlm.nih.gov/articles/PMC1203968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pmc.ncbi.nlm.nih.gov/articles/PMC12000538/" TargetMode="External"/><Relationship Id="rId32" Type="http://schemas.openxmlformats.org/officeDocument/2006/relationships/hyperlink" Target="https://pubmed.ncbi.nlm.nih.gov/40796264/" TargetMode="External"/><Relationship Id="rId37" Type="http://schemas.openxmlformats.org/officeDocument/2006/relationships/hyperlink" Target="https://www.gov.uk/government/publications/nhs-health-checks-applying-all-our-health/nhs-health-checks-applying-all-our-health" TargetMode="External"/><Relationship Id="rId40" Type="http://schemas.openxmlformats.org/officeDocument/2006/relationships/hyperlink" Target="https://pmc.ncbi.nlm.nih.gov/articles/PMC12535368/"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alzint.org/about/dementia-facts-figures/dementia-statistics/" TargetMode="External"/><Relationship Id="rId23" Type="http://schemas.openxmlformats.org/officeDocument/2006/relationships/hyperlink" Target="https://pmc.ncbi.nlm.nih.gov/articles/PMC7437541/" TargetMode="External"/><Relationship Id="rId28" Type="http://schemas.openxmlformats.org/officeDocument/2006/relationships/hyperlink" Target="https://diabetesatlas.org/resources/factsheets/" TargetMode="External"/><Relationship Id="rId36" Type="http://schemas.openxmlformats.org/officeDocument/2006/relationships/hyperlink" Target="https://www.england.nhs.uk/diabetes/diabetes-prevention/" TargetMode="External"/><Relationship Id="rId10" Type="http://schemas.openxmlformats.org/officeDocument/2006/relationships/image" Target="media/image3.jpeg"/><Relationship Id="rId19" Type="http://schemas.openxmlformats.org/officeDocument/2006/relationships/hyperlink" Target="https://ageing-better.org.uk/our-ageing-population-state-ageing-2023-4" TargetMode="External"/><Relationship Id="rId31" Type="http://schemas.openxmlformats.org/officeDocument/2006/relationships/hyperlink" Target="https://bjgp.org/content/72/719/e421"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ageuk.org.uk/latest-press/articles/age-uks-new-report-shows-you-are-not-alone-in-feeling-lonely/" TargetMode="External"/><Relationship Id="rId22" Type="http://schemas.openxmlformats.org/officeDocument/2006/relationships/hyperlink" Target="https://www.diabetes.org.uk/about-diabetes/type-2-diabetes/diabetes-ethnicity" TargetMode="External"/><Relationship Id="rId27" Type="http://schemas.openxmlformats.org/officeDocument/2006/relationships/hyperlink" Target="https://idf.org/about-diabetes/diabetes-facts-figures/" TargetMode="External"/><Relationship Id="rId30" Type="http://schemas.openxmlformats.org/officeDocument/2006/relationships/hyperlink" Target="https://www.thelancet.com/commissions/dementia-prevention-intervention-care" TargetMode="External"/><Relationship Id="rId35" Type="http://schemas.openxmlformats.org/officeDocument/2006/relationships/hyperlink" Target="https://www.england.nhs.uk/about/equality/equality-hub/national-healthcare-inequalities-improvement-programme/core20plus5/" TargetMode="External"/><Relationship Id="rId43" Type="http://schemas.openxmlformats.org/officeDocument/2006/relationships/hyperlink" Target="https://www.who.int/health-topics/diabetes"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pmc.ncbi.nlm.nih.gov/articles/PMC11738064/" TargetMode="External"/><Relationship Id="rId25" Type="http://schemas.openxmlformats.org/officeDocument/2006/relationships/hyperlink" Target="https://www.sciencedirect.com/science/article/pii/S0167494325000214" TargetMode="External"/><Relationship Id="rId33" Type="http://schemas.openxmlformats.org/officeDocument/2006/relationships/hyperlink" Target="https://digital.nhs.uk/data-and-information/publications/statistical/national-diabetes-audit/report-1-care-processes-and-treatment-targets-2021-22-full-report" TargetMode="External"/><Relationship Id="rId38" Type="http://schemas.openxmlformats.org/officeDocument/2006/relationships/hyperlink" Target="https://www.ons.gov.uk/peoplepopulationandcommunity/healthandsocialcare/healthandlifeexpectancies/methodologies/healthstatelifeexpectanciesukqmi2020to2022" TargetMode="External"/><Relationship Id="rId46" Type="http://schemas.openxmlformats.org/officeDocument/2006/relationships/theme" Target="theme/theme1.xml"/><Relationship Id="rId20" Type="http://schemas.openxmlformats.org/officeDocument/2006/relationships/hyperlink" Target="https://ageing-better.org.uk/health-and-wellbeing-state-ageing-2023-4" TargetMode="External"/><Relationship Id="rId41" Type="http://schemas.openxmlformats.org/officeDocument/2006/relationships/hyperlink" Target="https://pmc.ncbi.nlm.nih.gov/articles/PMC114219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DCA64C-24E8-4FBA-B4E4-A5FD23E721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4379</Words>
  <Characters>24966</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Hetal Patel</cp:lastModifiedBy>
  <cp:revision>5</cp:revision>
  <dcterms:created xsi:type="dcterms:W3CDTF">2026-04-27T13:58:00Z</dcterms:created>
  <dcterms:modified xsi:type="dcterms:W3CDTF">2026-04-30T07:54:00Z</dcterms:modified>
</cp:coreProperties>
</file>