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781EB" w14:textId="1D0054B0" w:rsidR="001D01C7" w:rsidRDefault="001D01C7">
      <w:pPr>
        <w:rPr>
          <w:rFonts w:cstheme="minorHAnsi"/>
        </w:rPr>
      </w:pPr>
      <w:r w:rsidRPr="00975C5A">
        <w:rPr>
          <w:rFonts w:cstheme="minorHAnsi"/>
        </w:rPr>
        <w:t>The following is an encyclopaedia entry in the style of the Oxford Islamic Studies online.</w:t>
      </w:r>
    </w:p>
    <w:p w14:paraId="30BD947E" w14:textId="77777777" w:rsidR="001D01C7" w:rsidRPr="001D01C7" w:rsidRDefault="001D01C7">
      <w:pPr>
        <w:rPr>
          <w:rFonts w:cstheme="minorHAnsi"/>
        </w:rPr>
      </w:pPr>
    </w:p>
    <w:p w14:paraId="4964B9EA" w14:textId="790FA469" w:rsidR="005C3B27" w:rsidRDefault="00A52EDA">
      <w:r>
        <w:t>Fatwa</w:t>
      </w:r>
    </w:p>
    <w:p w14:paraId="4DAA9513" w14:textId="4944B843" w:rsidR="00C65FF7" w:rsidRDefault="00DB66B0" w:rsidP="004372EC">
      <w:pPr>
        <w:spacing w:line="360" w:lineRule="auto"/>
        <w:jc w:val="both"/>
      </w:pPr>
      <w:r>
        <w:t xml:space="preserve">A </w:t>
      </w:r>
      <w:r w:rsidRPr="003A44FB">
        <w:rPr>
          <w:i/>
        </w:rPr>
        <w:t>f</w:t>
      </w:r>
      <w:r w:rsidR="00BA2B49" w:rsidRPr="003A44FB">
        <w:rPr>
          <w:i/>
        </w:rPr>
        <w:t>atwa</w:t>
      </w:r>
      <w:r w:rsidR="00BA2B49">
        <w:t xml:space="preserve"> </w:t>
      </w:r>
      <w:r>
        <w:t>is</w:t>
      </w:r>
      <w:r w:rsidR="00A52A3D">
        <w:t xml:space="preserve"> </w:t>
      </w:r>
      <w:r w:rsidR="0044269D">
        <w:t>issued by a mufti</w:t>
      </w:r>
      <w:r w:rsidR="00DF3B01">
        <w:t xml:space="preserve"> as </w:t>
      </w:r>
      <w:r w:rsidR="00D750FA">
        <w:t>authoritative</w:t>
      </w:r>
      <w:r w:rsidR="00A52A3D">
        <w:t xml:space="preserve"> legal </w:t>
      </w:r>
      <w:r w:rsidR="00D750FA">
        <w:t>opinion</w:t>
      </w:r>
      <w:r w:rsidR="00D26D9A">
        <w:t>, typically where</w:t>
      </w:r>
      <w:r w:rsidR="00BC0FAE">
        <w:t xml:space="preserve"> a response </w:t>
      </w:r>
      <w:r w:rsidR="00F804FA">
        <w:t xml:space="preserve">is sought </w:t>
      </w:r>
      <w:r w:rsidR="00BC0FAE">
        <w:t>to a legal qu</w:t>
      </w:r>
      <w:r w:rsidR="00D26D9A">
        <w:t>e</w:t>
      </w:r>
      <w:r w:rsidR="00BC0FAE">
        <w:t>stion</w:t>
      </w:r>
      <w:r w:rsidR="00DF3B01">
        <w:t xml:space="preserve"> in </w:t>
      </w:r>
      <w:r w:rsidR="003A44FB">
        <w:t xml:space="preserve">a </w:t>
      </w:r>
      <w:r w:rsidR="00DF3B01">
        <w:t>case</w:t>
      </w:r>
      <w:r w:rsidR="003A44FB">
        <w:t xml:space="preserve"> that </w:t>
      </w:r>
      <w:r w:rsidR="00F804FA">
        <w:t xml:space="preserve">is not covered by </w:t>
      </w:r>
      <w:r w:rsidR="00F804FA" w:rsidRPr="003A44FB">
        <w:rPr>
          <w:i/>
        </w:rPr>
        <w:t>fiqh</w:t>
      </w:r>
      <w:r w:rsidR="00F804FA">
        <w:t xml:space="preserve"> literature</w:t>
      </w:r>
      <w:r w:rsidR="001A600C">
        <w:rPr>
          <w:rStyle w:val="FootnoteReference"/>
        </w:rPr>
        <w:footnoteReference w:id="1"/>
      </w:r>
      <w:r w:rsidR="001A600C">
        <w:t xml:space="preserve">. </w:t>
      </w:r>
      <w:r w:rsidR="00B85D3A">
        <w:t>The</w:t>
      </w:r>
      <w:r w:rsidR="00AB245D">
        <w:t xml:space="preserve"> origin of the</w:t>
      </w:r>
      <w:r w:rsidR="00B85D3A">
        <w:t xml:space="preserve"> </w:t>
      </w:r>
      <w:r w:rsidR="00B26A3B">
        <w:t>term</w:t>
      </w:r>
      <w:r w:rsidR="00B85D3A">
        <w:t xml:space="preserve"> </w:t>
      </w:r>
      <w:r w:rsidR="00B85D3A" w:rsidRPr="003A44FB">
        <w:rPr>
          <w:i/>
        </w:rPr>
        <w:t>fatwa</w:t>
      </w:r>
      <w:r w:rsidR="00B85D3A">
        <w:t xml:space="preserve"> can </w:t>
      </w:r>
      <w:r w:rsidR="00AB245D">
        <w:t>be found in</w:t>
      </w:r>
      <w:r w:rsidR="00B85D3A">
        <w:t xml:space="preserve"> the root word</w:t>
      </w:r>
      <w:r w:rsidR="00B26A3B">
        <w:t xml:space="preserve"> </w:t>
      </w:r>
      <w:r w:rsidR="00B26A3B" w:rsidRPr="003A44FB">
        <w:rPr>
          <w:i/>
        </w:rPr>
        <w:t>fata</w:t>
      </w:r>
      <w:r w:rsidR="00C17B44">
        <w:t xml:space="preserve"> which </w:t>
      </w:r>
      <w:r w:rsidR="009B0861">
        <w:t xml:space="preserve">is historically related to </w:t>
      </w:r>
      <w:r w:rsidR="003A44FB">
        <w:t xml:space="preserve">the words </w:t>
      </w:r>
      <w:r w:rsidR="009B0861">
        <w:t>clarification, explanation, youth and newness</w:t>
      </w:r>
      <w:r w:rsidR="009B0861">
        <w:rPr>
          <w:rStyle w:val="FootnoteReference"/>
        </w:rPr>
        <w:footnoteReference w:id="2"/>
      </w:r>
      <w:r w:rsidR="009B0861">
        <w:t xml:space="preserve">. </w:t>
      </w:r>
      <w:r w:rsidR="002C05CE" w:rsidRPr="003A44FB">
        <w:rPr>
          <w:i/>
        </w:rPr>
        <w:t>Fatwa</w:t>
      </w:r>
      <w:r w:rsidR="002C05CE">
        <w:t xml:space="preserve"> as a term has evolved from </w:t>
      </w:r>
      <w:r w:rsidR="00CC725F">
        <w:t>two</w:t>
      </w:r>
      <w:r w:rsidR="00243C53">
        <w:t xml:space="preserve"> verbally transmitted</w:t>
      </w:r>
      <w:r w:rsidR="00CC725F">
        <w:t xml:space="preserve"> Quranic </w:t>
      </w:r>
      <w:r w:rsidR="002B3487">
        <w:t>forms equating to ‘asking for a definitive answer’ and giving a definitive answer’</w:t>
      </w:r>
      <w:r w:rsidR="002B3487">
        <w:rPr>
          <w:rStyle w:val="FootnoteReference"/>
        </w:rPr>
        <w:footnoteReference w:id="3"/>
      </w:r>
      <w:r w:rsidR="00064C19">
        <w:t xml:space="preserve"> and the </w:t>
      </w:r>
      <w:r w:rsidR="00064C19" w:rsidRPr="00064C19">
        <w:t xml:space="preserve">person </w:t>
      </w:r>
      <w:r w:rsidR="00064C19">
        <w:t xml:space="preserve">responsible for </w:t>
      </w:r>
      <w:r w:rsidR="008F6A26">
        <w:t>issuing</w:t>
      </w:r>
      <w:r w:rsidR="00064C19" w:rsidRPr="00064C19">
        <w:t xml:space="preserve"> a </w:t>
      </w:r>
      <w:r w:rsidR="00064C19" w:rsidRPr="00985E05">
        <w:rPr>
          <w:i/>
        </w:rPr>
        <w:t>fatwa</w:t>
      </w:r>
      <w:r w:rsidR="00064C19" w:rsidRPr="00064C19">
        <w:t xml:space="preserve"> is </w:t>
      </w:r>
      <w:r w:rsidR="008F6A26">
        <w:t>referred to as</w:t>
      </w:r>
      <w:r w:rsidR="00064C19" w:rsidRPr="00064C19">
        <w:t xml:space="preserve"> </w:t>
      </w:r>
      <w:r w:rsidR="00064C19" w:rsidRPr="00985E05">
        <w:rPr>
          <w:i/>
        </w:rPr>
        <w:t>al-mufti</w:t>
      </w:r>
      <w:r w:rsidR="008F6A26">
        <w:rPr>
          <w:rStyle w:val="FootnoteReference"/>
        </w:rPr>
        <w:footnoteReference w:id="4"/>
      </w:r>
      <w:r w:rsidR="00064C19" w:rsidRPr="00064C19">
        <w:t>.</w:t>
      </w:r>
      <w:r w:rsidR="00A42C8E">
        <w:t xml:space="preserve"> Arabic vocabulary includes </w:t>
      </w:r>
      <w:r w:rsidR="00A42C8E" w:rsidRPr="00A42C8E">
        <w:rPr>
          <w:i/>
        </w:rPr>
        <w:t>al-ifta</w:t>
      </w:r>
      <w:r w:rsidR="00A9403D">
        <w:rPr>
          <w:i/>
        </w:rPr>
        <w:t xml:space="preserve"> </w:t>
      </w:r>
      <w:r w:rsidR="00A9403D" w:rsidRPr="00A9403D">
        <w:t>(the act of issuing a legal opinion</w:t>
      </w:r>
      <w:r w:rsidR="00D06650">
        <w:rPr>
          <w:rStyle w:val="FootnoteReference"/>
        </w:rPr>
        <w:footnoteReference w:id="5"/>
      </w:r>
      <w:r w:rsidR="00A9403D" w:rsidRPr="00A9403D">
        <w:t>)</w:t>
      </w:r>
      <w:r w:rsidR="002E4E7F" w:rsidRPr="00A9403D">
        <w:t>,</w:t>
      </w:r>
      <w:r w:rsidR="002E4E7F" w:rsidRPr="00A42C8E">
        <w:rPr>
          <w:i/>
        </w:rPr>
        <w:t xml:space="preserve"> </w:t>
      </w:r>
      <w:r w:rsidR="00A42C8E" w:rsidRPr="00A42C8E">
        <w:rPr>
          <w:i/>
        </w:rPr>
        <w:t>al-futya, al-futwa</w:t>
      </w:r>
      <w:r w:rsidR="00A42C8E">
        <w:t xml:space="preserve"> and </w:t>
      </w:r>
      <w:r w:rsidR="00A42C8E" w:rsidRPr="00A42C8E">
        <w:rPr>
          <w:i/>
        </w:rPr>
        <w:t>al-fatwa</w:t>
      </w:r>
      <w:r w:rsidR="0040655A">
        <w:t>;</w:t>
      </w:r>
      <w:r w:rsidR="00A42C8E">
        <w:t xml:space="preserve"> </w:t>
      </w:r>
      <w:r w:rsidR="0040655A">
        <w:t>a</w:t>
      </w:r>
      <w:r w:rsidR="00A42C8E">
        <w:t xml:space="preserve">ll of these terms refer to the position of the law through </w:t>
      </w:r>
      <w:r w:rsidR="00A42C8E" w:rsidRPr="009C3FEC">
        <w:rPr>
          <w:i/>
        </w:rPr>
        <w:t>faqih</w:t>
      </w:r>
      <w:r w:rsidR="00A42C8E">
        <w:t xml:space="preserve"> (jurist)</w:t>
      </w:r>
      <w:r w:rsidR="009C3FEC">
        <w:rPr>
          <w:rStyle w:val="FootnoteReference"/>
        </w:rPr>
        <w:footnoteReference w:id="6"/>
      </w:r>
      <w:r w:rsidR="00A42C8E">
        <w:t xml:space="preserve"> giving an answer to an unclear legal position</w:t>
      </w:r>
      <w:r w:rsidR="00A42C8E">
        <w:rPr>
          <w:rStyle w:val="FootnoteReference"/>
        </w:rPr>
        <w:footnoteReference w:id="7"/>
      </w:r>
      <w:r w:rsidR="00123FD7">
        <w:t>.</w:t>
      </w:r>
      <w:r w:rsidR="00A42C8E">
        <w:t xml:space="preserve">     </w:t>
      </w:r>
    </w:p>
    <w:p w14:paraId="65AC437D" w14:textId="0437784B" w:rsidR="00152585" w:rsidRDefault="002E3FF4" w:rsidP="004372EC">
      <w:pPr>
        <w:spacing w:line="360" w:lineRule="auto"/>
        <w:jc w:val="both"/>
      </w:pPr>
      <w:r w:rsidRPr="003A44FB">
        <w:rPr>
          <w:i/>
        </w:rPr>
        <w:t>Fatwas</w:t>
      </w:r>
      <w:r>
        <w:t xml:space="preserve"> are n</w:t>
      </w:r>
      <w:r w:rsidR="001A600C">
        <w:t>ot enforceable or binding</w:t>
      </w:r>
      <w:r>
        <w:t xml:space="preserve"> and</w:t>
      </w:r>
      <w:r w:rsidR="00FC34FB">
        <w:t xml:space="preserve"> are based upon a mufti’s</w:t>
      </w:r>
      <w:r>
        <w:t xml:space="preserve"> knowledge. A</w:t>
      </w:r>
      <w:r w:rsidR="00950966">
        <w:t>n inquirer</w:t>
      </w:r>
      <w:r>
        <w:t xml:space="preserve"> </w:t>
      </w:r>
      <w:r w:rsidR="009472E3">
        <w:t xml:space="preserve">is free to request the opinion of an alternative mufti in cases where </w:t>
      </w:r>
      <w:r w:rsidR="00950966">
        <w:t xml:space="preserve">they do not accept the </w:t>
      </w:r>
      <w:r w:rsidR="00A30EAF" w:rsidRPr="00615451">
        <w:rPr>
          <w:i/>
        </w:rPr>
        <w:t>fatwa</w:t>
      </w:r>
      <w:r w:rsidR="00A30EAF">
        <w:t xml:space="preserve"> issued</w:t>
      </w:r>
      <w:r w:rsidR="004372EC">
        <w:rPr>
          <w:rStyle w:val="FootnoteReference"/>
        </w:rPr>
        <w:footnoteReference w:id="8"/>
      </w:r>
      <w:r w:rsidR="00413A2A">
        <w:t xml:space="preserve">. </w:t>
      </w:r>
      <w:r w:rsidR="00152585">
        <w:t>A</w:t>
      </w:r>
      <w:r w:rsidR="006516F8">
        <w:t xml:space="preserve">ny </w:t>
      </w:r>
      <w:r w:rsidR="006516F8" w:rsidRPr="00985E05">
        <w:rPr>
          <w:i/>
        </w:rPr>
        <w:t>fatwa</w:t>
      </w:r>
      <w:r w:rsidR="006516F8">
        <w:t xml:space="preserve"> issued must </w:t>
      </w:r>
      <w:r w:rsidR="004D217A">
        <w:t xml:space="preserve">be in harmony with the </w:t>
      </w:r>
      <w:r w:rsidR="004D217A" w:rsidRPr="0040655A">
        <w:rPr>
          <w:i/>
        </w:rPr>
        <w:t>ur</w:t>
      </w:r>
      <w:r w:rsidR="00E45DE1" w:rsidRPr="0040655A">
        <w:rPr>
          <w:i/>
        </w:rPr>
        <w:t>f</w:t>
      </w:r>
      <w:r w:rsidR="00E45DE1">
        <w:t xml:space="preserve"> (customs) of the inquirer</w:t>
      </w:r>
      <w:r w:rsidR="00E45DE1">
        <w:rPr>
          <w:rStyle w:val="FootnoteReference"/>
        </w:rPr>
        <w:footnoteReference w:id="9"/>
      </w:r>
      <w:r w:rsidR="00E45DE1">
        <w:t>.</w:t>
      </w:r>
    </w:p>
    <w:p w14:paraId="68235BCF" w14:textId="25F439B7" w:rsidR="00824888" w:rsidRDefault="003B1603" w:rsidP="004372EC">
      <w:pPr>
        <w:spacing w:line="360" w:lineRule="auto"/>
        <w:jc w:val="both"/>
      </w:pPr>
      <w:r w:rsidRPr="00615451">
        <w:rPr>
          <w:i/>
        </w:rPr>
        <w:t>Fatwas</w:t>
      </w:r>
      <w:r>
        <w:t xml:space="preserve"> and </w:t>
      </w:r>
      <w:r w:rsidRPr="00615451">
        <w:rPr>
          <w:i/>
        </w:rPr>
        <w:t>qaza</w:t>
      </w:r>
      <w:r>
        <w:t xml:space="preserve"> </w:t>
      </w:r>
      <w:r w:rsidR="00867BEF">
        <w:t xml:space="preserve">(judicial verdict) </w:t>
      </w:r>
      <w:r>
        <w:t>are</w:t>
      </w:r>
      <w:r w:rsidR="00867BEF">
        <w:t xml:space="preserve"> distinguished between in the </w:t>
      </w:r>
      <w:r w:rsidR="00867BEF" w:rsidRPr="00615451">
        <w:rPr>
          <w:i/>
        </w:rPr>
        <w:t>S</w:t>
      </w:r>
      <w:r w:rsidR="00F124D3" w:rsidRPr="00615451">
        <w:rPr>
          <w:i/>
        </w:rPr>
        <w:t>h</w:t>
      </w:r>
      <w:r w:rsidR="00867BEF" w:rsidRPr="00615451">
        <w:rPr>
          <w:i/>
        </w:rPr>
        <w:t>aria</w:t>
      </w:r>
      <w:r w:rsidR="00F124D3">
        <w:rPr>
          <w:rStyle w:val="FootnoteReference"/>
        </w:rPr>
        <w:footnoteReference w:id="10"/>
      </w:r>
      <w:r w:rsidR="00F124D3">
        <w:t>.</w:t>
      </w:r>
      <w:r>
        <w:t xml:space="preserve"> </w:t>
      </w:r>
      <w:r w:rsidR="00413A2A" w:rsidRPr="00615451">
        <w:rPr>
          <w:i/>
        </w:rPr>
        <w:t xml:space="preserve">Fatwas </w:t>
      </w:r>
      <w:r w:rsidR="008B3B83">
        <w:t xml:space="preserve">therefore </w:t>
      </w:r>
      <w:r w:rsidR="00413A2A">
        <w:t xml:space="preserve">differ from </w:t>
      </w:r>
      <w:r w:rsidR="008B3B83">
        <w:t>a court decision which is binding</w:t>
      </w:r>
      <w:r w:rsidR="00465118">
        <w:t xml:space="preserve"> and enforceable in criminal or legal matters</w:t>
      </w:r>
      <w:r w:rsidR="00465118">
        <w:rPr>
          <w:rStyle w:val="FootnoteReference"/>
        </w:rPr>
        <w:footnoteReference w:id="11"/>
      </w:r>
      <w:r w:rsidR="000D4CA2">
        <w:t>.</w:t>
      </w:r>
      <w:r w:rsidR="001C70F8">
        <w:t xml:space="preserve"> </w:t>
      </w:r>
      <w:r w:rsidR="0046034E">
        <w:t>Following the</w:t>
      </w:r>
      <w:r w:rsidR="001C70F8">
        <w:t xml:space="preserve"> Prophet Muhammad’s</w:t>
      </w:r>
      <w:r w:rsidR="0046034E">
        <w:t xml:space="preserve"> </w:t>
      </w:r>
      <w:r w:rsidR="000061E9">
        <w:t xml:space="preserve">issuance of rulings </w:t>
      </w:r>
      <w:r w:rsidR="008272B6">
        <w:t xml:space="preserve">in legal matters, </w:t>
      </w:r>
      <w:r w:rsidR="008272B6" w:rsidRPr="00615451">
        <w:rPr>
          <w:i/>
        </w:rPr>
        <w:t>fatwas</w:t>
      </w:r>
      <w:r w:rsidR="008272B6">
        <w:t xml:space="preserve"> </w:t>
      </w:r>
      <w:r w:rsidR="00615451">
        <w:t xml:space="preserve">later </w:t>
      </w:r>
      <w:r w:rsidR="008272B6">
        <w:t xml:space="preserve">served to ensure that Islamic law remained current and </w:t>
      </w:r>
      <w:r w:rsidR="00CD1277">
        <w:t>relevant where circumstances changed</w:t>
      </w:r>
      <w:r w:rsidR="00CD1277">
        <w:rPr>
          <w:rStyle w:val="FootnoteReference"/>
        </w:rPr>
        <w:footnoteReference w:id="12"/>
      </w:r>
      <w:r w:rsidR="001F4D17">
        <w:t xml:space="preserve">. </w:t>
      </w:r>
      <w:r w:rsidR="001F4D17" w:rsidRPr="00615451">
        <w:rPr>
          <w:i/>
        </w:rPr>
        <w:t>Fatwas</w:t>
      </w:r>
      <w:r w:rsidR="00F124D3">
        <w:t xml:space="preserve"> issued by a </w:t>
      </w:r>
      <w:r w:rsidR="00F124D3" w:rsidRPr="00B62765">
        <w:rPr>
          <w:i/>
        </w:rPr>
        <w:t>mufti</w:t>
      </w:r>
      <w:r w:rsidR="00F124D3">
        <w:rPr>
          <w:rStyle w:val="FootnoteReference"/>
        </w:rPr>
        <w:footnoteReference w:id="13"/>
      </w:r>
      <w:r w:rsidR="001F4D17">
        <w:t xml:space="preserve"> were often sought by </w:t>
      </w:r>
      <w:r w:rsidR="00E7420F">
        <w:t xml:space="preserve">defendants or plaintiffs to support their </w:t>
      </w:r>
      <w:r w:rsidR="00516C27">
        <w:t>legal case</w:t>
      </w:r>
      <w:r w:rsidR="00E85F22">
        <w:t xml:space="preserve"> and a court had the ability to decide whether </w:t>
      </w:r>
      <w:r w:rsidR="002A0580">
        <w:t>a</w:t>
      </w:r>
      <w:r w:rsidR="002A0580" w:rsidRPr="00615451">
        <w:rPr>
          <w:i/>
        </w:rPr>
        <w:t xml:space="preserve"> fatwa</w:t>
      </w:r>
      <w:r w:rsidR="002A0580">
        <w:t xml:space="preserve"> was admissible or </w:t>
      </w:r>
      <w:r w:rsidR="00615451">
        <w:t>not</w:t>
      </w:r>
      <w:r w:rsidR="002A0580">
        <w:t xml:space="preserve"> based upon the expertise or </w:t>
      </w:r>
      <w:r w:rsidR="00F124D3">
        <w:t>counterargument</w:t>
      </w:r>
      <w:r w:rsidR="002A0580">
        <w:t xml:space="preserve"> of other scholars</w:t>
      </w:r>
      <w:r w:rsidR="00516C27">
        <w:rPr>
          <w:rStyle w:val="FootnoteReference"/>
        </w:rPr>
        <w:footnoteReference w:id="14"/>
      </w:r>
      <w:r w:rsidR="002A0580">
        <w:t>.</w:t>
      </w:r>
      <w:r w:rsidR="00A36EC2">
        <w:t xml:space="preserve"> </w:t>
      </w:r>
      <w:r w:rsidR="00615451">
        <w:t>Conversely, q</w:t>
      </w:r>
      <w:r w:rsidR="00A36EC2" w:rsidRPr="00615451">
        <w:rPr>
          <w:i/>
        </w:rPr>
        <w:t>aza</w:t>
      </w:r>
      <w:r w:rsidR="00A36EC2">
        <w:t xml:space="preserve"> cannot be issued by </w:t>
      </w:r>
      <w:r w:rsidR="00C846C6">
        <w:t xml:space="preserve">a </w:t>
      </w:r>
      <w:r w:rsidR="00C846C6" w:rsidRPr="00B62765">
        <w:rPr>
          <w:i/>
        </w:rPr>
        <w:t>mufti</w:t>
      </w:r>
      <w:r w:rsidR="00C846C6">
        <w:rPr>
          <w:rStyle w:val="FootnoteReference"/>
        </w:rPr>
        <w:footnoteReference w:id="15"/>
      </w:r>
      <w:r w:rsidR="00C846C6">
        <w:t>.</w:t>
      </w:r>
      <w:r w:rsidR="00A42C8E">
        <w:t xml:space="preserve"> </w:t>
      </w:r>
    </w:p>
    <w:p w14:paraId="435CA106" w14:textId="184F906F" w:rsidR="00824888" w:rsidRDefault="0044303C" w:rsidP="00BD141F">
      <w:pPr>
        <w:spacing w:line="360" w:lineRule="auto"/>
        <w:jc w:val="both"/>
      </w:pPr>
      <w:r>
        <w:lastRenderedPageBreak/>
        <w:t>The basi</w:t>
      </w:r>
      <w:r w:rsidR="003453FB">
        <w:t>c</w:t>
      </w:r>
      <w:r>
        <w:t xml:space="preserve"> typologies of </w:t>
      </w:r>
      <w:r w:rsidRPr="00985E05">
        <w:rPr>
          <w:i/>
        </w:rPr>
        <w:t>fatwas</w:t>
      </w:r>
      <w:r>
        <w:t xml:space="preserve"> can be </w:t>
      </w:r>
      <w:r w:rsidR="00BD141F">
        <w:t>represented</w:t>
      </w:r>
      <w:r w:rsidR="003453FB">
        <w:t xml:space="preserve"> as </w:t>
      </w:r>
      <w:r w:rsidR="003453FB" w:rsidRPr="003453FB">
        <w:t>ephemeral,</w:t>
      </w:r>
      <w:r w:rsidR="003453FB">
        <w:t xml:space="preserve"> </w:t>
      </w:r>
      <w:r w:rsidR="00BD141F">
        <w:t>a</w:t>
      </w:r>
      <w:r w:rsidR="003453FB" w:rsidRPr="003453FB">
        <w:t xml:space="preserve"> school</w:t>
      </w:r>
      <w:r w:rsidR="004E6AE1">
        <w:t xml:space="preserve"> </w:t>
      </w:r>
      <w:r w:rsidR="00635FDA">
        <w:t>or</w:t>
      </w:r>
      <w:r w:rsidR="003453FB" w:rsidRPr="003453FB">
        <w:t xml:space="preserve"> </w:t>
      </w:r>
      <w:r w:rsidR="00BD141F">
        <w:t xml:space="preserve">a </w:t>
      </w:r>
      <w:r w:rsidR="003453FB" w:rsidRPr="003453FB">
        <w:t>court</w:t>
      </w:r>
      <w:r w:rsidR="004E6AE1">
        <w:t xml:space="preserve"> decree</w:t>
      </w:r>
      <w:r w:rsidR="003453FB" w:rsidRPr="003453FB">
        <w:t xml:space="preserve"> and </w:t>
      </w:r>
      <w:r w:rsidR="00BD141F">
        <w:t>a</w:t>
      </w:r>
      <w:r w:rsidR="003453FB" w:rsidRPr="003453FB">
        <w:t xml:space="preserve"> public </w:t>
      </w:r>
      <w:r w:rsidR="003453FB" w:rsidRPr="00985E05">
        <w:rPr>
          <w:i/>
        </w:rPr>
        <w:t>fatwa</w:t>
      </w:r>
      <w:r w:rsidR="00BD141F">
        <w:rPr>
          <w:rStyle w:val="FootnoteReference"/>
        </w:rPr>
        <w:footnoteReference w:id="16"/>
      </w:r>
      <w:r w:rsidR="00BD141F">
        <w:t>.</w:t>
      </w:r>
    </w:p>
    <w:p w14:paraId="3F64A8A6" w14:textId="10145CE1" w:rsidR="0080761A" w:rsidRDefault="00AA13C4" w:rsidP="00BD141F">
      <w:pPr>
        <w:spacing w:line="360" w:lineRule="auto"/>
        <w:jc w:val="both"/>
      </w:pPr>
      <w:r>
        <w:t>A</w:t>
      </w:r>
      <w:r w:rsidR="00360049">
        <w:t>n</w:t>
      </w:r>
      <w:r>
        <w:t xml:space="preserve"> ephemeral </w:t>
      </w:r>
      <w:r w:rsidRPr="00122FAC">
        <w:rPr>
          <w:i/>
        </w:rPr>
        <w:t>fatwa</w:t>
      </w:r>
      <w:r w:rsidR="00360049">
        <w:t xml:space="preserve"> may be issued on personal matters rel</w:t>
      </w:r>
      <w:r w:rsidR="00AA04F9">
        <w:t>a</w:t>
      </w:r>
      <w:r w:rsidR="00360049">
        <w:t xml:space="preserve">ting to how one observes </w:t>
      </w:r>
      <w:r w:rsidR="00AA04F9">
        <w:t xml:space="preserve">or affirms </w:t>
      </w:r>
      <w:r w:rsidR="00360049">
        <w:t>a normative Islamic lifestyle</w:t>
      </w:r>
      <w:r w:rsidR="00AA04F9">
        <w:t>. Given orally or written can be subsequently overlooked</w:t>
      </w:r>
      <w:r w:rsidR="004C452A">
        <w:t xml:space="preserve"> or ignored</w:t>
      </w:r>
      <w:r w:rsidR="00AA04F9">
        <w:t xml:space="preserve"> by scholars. Such personal fatwas may be viewed as </w:t>
      </w:r>
      <w:r w:rsidR="00B5555E">
        <w:t xml:space="preserve">a counselling matter and is recommended as a part of </w:t>
      </w:r>
      <w:r w:rsidR="00B5555E" w:rsidRPr="00122FAC">
        <w:rPr>
          <w:i/>
        </w:rPr>
        <w:t>ifta</w:t>
      </w:r>
      <w:r w:rsidR="00C952BA">
        <w:rPr>
          <w:rStyle w:val="FootnoteReference"/>
          <w:i/>
        </w:rPr>
        <w:footnoteReference w:id="17"/>
      </w:r>
      <w:r w:rsidR="00C952BA">
        <w:rPr>
          <w:i/>
        </w:rPr>
        <w:t>.</w:t>
      </w:r>
      <w:r w:rsidR="004C452A">
        <w:t xml:space="preserve"> </w:t>
      </w:r>
      <w:r w:rsidR="004C452A">
        <w:rPr>
          <w:i/>
        </w:rPr>
        <w:t xml:space="preserve"> </w:t>
      </w:r>
      <w:r w:rsidR="003B751A" w:rsidRPr="005E7371">
        <w:rPr>
          <w:i/>
        </w:rPr>
        <w:t>Fatwas</w:t>
      </w:r>
      <w:r w:rsidR="003B751A">
        <w:t xml:space="preserve"> issued by schools were</w:t>
      </w:r>
      <w:r w:rsidR="00B21547">
        <w:t xml:space="preserve"> often preserved as of scholarly and educational value </w:t>
      </w:r>
      <w:r w:rsidR="00873F6E">
        <w:t>for future generations</w:t>
      </w:r>
      <w:r w:rsidR="00CE78D2">
        <w:rPr>
          <w:rStyle w:val="FootnoteReference"/>
        </w:rPr>
        <w:footnoteReference w:id="18"/>
      </w:r>
      <w:r w:rsidR="00E01725">
        <w:t xml:space="preserve">. </w:t>
      </w:r>
      <w:r w:rsidR="008A46FA">
        <w:t xml:space="preserve">Court </w:t>
      </w:r>
      <w:r w:rsidR="008A46FA" w:rsidRPr="005E7371">
        <w:rPr>
          <w:i/>
        </w:rPr>
        <w:t>fatwas</w:t>
      </w:r>
      <w:r w:rsidR="008A46FA">
        <w:t xml:space="preserve"> attain status </w:t>
      </w:r>
      <w:r w:rsidR="00D20CEF">
        <w:t xml:space="preserve">and whether ephemeral or of use to later scholars, </w:t>
      </w:r>
      <w:r w:rsidR="0035564C">
        <w:t xml:space="preserve">they were registered in the </w:t>
      </w:r>
      <w:r w:rsidR="0035564C" w:rsidRPr="0035564C">
        <w:rPr>
          <w:i/>
        </w:rPr>
        <w:t>sijillat</w:t>
      </w:r>
      <w:r w:rsidR="0035564C">
        <w:t xml:space="preserve"> (court proceedings). Such </w:t>
      </w:r>
      <w:r w:rsidR="0035564C" w:rsidRPr="00985E05">
        <w:rPr>
          <w:i/>
        </w:rPr>
        <w:t>fatwas</w:t>
      </w:r>
      <w:r w:rsidR="00253871">
        <w:t xml:space="preserve"> typically applied to </w:t>
      </w:r>
      <w:r w:rsidR="007973E4">
        <w:t>individualistic</w:t>
      </w:r>
      <w:r w:rsidR="00253871">
        <w:t xml:space="preserve"> circumstances and </w:t>
      </w:r>
      <w:r w:rsidR="00E8110A">
        <w:t>consequently the</w:t>
      </w:r>
      <w:r w:rsidR="00E8110A" w:rsidRPr="007973E4">
        <w:rPr>
          <w:i/>
        </w:rPr>
        <w:t xml:space="preserve"> sijillat</w:t>
      </w:r>
      <w:r w:rsidR="00E8110A">
        <w:t xml:space="preserve"> do not form part of the </w:t>
      </w:r>
      <w:r w:rsidR="00E8110A" w:rsidRPr="00985E05">
        <w:rPr>
          <w:i/>
        </w:rPr>
        <w:t>fiqh</w:t>
      </w:r>
      <w:r w:rsidR="00E8110A">
        <w:t xml:space="preserve"> literature that </w:t>
      </w:r>
      <w:r w:rsidR="00F708DC">
        <w:t>would be consulted by a contemporary scholar</w:t>
      </w:r>
      <w:r w:rsidR="007973E4">
        <w:rPr>
          <w:rStyle w:val="FootnoteReference"/>
        </w:rPr>
        <w:footnoteReference w:id="19"/>
      </w:r>
      <w:r w:rsidR="007973E4">
        <w:t>.</w:t>
      </w:r>
      <w:r w:rsidR="00AD3A0E">
        <w:t xml:space="preserve"> Publicly published </w:t>
      </w:r>
      <w:r w:rsidR="00AD3A0E" w:rsidRPr="00985E05">
        <w:rPr>
          <w:i/>
        </w:rPr>
        <w:t>fatwas</w:t>
      </w:r>
      <w:r w:rsidR="004F69D6">
        <w:t xml:space="preserve"> issued in print or through the media</w:t>
      </w:r>
      <w:r w:rsidR="00F37EBD">
        <w:t xml:space="preserve"> can be detached from a</w:t>
      </w:r>
      <w:r w:rsidR="00424C78">
        <w:t>n</w:t>
      </w:r>
      <w:r w:rsidR="00F37EBD">
        <w:t xml:space="preserve"> individual’s wish to seek guidance</w:t>
      </w:r>
      <w:r w:rsidR="002A439D">
        <w:t xml:space="preserve"> being representative of Islamic dogma, authority or</w:t>
      </w:r>
      <w:r w:rsidR="00347308">
        <w:t xml:space="preserve"> scholarship</w:t>
      </w:r>
      <w:r w:rsidR="00424C78">
        <w:t xml:space="preserve">. These types of </w:t>
      </w:r>
      <w:r w:rsidR="00424C78" w:rsidRPr="00985E05">
        <w:rPr>
          <w:i/>
        </w:rPr>
        <w:t>fatwas</w:t>
      </w:r>
      <w:r w:rsidR="00424C78">
        <w:t xml:space="preserve"> are therefore of public interest and within a wider transnational domain. The result of these types of </w:t>
      </w:r>
      <w:r w:rsidR="00424C78" w:rsidRPr="00985E05">
        <w:rPr>
          <w:i/>
        </w:rPr>
        <w:t>fatwas</w:t>
      </w:r>
      <w:r w:rsidR="00424C78">
        <w:t xml:space="preserve"> can </w:t>
      </w:r>
      <w:r w:rsidR="007E4F15">
        <w:t xml:space="preserve">be both contradictory and provides </w:t>
      </w:r>
      <w:r w:rsidR="00B7178C">
        <w:t xml:space="preserve">a vehicle for searching for example </w:t>
      </w:r>
      <w:r w:rsidR="00B7178C" w:rsidRPr="00985E05">
        <w:rPr>
          <w:i/>
        </w:rPr>
        <w:t>e-fatwas</w:t>
      </w:r>
      <w:r w:rsidR="00BB5314">
        <w:t xml:space="preserve">. </w:t>
      </w:r>
      <w:r w:rsidR="00391BE3">
        <w:t xml:space="preserve">Public </w:t>
      </w:r>
      <w:r w:rsidR="00391BE3" w:rsidRPr="00985E05">
        <w:rPr>
          <w:i/>
        </w:rPr>
        <w:t>fatwas</w:t>
      </w:r>
      <w:r w:rsidR="00391BE3">
        <w:t xml:space="preserve"> can be given at a state level to support a domestic legitim</w:t>
      </w:r>
      <w:r w:rsidR="00C01164">
        <w:t>acy</w:t>
      </w:r>
      <w:r w:rsidR="00D4385E">
        <w:rPr>
          <w:rStyle w:val="FootnoteReference"/>
        </w:rPr>
        <w:footnoteReference w:id="20"/>
      </w:r>
      <w:r w:rsidR="002D3599">
        <w:t>.</w:t>
      </w:r>
      <w:r w:rsidR="00C01164">
        <w:t xml:space="preserve"> </w:t>
      </w:r>
      <w:r w:rsidR="00FC25F2">
        <w:t xml:space="preserve">A collective </w:t>
      </w:r>
      <w:r w:rsidR="00FC25F2" w:rsidRPr="00985E05">
        <w:rPr>
          <w:i/>
        </w:rPr>
        <w:t>fatwa</w:t>
      </w:r>
      <w:r w:rsidR="00FC25F2">
        <w:t xml:space="preserve"> issued by a group of muftis having reached </w:t>
      </w:r>
      <w:r w:rsidR="00FC25F2" w:rsidRPr="00985E05">
        <w:rPr>
          <w:i/>
        </w:rPr>
        <w:t>ijma</w:t>
      </w:r>
      <w:r w:rsidR="00FC25F2">
        <w:t xml:space="preserve"> (consensus)</w:t>
      </w:r>
      <w:r w:rsidR="004F4CA8">
        <w:t xml:space="preserve"> appeared in the twentieth century. </w:t>
      </w:r>
      <w:r w:rsidR="007D1BFC">
        <w:t xml:space="preserve">The purpose of collective </w:t>
      </w:r>
      <w:r w:rsidR="007D1BFC" w:rsidRPr="00985E05">
        <w:rPr>
          <w:i/>
        </w:rPr>
        <w:t>fatwas</w:t>
      </w:r>
      <w:r w:rsidR="007D1BFC">
        <w:t xml:space="preserve"> </w:t>
      </w:r>
      <w:r w:rsidR="00D62582">
        <w:t>are</w:t>
      </w:r>
      <w:r w:rsidR="007D1BFC">
        <w:t xml:space="preserve"> to ensure that</w:t>
      </w:r>
      <w:r w:rsidR="00D62582">
        <w:t xml:space="preserve"> their guidance is not easily changed, however collective </w:t>
      </w:r>
      <w:r w:rsidR="00D62582" w:rsidRPr="00985E05">
        <w:rPr>
          <w:i/>
        </w:rPr>
        <w:t>fatwas</w:t>
      </w:r>
      <w:r w:rsidR="00D62582">
        <w:t xml:space="preserve"> can also be issued by </w:t>
      </w:r>
      <w:r w:rsidR="009F00AE">
        <w:t>non-state bodies</w:t>
      </w:r>
      <w:r w:rsidR="00766A85">
        <w:t>.</w:t>
      </w:r>
      <w:r w:rsidR="00E7232D">
        <w:t xml:space="preserve"> </w:t>
      </w:r>
      <w:r w:rsidR="00766A85">
        <w:t>B</w:t>
      </w:r>
      <w:r w:rsidR="00E7232D">
        <w:t>oth are a supportive source of change in Islamic law</w:t>
      </w:r>
      <w:r w:rsidR="00E7232D">
        <w:rPr>
          <w:rStyle w:val="FootnoteReference"/>
        </w:rPr>
        <w:footnoteReference w:id="21"/>
      </w:r>
      <w:r w:rsidR="00766A85">
        <w:t>.</w:t>
      </w:r>
    </w:p>
    <w:p w14:paraId="13E51803" w14:textId="56D6EC0D" w:rsidR="0035564C" w:rsidRDefault="0035564C" w:rsidP="00BD141F">
      <w:pPr>
        <w:spacing w:line="360" w:lineRule="auto"/>
        <w:jc w:val="both"/>
      </w:pPr>
    </w:p>
    <w:p w14:paraId="08EDC19D" w14:textId="5C5452F7" w:rsidR="004D720C" w:rsidRDefault="004D720C"/>
    <w:p w14:paraId="29FFAC11" w14:textId="5078D5F3" w:rsidR="006372F1" w:rsidRDefault="006372F1"/>
    <w:p w14:paraId="46B4B9F2" w14:textId="1E4E5D9F" w:rsidR="006372F1" w:rsidRDefault="006372F1"/>
    <w:p w14:paraId="3F6A5509" w14:textId="6D4CFD8D" w:rsidR="006372F1" w:rsidRDefault="006372F1"/>
    <w:p w14:paraId="3DA80EC5" w14:textId="734B81D7" w:rsidR="006372F1" w:rsidRDefault="006372F1"/>
    <w:p w14:paraId="32C112FC" w14:textId="34022D62" w:rsidR="006372F1" w:rsidRDefault="006372F1"/>
    <w:p w14:paraId="5293C84A" w14:textId="0A77A7DC" w:rsidR="006372F1" w:rsidRDefault="006372F1"/>
    <w:p w14:paraId="2B6F68C2" w14:textId="6C12990A" w:rsidR="006372F1" w:rsidRDefault="006372F1"/>
    <w:p w14:paraId="2086082D" w14:textId="77777777" w:rsidR="006372F1" w:rsidRDefault="006372F1"/>
    <w:p w14:paraId="627C1DD6" w14:textId="4672D32C" w:rsidR="004D720C" w:rsidRPr="00A543A3" w:rsidRDefault="0045733C">
      <w:r w:rsidRPr="00A543A3">
        <w:lastRenderedPageBreak/>
        <w:t>References</w:t>
      </w:r>
    </w:p>
    <w:p w14:paraId="1615BD2E" w14:textId="31D9C9D6" w:rsidR="0045733C" w:rsidRPr="00A543A3" w:rsidRDefault="0045733C" w:rsidP="0045733C"/>
    <w:p w14:paraId="6A1C44E5" w14:textId="2E5F2BDB" w:rsidR="002A45AE" w:rsidRPr="00A543A3" w:rsidRDefault="005A3017" w:rsidP="00737F36">
      <w:pPr>
        <w:rPr>
          <w:rFonts w:cstheme="minorHAnsi"/>
          <w:shd w:val="clear" w:color="auto" w:fill="FFFFFF"/>
        </w:rPr>
      </w:pPr>
      <w:r w:rsidRPr="00A543A3">
        <w:rPr>
          <w:rFonts w:cstheme="minorHAnsi"/>
          <w:shd w:val="clear" w:color="auto" w:fill="FFFFFF"/>
        </w:rPr>
        <w:t>A</w:t>
      </w:r>
      <w:r w:rsidR="00AF4962" w:rsidRPr="00A543A3">
        <w:rPr>
          <w:rFonts w:cstheme="minorHAnsi"/>
          <w:shd w:val="clear" w:color="auto" w:fill="FFFFFF"/>
        </w:rPr>
        <w:t>uth</w:t>
      </w:r>
      <w:r w:rsidRPr="00A543A3">
        <w:rPr>
          <w:rFonts w:cstheme="minorHAnsi"/>
          <w:shd w:val="clear" w:color="auto" w:fill="FFFFFF"/>
        </w:rPr>
        <w:t>or unknown, ‘</w:t>
      </w:r>
      <w:r w:rsidR="00737F36" w:rsidRPr="00A543A3">
        <w:rPr>
          <w:rFonts w:cstheme="minorHAnsi"/>
          <w:shd w:val="clear" w:color="auto" w:fill="FFFFFF"/>
        </w:rPr>
        <w:t>Fatwas are opinions, not laws</w:t>
      </w:r>
      <w:r w:rsidRPr="00A543A3">
        <w:rPr>
          <w:rFonts w:cstheme="minorHAnsi"/>
          <w:shd w:val="clear" w:color="auto" w:fill="FFFFFF"/>
        </w:rPr>
        <w:t>’,</w:t>
      </w:r>
      <w:r w:rsidR="00737F36" w:rsidRPr="00A543A3">
        <w:rPr>
          <w:rFonts w:cstheme="minorHAnsi"/>
          <w:shd w:val="clear" w:color="auto" w:fill="FFFFFF"/>
        </w:rPr>
        <w:t> </w:t>
      </w:r>
      <w:r w:rsidR="00737F36" w:rsidRPr="00A543A3">
        <w:rPr>
          <w:rFonts w:cstheme="minorHAnsi"/>
          <w:i/>
          <w:iCs/>
          <w:shd w:val="clear" w:color="auto" w:fill="FFFFFF"/>
        </w:rPr>
        <w:t>Tehelka.</w:t>
      </w:r>
      <w:r w:rsidR="00737F36" w:rsidRPr="00A543A3">
        <w:rPr>
          <w:rFonts w:cstheme="minorHAnsi"/>
          <w:shd w:val="clear" w:color="auto" w:fill="FFFFFF"/>
        </w:rPr>
        <w:t> </w:t>
      </w:r>
      <w:r w:rsidR="00AF4962" w:rsidRPr="00A543A3">
        <w:rPr>
          <w:rFonts w:cstheme="minorHAnsi"/>
          <w:shd w:val="clear" w:color="auto" w:fill="FFFFFF"/>
        </w:rPr>
        <w:t>2014 [last accessed 19</w:t>
      </w:r>
      <w:r w:rsidR="00AF4962" w:rsidRPr="00A543A3">
        <w:rPr>
          <w:rFonts w:cstheme="minorHAnsi"/>
          <w:shd w:val="clear" w:color="auto" w:fill="FFFFFF"/>
          <w:vertAlign w:val="superscript"/>
        </w:rPr>
        <w:t>th</w:t>
      </w:r>
      <w:r w:rsidR="00AF4962" w:rsidRPr="00A543A3">
        <w:rPr>
          <w:rFonts w:cstheme="minorHAnsi"/>
          <w:shd w:val="clear" w:color="auto" w:fill="FFFFFF"/>
        </w:rPr>
        <w:t xml:space="preserve"> May 2019</w:t>
      </w:r>
      <w:r w:rsidR="0066782B" w:rsidRPr="00A543A3">
        <w:rPr>
          <w:rFonts w:cstheme="minorHAnsi"/>
          <w:shd w:val="clear" w:color="auto" w:fill="FFFFFF"/>
        </w:rPr>
        <w:t>]</w:t>
      </w:r>
      <w:r w:rsidR="00AF4962" w:rsidRPr="00A543A3">
        <w:rPr>
          <w:rFonts w:cstheme="minorHAnsi"/>
          <w:shd w:val="clear" w:color="auto" w:fill="FFFFFF"/>
        </w:rPr>
        <w:t xml:space="preserve"> available at </w:t>
      </w:r>
      <w:hyperlink r:id="rId7" w:history="1">
        <w:r w:rsidR="002A45AE" w:rsidRPr="00A543A3">
          <w:rPr>
            <w:rStyle w:val="Hyperlink"/>
            <w:rFonts w:cstheme="minorHAnsi"/>
            <w:color w:val="auto"/>
            <w:shd w:val="clear" w:color="auto" w:fill="FFFFFF"/>
          </w:rPr>
          <w:t>https://search.proquest.com/docview/1507930480?accountid=130472</w:t>
        </w:r>
      </w:hyperlink>
    </w:p>
    <w:p w14:paraId="00597495" w14:textId="77777777" w:rsidR="000D0A28" w:rsidRPr="00A543A3" w:rsidRDefault="000D0A28" w:rsidP="000D0A28">
      <w:pPr>
        <w:rPr>
          <w:rFonts w:cstheme="minorHAnsi"/>
        </w:rPr>
      </w:pPr>
    </w:p>
    <w:p w14:paraId="005235D7" w14:textId="455E5A13" w:rsidR="00906DBB" w:rsidRPr="00A543A3" w:rsidRDefault="00097631" w:rsidP="00906DBB">
      <w:pPr>
        <w:rPr>
          <w:rFonts w:cstheme="minorHAnsi"/>
        </w:rPr>
      </w:pPr>
      <w:r w:rsidRPr="00A543A3">
        <w:rPr>
          <w:rFonts w:cstheme="minorHAnsi"/>
        </w:rPr>
        <w:t>Esposito, J.L. (ed)</w:t>
      </w:r>
      <w:r w:rsidR="00E9455E" w:rsidRPr="00A543A3">
        <w:rPr>
          <w:rFonts w:cstheme="minorHAnsi"/>
        </w:rPr>
        <w:t xml:space="preserve">, </w:t>
      </w:r>
      <w:r w:rsidR="000D0A28" w:rsidRPr="00A543A3">
        <w:rPr>
          <w:rFonts w:cstheme="minorHAnsi"/>
        </w:rPr>
        <w:t xml:space="preserve">"Fatwa" </w:t>
      </w:r>
      <w:r w:rsidR="00172AF2" w:rsidRPr="00A543A3">
        <w:rPr>
          <w:rFonts w:cstheme="minorHAnsi"/>
        </w:rPr>
        <w:t xml:space="preserve">in </w:t>
      </w:r>
      <w:r w:rsidR="00172AF2" w:rsidRPr="00A543A3">
        <w:rPr>
          <w:rFonts w:cstheme="minorHAnsi"/>
          <w:i/>
        </w:rPr>
        <w:t>‘</w:t>
      </w:r>
      <w:r w:rsidR="000D0A28" w:rsidRPr="00A543A3">
        <w:rPr>
          <w:rFonts w:cstheme="minorHAnsi"/>
          <w:i/>
        </w:rPr>
        <w:t>The Oxford Dictionary of Islam</w:t>
      </w:r>
      <w:proofErr w:type="gramStart"/>
      <w:r w:rsidR="00172AF2" w:rsidRPr="00A543A3">
        <w:rPr>
          <w:rFonts w:cstheme="minorHAnsi"/>
          <w:i/>
        </w:rPr>
        <w:t>’</w:t>
      </w:r>
      <w:r w:rsidR="000D0A28" w:rsidRPr="00A543A3">
        <w:rPr>
          <w:rFonts w:cstheme="minorHAnsi"/>
        </w:rPr>
        <w:t xml:space="preserve"> ,</w:t>
      </w:r>
      <w:proofErr w:type="gramEnd"/>
      <w:r w:rsidR="000D0A28" w:rsidRPr="00A543A3">
        <w:rPr>
          <w:rFonts w:cstheme="minorHAnsi"/>
        </w:rPr>
        <w:t xml:space="preserve"> edited by John L. Esposito. Oxford Islamic Studies Online, </w:t>
      </w:r>
      <w:r w:rsidR="00906DBB" w:rsidRPr="00A543A3">
        <w:rPr>
          <w:rFonts w:cstheme="minorHAnsi"/>
        </w:rPr>
        <w:t xml:space="preserve">(date unknown) [last accessed </w:t>
      </w:r>
      <w:r w:rsidR="00DC7B8F" w:rsidRPr="00A543A3">
        <w:rPr>
          <w:rFonts w:cstheme="minorHAnsi"/>
        </w:rPr>
        <w:t>19</w:t>
      </w:r>
      <w:r w:rsidR="00DC7B8F" w:rsidRPr="00A543A3">
        <w:rPr>
          <w:rFonts w:cstheme="minorHAnsi"/>
          <w:vertAlign w:val="superscript"/>
        </w:rPr>
        <w:t>th</w:t>
      </w:r>
      <w:r w:rsidR="00DC7B8F" w:rsidRPr="00A543A3">
        <w:rPr>
          <w:rFonts w:cstheme="minorHAnsi"/>
        </w:rPr>
        <w:t xml:space="preserve"> May </w:t>
      </w:r>
      <w:r w:rsidR="00906DBB" w:rsidRPr="00A543A3">
        <w:rPr>
          <w:rFonts w:cstheme="minorHAnsi"/>
        </w:rPr>
        <w:t>2019]</w:t>
      </w:r>
      <w:r w:rsidR="00DC7B8F" w:rsidRPr="00A543A3">
        <w:rPr>
          <w:rFonts w:cstheme="minorHAnsi"/>
        </w:rPr>
        <w:t xml:space="preserve"> available at</w:t>
      </w:r>
    </w:p>
    <w:p w14:paraId="2BA85F02" w14:textId="0D4F59E3" w:rsidR="004E211E" w:rsidRPr="00A543A3" w:rsidRDefault="00E96A34" w:rsidP="000D0A28">
      <w:pPr>
        <w:rPr>
          <w:rFonts w:cstheme="minorHAnsi"/>
        </w:rPr>
      </w:pPr>
      <w:hyperlink r:id="rId8" w:history="1">
        <w:r w:rsidR="00906DBB" w:rsidRPr="00A543A3">
          <w:rPr>
            <w:rStyle w:val="Hyperlink"/>
            <w:rFonts w:cstheme="minorHAnsi"/>
          </w:rPr>
          <w:t>http://www.oxfordislamicstudies.com.ezproxy.uwtsd.ac.uk/article/opr/t125/e646</w:t>
        </w:r>
      </w:hyperlink>
    </w:p>
    <w:p w14:paraId="052C9D7B" w14:textId="0887ED71" w:rsidR="000D0A28" w:rsidRPr="00A543A3" w:rsidRDefault="000D0A28" w:rsidP="000D0A28">
      <w:pPr>
        <w:rPr>
          <w:rFonts w:cstheme="minorHAnsi"/>
        </w:rPr>
      </w:pPr>
    </w:p>
    <w:p w14:paraId="3BFBEC32" w14:textId="675331D2" w:rsidR="00DC7B8F" w:rsidRPr="00A543A3" w:rsidRDefault="00DC7B8F" w:rsidP="00DC7B8F">
      <w:pPr>
        <w:rPr>
          <w:rFonts w:cstheme="minorHAnsi"/>
        </w:rPr>
      </w:pPr>
      <w:r w:rsidRPr="00A543A3">
        <w:rPr>
          <w:rFonts w:cstheme="minorHAnsi"/>
        </w:rPr>
        <w:t xml:space="preserve">Esposito, J.L. (ed), "Ifta" in </w:t>
      </w:r>
      <w:r w:rsidRPr="00A543A3">
        <w:rPr>
          <w:rFonts w:cstheme="minorHAnsi"/>
          <w:i/>
        </w:rPr>
        <w:t>‘The Oxford Dictionary of Islam</w:t>
      </w:r>
      <w:proofErr w:type="gramStart"/>
      <w:r w:rsidRPr="00A543A3">
        <w:rPr>
          <w:rFonts w:cstheme="minorHAnsi"/>
          <w:i/>
        </w:rPr>
        <w:t>’</w:t>
      </w:r>
      <w:r w:rsidRPr="00A543A3">
        <w:rPr>
          <w:rFonts w:cstheme="minorHAnsi"/>
        </w:rPr>
        <w:t xml:space="preserve"> ,</w:t>
      </w:r>
      <w:proofErr w:type="gramEnd"/>
      <w:r w:rsidRPr="00A543A3">
        <w:rPr>
          <w:rFonts w:cstheme="minorHAnsi"/>
        </w:rPr>
        <w:t xml:space="preserve"> edited by John L. Esposito. Oxford Islamic Studies Online, (date unknown) [last accessed 19</w:t>
      </w:r>
      <w:r w:rsidRPr="00A543A3">
        <w:rPr>
          <w:rFonts w:cstheme="minorHAnsi"/>
          <w:vertAlign w:val="superscript"/>
        </w:rPr>
        <w:t>th</w:t>
      </w:r>
      <w:r w:rsidRPr="00A543A3">
        <w:rPr>
          <w:rFonts w:cstheme="minorHAnsi"/>
        </w:rPr>
        <w:t xml:space="preserve"> May 2019] available at</w:t>
      </w:r>
      <w:r w:rsidR="001D756F" w:rsidRPr="00A543A3">
        <w:rPr>
          <w:rFonts w:cstheme="minorHAnsi"/>
        </w:rPr>
        <w:t xml:space="preserve"> </w:t>
      </w:r>
      <w:hyperlink r:id="rId9" w:history="1">
        <w:r w:rsidR="001D756F" w:rsidRPr="00A543A3">
          <w:rPr>
            <w:rStyle w:val="Hyperlink"/>
            <w:rFonts w:cstheme="minorHAnsi"/>
          </w:rPr>
          <w:t>http://www.oxfordislamicstudies.com.ezproxy.uwtsd.ac.uk/article/opr/t125/e978</w:t>
        </w:r>
      </w:hyperlink>
    </w:p>
    <w:p w14:paraId="39909F25" w14:textId="5C0CB4E5" w:rsidR="001D756F" w:rsidRPr="00A543A3" w:rsidRDefault="001D756F" w:rsidP="00DC7B8F">
      <w:pPr>
        <w:rPr>
          <w:rFonts w:cstheme="minorHAnsi"/>
        </w:rPr>
      </w:pPr>
    </w:p>
    <w:p w14:paraId="6E849C24" w14:textId="42224E82" w:rsidR="001B28CC" w:rsidRPr="00A543A3" w:rsidRDefault="001B28CC" w:rsidP="00DC7B8F">
      <w:pPr>
        <w:rPr>
          <w:rFonts w:cstheme="minorHAnsi"/>
        </w:rPr>
      </w:pPr>
      <w:r w:rsidRPr="00A543A3">
        <w:rPr>
          <w:rFonts w:cstheme="minorHAnsi"/>
        </w:rPr>
        <w:t>Esposito, J</w:t>
      </w:r>
      <w:r w:rsidR="00087874" w:rsidRPr="00A543A3">
        <w:rPr>
          <w:rFonts w:cstheme="minorHAnsi"/>
        </w:rPr>
        <w:t>.</w:t>
      </w:r>
      <w:r w:rsidRPr="00A543A3">
        <w:rPr>
          <w:rFonts w:cstheme="minorHAnsi"/>
        </w:rPr>
        <w:t xml:space="preserve">L. </w:t>
      </w:r>
      <w:r w:rsidR="00087874" w:rsidRPr="00A543A3">
        <w:rPr>
          <w:rFonts w:cstheme="minorHAnsi"/>
        </w:rPr>
        <w:t>a</w:t>
      </w:r>
      <w:r w:rsidRPr="00A543A3">
        <w:rPr>
          <w:rFonts w:cstheme="minorHAnsi"/>
        </w:rPr>
        <w:t xml:space="preserve">nd </w:t>
      </w:r>
      <w:r w:rsidR="00087874" w:rsidRPr="00A543A3">
        <w:rPr>
          <w:rFonts w:cstheme="minorHAnsi"/>
        </w:rPr>
        <w:t>Delong, N. J., ‘Shariah</w:t>
      </w:r>
      <w:r w:rsidR="00F17623" w:rsidRPr="00A543A3">
        <w:rPr>
          <w:rFonts w:cstheme="minorHAnsi"/>
        </w:rPr>
        <w:t>: What Everyone Needs to Know</w:t>
      </w:r>
      <w:r w:rsidR="00121D6C" w:rsidRPr="00A543A3">
        <w:rPr>
          <w:rFonts w:cstheme="minorHAnsi"/>
        </w:rPr>
        <w:t>’, Oxford University Press, United Kingdom, 2018</w:t>
      </w:r>
    </w:p>
    <w:p w14:paraId="1A72BA90" w14:textId="77777777" w:rsidR="00121D6C" w:rsidRPr="00A543A3" w:rsidRDefault="00121D6C" w:rsidP="00DC7B8F">
      <w:pPr>
        <w:rPr>
          <w:rFonts w:cstheme="minorHAnsi"/>
        </w:rPr>
      </w:pPr>
    </w:p>
    <w:p w14:paraId="70F7EF92" w14:textId="71D987BD" w:rsidR="001B78A3" w:rsidRPr="00A543A3" w:rsidRDefault="001B78A3" w:rsidP="001B78A3">
      <w:pPr>
        <w:spacing w:line="276" w:lineRule="auto"/>
        <w:rPr>
          <w:rFonts w:cstheme="minorHAnsi"/>
        </w:rPr>
      </w:pPr>
      <w:r w:rsidRPr="00A543A3">
        <w:rPr>
          <w:rFonts w:cstheme="minorHAnsi"/>
        </w:rPr>
        <w:t>Hallaq, W. B, ‘Islamic Legal Theories’ An Introduction to Sunni usul al-fiqh, Cambridge University Press, United Kingdom, 1997</w:t>
      </w:r>
    </w:p>
    <w:p w14:paraId="4DAFEBDA" w14:textId="77777777" w:rsidR="001B78A3" w:rsidRPr="00A543A3" w:rsidRDefault="001B78A3" w:rsidP="00DC7B8F">
      <w:pPr>
        <w:rPr>
          <w:rFonts w:cstheme="minorHAnsi"/>
        </w:rPr>
      </w:pPr>
    </w:p>
    <w:p w14:paraId="05BE9651" w14:textId="1DA26879" w:rsidR="003E696E" w:rsidRPr="00A543A3" w:rsidRDefault="003E696E" w:rsidP="003E696E">
      <w:pPr>
        <w:rPr>
          <w:rFonts w:cstheme="minorHAnsi"/>
        </w:rPr>
      </w:pPr>
      <w:r w:rsidRPr="00A543A3">
        <w:rPr>
          <w:rFonts w:cstheme="minorHAnsi"/>
        </w:rPr>
        <w:t>Ibrahim, B</w:t>
      </w:r>
      <w:r w:rsidR="00E34472" w:rsidRPr="00A543A3">
        <w:rPr>
          <w:rFonts w:cstheme="minorHAnsi"/>
        </w:rPr>
        <w:t xml:space="preserve">., </w:t>
      </w:r>
      <w:r w:rsidRPr="00A543A3">
        <w:rPr>
          <w:rFonts w:cstheme="minorHAnsi"/>
        </w:rPr>
        <w:t xml:space="preserve">Arifin, </w:t>
      </w:r>
      <w:r w:rsidR="00E34472" w:rsidRPr="00A543A3">
        <w:rPr>
          <w:rFonts w:cstheme="minorHAnsi"/>
        </w:rPr>
        <w:t xml:space="preserve">and </w:t>
      </w:r>
      <w:r w:rsidRPr="00A543A3">
        <w:rPr>
          <w:rFonts w:cstheme="minorHAnsi"/>
        </w:rPr>
        <w:t>Abd Rashid, S</w:t>
      </w:r>
      <w:r w:rsidR="00E34472" w:rsidRPr="00A543A3">
        <w:rPr>
          <w:rFonts w:cstheme="minorHAnsi"/>
        </w:rPr>
        <w:t>.</w:t>
      </w:r>
      <w:r w:rsidRPr="00A543A3">
        <w:rPr>
          <w:rFonts w:cstheme="minorHAnsi"/>
        </w:rPr>
        <w:t>Z</w:t>
      </w:r>
      <w:r w:rsidR="00E34472" w:rsidRPr="00A543A3">
        <w:rPr>
          <w:rFonts w:cstheme="minorHAnsi"/>
        </w:rPr>
        <w:t>.,</w:t>
      </w:r>
      <w:r w:rsidRPr="00A543A3">
        <w:rPr>
          <w:rFonts w:cstheme="minorHAnsi"/>
        </w:rPr>
        <w:t xml:space="preserve"> ‘The Role of Fatwa and Mufti in Contemporary Muslim Society’, </w:t>
      </w:r>
      <w:r w:rsidRPr="00A543A3">
        <w:rPr>
          <w:rFonts w:cstheme="minorHAnsi"/>
          <w:i/>
        </w:rPr>
        <w:t>Pertanika Journal of Social Sciences &amp; Humanities</w:t>
      </w:r>
      <w:r w:rsidRPr="00A543A3">
        <w:rPr>
          <w:rFonts w:cstheme="minorHAnsi"/>
        </w:rPr>
        <w:t>, vol. 23, pp. 315–325,</w:t>
      </w:r>
      <w:r w:rsidR="002A45AE" w:rsidRPr="00A543A3">
        <w:rPr>
          <w:rFonts w:cstheme="minorHAnsi"/>
        </w:rPr>
        <w:t xml:space="preserve"> 2015,</w:t>
      </w:r>
      <w:r w:rsidRPr="00A543A3">
        <w:rPr>
          <w:rFonts w:cstheme="minorHAnsi"/>
        </w:rPr>
        <w:t xml:space="preserve"> </w:t>
      </w:r>
      <w:r w:rsidR="002A45AE" w:rsidRPr="00A543A3">
        <w:rPr>
          <w:rFonts w:cstheme="minorHAnsi"/>
        </w:rPr>
        <w:t xml:space="preserve">[last accessed </w:t>
      </w:r>
      <w:r w:rsidRPr="00A543A3">
        <w:rPr>
          <w:rFonts w:cstheme="minorHAnsi"/>
        </w:rPr>
        <w:t>19</w:t>
      </w:r>
      <w:r w:rsidR="002A45AE" w:rsidRPr="00A543A3">
        <w:rPr>
          <w:rFonts w:cstheme="minorHAnsi"/>
          <w:vertAlign w:val="superscript"/>
        </w:rPr>
        <w:t>th</w:t>
      </w:r>
      <w:r w:rsidR="002A45AE" w:rsidRPr="00A543A3">
        <w:rPr>
          <w:rFonts w:cstheme="minorHAnsi"/>
        </w:rPr>
        <w:t xml:space="preserve"> </w:t>
      </w:r>
      <w:r w:rsidRPr="00A543A3">
        <w:rPr>
          <w:rFonts w:cstheme="minorHAnsi"/>
        </w:rPr>
        <w:t xml:space="preserve">May 2019, </w:t>
      </w:r>
      <w:r w:rsidR="002A45AE" w:rsidRPr="00A543A3">
        <w:rPr>
          <w:rFonts w:cstheme="minorHAnsi"/>
        </w:rPr>
        <w:t xml:space="preserve">available at </w:t>
      </w:r>
      <w:hyperlink r:id="rId10" w:history="1">
        <w:r w:rsidR="002A45AE" w:rsidRPr="00A543A3">
          <w:rPr>
            <w:rStyle w:val="Hyperlink"/>
            <w:rFonts w:cstheme="minorHAnsi"/>
          </w:rPr>
          <w:t>https://search-ebscohost-com.ezproxy.uwtsd.ac.uk/login.aspx?direct=true&amp;db=hus&amp;AN=117766089&amp;site=ehost-live</w:t>
        </w:r>
      </w:hyperlink>
    </w:p>
    <w:p w14:paraId="716689BA" w14:textId="5BEC06B7" w:rsidR="003E696E" w:rsidRPr="00A543A3" w:rsidRDefault="003E696E" w:rsidP="0045733C">
      <w:pPr>
        <w:rPr>
          <w:rFonts w:cstheme="minorHAnsi"/>
        </w:rPr>
      </w:pPr>
    </w:p>
    <w:p w14:paraId="5B13B17E" w14:textId="77777777" w:rsidR="004353C2" w:rsidRPr="00A543A3" w:rsidRDefault="004353C2" w:rsidP="004353C2">
      <w:pPr>
        <w:rPr>
          <w:rFonts w:cstheme="minorHAnsi"/>
        </w:rPr>
      </w:pPr>
      <w:r w:rsidRPr="00A543A3">
        <w:rPr>
          <w:rFonts w:cstheme="minorHAnsi"/>
        </w:rPr>
        <w:t xml:space="preserve">Masud, M. K., Messick, B. and Dallal, A. S., "Fatwa", in </w:t>
      </w:r>
      <w:r w:rsidRPr="00A543A3">
        <w:rPr>
          <w:rFonts w:cstheme="minorHAnsi"/>
          <w:i/>
        </w:rPr>
        <w:t>The Oxford Encyclopedia of the Modern Islamic World</w:t>
      </w:r>
      <w:r w:rsidRPr="00A543A3">
        <w:rPr>
          <w:rFonts w:cstheme="minorHAnsi"/>
        </w:rPr>
        <w:t>, edited by John L. Esposito, Oxford Islamic Studies Online, date unknown, [last accessed 19</w:t>
      </w:r>
      <w:r w:rsidRPr="00A543A3">
        <w:rPr>
          <w:rFonts w:cstheme="minorHAnsi"/>
          <w:vertAlign w:val="superscript"/>
        </w:rPr>
        <w:t>th</w:t>
      </w:r>
      <w:r w:rsidRPr="00A543A3">
        <w:rPr>
          <w:rFonts w:cstheme="minorHAnsi"/>
        </w:rPr>
        <w:t xml:space="preserve"> May 2019], available at  </w:t>
      </w:r>
      <w:hyperlink r:id="rId11" w:history="1">
        <w:r w:rsidRPr="00A543A3">
          <w:rPr>
            <w:rStyle w:val="Hyperlink"/>
            <w:rFonts w:cstheme="minorHAnsi"/>
          </w:rPr>
          <w:t>http://www.oxfordislamicstudies.com.ezproxy.uwtsd.ac.uk/article/opr/t236MIW/e0243</w:t>
        </w:r>
      </w:hyperlink>
    </w:p>
    <w:p w14:paraId="3F2F12E9" w14:textId="0BF54D83" w:rsidR="004D720C" w:rsidRPr="00A543A3" w:rsidRDefault="004D720C">
      <w:pPr>
        <w:rPr>
          <w:rFonts w:cstheme="minorHAnsi"/>
        </w:rPr>
      </w:pPr>
    </w:p>
    <w:p w14:paraId="58A40838" w14:textId="77777777" w:rsidR="004353C2" w:rsidRPr="00A543A3" w:rsidRDefault="004353C2" w:rsidP="004353C2">
      <w:pPr>
        <w:rPr>
          <w:rFonts w:cstheme="minorHAnsi"/>
        </w:rPr>
      </w:pPr>
      <w:r w:rsidRPr="00A543A3">
        <w:rPr>
          <w:rFonts w:cstheme="minorHAnsi"/>
        </w:rPr>
        <w:t xml:space="preserve">Skovgaard-Petersen, J., ‘A Typology of Fatwas’, </w:t>
      </w:r>
      <w:r w:rsidRPr="00A543A3">
        <w:rPr>
          <w:rFonts w:cstheme="minorHAnsi"/>
          <w:i/>
        </w:rPr>
        <w:t>Welt des Islams</w:t>
      </w:r>
      <w:r w:rsidRPr="00A543A3">
        <w:rPr>
          <w:rFonts w:cstheme="minorHAnsi"/>
        </w:rPr>
        <w:t>, vol. 55, no. 3/4, pp. 278–285, 2015, [last accessed 19</w:t>
      </w:r>
      <w:r w:rsidRPr="00A543A3">
        <w:rPr>
          <w:rFonts w:cstheme="minorHAnsi"/>
          <w:vertAlign w:val="superscript"/>
        </w:rPr>
        <w:t>th</w:t>
      </w:r>
      <w:r w:rsidRPr="00A543A3">
        <w:rPr>
          <w:rFonts w:cstheme="minorHAnsi"/>
        </w:rPr>
        <w:t xml:space="preserve"> May 2019], available at </w:t>
      </w:r>
      <w:hyperlink r:id="rId12" w:history="1">
        <w:r w:rsidRPr="00A543A3">
          <w:rPr>
            <w:rStyle w:val="Hyperlink"/>
            <w:rFonts w:cstheme="minorHAnsi"/>
          </w:rPr>
          <w:t>https://search-ebscohost-com.ezproxy.uwtsd.ac.uk/login.aspx?direct=true&amp;db=aph&amp;AN=112029045&amp;site=ehost-live</w:t>
        </w:r>
      </w:hyperlink>
    </w:p>
    <w:p w14:paraId="27DC2AD5" w14:textId="77777777" w:rsidR="004353C2" w:rsidRPr="00A543A3" w:rsidRDefault="004353C2" w:rsidP="004353C2"/>
    <w:p w14:paraId="5CAB5E66" w14:textId="355157A8" w:rsidR="004D720C" w:rsidRDefault="004D720C"/>
    <w:p w14:paraId="0C9C9164" w14:textId="6D825622" w:rsidR="004D720C" w:rsidRDefault="004D720C">
      <w:bookmarkStart w:id="0" w:name="_GoBack"/>
      <w:bookmarkEnd w:id="0"/>
    </w:p>
    <w:p w14:paraId="612C1316" w14:textId="72E51B4A" w:rsidR="002909CE" w:rsidRDefault="002909CE"/>
    <w:p w14:paraId="0B0F90B9" w14:textId="77777777" w:rsidR="002B3487" w:rsidRDefault="002B3487"/>
    <w:sectPr w:rsidR="002B3487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249623" w14:textId="77777777" w:rsidR="00E96A34" w:rsidRDefault="00E96A34" w:rsidP="00802A97">
      <w:pPr>
        <w:spacing w:after="0" w:line="240" w:lineRule="auto"/>
      </w:pPr>
      <w:r>
        <w:separator/>
      </w:r>
    </w:p>
  </w:endnote>
  <w:endnote w:type="continuationSeparator" w:id="0">
    <w:p w14:paraId="580D13A3" w14:textId="77777777" w:rsidR="00E96A34" w:rsidRDefault="00E96A34" w:rsidP="0080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315734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F7F71A" w14:textId="4D45A331" w:rsidR="001D01C7" w:rsidRDefault="001D01C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6FADFF" w14:textId="77777777" w:rsidR="001D01C7" w:rsidRDefault="001D01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507041" w14:textId="77777777" w:rsidR="00E96A34" w:rsidRDefault="00E96A34" w:rsidP="00802A97">
      <w:pPr>
        <w:spacing w:after="0" w:line="240" w:lineRule="auto"/>
      </w:pPr>
      <w:r>
        <w:separator/>
      </w:r>
    </w:p>
  </w:footnote>
  <w:footnote w:type="continuationSeparator" w:id="0">
    <w:p w14:paraId="0B564431" w14:textId="77777777" w:rsidR="00E96A34" w:rsidRDefault="00E96A34" w:rsidP="00802A97">
      <w:pPr>
        <w:spacing w:after="0" w:line="240" w:lineRule="auto"/>
      </w:pPr>
      <w:r>
        <w:continuationSeparator/>
      </w:r>
    </w:p>
  </w:footnote>
  <w:footnote w:id="1">
    <w:p w14:paraId="17DCAD9D" w14:textId="2A4E13E5" w:rsidR="001A600C" w:rsidRPr="004B3D9A" w:rsidRDefault="001A600C" w:rsidP="00BE2E80">
      <w:pPr>
        <w:rPr>
          <w:rFonts w:cstheme="minorHAnsi"/>
          <w:color w:val="000000"/>
          <w:sz w:val="18"/>
          <w:szCs w:val="18"/>
          <w:shd w:val="clear" w:color="auto" w:fill="FFFFFF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</w:t>
      </w:r>
      <w:r w:rsidR="009E066F" w:rsidRPr="009E066F">
        <w:rPr>
          <w:rFonts w:cstheme="minorHAnsi"/>
          <w:sz w:val="18"/>
          <w:szCs w:val="18"/>
        </w:rPr>
        <w:t xml:space="preserve">Esposito, J.L. (ed), "Fatwa" in </w:t>
      </w:r>
      <w:r w:rsidR="009E066F" w:rsidRPr="009E066F">
        <w:rPr>
          <w:rFonts w:cstheme="minorHAnsi"/>
          <w:i/>
          <w:sz w:val="18"/>
          <w:szCs w:val="18"/>
        </w:rPr>
        <w:t>‘The Oxford Dictionary of Islam’</w:t>
      </w:r>
      <w:r w:rsidR="00095237">
        <w:rPr>
          <w:rFonts w:cstheme="minorHAnsi"/>
          <w:sz w:val="18"/>
          <w:szCs w:val="18"/>
        </w:rPr>
        <w:t>,</w:t>
      </w:r>
      <w:r w:rsidR="009E066F" w:rsidRPr="009E066F">
        <w:rPr>
          <w:rFonts w:cstheme="minorHAnsi"/>
          <w:sz w:val="18"/>
          <w:szCs w:val="18"/>
        </w:rPr>
        <w:t xml:space="preserve"> edited by John L. Esposito. Oxford Islamic Studies Online</w:t>
      </w:r>
    </w:p>
  </w:footnote>
  <w:footnote w:id="2">
    <w:p w14:paraId="295878F3" w14:textId="0411F00F" w:rsidR="009B0861" w:rsidRPr="004B3D9A" w:rsidRDefault="009B0861">
      <w:pPr>
        <w:pStyle w:val="FootnoteText"/>
        <w:rPr>
          <w:rFonts w:cstheme="minorHAnsi"/>
          <w:sz w:val="18"/>
          <w:szCs w:val="18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</w:t>
      </w:r>
      <w:r w:rsidR="009E066F" w:rsidRPr="009E066F">
        <w:rPr>
          <w:rFonts w:cstheme="minorHAnsi"/>
          <w:i/>
          <w:iCs/>
          <w:color w:val="000000"/>
          <w:sz w:val="18"/>
          <w:szCs w:val="18"/>
          <w:shd w:val="clear" w:color="auto" w:fill="FFFFFF"/>
        </w:rPr>
        <w:t>Masud, M. K., Messick, B. and Dallal, A. S., "Fatwa", in The Oxford Encyclopedia of the Modern Islamic World, edited by John L. Esposito, Oxford Islamic Studies Online</w:t>
      </w:r>
    </w:p>
  </w:footnote>
  <w:footnote w:id="3">
    <w:p w14:paraId="0F65DA22" w14:textId="064B64D9" w:rsidR="002B3487" w:rsidRPr="004B3D9A" w:rsidRDefault="002B3487">
      <w:pPr>
        <w:pStyle w:val="FootnoteText"/>
        <w:rPr>
          <w:rFonts w:cstheme="minorHAnsi"/>
          <w:sz w:val="18"/>
          <w:szCs w:val="18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</w:t>
      </w:r>
      <w:r w:rsidR="003E5D4A">
        <w:rPr>
          <w:rFonts w:cstheme="minorHAnsi"/>
          <w:i/>
          <w:iCs/>
          <w:color w:val="000000"/>
          <w:sz w:val="18"/>
          <w:szCs w:val="18"/>
          <w:shd w:val="clear" w:color="auto" w:fill="FFFFFF"/>
        </w:rPr>
        <w:t>ibid</w:t>
      </w:r>
    </w:p>
  </w:footnote>
  <w:footnote w:id="4">
    <w:p w14:paraId="20F14173" w14:textId="527211F3" w:rsidR="008F6A26" w:rsidRPr="004B3D9A" w:rsidRDefault="008F6A26">
      <w:pPr>
        <w:pStyle w:val="FootnoteText"/>
        <w:rPr>
          <w:rFonts w:cstheme="minorHAnsi"/>
          <w:sz w:val="18"/>
          <w:szCs w:val="18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</w:t>
      </w:r>
      <w:r w:rsidR="00245212" w:rsidRPr="00245212">
        <w:rPr>
          <w:rFonts w:cstheme="minorHAnsi"/>
          <w:sz w:val="18"/>
          <w:szCs w:val="18"/>
        </w:rPr>
        <w:t>Ibrahim, B., Arifin, and Abd Rashid, S.Z., ‘The Role of Fatwa and Mufti in Contemporary Muslim Society’, Pertanika Journal of Social Sciences &amp; Humanities, vol. 23, pp. 315–325, 2015</w:t>
      </w:r>
      <w:r w:rsidR="00C80CFF" w:rsidRPr="004B3D9A">
        <w:rPr>
          <w:rFonts w:cstheme="minorHAnsi"/>
          <w:sz w:val="18"/>
          <w:szCs w:val="18"/>
        </w:rPr>
        <w:t>, p.316</w:t>
      </w:r>
    </w:p>
  </w:footnote>
  <w:footnote w:id="5">
    <w:p w14:paraId="2F3E7A65" w14:textId="79BC165C" w:rsidR="00D06650" w:rsidRPr="004B3D9A" w:rsidRDefault="00D06650">
      <w:pPr>
        <w:pStyle w:val="FootnoteText"/>
        <w:rPr>
          <w:rFonts w:cstheme="minorHAnsi"/>
          <w:sz w:val="18"/>
          <w:szCs w:val="18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</w:t>
      </w:r>
      <w:r w:rsidR="00245212" w:rsidRPr="00245212">
        <w:rPr>
          <w:rFonts w:cstheme="minorHAnsi"/>
          <w:sz w:val="18"/>
          <w:szCs w:val="18"/>
        </w:rPr>
        <w:t>Esposito, J.L. (ed), "Ifta" in ‘The Oxford Dictionary of Islam’</w:t>
      </w:r>
      <w:r w:rsidR="00095237">
        <w:rPr>
          <w:rFonts w:cstheme="minorHAnsi"/>
          <w:sz w:val="18"/>
          <w:szCs w:val="18"/>
        </w:rPr>
        <w:t xml:space="preserve">, </w:t>
      </w:r>
      <w:r w:rsidR="00245212" w:rsidRPr="00245212">
        <w:rPr>
          <w:rFonts w:cstheme="minorHAnsi"/>
          <w:sz w:val="18"/>
          <w:szCs w:val="18"/>
        </w:rPr>
        <w:t>edited by John L. Esposito. Oxford Islamic Studies Online</w:t>
      </w:r>
    </w:p>
  </w:footnote>
  <w:footnote w:id="6">
    <w:p w14:paraId="665FB2AE" w14:textId="63A008C5" w:rsidR="009C3FEC" w:rsidRPr="004B3D9A" w:rsidRDefault="009C3FEC">
      <w:pPr>
        <w:pStyle w:val="FootnoteText"/>
        <w:rPr>
          <w:rFonts w:cstheme="minorHAnsi"/>
          <w:sz w:val="18"/>
          <w:szCs w:val="18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</w:t>
      </w:r>
      <w:r w:rsidR="00095237" w:rsidRPr="00095237">
        <w:rPr>
          <w:rFonts w:cstheme="minorHAnsi"/>
          <w:sz w:val="18"/>
          <w:szCs w:val="18"/>
        </w:rPr>
        <w:t>Hallaq, W. B, ‘Islamic Legal Theories’ An Introduction to Sunni usul al-fiqh, Cambridge University Press, United Kingdom, 1997</w:t>
      </w:r>
      <w:r w:rsidRPr="004B3D9A">
        <w:rPr>
          <w:rFonts w:cstheme="minorHAnsi"/>
          <w:sz w:val="18"/>
          <w:szCs w:val="18"/>
        </w:rPr>
        <w:t>, p.117</w:t>
      </w:r>
    </w:p>
  </w:footnote>
  <w:footnote w:id="7">
    <w:p w14:paraId="4E6705D4" w14:textId="0BE1CB87" w:rsidR="00A42C8E" w:rsidRPr="004B3D9A" w:rsidRDefault="00A42C8E">
      <w:pPr>
        <w:pStyle w:val="FootnoteText"/>
        <w:rPr>
          <w:rFonts w:cstheme="minorHAnsi"/>
          <w:sz w:val="18"/>
          <w:szCs w:val="18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Ibrahim, B., Arifin, M. and Abd Rashid, S. Z.</w:t>
      </w:r>
      <w:r w:rsidR="007F021E" w:rsidRPr="004B3D9A">
        <w:rPr>
          <w:rFonts w:cstheme="minorHAnsi"/>
          <w:sz w:val="18"/>
          <w:szCs w:val="18"/>
        </w:rPr>
        <w:t>, p.316</w:t>
      </w:r>
    </w:p>
  </w:footnote>
  <w:footnote w:id="8">
    <w:p w14:paraId="66DDC25F" w14:textId="10A53E99" w:rsidR="004372EC" w:rsidRPr="004B3D9A" w:rsidRDefault="004372EC">
      <w:pPr>
        <w:pStyle w:val="FootnoteText"/>
        <w:rPr>
          <w:rFonts w:cstheme="minorHAnsi"/>
          <w:sz w:val="18"/>
          <w:szCs w:val="18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</w:t>
      </w:r>
      <w:r w:rsidR="0066782B" w:rsidRPr="0066782B">
        <w:rPr>
          <w:rFonts w:cstheme="minorHAnsi"/>
          <w:i/>
          <w:iCs/>
          <w:color w:val="000000"/>
          <w:sz w:val="18"/>
          <w:szCs w:val="18"/>
          <w:shd w:val="clear" w:color="auto" w:fill="FFFFFF"/>
        </w:rPr>
        <w:t>Esposito, J.L. (ed), "Fatwa" in ‘The Oxford Dictionary of Islam’, edited by John L. Esposito. Oxford Islamic Studies Online</w:t>
      </w:r>
    </w:p>
  </w:footnote>
  <w:footnote w:id="9">
    <w:p w14:paraId="337747B5" w14:textId="39761516" w:rsidR="00E45DE1" w:rsidRPr="004B3D9A" w:rsidRDefault="00E45DE1">
      <w:pPr>
        <w:pStyle w:val="FootnoteText"/>
        <w:rPr>
          <w:rFonts w:cstheme="minorHAnsi"/>
          <w:sz w:val="18"/>
          <w:szCs w:val="18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Ibrahim, B., Arifin, M. and Abd Rashid, S. Z., p.318</w:t>
      </w:r>
    </w:p>
  </w:footnote>
  <w:footnote w:id="10">
    <w:p w14:paraId="331BC11C" w14:textId="0B808CBC" w:rsidR="00F124D3" w:rsidRPr="004B3D9A" w:rsidRDefault="00F124D3">
      <w:pPr>
        <w:pStyle w:val="FootnoteText"/>
        <w:rPr>
          <w:rFonts w:cstheme="minorHAnsi"/>
          <w:sz w:val="18"/>
          <w:szCs w:val="18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</w:t>
      </w:r>
      <w:r w:rsidR="00E24D74">
        <w:rPr>
          <w:rFonts w:cstheme="minorHAnsi"/>
          <w:sz w:val="18"/>
          <w:szCs w:val="18"/>
        </w:rPr>
        <w:t xml:space="preserve">Tehelka, </w:t>
      </w:r>
      <w:r w:rsidR="0066782B" w:rsidRPr="0066782B">
        <w:rPr>
          <w:rFonts w:cstheme="minorHAnsi"/>
          <w:sz w:val="18"/>
          <w:szCs w:val="18"/>
        </w:rPr>
        <w:t xml:space="preserve">Author unknown, ‘Fatwas are opinions, not laws’, </w:t>
      </w:r>
      <w:r w:rsidR="0066782B" w:rsidRPr="00E24D74">
        <w:rPr>
          <w:rFonts w:cstheme="minorHAnsi"/>
          <w:i/>
          <w:sz w:val="18"/>
          <w:szCs w:val="18"/>
        </w:rPr>
        <w:t>Tehelka</w:t>
      </w:r>
      <w:r w:rsidR="0066782B" w:rsidRPr="0066782B">
        <w:rPr>
          <w:rFonts w:cstheme="minorHAnsi"/>
          <w:sz w:val="18"/>
          <w:szCs w:val="18"/>
        </w:rPr>
        <w:t>. 2014</w:t>
      </w:r>
    </w:p>
  </w:footnote>
  <w:footnote w:id="11">
    <w:p w14:paraId="04A16D7B" w14:textId="336307B9" w:rsidR="00465118" w:rsidRPr="00121D6C" w:rsidRDefault="00465118" w:rsidP="00121D6C">
      <w:pPr>
        <w:rPr>
          <w:rFonts w:cstheme="minorHAnsi"/>
          <w:sz w:val="20"/>
          <w:szCs w:val="20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</w:t>
      </w:r>
      <w:r w:rsidR="00121D6C" w:rsidRPr="00121D6C">
        <w:rPr>
          <w:rFonts w:cstheme="minorHAnsi"/>
          <w:sz w:val="18"/>
          <w:szCs w:val="18"/>
        </w:rPr>
        <w:t>Esposito, J.L. and Delong, N. J., ‘Shariah: What Everyone Needs to Know’, Oxford University Press, United Kingdom, 2018</w:t>
      </w:r>
      <w:r w:rsidR="00CD1277" w:rsidRPr="00121D6C">
        <w:rPr>
          <w:rFonts w:cstheme="minorHAnsi"/>
          <w:sz w:val="18"/>
          <w:szCs w:val="18"/>
        </w:rPr>
        <w:t>, p.70</w:t>
      </w:r>
    </w:p>
  </w:footnote>
  <w:footnote w:id="12">
    <w:p w14:paraId="5213776A" w14:textId="5FD06C64" w:rsidR="00CD1277" w:rsidRPr="004B3D9A" w:rsidRDefault="00CD1277">
      <w:pPr>
        <w:pStyle w:val="FootnoteText"/>
        <w:rPr>
          <w:rFonts w:cstheme="minorHAnsi"/>
          <w:sz w:val="18"/>
          <w:szCs w:val="18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</w:t>
      </w:r>
      <w:r w:rsidR="00121D6C">
        <w:rPr>
          <w:rFonts w:cstheme="minorHAnsi"/>
          <w:sz w:val="18"/>
          <w:szCs w:val="18"/>
        </w:rPr>
        <w:t>ibid</w:t>
      </w:r>
      <w:r w:rsidRPr="004B3D9A">
        <w:rPr>
          <w:rFonts w:cstheme="minorHAnsi"/>
          <w:sz w:val="18"/>
          <w:szCs w:val="18"/>
        </w:rPr>
        <w:t xml:space="preserve">, </w:t>
      </w:r>
      <w:r w:rsidR="003E4A3D" w:rsidRPr="004B3D9A">
        <w:rPr>
          <w:rFonts w:cstheme="minorHAnsi"/>
          <w:sz w:val="18"/>
          <w:szCs w:val="18"/>
        </w:rPr>
        <w:t>p.70</w:t>
      </w:r>
    </w:p>
  </w:footnote>
  <w:footnote w:id="13">
    <w:p w14:paraId="1C4AFA29" w14:textId="39F58A5F" w:rsidR="00F124D3" w:rsidRPr="004B3D9A" w:rsidRDefault="00F124D3">
      <w:pPr>
        <w:pStyle w:val="FootnoteText"/>
        <w:rPr>
          <w:rFonts w:cstheme="minorHAnsi"/>
          <w:sz w:val="18"/>
          <w:szCs w:val="18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</w:t>
      </w:r>
      <w:r w:rsidR="00ED7803" w:rsidRPr="00ED7803">
        <w:rPr>
          <w:rFonts w:cstheme="minorHAnsi"/>
          <w:sz w:val="18"/>
          <w:szCs w:val="18"/>
        </w:rPr>
        <w:t>Author unknown, ‘Fatwas are opinions, not laws’, Tehelka. 2014</w:t>
      </w:r>
    </w:p>
  </w:footnote>
  <w:footnote w:id="14">
    <w:p w14:paraId="4D655A6C" w14:textId="49D3DC10" w:rsidR="00516C27" w:rsidRPr="004B3D9A" w:rsidRDefault="00516C27">
      <w:pPr>
        <w:pStyle w:val="FootnoteText"/>
        <w:rPr>
          <w:rFonts w:cstheme="minorHAnsi"/>
          <w:sz w:val="18"/>
          <w:szCs w:val="18"/>
        </w:rPr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Esposito and Delong-Bas, p.70</w:t>
      </w:r>
    </w:p>
  </w:footnote>
  <w:footnote w:id="15">
    <w:p w14:paraId="5828A6B6" w14:textId="6FEA720D" w:rsidR="00C846C6" w:rsidRDefault="00C846C6">
      <w:pPr>
        <w:pStyle w:val="FootnoteText"/>
      </w:pPr>
      <w:r w:rsidRPr="004B3D9A">
        <w:rPr>
          <w:rStyle w:val="FootnoteReference"/>
          <w:rFonts w:cstheme="minorHAnsi"/>
          <w:sz w:val="18"/>
          <w:szCs w:val="18"/>
        </w:rPr>
        <w:footnoteRef/>
      </w:r>
      <w:r w:rsidRPr="004B3D9A">
        <w:rPr>
          <w:rFonts w:cstheme="minorHAnsi"/>
          <w:sz w:val="18"/>
          <w:szCs w:val="18"/>
        </w:rPr>
        <w:t xml:space="preserve"> Tehelka</w:t>
      </w:r>
    </w:p>
  </w:footnote>
  <w:footnote w:id="16">
    <w:p w14:paraId="65FDACB2" w14:textId="7AF85A9E" w:rsidR="00BD141F" w:rsidRPr="009E066F" w:rsidRDefault="00BD141F">
      <w:pPr>
        <w:pStyle w:val="FootnoteText"/>
        <w:rPr>
          <w:rFonts w:cstheme="minorHAnsi"/>
          <w:sz w:val="18"/>
          <w:szCs w:val="18"/>
        </w:rPr>
      </w:pPr>
      <w:r w:rsidRPr="009E066F">
        <w:rPr>
          <w:rStyle w:val="FootnoteReference"/>
          <w:rFonts w:cstheme="minorHAnsi"/>
          <w:sz w:val="18"/>
          <w:szCs w:val="18"/>
        </w:rPr>
        <w:footnoteRef/>
      </w:r>
      <w:r w:rsidRPr="009E066F">
        <w:rPr>
          <w:rFonts w:cstheme="minorHAnsi"/>
          <w:sz w:val="18"/>
          <w:szCs w:val="18"/>
        </w:rPr>
        <w:t xml:space="preserve"> </w:t>
      </w:r>
      <w:r w:rsidR="009E066F" w:rsidRPr="009E066F">
        <w:rPr>
          <w:rFonts w:cstheme="minorHAnsi"/>
          <w:sz w:val="18"/>
          <w:szCs w:val="18"/>
        </w:rPr>
        <w:t xml:space="preserve">Skovgaard-Petersen, J., ‘A Typology of Fatwas’, </w:t>
      </w:r>
      <w:r w:rsidR="009E066F" w:rsidRPr="009E066F">
        <w:rPr>
          <w:rFonts w:cstheme="minorHAnsi"/>
          <w:i/>
          <w:sz w:val="18"/>
          <w:szCs w:val="18"/>
        </w:rPr>
        <w:t>Welt des Islams</w:t>
      </w:r>
      <w:r w:rsidR="009E066F" w:rsidRPr="009E066F">
        <w:rPr>
          <w:rFonts w:cstheme="minorHAnsi"/>
          <w:sz w:val="18"/>
          <w:szCs w:val="18"/>
        </w:rPr>
        <w:t>, vol. 55, no. 3/4, pp. 278–285, 2015</w:t>
      </w:r>
      <w:r w:rsidRPr="009E066F">
        <w:rPr>
          <w:rFonts w:cstheme="minorHAnsi"/>
          <w:sz w:val="18"/>
          <w:szCs w:val="18"/>
        </w:rPr>
        <w:t>, p.279</w:t>
      </w:r>
    </w:p>
  </w:footnote>
  <w:footnote w:id="17">
    <w:p w14:paraId="4EBB692E" w14:textId="5E8105B5" w:rsidR="00C952BA" w:rsidRPr="009E066F" w:rsidRDefault="00C952BA">
      <w:pPr>
        <w:pStyle w:val="FootnoteText"/>
        <w:rPr>
          <w:rFonts w:cstheme="minorHAnsi"/>
          <w:sz w:val="18"/>
          <w:szCs w:val="18"/>
        </w:rPr>
      </w:pPr>
      <w:r w:rsidRPr="009E066F">
        <w:rPr>
          <w:rStyle w:val="FootnoteReference"/>
          <w:rFonts w:cstheme="minorHAnsi"/>
          <w:sz w:val="18"/>
          <w:szCs w:val="18"/>
        </w:rPr>
        <w:footnoteRef/>
      </w:r>
      <w:r w:rsidRPr="009E066F">
        <w:rPr>
          <w:rFonts w:cstheme="minorHAnsi"/>
          <w:sz w:val="18"/>
          <w:szCs w:val="18"/>
        </w:rPr>
        <w:t xml:space="preserve"> </w:t>
      </w:r>
      <w:r w:rsidR="00B40EF5" w:rsidRPr="009E066F">
        <w:rPr>
          <w:rFonts w:cstheme="minorHAnsi"/>
          <w:sz w:val="18"/>
          <w:szCs w:val="18"/>
        </w:rPr>
        <w:t>ibid</w:t>
      </w:r>
      <w:r w:rsidRPr="009E066F">
        <w:rPr>
          <w:rFonts w:cstheme="minorHAnsi"/>
          <w:sz w:val="18"/>
          <w:szCs w:val="18"/>
        </w:rPr>
        <w:t>, p.279</w:t>
      </w:r>
    </w:p>
  </w:footnote>
  <w:footnote w:id="18">
    <w:p w14:paraId="22A2323C" w14:textId="68801476" w:rsidR="00CE78D2" w:rsidRPr="009E066F" w:rsidRDefault="00CE78D2">
      <w:pPr>
        <w:pStyle w:val="FootnoteText"/>
        <w:rPr>
          <w:rFonts w:cstheme="minorHAnsi"/>
          <w:sz w:val="18"/>
          <w:szCs w:val="18"/>
        </w:rPr>
      </w:pPr>
      <w:r w:rsidRPr="009E066F">
        <w:rPr>
          <w:rStyle w:val="FootnoteReference"/>
          <w:rFonts w:cstheme="minorHAnsi"/>
          <w:sz w:val="18"/>
          <w:szCs w:val="18"/>
        </w:rPr>
        <w:footnoteRef/>
      </w:r>
      <w:r w:rsidRPr="009E066F">
        <w:rPr>
          <w:rFonts w:cstheme="minorHAnsi"/>
          <w:sz w:val="18"/>
          <w:szCs w:val="18"/>
        </w:rPr>
        <w:t xml:space="preserve"> </w:t>
      </w:r>
      <w:r w:rsidR="00B40EF5" w:rsidRPr="009E066F">
        <w:rPr>
          <w:rFonts w:cstheme="minorHAnsi"/>
          <w:sz w:val="18"/>
          <w:szCs w:val="18"/>
        </w:rPr>
        <w:t>ibid</w:t>
      </w:r>
      <w:r w:rsidRPr="009E066F">
        <w:rPr>
          <w:rFonts w:cstheme="minorHAnsi"/>
          <w:sz w:val="18"/>
          <w:szCs w:val="18"/>
        </w:rPr>
        <w:t>, p.280</w:t>
      </w:r>
    </w:p>
  </w:footnote>
  <w:footnote w:id="19">
    <w:p w14:paraId="261790E0" w14:textId="4F585D37" w:rsidR="007973E4" w:rsidRPr="009E066F" w:rsidRDefault="007973E4">
      <w:pPr>
        <w:pStyle w:val="FootnoteText"/>
        <w:rPr>
          <w:rFonts w:cstheme="minorHAnsi"/>
          <w:sz w:val="18"/>
          <w:szCs w:val="18"/>
        </w:rPr>
      </w:pPr>
      <w:r w:rsidRPr="009E066F">
        <w:rPr>
          <w:rStyle w:val="FootnoteReference"/>
          <w:rFonts w:cstheme="minorHAnsi"/>
          <w:sz w:val="18"/>
          <w:szCs w:val="18"/>
        </w:rPr>
        <w:footnoteRef/>
      </w:r>
      <w:r w:rsidRPr="009E066F">
        <w:rPr>
          <w:rFonts w:cstheme="minorHAnsi"/>
          <w:sz w:val="18"/>
          <w:szCs w:val="18"/>
        </w:rPr>
        <w:t xml:space="preserve"> </w:t>
      </w:r>
      <w:r w:rsidR="00B40EF5" w:rsidRPr="009E066F">
        <w:rPr>
          <w:rFonts w:cstheme="minorHAnsi"/>
          <w:sz w:val="18"/>
          <w:szCs w:val="18"/>
        </w:rPr>
        <w:t>ibid</w:t>
      </w:r>
      <w:r w:rsidRPr="009E066F">
        <w:rPr>
          <w:rFonts w:cstheme="minorHAnsi"/>
          <w:sz w:val="18"/>
          <w:szCs w:val="18"/>
        </w:rPr>
        <w:t>, p.281</w:t>
      </w:r>
    </w:p>
  </w:footnote>
  <w:footnote w:id="20">
    <w:p w14:paraId="5825B55E" w14:textId="4C984EDF" w:rsidR="00D4385E" w:rsidRPr="009E066F" w:rsidRDefault="00D4385E">
      <w:pPr>
        <w:pStyle w:val="FootnoteText"/>
        <w:rPr>
          <w:rFonts w:cstheme="minorHAnsi"/>
          <w:sz w:val="18"/>
          <w:szCs w:val="18"/>
        </w:rPr>
      </w:pPr>
      <w:r w:rsidRPr="009E066F">
        <w:rPr>
          <w:rStyle w:val="FootnoteReference"/>
          <w:rFonts w:cstheme="minorHAnsi"/>
          <w:sz w:val="18"/>
          <w:szCs w:val="18"/>
        </w:rPr>
        <w:footnoteRef/>
      </w:r>
      <w:r w:rsidRPr="009E066F">
        <w:rPr>
          <w:rFonts w:cstheme="minorHAnsi"/>
          <w:sz w:val="18"/>
          <w:szCs w:val="18"/>
        </w:rPr>
        <w:t xml:space="preserve"> </w:t>
      </w:r>
      <w:r w:rsidR="00B40EF5" w:rsidRPr="009E066F">
        <w:rPr>
          <w:rFonts w:cstheme="minorHAnsi"/>
          <w:sz w:val="18"/>
          <w:szCs w:val="18"/>
        </w:rPr>
        <w:t>ibid</w:t>
      </w:r>
      <w:r w:rsidRPr="009E066F">
        <w:rPr>
          <w:rFonts w:cstheme="minorHAnsi"/>
          <w:sz w:val="18"/>
          <w:szCs w:val="18"/>
        </w:rPr>
        <w:t>, p.282-3</w:t>
      </w:r>
    </w:p>
  </w:footnote>
  <w:footnote w:id="21">
    <w:p w14:paraId="188FBA9E" w14:textId="2797301C" w:rsidR="00E7232D" w:rsidRDefault="00E7232D">
      <w:pPr>
        <w:pStyle w:val="FootnoteText"/>
      </w:pPr>
      <w:r w:rsidRPr="009E066F">
        <w:rPr>
          <w:rStyle w:val="FootnoteReference"/>
          <w:rFonts w:cstheme="minorHAnsi"/>
          <w:sz w:val="18"/>
          <w:szCs w:val="18"/>
        </w:rPr>
        <w:footnoteRef/>
      </w:r>
      <w:r w:rsidRPr="009E066F">
        <w:rPr>
          <w:rFonts w:cstheme="minorHAnsi"/>
          <w:sz w:val="18"/>
          <w:szCs w:val="18"/>
        </w:rPr>
        <w:t xml:space="preserve"> </w:t>
      </w:r>
      <w:r w:rsidR="00B40EF5" w:rsidRPr="009E066F">
        <w:rPr>
          <w:rFonts w:cstheme="minorHAnsi"/>
          <w:sz w:val="18"/>
          <w:szCs w:val="18"/>
        </w:rPr>
        <w:t>ibid</w:t>
      </w:r>
      <w:r w:rsidRPr="009E066F">
        <w:rPr>
          <w:rFonts w:cstheme="minorHAnsi"/>
          <w:sz w:val="18"/>
          <w:szCs w:val="18"/>
        </w:rPr>
        <w:t>, p.284-5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D85FC" w14:textId="0C961A08" w:rsidR="001D01C7" w:rsidRDefault="001D01C7">
    <w:pPr>
      <w:pStyle w:val="Header"/>
    </w:pPr>
    <w:r>
      <w:t>Graham Lowe 1807689</w:t>
    </w:r>
    <w:r>
      <w:ptab w:relativeTo="margin" w:alignment="center" w:leader="none"/>
    </w:r>
    <w:r w:rsidR="00577835">
      <w:t xml:space="preserve">TRDL7064 - Encyclopaedia entry part </w:t>
    </w:r>
    <w:r w:rsidR="00A52EDA">
      <w:t>4</w:t>
    </w:r>
    <w:r w:rsidR="00793C38">
      <w:t xml:space="preserve"> - Fatwa</w:t>
    </w:r>
    <w:r>
      <w:ptab w:relativeTo="margin" w:alignment="right" w:leader="none"/>
    </w:r>
    <w:r w:rsidR="00577835">
      <w:t>24</w:t>
    </w:r>
    <w:r w:rsidR="00577835" w:rsidRPr="00577835">
      <w:rPr>
        <w:vertAlign w:val="superscript"/>
      </w:rPr>
      <w:t>th</w:t>
    </w:r>
    <w:r w:rsidR="00577835">
      <w:t xml:space="preserve"> May 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21A"/>
    <w:rsid w:val="000061E9"/>
    <w:rsid w:val="00015E22"/>
    <w:rsid w:val="00021988"/>
    <w:rsid w:val="000239DC"/>
    <w:rsid w:val="00025F34"/>
    <w:rsid w:val="00044892"/>
    <w:rsid w:val="000543D5"/>
    <w:rsid w:val="00055BF4"/>
    <w:rsid w:val="00064806"/>
    <w:rsid w:val="00064C19"/>
    <w:rsid w:val="00080C88"/>
    <w:rsid w:val="00087874"/>
    <w:rsid w:val="00095237"/>
    <w:rsid w:val="00097631"/>
    <w:rsid w:val="000B3842"/>
    <w:rsid w:val="000D0A28"/>
    <w:rsid w:val="000D2AAD"/>
    <w:rsid w:val="000D4CA2"/>
    <w:rsid w:val="000E1C76"/>
    <w:rsid w:val="00121D6C"/>
    <w:rsid w:val="00122FAC"/>
    <w:rsid w:val="00123FD7"/>
    <w:rsid w:val="0015177C"/>
    <w:rsid w:val="00152585"/>
    <w:rsid w:val="00171289"/>
    <w:rsid w:val="00171653"/>
    <w:rsid w:val="00172AF2"/>
    <w:rsid w:val="001A2DE7"/>
    <w:rsid w:val="001A600C"/>
    <w:rsid w:val="001A667B"/>
    <w:rsid w:val="001B28CC"/>
    <w:rsid w:val="001B78A3"/>
    <w:rsid w:val="001C70F8"/>
    <w:rsid w:val="001D01C7"/>
    <w:rsid w:val="001D756F"/>
    <w:rsid w:val="001E05AF"/>
    <w:rsid w:val="001F4D17"/>
    <w:rsid w:val="00212D3A"/>
    <w:rsid w:val="00231A1E"/>
    <w:rsid w:val="00233A49"/>
    <w:rsid w:val="00242AD8"/>
    <w:rsid w:val="00243C53"/>
    <w:rsid w:val="00244A41"/>
    <w:rsid w:val="00245212"/>
    <w:rsid w:val="00253871"/>
    <w:rsid w:val="002909CE"/>
    <w:rsid w:val="002A0580"/>
    <w:rsid w:val="002A439D"/>
    <w:rsid w:val="002A45AE"/>
    <w:rsid w:val="002B3487"/>
    <w:rsid w:val="002C05CE"/>
    <w:rsid w:val="002D3599"/>
    <w:rsid w:val="002E3FF4"/>
    <w:rsid w:val="002E4768"/>
    <w:rsid w:val="002E4E7F"/>
    <w:rsid w:val="002F41F2"/>
    <w:rsid w:val="0032328F"/>
    <w:rsid w:val="00325844"/>
    <w:rsid w:val="003322C8"/>
    <w:rsid w:val="003453FB"/>
    <w:rsid w:val="00347308"/>
    <w:rsid w:val="00347C6C"/>
    <w:rsid w:val="0035564C"/>
    <w:rsid w:val="00355B41"/>
    <w:rsid w:val="00360049"/>
    <w:rsid w:val="0036265D"/>
    <w:rsid w:val="00372607"/>
    <w:rsid w:val="003731A8"/>
    <w:rsid w:val="00386A53"/>
    <w:rsid w:val="00387504"/>
    <w:rsid w:val="00391BE3"/>
    <w:rsid w:val="003960D9"/>
    <w:rsid w:val="003A44FB"/>
    <w:rsid w:val="003B1603"/>
    <w:rsid w:val="003B751A"/>
    <w:rsid w:val="003C06C8"/>
    <w:rsid w:val="003D40BC"/>
    <w:rsid w:val="003D5FB8"/>
    <w:rsid w:val="003E0D5B"/>
    <w:rsid w:val="003E4A3D"/>
    <w:rsid w:val="003E595B"/>
    <w:rsid w:val="003E5D4A"/>
    <w:rsid w:val="003E696E"/>
    <w:rsid w:val="003F3396"/>
    <w:rsid w:val="0040655A"/>
    <w:rsid w:val="00413A2A"/>
    <w:rsid w:val="00424C78"/>
    <w:rsid w:val="004353C2"/>
    <w:rsid w:val="004372EC"/>
    <w:rsid w:val="0044269D"/>
    <w:rsid w:val="0044303C"/>
    <w:rsid w:val="0045733C"/>
    <w:rsid w:val="0046034E"/>
    <w:rsid w:val="00465118"/>
    <w:rsid w:val="00467E8A"/>
    <w:rsid w:val="004876B0"/>
    <w:rsid w:val="004A4CF0"/>
    <w:rsid w:val="004B3D9A"/>
    <w:rsid w:val="004C452A"/>
    <w:rsid w:val="004D217A"/>
    <w:rsid w:val="004D720C"/>
    <w:rsid w:val="004E211E"/>
    <w:rsid w:val="004E554F"/>
    <w:rsid w:val="004E6418"/>
    <w:rsid w:val="004E6AE1"/>
    <w:rsid w:val="004F089D"/>
    <w:rsid w:val="004F4CA8"/>
    <w:rsid w:val="004F69D6"/>
    <w:rsid w:val="00510634"/>
    <w:rsid w:val="00516C27"/>
    <w:rsid w:val="0052214A"/>
    <w:rsid w:val="00531F64"/>
    <w:rsid w:val="00535E85"/>
    <w:rsid w:val="00542C6D"/>
    <w:rsid w:val="0054429F"/>
    <w:rsid w:val="00577835"/>
    <w:rsid w:val="00586604"/>
    <w:rsid w:val="005A27F3"/>
    <w:rsid w:val="005A3017"/>
    <w:rsid w:val="005C0CEF"/>
    <w:rsid w:val="005C12C0"/>
    <w:rsid w:val="005C3B27"/>
    <w:rsid w:val="005C4C11"/>
    <w:rsid w:val="005D1ADD"/>
    <w:rsid w:val="005E0B04"/>
    <w:rsid w:val="005E7371"/>
    <w:rsid w:val="005F5ACC"/>
    <w:rsid w:val="00604244"/>
    <w:rsid w:val="00604DAF"/>
    <w:rsid w:val="00615451"/>
    <w:rsid w:val="00621413"/>
    <w:rsid w:val="00630712"/>
    <w:rsid w:val="00635FDA"/>
    <w:rsid w:val="006372F1"/>
    <w:rsid w:val="006516F8"/>
    <w:rsid w:val="0066782B"/>
    <w:rsid w:val="006B02B7"/>
    <w:rsid w:val="006B4C9F"/>
    <w:rsid w:val="006C7C51"/>
    <w:rsid w:val="006D629C"/>
    <w:rsid w:val="006E4C58"/>
    <w:rsid w:val="0071421A"/>
    <w:rsid w:val="00723581"/>
    <w:rsid w:val="007370D6"/>
    <w:rsid w:val="00737F36"/>
    <w:rsid w:val="007471ED"/>
    <w:rsid w:val="007626F1"/>
    <w:rsid w:val="00766A85"/>
    <w:rsid w:val="007723D7"/>
    <w:rsid w:val="00793C38"/>
    <w:rsid w:val="007973E4"/>
    <w:rsid w:val="007A1F65"/>
    <w:rsid w:val="007D1BFC"/>
    <w:rsid w:val="007D1F16"/>
    <w:rsid w:val="007E0979"/>
    <w:rsid w:val="007E4F15"/>
    <w:rsid w:val="007E73EA"/>
    <w:rsid w:val="007F000A"/>
    <w:rsid w:val="007F021E"/>
    <w:rsid w:val="00802A97"/>
    <w:rsid w:val="008069D9"/>
    <w:rsid w:val="0080761A"/>
    <w:rsid w:val="00824888"/>
    <w:rsid w:val="008272B6"/>
    <w:rsid w:val="0083061F"/>
    <w:rsid w:val="00855BA2"/>
    <w:rsid w:val="00863065"/>
    <w:rsid w:val="00867BEF"/>
    <w:rsid w:val="00873F6E"/>
    <w:rsid w:val="00886292"/>
    <w:rsid w:val="00896AE4"/>
    <w:rsid w:val="008A46FA"/>
    <w:rsid w:val="008B3B83"/>
    <w:rsid w:val="008C1EAA"/>
    <w:rsid w:val="008D3EBB"/>
    <w:rsid w:val="008D464C"/>
    <w:rsid w:val="008E2991"/>
    <w:rsid w:val="008E54EB"/>
    <w:rsid w:val="008F65D6"/>
    <w:rsid w:val="008F6A26"/>
    <w:rsid w:val="00906DBB"/>
    <w:rsid w:val="00927C14"/>
    <w:rsid w:val="00945D06"/>
    <w:rsid w:val="009472E3"/>
    <w:rsid w:val="00950808"/>
    <w:rsid w:val="00950966"/>
    <w:rsid w:val="00965076"/>
    <w:rsid w:val="00965604"/>
    <w:rsid w:val="00985E05"/>
    <w:rsid w:val="009B0861"/>
    <w:rsid w:val="009C1345"/>
    <w:rsid w:val="009C3FEC"/>
    <w:rsid w:val="009C74FA"/>
    <w:rsid w:val="009E066F"/>
    <w:rsid w:val="009E079E"/>
    <w:rsid w:val="009F00AE"/>
    <w:rsid w:val="009F505A"/>
    <w:rsid w:val="009F5D13"/>
    <w:rsid w:val="00A1605E"/>
    <w:rsid w:val="00A30EAF"/>
    <w:rsid w:val="00A33B72"/>
    <w:rsid w:val="00A36EC2"/>
    <w:rsid w:val="00A42C8E"/>
    <w:rsid w:val="00A466C0"/>
    <w:rsid w:val="00A52A3D"/>
    <w:rsid w:val="00A52EDA"/>
    <w:rsid w:val="00A543A3"/>
    <w:rsid w:val="00A55836"/>
    <w:rsid w:val="00A65372"/>
    <w:rsid w:val="00A67CE1"/>
    <w:rsid w:val="00A8031A"/>
    <w:rsid w:val="00A9403D"/>
    <w:rsid w:val="00AA04F9"/>
    <w:rsid w:val="00AA13C4"/>
    <w:rsid w:val="00AB245D"/>
    <w:rsid w:val="00AB6CE4"/>
    <w:rsid w:val="00AB7288"/>
    <w:rsid w:val="00AD3A0E"/>
    <w:rsid w:val="00AF4962"/>
    <w:rsid w:val="00B001C2"/>
    <w:rsid w:val="00B21547"/>
    <w:rsid w:val="00B21EEA"/>
    <w:rsid w:val="00B26A3B"/>
    <w:rsid w:val="00B315C2"/>
    <w:rsid w:val="00B40EF5"/>
    <w:rsid w:val="00B5555E"/>
    <w:rsid w:val="00B62765"/>
    <w:rsid w:val="00B7178C"/>
    <w:rsid w:val="00B85D3A"/>
    <w:rsid w:val="00B953E3"/>
    <w:rsid w:val="00BA2B49"/>
    <w:rsid w:val="00BB5314"/>
    <w:rsid w:val="00BC0FAE"/>
    <w:rsid w:val="00BD141F"/>
    <w:rsid w:val="00BE0188"/>
    <w:rsid w:val="00BE2E80"/>
    <w:rsid w:val="00BE777A"/>
    <w:rsid w:val="00BF3DBB"/>
    <w:rsid w:val="00C01164"/>
    <w:rsid w:val="00C05BFF"/>
    <w:rsid w:val="00C17B44"/>
    <w:rsid w:val="00C36A66"/>
    <w:rsid w:val="00C433D7"/>
    <w:rsid w:val="00C43630"/>
    <w:rsid w:val="00C65FF7"/>
    <w:rsid w:val="00C72AAE"/>
    <w:rsid w:val="00C749AB"/>
    <w:rsid w:val="00C7714E"/>
    <w:rsid w:val="00C77272"/>
    <w:rsid w:val="00C80CFF"/>
    <w:rsid w:val="00C846C6"/>
    <w:rsid w:val="00C8775E"/>
    <w:rsid w:val="00C952BA"/>
    <w:rsid w:val="00CA7B25"/>
    <w:rsid w:val="00CA7C9F"/>
    <w:rsid w:val="00CC725F"/>
    <w:rsid w:val="00CD1277"/>
    <w:rsid w:val="00CD6A34"/>
    <w:rsid w:val="00CE0208"/>
    <w:rsid w:val="00CE78D2"/>
    <w:rsid w:val="00D01E1E"/>
    <w:rsid w:val="00D03C32"/>
    <w:rsid w:val="00D06650"/>
    <w:rsid w:val="00D176A8"/>
    <w:rsid w:val="00D20CEF"/>
    <w:rsid w:val="00D26D9A"/>
    <w:rsid w:val="00D341DE"/>
    <w:rsid w:val="00D4385E"/>
    <w:rsid w:val="00D47AA0"/>
    <w:rsid w:val="00D56826"/>
    <w:rsid w:val="00D62582"/>
    <w:rsid w:val="00D65EB1"/>
    <w:rsid w:val="00D750FA"/>
    <w:rsid w:val="00D848ED"/>
    <w:rsid w:val="00DB66B0"/>
    <w:rsid w:val="00DC256C"/>
    <w:rsid w:val="00DC740D"/>
    <w:rsid w:val="00DC7B8F"/>
    <w:rsid w:val="00DF3007"/>
    <w:rsid w:val="00DF3B01"/>
    <w:rsid w:val="00DF72A1"/>
    <w:rsid w:val="00E01632"/>
    <w:rsid w:val="00E01725"/>
    <w:rsid w:val="00E12870"/>
    <w:rsid w:val="00E12EAA"/>
    <w:rsid w:val="00E14348"/>
    <w:rsid w:val="00E22081"/>
    <w:rsid w:val="00E24D74"/>
    <w:rsid w:val="00E27C7A"/>
    <w:rsid w:val="00E32180"/>
    <w:rsid w:val="00E34472"/>
    <w:rsid w:val="00E45DE1"/>
    <w:rsid w:val="00E7232D"/>
    <w:rsid w:val="00E7420F"/>
    <w:rsid w:val="00E8110A"/>
    <w:rsid w:val="00E85F22"/>
    <w:rsid w:val="00E87521"/>
    <w:rsid w:val="00E91547"/>
    <w:rsid w:val="00E9455E"/>
    <w:rsid w:val="00E96A34"/>
    <w:rsid w:val="00EB1170"/>
    <w:rsid w:val="00ED7803"/>
    <w:rsid w:val="00EE416C"/>
    <w:rsid w:val="00F124D3"/>
    <w:rsid w:val="00F133FB"/>
    <w:rsid w:val="00F17623"/>
    <w:rsid w:val="00F23A4C"/>
    <w:rsid w:val="00F252FC"/>
    <w:rsid w:val="00F37EBD"/>
    <w:rsid w:val="00F431AE"/>
    <w:rsid w:val="00F61F45"/>
    <w:rsid w:val="00F708DC"/>
    <w:rsid w:val="00F77CB1"/>
    <w:rsid w:val="00F804FA"/>
    <w:rsid w:val="00FA3471"/>
    <w:rsid w:val="00FA5A1E"/>
    <w:rsid w:val="00FC25F2"/>
    <w:rsid w:val="00FC34FB"/>
    <w:rsid w:val="00FE3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D5E2E"/>
  <w15:chartTrackingRefBased/>
  <w15:docId w15:val="{8259E3B9-4934-4720-BB9A-1B4F5D3EF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02A9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02A9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02A97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2E4768"/>
    <w:rPr>
      <w:i/>
      <w:iCs/>
    </w:rPr>
  </w:style>
  <w:style w:type="character" w:styleId="Strong">
    <w:name w:val="Strong"/>
    <w:basedOn w:val="DefaultParagraphFont"/>
    <w:uiPriority w:val="22"/>
    <w:qFormat/>
    <w:rsid w:val="002E4768"/>
    <w:rPr>
      <w:b/>
      <w:bCs/>
    </w:rPr>
  </w:style>
  <w:style w:type="character" w:styleId="Hyperlink">
    <w:name w:val="Hyperlink"/>
    <w:basedOn w:val="DefaultParagraphFont"/>
    <w:uiPriority w:val="99"/>
    <w:unhideWhenUsed/>
    <w:rsid w:val="002E476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E0D5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5FB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D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01C7"/>
  </w:style>
  <w:style w:type="paragraph" w:styleId="Footer">
    <w:name w:val="footer"/>
    <w:basedOn w:val="Normal"/>
    <w:link w:val="FooterChar"/>
    <w:uiPriority w:val="99"/>
    <w:unhideWhenUsed/>
    <w:rsid w:val="001D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1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xfordislamicstudies.com.ezproxy.uwtsd.ac.uk/article/opr/t125/e646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earch.proquest.com/docview/1507930480?accountid=130472" TargetMode="External"/><Relationship Id="rId12" Type="http://schemas.openxmlformats.org/officeDocument/2006/relationships/hyperlink" Target="https://search-ebscohost-com.ezproxy.uwtsd.ac.uk/login.aspx?direct=true&amp;db=aph&amp;AN=112029045&amp;site=ehost-liv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oxfordislamicstudies.com.ezproxy.uwtsd.ac.uk/article/opr/t236MIW/e0243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earch-ebscohost-com.ezproxy.uwtsd.ac.uk/login.aspx?direct=true&amp;db=hus&amp;AN=117766089&amp;site=ehost-liv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xfordislamicstudies.com.ezproxy.uwtsd.ac.uk/article/opr/t125/e978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245F2-CA4E-40CF-8550-6FABC4A72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Lowe</dc:creator>
  <cp:keywords/>
  <dc:description/>
  <cp:lastModifiedBy>Graham Lowe</cp:lastModifiedBy>
  <cp:revision>3</cp:revision>
  <dcterms:created xsi:type="dcterms:W3CDTF">2019-05-19T12:30:00Z</dcterms:created>
  <dcterms:modified xsi:type="dcterms:W3CDTF">2019-05-19T20:58:00Z</dcterms:modified>
</cp:coreProperties>
</file>