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D4E045" w14:textId="77777777" w:rsidR="00A50357" w:rsidRDefault="00E21FED" w:rsidP="00B07D02">
      <w:pPr>
        <w:spacing w:line="480" w:lineRule="auto"/>
        <w:jc w:val="center"/>
        <w:rPr>
          <w:u w:val="single"/>
        </w:rPr>
      </w:pPr>
      <w:r w:rsidRPr="00E21FED">
        <w:rPr>
          <w:u w:val="single"/>
        </w:rPr>
        <w:t>An analysis of Greco-Roman attitudes towards, and treatment of, mental ‘illness’ (c.500BCE to 200CE)</w:t>
      </w:r>
    </w:p>
    <w:p w14:paraId="3CACC176" w14:textId="77777777" w:rsidR="00E21FED" w:rsidRDefault="00E21FED" w:rsidP="00B07D02">
      <w:pPr>
        <w:spacing w:line="480" w:lineRule="auto"/>
        <w:jc w:val="center"/>
        <w:rPr>
          <w:u w:val="single"/>
        </w:rPr>
      </w:pPr>
    </w:p>
    <w:p w14:paraId="4A869239" w14:textId="77777777" w:rsidR="003B735A" w:rsidRDefault="00993082" w:rsidP="00B07D02">
      <w:pPr>
        <w:spacing w:line="480" w:lineRule="auto"/>
      </w:pPr>
      <w:r>
        <w:t xml:space="preserve">Diagnosis of mental illness, and human </w:t>
      </w:r>
      <w:r w:rsidR="00E21FED">
        <w:t xml:space="preserve">understanding of the causes and attributes </w:t>
      </w:r>
      <w:r w:rsidR="006423AC">
        <w:t>that are associated with different mental illnesses</w:t>
      </w:r>
      <w:r>
        <w:t>,</w:t>
      </w:r>
      <w:r w:rsidR="006423AC">
        <w:t xml:space="preserve"> are const</w:t>
      </w:r>
      <w:r w:rsidR="00692D68">
        <w:t>antly ch</w:t>
      </w:r>
      <w:r w:rsidR="00EC0A56">
        <w:t xml:space="preserve">anging and developing </w:t>
      </w:r>
      <w:r w:rsidR="00692D68">
        <w:t>as new res</w:t>
      </w:r>
      <w:r w:rsidR="00D31C75">
        <w:t xml:space="preserve">earch comes to light. </w:t>
      </w:r>
      <w:bookmarkStart w:id="0" w:name="_GoBack"/>
      <w:bookmarkEnd w:id="0"/>
      <w:r w:rsidR="00D31C75">
        <w:t xml:space="preserve">These changes and developments mean that treatment for these illnesses </w:t>
      </w:r>
      <w:r>
        <w:t>need to be continuously</w:t>
      </w:r>
      <w:r w:rsidR="00D31C75">
        <w:t xml:space="preserve"> adapted and improved. An impor</w:t>
      </w:r>
      <w:r w:rsidR="007079D8">
        <w:t xml:space="preserve">tant question </w:t>
      </w:r>
      <w:r w:rsidR="009C7573">
        <w:t>therefore, is to</w:t>
      </w:r>
      <w:r w:rsidR="007079D8">
        <w:t xml:space="preserve"> ask</w:t>
      </w:r>
      <w:r w:rsidR="009C7573">
        <w:t xml:space="preserve">, </w:t>
      </w:r>
      <w:r w:rsidR="007079D8">
        <w:t>when did man</w:t>
      </w:r>
      <w:r w:rsidR="009C7573">
        <w:t>kind</w:t>
      </w:r>
      <w:r w:rsidR="007079D8">
        <w:t xml:space="preserve"> start attributing mental illness to </w:t>
      </w:r>
      <w:r w:rsidR="009C7573">
        <w:t>the brain</w:t>
      </w:r>
      <w:r>
        <w:t>,</w:t>
      </w:r>
      <w:r w:rsidR="009C7573">
        <w:t xml:space="preserve"> rather than external matters such as ‘demons’ and ‘curses’</w:t>
      </w:r>
      <w:r>
        <w:t>,</w:t>
      </w:r>
      <w:r w:rsidR="009C7573">
        <w:t xml:space="preserve"> or internal matters such as an imbalance in the four humors</w:t>
      </w:r>
      <w:r>
        <w:t>?</w:t>
      </w:r>
      <w:r w:rsidR="009C7573">
        <w:t xml:space="preserve"> Another important question is</w:t>
      </w:r>
      <w:r>
        <w:t>,</w:t>
      </w:r>
      <w:r w:rsidR="009C7573">
        <w:t xml:space="preserve"> when did medical treatment for mental illnesses change from </w:t>
      </w:r>
      <w:r w:rsidR="009C7573" w:rsidRPr="009C7573">
        <w:t>trepanation</w:t>
      </w:r>
      <w:r w:rsidR="009C7573">
        <w:t xml:space="preserve"> to </w:t>
      </w:r>
      <w:r w:rsidR="003B735A">
        <w:t xml:space="preserve">less inhuman remedies, e.g. exercise and </w:t>
      </w:r>
      <w:r>
        <w:t xml:space="preserve">a </w:t>
      </w:r>
      <w:r w:rsidR="003B735A">
        <w:t>change in the patient</w:t>
      </w:r>
      <w:r w:rsidR="005F7D97">
        <w:t>’</w:t>
      </w:r>
      <w:r w:rsidR="003B735A">
        <w:t>s diet</w:t>
      </w:r>
      <w:r>
        <w:t>?</w:t>
      </w:r>
      <w:r w:rsidR="003B735A">
        <w:t xml:space="preserve"> </w:t>
      </w:r>
    </w:p>
    <w:p w14:paraId="27A4840D" w14:textId="7B6223D8" w:rsidR="00E21FED" w:rsidRDefault="003B735A" w:rsidP="00B07D02">
      <w:pPr>
        <w:spacing w:line="480" w:lineRule="auto"/>
      </w:pPr>
      <w:r>
        <w:t>To explore these questions this paper will be looking at Greco-Roman attitudes towards, and treatment of, mental ‘</w:t>
      </w:r>
      <w:r w:rsidR="00993082">
        <w:t>illnesses</w:t>
      </w:r>
      <w:r w:rsidR="00BA7CD6">
        <w:t>’</w:t>
      </w:r>
      <w:r>
        <w:t xml:space="preserve"> from 500 BCE to 200 CE. This will be done by </w:t>
      </w:r>
      <w:r w:rsidR="00993082">
        <w:t>exploring</w:t>
      </w:r>
      <w:r>
        <w:t xml:space="preserve"> the works of </w:t>
      </w:r>
      <w:r w:rsidR="00037DA4">
        <w:t xml:space="preserve">different </w:t>
      </w:r>
      <w:r>
        <w:t>philosophers and physicians</w:t>
      </w:r>
      <w:r w:rsidR="00037DA4">
        <w:t>, who lived during this time period, to gather an</w:t>
      </w:r>
      <w:r w:rsidR="00236239">
        <w:t xml:space="preserve"> overall idea of </w:t>
      </w:r>
      <w:r w:rsidR="00993082">
        <w:t>peoples’</w:t>
      </w:r>
      <w:r w:rsidR="00236239">
        <w:t xml:space="preserve"> understanding</w:t>
      </w:r>
      <w:r w:rsidR="00993082">
        <w:t>s</w:t>
      </w:r>
      <w:r w:rsidR="00236239">
        <w:t xml:space="preserve"> of </w:t>
      </w:r>
      <w:r w:rsidR="00037DA4">
        <w:t>mental ‘illness’ in Greco-</w:t>
      </w:r>
      <w:r w:rsidR="00236239">
        <w:t>Rome, as well as</w:t>
      </w:r>
      <w:r w:rsidR="00993082">
        <w:t xml:space="preserve"> causes and</w:t>
      </w:r>
      <w:r w:rsidR="00236239">
        <w:t xml:space="preserve"> cures for such illnesses. The main philosophers and physicians that will be </w:t>
      </w:r>
      <w:r w:rsidR="00993082">
        <w:t>considered during this paper are</w:t>
      </w:r>
      <w:r w:rsidR="00236239">
        <w:t xml:space="preserve"> Hippocrates,</w:t>
      </w:r>
      <w:r w:rsidR="008D48EE">
        <w:rPr>
          <w:rStyle w:val="FootnoteReference"/>
        </w:rPr>
        <w:footnoteReference w:id="1"/>
      </w:r>
      <w:r w:rsidR="00236239">
        <w:t xml:space="preserve"> Cicero,</w:t>
      </w:r>
      <w:r w:rsidR="008D48EE">
        <w:rPr>
          <w:rStyle w:val="FootnoteReference"/>
        </w:rPr>
        <w:footnoteReference w:id="2"/>
      </w:r>
      <w:r w:rsidR="00236239">
        <w:t xml:space="preserve"> Celsus,</w:t>
      </w:r>
      <w:r w:rsidR="0088259B">
        <w:rPr>
          <w:rStyle w:val="FootnoteReference"/>
        </w:rPr>
        <w:footnoteReference w:id="3"/>
      </w:r>
      <w:r w:rsidR="00236239">
        <w:t xml:space="preserve"> Ar</w:t>
      </w:r>
      <w:r w:rsidR="00BE37D7">
        <w:t>e</w:t>
      </w:r>
      <w:r w:rsidR="00236239">
        <w:t>t</w:t>
      </w:r>
      <w:r w:rsidR="00BE37D7">
        <w:t>ae</w:t>
      </w:r>
      <w:r w:rsidR="00236239">
        <w:t>us,</w:t>
      </w:r>
      <w:r w:rsidR="005143D8">
        <w:rPr>
          <w:rStyle w:val="FootnoteReference"/>
        </w:rPr>
        <w:footnoteReference w:id="4"/>
      </w:r>
      <w:r w:rsidR="00236239">
        <w:t xml:space="preserve"> Soranus</w:t>
      </w:r>
      <w:r w:rsidR="005143D8">
        <w:rPr>
          <w:rStyle w:val="FootnoteReference"/>
        </w:rPr>
        <w:footnoteReference w:id="5"/>
      </w:r>
      <w:r w:rsidR="00236239">
        <w:t xml:space="preserve"> and Galen.</w:t>
      </w:r>
      <w:r w:rsidR="005143D8">
        <w:rPr>
          <w:rStyle w:val="FootnoteReference"/>
        </w:rPr>
        <w:footnoteReference w:id="6"/>
      </w:r>
      <w:r w:rsidR="00236239">
        <w:t xml:space="preserve"> </w:t>
      </w:r>
      <w:r w:rsidR="00B42642">
        <w:t>Their views will be addressed chronologically to observe the development of ideas over time. This will also flag up any common themes which continued through all the different theorist</w:t>
      </w:r>
      <w:r w:rsidR="00F85B3F">
        <w:t>’</w:t>
      </w:r>
      <w:r w:rsidR="00B42642">
        <w:t xml:space="preserve">s views, and look at how this relates to the perspective of doctors today. </w:t>
      </w:r>
    </w:p>
    <w:p w14:paraId="6D6ABD6A" w14:textId="6205C1FA" w:rsidR="00D96580" w:rsidRDefault="00356EF5" w:rsidP="00B07D02">
      <w:pPr>
        <w:spacing w:line="480" w:lineRule="auto"/>
      </w:pPr>
      <w:r>
        <w:lastRenderedPageBreak/>
        <w:t>It is important to note that during Greco-Roman times, human dissections were frowned upon and were not allowed inside the</w:t>
      </w:r>
      <w:r w:rsidR="003A0C01">
        <w:t xml:space="preserve"> Greco-Roman</w:t>
      </w:r>
      <w:r w:rsidR="00993082">
        <w:t xml:space="preserve"> polei</w:t>
      </w:r>
      <w:r w:rsidR="00C97637">
        <w:t>s, therefore</w:t>
      </w:r>
      <w:r>
        <w:t>, what was known about the inner works of a human came from assumptions made during animal dissections.</w:t>
      </w:r>
      <w:r w:rsidR="005143D8">
        <w:rPr>
          <w:rStyle w:val="FootnoteReference"/>
        </w:rPr>
        <w:footnoteReference w:id="7"/>
      </w:r>
      <w:r>
        <w:t xml:space="preserve">  It should also be noted that the time period which is being analysed</w:t>
      </w:r>
      <w:r w:rsidR="00A6536B">
        <w:t xml:space="preserve"> is one in which curses, punishment from the gods</w:t>
      </w:r>
      <w:r w:rsidR="00C97637">
        <w:t>,</w:t>
      </w:r>
      <w:r w:rsidR="00A6536B">
        <w:t xml:space="preserve"> and a person</w:t>
      </w:r>
      <w:r w:rsidR="00C97637">
        <w:t>’s lifestyle were</w:t>
      </w:r>
      <w:r w:rsidR="00A6536B">
        <w:t xml:space="preserve"> considered </w:t>
      </w:r>
      <w:r w:rsidR="00C97637">
        <w:t xml:space="preserve">as </w:t>
      </w:r>
      <w:r w:rsidR="00A6536B">
        <w:t>attribut</w:t>
      </w:r>
      <w:r w:rsidR="00C97637">
        <w:t xml:space="preserve">ing </w:t>
      </w:r>
      <w:r w:rsidR="00A6536B">
        <w:t>to why a person might become ill</w:t>
      </w:r>
      <w:r w:rsidR="00C97637">
        <w:t>,</w:t>
      </w:r>
      <w:r w:rsidR="00A6536B">
        <w:t xml:space="preserve"> or </w:t>
      </w:r>
      <w:r w:rsidR="00C97637">
        <w:t>why</w:t>
      </w:r>
      <w:r w:rsidR="00A6536B">
        <w:t xml:space="preserve"> a child was born with a deformity.</w:t>
      </w:r>
      <w:r w:rsidR="005143D8">
        <w:rPr>
          <w:rStyle w:val="FootnoteReference"/>
        </w:rPr>
        <w:footnoteReference w:id="8"/>
      </w:r>
      <w:r w:rsidR="00A6536B">
        <w:t xml:space="preserve">  </w:t>
      </w:r>
      <w:r w:rsidR="00F812C7">
        <w:t>The technology</w:t>
      </w:r>
      <w:r>
        <w:t xml:space="preserve"> </w:t>
      </w:r>
      <w:r w:rsidR="00F812C7">
        <w:t>and knowledge that is known in modern day, was not available during this time period</w:t>
      </w:r>
      <w:r w:rsidR="00C97637">
        <w:t>, h</w:t>
      </w:r>
      <w:r w:rsidR="00F812C7">
        <w:t>owever, this paper will hopefully highlight that even though p</w:t>
      </w:r>
      <w:r w:rsidR="00FB7EC3">
        <w:t>hilosophers and physicians during 500 BCE to 200 CE lacked the knowledge now known to modern physicians, it does not mean that they were ignorant to the fact that</w:t>
      </w:r>
      <w:r w:rsidR="003A0C01">
        <w:t xml:space="preserve"> different</w:t>
      </w:r>
      <w:r w:rsidR="00FB7EC3">
        <w:t xml:space="preserve"> illnesses were caused for different reasons and thus needed different treatment. </w:t>
      </w:r>
    </w:p>
    <w:p w14:paraId="345A90DF" w14:textId="249211ED" w:rsidR="00FF20B4" w:rsidRDefault="00660312" w:rsidP="00B07D02">
      <w:pPr>
        <w:spacing w:line="480" w:lineRule="auto"/>
      </w:pPr>
      <w:r>
        <w:t>Before analysing</w:t>
      </w:r>
      <w:r w:rsidR="003F0A44">
        <w:t xml:space="preserve"> Hippocrates</w:t>
      </w:r>
      <w:r w:rsidR="00F85B3F">
        <w:t>’</w:t>
      </w:r>
      <w:r w:rsidR="003F0A44">
        <w:t xml:space="preserve"> work</w:t>
      </w:r>
      <w:r w:rsidR="00F85B3F">
        <w:t>,</w:t>
      </w:r>
      <w:r>
        <w:t xml:space="preserve"> his experience of those with mental health</w:t>
      </w:r>
      <w:r w:rsidR="003F0A44">
        <w:t>, and his</w:t>
      </w:r>
      <w:r>
        <w:t xml:space="preserve"> reasons why he believ</w:t>
      </w:r>
      <w:r w:rsidR="00F85B3F">
        <w:t>ed mental illnesses occurred, plus</w:t>
      </w:r>
      <w:r>
        <w:t xml:space="preserve"> his treatment for such diseases</w:t>
      </w:r>
      <w:r w:rsidR="003F0A44">
        <w:t>, a</w:t>
      </w:r>
      <w:r>
        <w:t>cknowledgement must be made to establishm</w:t>
      </w:r>
      <w:r w:rsidR="00F85B3F">
        <w:t>ents, physicians and philosophie</w:t>
      </w:r>
      <w:r>
        <w:t>s that came before him</w:t>
      </w:r>
      <w:r w:rsidR="00F85B3F">
        <w:t>. These individuals are important because they</w:t>
      </w:r>
      <w:r w:rsidR="003F0A44">
        <w:t xml:space="preserve"> perhaps helped influence and shape his work</w:t>
      </w:r>
      <w:r w:rsidR="00F85B3F">
        <w:t>: b</w:t>
      </w:r>
      <w:r w:rsidR="00527D5E">
        <w:t xml:space="preserve">efore Hippocrates came Pythagoras (582 – 510 BCE), Aesculapius (550 BCE), Alcmaeon (557 – 419 BCE) and Empedocles (495 – 435 BCE). </w:t>
      </w:r>
    </w:p>
    <w:p w14:paraId="635932D8" w14:textId="0C8F9178" w:rsidR="004A3B52" w:rsidRDefault="004A3B52" w:rsidP="00B07D02">
      <w:pPr>
        <w:spacing w:line="480" w:lineRule="auto"/>
      </w:pPr>
      <w:r>
        <w:t xml:space="preserve">Pythagoras was a </w:t>
      </w:r>
      <w:r w:rsidR="00C918B9">
        <w:t>Greek philosopher</w:t>
      </w:r>
      <w:r w:rsidR="00F85B3F">
        <w:t xml:space="preserve">, </w:t>
      </w:r>
      <w:r w:rsidR="00135FB9">
        <w:t>whose</w:t>
      </w:r>
      <w:r w:rsidR="00FC59FA">
        <w:t xml:space="preserve"> work we hear about through other scholars and poets</w:t>
      </w:r>
      <w:r w:rsidR="00F85B3F">
        <w:t>.</w:t>
      </w:r>
      <w:r w:rsidR="004B3FB0">
        <w:rPr>
          <w:rStyle w:val="FootnoteReference"/>
        </w:rPr>
        <w:footnoteReference w:id="9"/>
      </w:r>
      <w:r w:rsidR="00F85B3F">
        <w:t xml:space="preserve"> He </w:t>
      </w:r>
      <w:r w:rsidR="00C918B9">
        <w:t xml:space="preserve">supposedly contributed </w:t>
      </w:r>
      <w:r w:rsidR="00F85B3F">
        <w:t xml:space="preserve">to understanding of </w:t>
      </w:r>
      <w:r w:rsidR="00C918B9">
        <w:t>mental illness as he saw the brain as the source of human intellect.</w:t>
      </w:r>
      <w:r w:rsidR="004B7AED">
        <w:rPr>
          <w:rStyle w:val="FootnoteReference"/>
        </w:rPr>
        <w:footnoteReference w:id="10"/>
      </w:r>
      <w:r w:rsidR="00C373B7">
        <w:t xml:space="preserve"> </w:t>
      </w:r>
      <w:r w:rsidR="00E15604">
        <w:t xml:space="preserve">He believed that the rational element of the soul was in the brain, while the irrational element was in the heart. </w:t>
      </w:r>
      <w:r w:rsidR="004B7AED">
        <w:t>Disruptions to the brain</w:t>
      </w:r>
      <w:r w:rsidR="00F85B3F">
        <w:t>’s</w:t>
      </w:r>
      <w:r w:rsidR="004B7AED">
        <w:t xml:space="preserve"> normal processes occurred when contradictory forces such as good and bad, love</w:t>
      </w:r>
      <w:r w:rsidR="00E15604">
        <w:t xml:space="preserve"> and hate, became unbalanced; these things were </w:t>
      </w:r>
      <w:r w:rsidR="00E15604">
        <w:lastRenderedPageBreak/>
        <w:t>defined by the heart</w:t>
      </w:r>
      <w:r w:rsidR="004B7AED">
        <w:t>.</w:t>
      </w:r>
      <w:r w:rsidR="0035395C">
        <w:rPr>
          <w:rStyle w:val="FootnoteReference"/>
        </w:rPr>
        <w:footnoteReference w:id="11"/>
      </w:r>
      <w:r w:rsidR="004B7AED">
        <w:t xml:space="preserve"> Founder of the </w:t>
      </w:r>
      <w:r w:rsidR="004B7AED" w:rsidRPr="004B7AED">
        <w:t>Pythagoreanism</w:t>
      </w:r>
      <w:r w:rsidR="004B7AED">
        <w:t xml:space="preserve"> movement, Pythagoras</w:t>
      </w:r>
      <w:r w:rsidR="00E15604">
        <w:t>,</w:t>
      </w:r>
      <w:r w:rsidR="004B7AED">
        <w:t xml:space="preserve"> belie</w:t>
      </w:r>
      <w:r w:rsidR="00E15604">
        <w:t>ved in the soul and immortality</w:t>
      </w:r>
      <w:r w:rsidR="004B7AED">
        <w:t>.</w:t>
      </w:r>
      <w:r w:rsidR="0035395C">
        <w:rPr>
          <w:rStyle w:val="FootnoteReference"/>
        </w:rPr>
        <w:footnoteReference w:id="12"/>
      </w:r>
      <w:r w:rsidR="004B7AED">
        <w:t xml:space="preserve"> </w:t>
      </w:r>
    </w:p>
    <w:p w14:paraId="64D3C781" w14:textId="53D72F2B" w:rsidR="00D56B79" w:rsidRDefault="006516D1" w:rsidP="00B07D02">
      <w:pPr>
        <w:spacing w:line="480" w:lineRule="auto"/>
      </w:pPr>
      <w:bookmarkStart w:id="1" w:name="_Hlk513626183"/>
      <w:r>
        <w:t>Aesculapius</w:t>
      </w:r>
      <w:bookmarkEnd w:id="1"/>
      <w:r w:rsidR="00E15604">
        <w:t>’ existence</w:t>
      </w:r>
      <w:r>
        <w:t xml:space="preserve"> is debated</w:t>
      </w:r>
      <w:r w:rsidR="00E15604">
        <w:t>,</w:t>
      </w:r>
      <w:r>
        <w:t xml:space="preserve"> as it is said that he was the son of Apollo.</w:t>
      </w:r>
      <w:r w:rsidR="00BE2661">
        <w:rPr>
          <w:rStyle w:val="FootnoteReference"/>
        </w:rPr>
        <w:footnoteReference w:id="13"/>
      </w:r>
      <w:r>
        <w:t xml:space="preserve"> However, what is know</w:t>
      </w:r>
      <w:r w:rsidR="00D56B79">
        <w:t>n is the supposed descendants</w:t>
      </w:r>
      <w:r w:rsidR="009E21E6">
        <w:t xml:space="preserve"> of Aesculapius,</w:t>
      </w:r>
      <w:r w:rsidR="00D56B79">
        <w:t xml:space="preserve"> called</w:t>
      </w:r>
      <w:r w:rsidR="009E21E6">
        <w:t xml:space="preserve"> Asclepiadeans, set</w:t>
      </w:r>
      <w:r w:rsidR="00D56B79">
        <w:t xml:space="preserve"> up</w:t>
      </w:r>
      <w:r>
        <w:t xml:space="preserve"> the Aesculapian Cult </w:t>
      </w:r>
      <w:r w:rsidR="00D56B79">
        <w:t>and Aesculapiad temples</w:t>
      </w:r>
      <w:r w:rsidR="00E15604">
        <w:t>,</w:t>
      </w:r>
      <w:r w:rsidR="00D56B79">
        <w:t xml:space="preserve"> which acted as healing </w:t>
      </w:r>
      <w:r w:rsidR="00E15604">
        <w:t>establishments</w:t>
      </w:r>
      <w:r w:rsidR="00D56B79">
        <w:t>.</w:t>
      </w:r>
      <w:r w:rsidR="00BE2661">
        <w:rPr>
          <w:rStyle w:val="FootnoteReference"/>
        </w:rPr>
        <w:footnoteReference w:id="14"/>
      </w:r>
      <w:r w:rsidR="00E15604">
        <w:t xml:space="preserve"> The cult believed that</w:t>
      </w:r>
      <w:r w:rsidR="00D56B79">
        <w:t xml:space="preserve"> understanding </w:t>
      </w:r>
      <w:r w:rsidR="00E15604">
        <w:t>of</w:t>
      </w:r>
      <w:r w:rsidR="00D56B79">
        <w:t xml:space="preserve"> mental illnesses </w:t>
      </w:r>
      <w:r w:rsidR="00E15604">
        <w:t xml:space="preserve">was found </w:t>
      </w:r>
      <w:r w:rsidR="00D56B79">
        <w:t xml:space="preserve">through </w:t>
      </w:r>
      <w:r w:rsidR="00973B7C">
        <w:t xml:space="preserve">divination in </w:t>
      </w:r>
      <w:r w:rsidR="00D56B79">
        <w:t>dreams.</w:t>
      </w:r>
      <w:r w:rsidR="00BE2661">
        <w:rPr>
          <w:rStyle w:val="FootnoteReference"/>
        </w:rPr>
        <w:footnoteReference w:id="15"/>
      </w:r>
      <w:r w:rsidR="00D56B79">
        <w:t xml:space="preserve"> </w:t>
      </w:r>
      <w:r w:rsidR="00973B7C">
        <w:t xml:space="preserve">This was thought possible as mental illness was thought to be caused by the gods. </w:t>
      </w:r>
    </w:p>
    <w:p w14:paraId="4F765BED" w14:textId="3A49E873" w:rsidR="006516D1" w:rsidRDefault="00AD4D09" w:rsidP="00B07D02">
      <w:pPr>
        <w:spacing w:line="480" w:lineRule="auto"/>
      </w:pPr>
      <w:r>
        <w:t>Al</w:t>
      </w:r>
      <w:r w:rsidR="00D77A85">
        <w:t>cmaeon, a student of Pythagoras</w:t>
      </w:r>
      <w:r w:rsidR="00E15604">
        <w:t>,</w:t>
      </w:r>
      <w:r>
        <w:t xml:space="preserve"> </w:t>
      </w:r>
      <w:r w:rsidR="00D77A85">
        <w:t>and from whom we receive an understanding of Pythagoras</w:t>
      </w:r>
      <w:r w:rsidR="00E15604">
        <w:t>’</w:t>
      </w:r>
      <w:r w:rsidR="00D77A85">
        <w:t xml:space="preserve"> ideas, was a </w:t>
      </w:r>
      <w:r w:rsidR="00BE2661">
        <w:t xml:space="preserve">philosopher </w:t>
      </w:r>
      <w:r w:rsidR="00FA6DE5">
        <w:t xml:space="preserve">that noted the </w:t>
      </w:r>
      <w:r w:rsidR="00E15604">
        <w:t xml:space="preserve">brain was the centre of thought, as opposed to being something which could also happen in </w:t>
      </w:r>
      <w:r w:rsidR="00FA6DE5">
        <w:t>the heart.</w:t>
      </w:r>
      <w:r w:rsidR="00FA6DE5">
        <w:rPr>
          <w:rStyle w:val="FootnoteReference"/>
        </w:rPr>
        <w:footnoteReference w:id="16"/>
      </w:r>
      <w:r w:rsidR="00FA6DE5">
        <w:t xml:space="preserve"> Mental illness, in Alcmaeon</w:t>
      </w:r>
      <w:r w:rsidR="00E15604">
        <w:t>’s</w:t>
      </w:r>
      <w:r w:rsidR="00FA6DE5">
        <w:t xml:space="preserve"> percepti</w:t>
      </w:r>
      <w:r w:rsidR="00E15604">
        <w:t>on</w:t>
      </w:r>
      <w:r w:rsidR="00FA6DE5">
        <w:t>, occurred when humors became unbalanced</w:t>
      </w:r>
      <w:r w:rsidR="00E15604">
        <w:t>,</w:t>
      </w:r>
      <w:r w:rsidR="00FA6DE5">
        <w:t xml:space="preserve"> causing a fluxuatation in blood going to the </w:t>
      </w:r>
      <w:r w:rsidR="00870ED6">
        <w:t>cerebral</w:t>
      </w:r>
      <w:r w:rsidR="00E15604">
        <w:t xml:space="preserve"> zones.</w:t>
      </w:r>
      <w:r w:rsidR="00870ED6">
        <w:rPr>
          <w:rStyle w:val="FootnoteReference"/>
        </w:rPr>
        <w:footnoteReference w:id="17"/>
      </w:r>
      <w:r w:rsidR="00FA6DE5">
        <w:t xml:space="preserve"> </w:t>
      </w:r>
      <w:r w:rsidR="00870ED6">
        <w:t>To maintain a healthy brain and to avoid mental</w:t>
      </w:r>
      <w:r w:rsidR="005B1A13">
        <w:t xml:space="preserve"> illnesses, Alcmaeon held the belief that the natural elements of life, such as hot and cold, wet and dry</w:t>
      </w:r>
      <w:r w:rsidR="00973B7C">
        <w:t>,</w:t>
      </w:r>
      <w:r w:rsidR="005B1A13">
        <w:t xml:space="preserve"> had to be in balance.</w:t>
      </w:r>
      <w:r w:rsidR="009E21E6">
        <w:rPr>
          <w:rStyle w:val="FootnoteReference"/>
        </w:rPr>
        <w:footnoteReference w:id="18"/>
      </w:r>
      <w:r w:rsidR="005B1A13">
        <w:t xml:space="preserve"> </w:t>
      </w:r>
    </w:p>
    <w:p w14:paraId="502C9B48" w14:textId="5EC65317" w:rsidR="005B1A13" w:rsidRDefault="00973B7C" w:rsidP="00B07D02">
      <w:pPr>
        <w:spacing w:line="480" w:lineRule="auto"/>
      </w:pPr>
      <w:r>
        <w:t xml:space="preserve">Empedocles, </w:t>
      </w:r>
      <w:r w:rsidR="004C4337">
        <w:t xml:space="preserve">born in 495 BCE was a </w:t>
      </w:r>
      <w:r w:rsidR="00D8202D">
        <w:t xml:space="preserve">Greek philosopher that was inspired by </w:t>
      </w:r>
      <w:r w:rsidR="00D8202D" w:rsidRPr="00D8202D">
        <w:t>Pythagoreanism</w:t>
      </w:r>
      <w:r>
        <w:t>, f</w:t>
      </w:r>
      <w:r w:rsidR="005B1A13">
        <w:t>ollow</w:t>
      </w:r>
      <w:r>
        <w:t>ed</w:t>
      </w:r>
      <w:r w:rsidR="005B1A13">
        <w:t xml:space="preserve"> on from this theory of </w:t>
      </w:r>
      <w:r>
        <w:t xml:space="preserve">the </w:t>
      </w:r>
      <w:r w:rsidR="005B1A13">
        <w:t>natural elements of life</w:t>
      </w:r>
      <w:r>
        <w:t xml:space="preserve">. He </w:t>
      </w:r>
      <w:r w:rsidR="009E21E6">
        <w:t>proposed that life’s basic elements were fire, earth, air and water.</w:t>
      </w:r>
      <w:r w:rsidR="005143D8">
        <w:rPr>
          <w:rStyle w:val="FootnoteReference"/>
        </w:rPr>
        <w:footnoteReference w:id="19"/>
      </w:r>
      <w:r w:rsidR="009E21E6">
        <w:t xml:space="preserve"> These elements could be combined with the humors</w:t>
      </w:r>
      <w:r w:rsidR="00652C35">
        <w:t>. To Empedocles, blood represented the prefect mix of these basic life elements.</w:t>
      </w:r>
      <w:r w:rsidR="005143D8">
        <w:rPr>
          <w:rStyle w:val="FootnoteReference"/>
        </w:rPr>
        <w:footnoteReference w:id="20"/>
      </w:r>
      <w:r w:rsidR="00652C35">
        <w:t xml:space="preserve"> It </w:t>
      </w:r>
      <w:r w:rsidR="00E96A32">
        <w:t xml:space="preserve">is an imbalance within the blood that Empedocles suggested mental illness </w:t>
      </w:r>
      <w:r>
        <w:t>aros</w:t>
      </w:r>
      <w:r w:rsidR="00E96A32">
        <w:t>e from.</w:t>
      </w:r>
      <w:r w:rsidR="005143D8">
        <w:rPr>
          <w:rStyle w:val="FootnoteReference"/>
        </w:rPr>
        <w:footnoteReference w:id="21"/>
      </w:r>
      <w:r w:rsidR="00E96A32">
        <w:t xml:space="preserve">   </w:t>
      </w:r>
      <w:r w:rsidR="009E21E6">
        <w:t xml:space="preserve"> </w:t>
      </w:r>
    </w:p>
    <w:p w14:paraId="32F16B6B" w14:textId="0BF7D898" w:rsidR="00FB7EC3" w:rsidRDefault="003A0C01" w:rsidP="00B07D02">
      <w:pPr>
        <w:spacing w:line="480" w:lineRule="auto"/>
      </w:pPr>
      <w:r>
        <w:lastRenderedPageBreak/>
        <w:t xml:space="preserve">Hippocrates was born </w:t>
      </w:r>
      <w:r w:rsidR="00E14659">
        <w:t>in 460 BCE a</w:t>
      </w:r>
      <w:r w:rsidR="00D86DB7">
        <w:t xml:space="preserve">nd </w:t>
      </w:r>
      <w:r w:rsidR="000D2327">
        <w:t xml:space="preserve">is known today as the </w:t>
      </w:r>
      <w:r w:rsidR="00C97637">
        <w:t>‘Father of W</w:t>
      </w:r>
      <w:r w:rsidR="000D2327">
        <w:t>estern medicine</w:t>
      </w:r>
      <w:r w:rsidR="00C97637">
        <w:t>’</w:t>
      </w:r>
      <w:r w:rsidR="005143D8">
        <w:rPr>
          <w:rStyle w:val="FootnoteReference"/>
        </w:rPr>
        <w:footnoteReference w:id="22"/>
      </w:r>
      <w:r w:rsidR="000D2327">
        <w:t xml:space="preserve"> for his contribution</w:t>
      </w:r>
      <w:r w:rsidR="00D37317">
        <w:t>,</w:t>
      </w:r>
      <w:r w:rsidR="000D2327">
        <w:t xml:space="preserve"> </w:t>
      </w:r>
      <w:r w:rsidR="00D37317">
        <w:t>as a Greek physician, for</w:t>
      </w:r>
      <w:r w:rsidR="000D2327">
        <w:t xml:space="preserve"> taking the causes and treatment of illnesses out of the realm of magic and mystery and into the light of more </w:t>
      </w:r>
      <w:r w:rsidR="006D608A">
        <w:t>comprehensive understanding.</w:t>
      </w:r>
      <w:r w:rsidR="006D608A">
        <w:rPr>
          <w:rStyle w:val="FootnoteReference"/>
        </w:rPr>
        <w:footnoteReference w:id="23"/>
      </w:r>
      <w:r w:rsidR="006D608A">
        <w:t xml:space="preserve"> </w:t>
      </w:r>
      <w:r w:rsidR="000D2327">
        <w:t xml:space="preserve"> </w:t>
      </w:r>
      <w:r w:rsidR="007D3278">
        <w:t>Hippocrat</w:t>
      </w:r>
      <w:r w:rsidR="00C97637">
        <w:t xml:space="preserve">es highlights, in his work </w:t>
      </w:r>
      <w:r w:rsidR="00A357AA" w:rsidRPr="00C97637">
        <w:rPr>
          <w:i/>
        </w:rPr>
        <w:t>On the Sacred Disease</w:t>
      </w:r>
      <w:r w:rsidR="00C97637">
        <w:rPr>
          <w:i/>
        </w:rPr>
        <w:t>,</w:t>
      </w:r>
      <w:r w:rsidR="00A357AA">
        <w:t xml:space="preserve"> that ca</w:t>
      </w:r>
      <w:r w:rsidR="00217429">
        <w:t>use of</w:t>
      </w:r>
      <w:r w:rsidR="00A357AA">
        <w:t xml:space="preserve"> disease should not be blamed on the divine</w:t>
      </w:r>
      <w:r w:rsidR="00C97637">
        <w:t>,</w:t>
      </w:r>
      <w:r w:rsidR="00A357AA">
        <w:t xml:space="preserve"> but </w:t>
      </w:r>
      <w:r w:rsidR="0008166B">
        <w:t>that reason for illness should be looked for within the patient.</w:t>
      </w:r>
      <w:r w:rsidR="0008166B">
        <w:rPr>
          <w:rStyle w:val="FootnoteReference"/>
        </w:rPr>
        <w:footnoteReference w:id="24"/>
      </w:r>
      <w:r w:rsidR="0008166B">
        <w:t xml:space="preserve"> </w:t>
      </w:r>
      <w:r w:rsidR="009B35E1">
        <w:t>He attributes the brain as being the source of thought, knowledge and emotions</w:t>
      </w:r>
      <w:r w:rsidR="00C97637">
        <w:t>,</w:t>
      </w:r>
      <w:r w:rsidR="009B35E1">
        <w:t xml:space="preserve"> and hence was the cause </w:t>
      </w:r>
      <w:r w:rsidR="002129A4">
        <w:t xml:space="preserve">of </w:t>
      </w:r>
      <w:r w:rsidR="00C97637">
        <w:t>perceptions</w:t>
      </w:r>
      <w:r w:rsidR="002129A4">
        <w:t xml:space="preserve"> and behaviours contrary to a patients normal </w:t>
      </w:r>
      <w:r w:rsidR="00C97637">
        <w:t>manner</w:t>
      </w:r>
      <w:r w:rsidR="002129A4">
        <w:t>.</w:t>
      </w:r>
      <w:r w:rsidR="00080C01">
        <w:rPr>
          <w:rStyle w:val="FootnoteReference"/>
        </w:rPr>
        <w:footnoteReference w:id="25"/>
      </w:r>
      <w:r w:rsidR="002129A4">
        <w:t xml:space="preserve"> </w:t>
      </w:r>
      <w:r w:rsidR="00DF3543">
        <w:t>Hippocrates</w:t>
      </w:r>
      <w:r w:rsidR="00C97637">
        <w:t>’</w:t>
      </w:r>
      <w:r w:rsidR="00DF3543">
        <w:t xml:space="preserve"> remedies and cure </w:t>
      </w:r>
      <w:r w:rsidR="00C97637">
        <w:t>for an unbalanced brain were</w:t>
      </w:r>
      <w:r w:rsidR="008612FD">
        <w:t xml:space="preserve"> focused upon balancing the four humors</w:t>
      </w:r>
      <w:r w:rsidR="00C97637">
        <w:t xml:space="preserve">, these </w:t>
      </w:r>
      <w:r w:rsidR="008612FD">
        <w:t>being black pile, yellow bile, p</w:t>
      </w:r>
      <w:r w:rsidR="00EA65EE">
        <w:t>hlegm and blood. To gain balance again with the humors, Hippocrates stressed for therapeutic remedies such as music and massage, as well as rest and sleep.</w:t>
      </w:r>
      <w:r w:rsidR="00080C01">
        <w:rPr>
          <w:rStyle w:val="FootnoteReference"/>
        </w:rPr>
        <w:footnoteReference w:id="26"/>
      </w:r>
      <w:r w:rsidR="00EA65EE">
        <w:t xml:space="preserve">   </w:t>
      </w:r>
      <w:r w:rsidR="00733DD4">
        <w:t>However, he was a physician and still employed techniques such as bloodletting and trephining when the more tranquil methods did not work and the mental illness seemed persistent.</w:t>
      </w:r>
      <w:r w:rsidR="00080C01">
        <w:rPr>
          <w:rStyle w:val="FootnoteReference"/>
        </w:rPr>
        <w:footnoteReference w:id="27"/>
      </w:r>
      <w:r w:rsidR="00733DD4">
        <w:t xml:space="preserve"> </w:t>
      </w:r>
    </w:p>
    <w:p w14:paraId="457DD397" w14:textId="36B4BAFE" w:rsidR="008D2152" w:rsidRDefault="00597D24" w:rsidP="00B07D02">
      <w:pPr>
        <w:spacing w:line="480" w:lineRule="auto"/>
      </w:pPr>
      <w:r>
        <w:t>What it also notable about Hippocrates is that he took note of the symptoms displayed by his patients</w:t>
      </w:r>
      <w:r w:rsidR="00973B7C">
        <w:t>,</w:t>
      </w:r>
      <w:r>
        <w:t xml:space="preserve"> as well as their respon</w:t>
      </w:r>
      <w:r w:rsidR="00973B7C">
        <w:t>se</w:t>
      </w:r>
      <w:r>
        <w:t xml:space="preserve"> to treatment and their outcome.</w:t>
      </w:r>
      <w:r w:rsidR="00080C01">
        <w:rPr>
          <w:rStyle w:val="FootnoteReference"/>
        </w:rPr>
        <w:footnoteReference w:id="28"/>
      </w:r>
      <w:r>
        <w:t xml:space="preserve"> </w:t>
      </w:r>
      <w:r w:rsidR="00973B7C">
        <w:t>Insisting</w:t>
      </w:r>
      <w:r w:rsidR="00E521DC">
        <w:t xml:space="preserve"> </w:t>
      </w:r>
      <w:r w:rsidR="00973B7C">
        <w:t>to</w:t>
      </w:r>
      <w:r w:rsidR="00E521DC">
        <w:t xml:space="preserve"> his colleges the importance of diagnosis and treatment. </w:t>
      </w:r>
      <w:r w:rsidR="00973B7C">
        <w:t xml:space="preserve">However, </w:t>
      </w:r>
      <w:r w:rsidR="00E521DC">
        <w:t xml:space="preserve">Hippocrates </w:t>
      </w:r>
      <w:r w:rsidR="00973B7C">
        <w:t>still supported</w:t>
      </w:r>
      <w:r w:rsidR="00E521DC">
        <w:t xml:space="preserve">, as </w:t>
      </w:r>
      <w:r w:rsidR="00973B7C">
        <w:t>did</w:t>
      </w:r>
      <w:r w:rsidR="00E521DC">
        <w:t xml:space="preserve"> many during the ancient period, that </w:t>
      </w:r>
      <w:r w:rsidR="00973B7C">
        <w:t xml:space="preserve">idea that </w:t>
      </w:r>
      <w:r w:rsidR="00E521DC">
        <w:t xml:space="preserve">dreams </w:t>
      </w:r>
      <w:r w:rsidR="00300697">
        <w:t>could provide information about a patient’s health or illness.</w:t>
      </w:r>
      <w:r w:rsidR="00080C01">
        <w:rPr>
          <w:rStyle w:val="FootnoteReference"/>
        </w:rPr>
        <w:footnoteReference w:id="29"/>
      </w:r>
      <w:r w:rsidR="00300697">
        <w:t xml:space="preserve"> </w:t>
      </w:r>
    </w:p>
    <w:p w14:paraId="10B3B0F9" w14:textId="59633770" w:rsidR="00AF5034" w:rsidRDefault="00300697" w:rsidP="00B07D02">
      <w:pPr>
        <w:spacing w:line="480" w:lineRule="auto"/>
      </w:pPr>
      <w:r>
        <w:t>Significantly Socrates (470 - 399 BCE)</w:t>
      </w:r>
      <w:r w:rsidR="0041218B">
        <w:t xml:space="preserve"> </w:t>
      </w:r>
      <w:r>
        <w:t>and Plat</w:t>
      </w:r>
      <w:r w:rsidR="00973B7C">
        <w:t>o (429 - 347 BCE)</w:t>
      </w:r>
      <w:r w:rsidR="00080C01">
        <w:t>, both of whom were philosophers,</w:t>
      </w:r>
      <w:r w:rsidR="00973B7C">
        <w:t xml:space="preserve"> that live</w:t>
      </w:r>
      <w:r>
        <w:t>d round the time of Hippocrates</w:t>
      </w:r>
      <w:r w:rsidR="00973B7C">
        <w:t xml:space="preserve"> (</w:t>
      </w:r>
      <w:r>
        <w:t>who died round 367 BCE</w:t>
      </w:r>
      <w:r w:rsidR="00973B7C">
        <w:t>)</w:t>
      </w:r>
      <w:r>
        <w:t>, did not share in Hippocrates</w:t>
      </w:r>
      <w:r w:rsidR="00973B7C">
        <w:t>’</w:t>
      </w:r>
      <w:r>
        <w:t xml:space="preserve"> enlightened view on the mentally ill.</w:t>
      </w:r>
      <w:r w:rsidR="00080C01">
        <w:rPr>
          <w:rStyle w:val="FootnoteReference"/>
        </w:rPr>
        <w:footnoteReference w:id="30"/>
      </w:r>
      <w:r>
        <w:t xml:space="preserve"> To Socrates, a person that was mental</w:t>
      </w:r>
      <w:r w:rsidR="00AF5034">
        <w:t>ly</w:t>
      </w:r>
      <w:r>
        <w:t xml:space="preserve"> ill </w:t>
      </w:r>
      <w:r w:rsidR="00AF5034">
        <w:t xml:space="preserve">was processed by </w:t>
      </w:r>
      <w:r w:rsidR="00AF5034">
        <w:lastRenderedPageBreak/>
        <w:t>an inner demon that could be vanquished by self-knowledge</w:t>
      </w:r>
      <w:r w:rsidR="00973B7C">
        <w:t>,</w:t>
      </w:r>
      <w:r w:rsidR="00080C01">
        <w:rPr>
          <w:rStyle w:val="FootnoteReference"/>
        </w:rPr>
        <w:footnoteReference w:id="31"/>
      </w:r>
      <w:r w:rsidR="00AF5034">
        <w:t xml:space="preserve"> as he was a true believer that intelligence and reason could overcome a person mental disorder.</w:t>
      </w:r>
      <w:r w:rsidR="00080C01">
        <w:rPr>
          <w:rStyle w:val="FootnoteReference"/>
        </w:rPr>
        <w:footnoteReference w:id="32"/>
      </w:r>
      <w:r w:rsidR="00AF5034">
        <w:t xml:space="preserve"> </w:t>
      </w:r>
    </w:p>
    <w:p w14:paraId="6EEA59A4" w14:textId="0C78D14E" w:rsidR="00300697" w:rsidRDefault="00AF5034" w:rsidP="00B07D02">
      <w:pPr>
        <w:spacing w:line="480" w:lineRule="auto"/>
      </w:pPr>
      <w:r>
        <w:t>Plato himself ins</w:t>
      </w:r>
      <w:r w:rsidR="006232B7">
        <w:t>is</w:t>
      </w:r>
      <w:r>
        <w:t xml:space="preserve">ted that </w:t>
      </w:r>
      <w:r w:rsidR="00E24824">
        <w:t>mental illness did not arise from a person’s ignorance</w:t>
      </w:r>
      <w:r w:rsidR="006232B7">
        <w:t>,</w:t>
      </w:r>
      <w:r w:rsidR="00E24824">
        <w:t xml:space="preserve"> but instead from incorrect belief systems and superstitions.</w:t>
      </w:r>
      <w:r w:rsidR="00080C01">
        <w:rPr>
          <w:rStyle w:val="FootnoteReference"/>
        </w:rPr>
        <w:footnoteReference w:id="33"/>
      </w:r>
      <w:r w:rsidR="00E24824">
        <w:t xml:space="preserve"> However, Plato did convey</w:t>
      </w:r>
      <w:r w:rsidR="007218CE">
        <w:t xml:space="preserve"> that </w:t>
      </w:r>
      <w:r w:rsidR="00E24824">
        <w:t xml:space="preserve">those who were mentally ill should be treated with a humane approach and that part of the blame for their illness should be </w:t>
      </w:r>
      <w:r w:rsidR="006232B7">
        <w:t>put down</w:t>
      </w:r>
      <w:r w:rsidR="00E24824">
        <w:t xml:space="preserve"> to sociocultural factors in </w:t>
      </w:r>
      <w:r w:rsidR="007218CE">
        <w:t>creating their mental illness.</w:t>
      </w:r>
      <w:r w:rsidR="00080C01">
        <w:rPr>
          <w:rStyle w:val="FootnoteReference"/>
        </w:rPr>
        <w:footnoteReference w:id="34"/>
      </w:r>
      <w:r w:rsidR="007218CE">
        <w:t xml:space="preserve"> </w:t>
      </w:r>
    </w:p>
    <w:p w14:paraId="5409DDC2" w14:textId="45DB2993" w:rsidR="007218CE" w:rsidRDefault="007218CE" w:rsidP="00B07D02">
      <w:pPr>
        <w:spacing w:line="480" w:lineRule="auto"/>
      </w:pPr>
      <w:r>
        <w:t>Aristotle (384 – 322 BCE)</w:t>
      </w:r>
      <w:r w:rsidR="0041218B">
        <w:t>, a Greek philosopher,</w:t>
      </w:r>
      <w:r>
        <w:t xml:space="preserve"> noted the importance, similar to that of Hippocrates, of </w:t>
      </w:r>
      <w:r w:rsidR="00E11C5D">
        <w:t xml:space="preserve">recording the symptoms displayed by patients and </w:t>
      </w:r>
      <w:r w:rsidR="006232B7">
        <w:t xml:space="preserve">the </w:t>
      </w:r>
      <w:r w:rsidR="00E11C5D">
        <w:t>use of</w:t>
      </w:r>
      <w:r>
        <w:t xml:space="preserve"> experiments to verify </w:t>
      </w:r>
      <w:r w:rsidR="006232B7">
        <w:t>whether</w:t>
      </w:r>
      <w:r w:rsidR="00E11C5D">
        <w:t xml:space="preserve"> treatments w</w:t>
      </w:r>
      <w:r w:rsidR="006232B7">
        <w:t>ere working.</w:t>
      </w:r>
      <w:r w:rsidR="00B56CBE">
        <w:rPr>
          <w:rStyle w:val="FootnoteReference"/>
        </w:rPr>
        <w:footnoteReference w:id="35"/>
      </w:r>
      <w:r w:rsidR="006232B7">
        <w:t xml:space="preserve"> Despite analysis similarities with</w:t>
      </w:r>
      <w:r w:rsidR="00A435A2">
        <w:t xml:space="preserve"> Hi</w:t>
      </w:r>
      <w:r w:rsidR="006232B7">
        <w:t>ppocrates, Aristotle considered</w:t>
      </w:r>
      <w:r w:rsidR="00A435A2">
        <w:t xml:space="preserve"> the heart as the organ in which mental illness arose</w:t>
      </w:r>
      <w:r w:rsidR="006232B7">
        <w:t>,</w:t>
      </w:r>
      <w:r w:rsidR="00A435A2">
        <w:t xml:space="preserve"> and not the brain, which Aristotle saw as “a residue lacking any sensitive faculty</w:t>
      </w:r>
      <w:r w:rsidR="006524EC">
        <w:t>”</w:t>
      </w:r>
      <w:r w:rsidR="00A435A2">
        <w:t>.</w:t>
      </w:r>
      <w:r w:rsidR="004F2BC0">
        <w:rPr>
          <w:rStyle w:val="FootnoteReference"/>
        </w:rPr>
        <w:footnoteReference w:id="36"/>
      </w:r>
      <w:r w:rsidR="00A435A2">
        <w:t xml:space="preserve"> </w:t>
      </w:r>
      <w:r w:rsidR="004523E1">
        <w:t xml:space="preserve">To Aristotle, the heart was the core </w:t>
      </w:r>
      <w:r w:rsidR="006232B7">
        <w:t xml:space="preserve">part of the human soul and when </w:t>
      </w:r>
      <w:r w:rsidR="004523E1">
        <w:t xml:space="preserve">the </w:t>
      </w:r>
      <w:r w:rsidR="00975B09">
        <w:t xml:space="preserve">heart </w:t>
      </w:r>
      <w:r w:rsidR="004523E1">
        <w:t>va</w:t>
      </w:r>
      <w:r w:rsidR="006232B7">
        <w:t>ried in its natural temperature</w:t>
      </w:r>
      <w:r w:rsidR="00975B09">
        <w:t>,</w:t>
      </w:r>
      <w:r w:rsidR="006232B7">
        <w:t xml:space="preserve"> it was then that mental disorder </w:t>
      </w:r>
      <w:r w:rsidR="004F2BC0">
        <w:t>occurred</w:t>
      </w:r>
      <w:r w:rsidR="00975B09">
        <w:t>.</w:t>
      </w:r>
      <w:r w:rsidR="004F2BC0">
        <w:rPr>
          <w:rStyle w:val="FootnoteReference"/>
        </w:rPr>
        <w:footnoteReference w:id="37"/>
      </w:r>
      <w:r w:rsidR="00975B09">
        <w:t xml:space="preserve"> </w:t>
      </w:r>
    </w:p>
    <w:p w14:paraId="15E6126A" w14:textId="7E40CEFD" w:rsidR="00923C1A" w:rsidRDefault="00975B09" w:rsidP="00B07D02">
      <w:pPr>
        <w:spacing w:line="480" w:lineRule="auto"/>
      </w:pPr>
      <w:r>
        <w:t>Asclepiades (171 – 110 BCE)</w:t>
      </w:r>
      <w:r w:rsidR="0041218B">
        <w:t>, a Greek physician,</w:t>
      </w:r>
      <w:r>
        <w:t xml:space="preserve"> rejected the idea</w:t>
      </w:r>
      <w:r w:rsidR="006232B7">
        <w:t>s</w:t>
      </w:r>
      <w:r>
        <w:t xml:space="preserve"> of Hippocrates, </w:t>
      </w:r>
      <w:r w:rsidR="002F3D56">
        <w:t>that the humors when imbalanced resulted in mental illness.</w:t>
      </w:r>
      <w:r w:rsidR="004F2BC0">
        <w:rPr>
          <w:rStyle w:val="FootnoteReference"/>
        </w:rPr>
        <w:footnoteReference w:id="38"/>
      </w:r>
      <w:r w:rsidR="002F3D56">
        <w:t xml:space="preserve"> Instead, Asclepiades emphasised that mental disorder came from natural influences and that when a corpuscle becomes clogged and cause aggravation to the brain it results in abnormal beh</w:t>
      </w:r>
      <w:r w:rsidR="006C37AB">
        <w:t>avi</w:t>
      </w:r>
      <w:r w:rsidR="00063F29">
        <w:t>our in the patient.</w:t>
      </w:r>
      <w:r w:rsidR="004F2BC0">
        <w:rPr>
          <w:rStyle w:val="FootnoteReference"/>
        </w:rPr>
        <w:footnoteReference w:id="39"/>
      </w:r>
      <w:r w:rsidR="00063F29">
        <w:t xml:space="preserve"> Asclepiades used humane treatment to cure the mentally ill by using treatments aimed at relaxing his patients.</w:t>
      </w:r>
      <w:r w:rsidR="004F2BC0">
        <w:rPr>
          <w:rStyle w:val="FootnoteReference"/>
        </w:rPr>
        <w:footnoteReference w:id="40"/>
      </w:r>
      <w:r w:rsidR="00063F29">
        <w:t xml:space="preserve"> </w:t>
      </w:r>
      <w:r w:rsidR="00923C1A">
        <w:t>Unlike Hippocrat</w:t>
      </w:r>
      <w:r w:rsidR="006232B7">
        <w:t>es, who</w:t>
      </w:r>
      <w:r w:rsidR="00923C1A">
        <w:t xml:space="preserve"> used more ‘barbaric’ techniques such as bloodletting and trephining, Asclepiades </w:t>
      </w:r>
      <w:r w:rsidR="006232B7">
        <w:t xml:space="preserve">was </w:t>
      </w:r>
      <w:r w:rsidR="00923C1A">
        <w:t>forcibly opposed these methods in treating the mentally ill.</w:t>
      </w:r>
      <w:r w:rsidR="004F2BC0">
        <w:rPr>
          <w:rStyle w:val="FootnoteReference"/>
        </w:rPr>
        <w:footnoteReference w:id="41"/>
      </w:r>
      <w:r w:rsidR="00923C1A">
        <w:t xml:space="preserve"> </w:t>
      </w:r>
    </w:p>
    <w:p w14:paraId="39B35903" w14:textId="4980DD10" w:rsidR="004256A3" w:rsidRDefault="00875C86" w:rsidP="00B07D02">
      <w:pPr>
        <w:spacing w:line="480" w:lineRule="auto"/>
      </w:pPr>
      <w:r>
        <w:lastRenderedPageBreak/>
        <w:t>Cicero (103 – 43 BCE)</w:t>
      </w:r>
      <w:r w:rsidR="0041218B">
        <w:t>, a roman politician and lawyer,</w:t>
      </w:r>
      <w:r>
        <w:t xml:space="preserve"> </w:t>
      </w:r>
      <w:r w:rsidR="00282E93">
        <w:t>took note of mental disorders that are today attributed to those having psychopathic</w:t>
      </w:r>
      <w:r w:rsidR="000204C9">
        <w:t xml:space="preserve"> or antisocial</w:t>
      </w:r>
      <w:r w:rsidR="00282E93">
        <w:t xml:space="preserve"> personalities</w:t>
      </w:r>
      <w:r w:rsidR="000204C9">
        <w:t>.</w:t>
      </w:r>
      <w:r w:rsidR="004F2BC0">
        <w:rPr>
          <w:rStyle w:val="FootnoteReference"/>
        </w:rPr>
        <w:footnoteReference w:id="42"/>
      </w:r>
      <w:r w:rsidR="000204C9">
        <w:t xml:space="preserve"> Like Socrates, Cicero held the belief that </w:t>
      </w:r>
      <w:r w:rsidR="00DB0F1B">
        <w:t>mental illness resulted from an internal conflict within the patient</w:t>
      </w:r>
      <w:r w:rsidR="00912F6D">
        <w:t>.</w:t>
      </w:r>
      <w:r w:rsidR="004F2BC0">
        <w:rPr>
          <w:rStyle w:val="FootnoteReference"/>
        </w:rPr>
        <w:footnoteReference w:id="43"/>
      </w:r>
      <w:r w:rsidR="00912F6D">
        <w:t xml:space="preserve"> To Cicero, a form of self-help was the treatment for such illnesses, holding the belief that through reasoning and relaxation, a person would be able to control their psycho</w:t>
      </w:r>
      <w:r w:rsidR="002212B8">
        <w:t>pathic or antisocial behaviour</w:t>
      </w:r>
      <w:r w:rsidR="00912F6D">
        <w:t>.</w:t>
      </w:r>
      <w:r w:rsidR="004F2BC0">
        <w:rPr>
          <w:rStyle w:val="FootnoteReference"/>
        </w:rPr>
        <w:footnoteReference w:id="44"/>
      </w:r>
      <w:r w:rsidR="00912F6D">
        <w:t xml:space="preserve"> </w:t>
      </w:r>
    </w:p>
    <w:p w14:paraId="3F2583B7" w14:textId="2609932C" w:rsidR="00912F6D" w:rsidRDefault="002212B8" w:rsidP="00B07D02">
      <w:pPr>
        <w:spacing w:line="480" w:lineRule="auto"/>
      </w:pPr>
      <w:r>
        <w:t>Celsus (15 BCE – 30 CE)</w:t>
      </w:r>
      <w:r w:rsidR="0041218B">
        <w:t>, a roman encyclopaedist,</w:t>
      </w:r>
      <w:r>
        <w:t xml:space="preserve"> insisted that mental il</w:t>
      </w:r>
      <w:r w:rsidR="00B67F99">
        <w:t>lness did not affect just one organ</w:t>
      </w:r>
      <w:r w:rsidR="006232B7">
        <w:t>,</w:t>
      </w:r>
      <w:r w:rsidR="00B67F99">
        <w:t xml:space="preserve"> but affected the patients whole bodily function.</w:t>
      </w:r>
      <w:r w:rsidR="004F2BC0">
        <w:rPr>
          <w:rStyle w:val="FootnoteReference"/>
        </w:rPr>
        <w:footnoteReference w:id="45"/>
      </w:r>
      <w:r w:rsidR="00B67F99">
        <w:t xml:space="preserve"> Celsus</w:t>
      </w:r>
      <w:r w:rsidR="006232B7">
        <w:t>’</w:t>
      </w:r>
      <w:r w:rsidR="00B67F99">
        <w:t xml:space="preserve"> cure for such illnesses took a less humane approach compared to that of his predecessors</w:t>
      </w:r>
      <w:r w:rsidR="006232B7">
        <w:t>, h</w:t>
      </w:r>
      <w:r w:rsidR="00C40F02">
        <w:t>e preferred techniques such as bloodletting, starvation and intimidation as treatments for the mentally ill.</w:t>
      </w:r>
      <w:r w:rsidR="004F2BC0">
        <w:rPr>
          <w:rStyle w:val="FootnoteReference"/>
        </w:rPr>
        <w:footnoteReference w:id="46"/>
      </w:r>
      <w:r w:rsidR="00C40F02">
        <w:t xml:space="preserve"> The cause, Celsus presented, for mental illness</w:t>
      </w:r>
      <w:r w:rsidR="006232B7">
        <w:t>,</w:t>
      </w:r>
      <w:r w:rsidR="001147FC">
        <w:t xml:space="preserve"> was due to</w:t>
      </w:r>
      <w:r w:rsidR="00C40F02">
        <w:t xml:space="preserve"> </w:t>
      </w:r>
      <w:r w:rsidR="001147FC">
        <w:t>a person</w:t>
      </w:r>
      <w:r w:rsidR="006232B7">
        <w:t>’s life</w:t>
      </w:r>
      <w:r w:rsidR="001147FC">
        <w:t>style. He found that those more inclined to mental illness w</w:t>
      </w:r>
      <w:r w:rsidR="006232B7">
        <w:t>ere</w:t>
      </w:r>
      <w:r w:rsidR="001147FC">
        <w:t xml:space="preserve"> those from the upper classes of society, who subside</w:t>
      </w:r>
      <w:r w:rsidR="006F7730">
        <w:t>d</w:t>
      </w:r>
      <w:r w:rsidR="001147FC">
        <w:t xml:space="preserve"> </w:t>
      </w:r>
      <w:r w:rsidR="006232B7">
        <w:t>in</w:t>
      </w:r>
      <w:r w:rsidR="001147FC">
        <w:t xml:space="preserve">to illness due to their </w:t>
      </w:r>
      <w:r w:rsidR="006F7730">
        <w:t>indolence and lust.</w:t>
      </w:r>
      <w:r w:rsidR="004F2BC0">
        <w:rPr>
          <w:rStyle w:val="FootnoteReference"/>
        </w:rPr>
        <w:footnoteReference w:id="47"/>
      </w:r>
      <w:r w:rsidR="006F7730">
        <w:t xml:space="preserve"> However, those from the working classes of society were less inclined to mental illness due to their activities</w:t>
      </w:r>
      <w:r w:rsidR="006232B7">
        <w:t>,</w:t>
      </w:r>
      <w:r w:rsidR="006F7730">
        <w:t xml:space="preserve"> such as </w:t>
      </w:r>
      <w:r w:rsidR="006232B7">
        <w:t xml:space="preserve">working in </w:t>
      </w:r>
      <w:r w:rsidR="006F7730">
        <w:t>agriculture</w:t>
      </w:r>
      <w:r w:rsidR="006232B7">
        <w:t>,</w:t>
      </w:r>
      <w:r w:rsidR="008D552A">
        <w:t xml:space="preserve"> which kept them in harmony with the natural laws.</w:t>
      </w:r>
      <w:r w:rsidR="004F2BC0">
        <w:rPr>
          <w:rStyle w:val="FootnoteReference"/>
        </w:rPr>
        <w:footnoteReference w:id="48"/>
      </w:r>
      <w:r w:rsidR="008D552A">
        <w:t xml:space="preserve"> </w:t>
      </w:r>
    </w:p>
    <w:p w14:paraId="387C2D36" w14:textId="40A8E7E4" w:rsidR="008D552A" w:rsidRDefault="008D552A" w:rsidP="00B07D02">
      <w:pPr>
        <w:spacing w:line="480" w:lineRule="auto"/>
      </w:pPr>
      <w:r>
        <w:t>Aretaeus (30 – 90 CE)</w:t>
      </w:r>
      <w:r w:rsidR="0041218B">
        <w:t>, a Greek physician,</w:t>
      </w:r>
      <w:r>
        <w:t xml:space="preserve"> adopted</w:t>
      </w:r>
      <w:r w:rsidR="00534E74">
        <w:t xml:space="preserve"> a</w:t>
      </w:r>
      <w:r>
        <w:t xml:space="preserve"> variety of concepts </w:t>
      </w:r>
      <w:r w:rsidR="006232B7">
        <w:t>which</w:t>
      </w:r>
      <w:r>
        <w:t xml:space="preserve"> link</w:t>
      </w:r>
      <w:r w:rsidR="006232B7">
        <w:t>ed together to</w:t>
      </w:r>
      <w:r>
        <w:t xml:space="preserve"> explain mental </w:t>
      </w:r>
      <w:r w:rsidR="00534E74">
        <w:t>illness during his lifetime.</w:t>
      </w:r>
      <w:r w:rsidR="006F3292">
        <w:rPr>
          <w:rStyle w:val="FootnoteReference"/>
        </w:rPr>
        <w:footnoteReference w:id="49"/>
      </w:r>
      <w:r w:rsidR="00534E74">
        <w:t xml:space="preserve"> These concepts included the</w:t>
      </w:r>
      <w:r w:rsidR="00F50E74">
        <w:t xml:space="preserve"> </w:t>
      </w:r>
      <w:r w:rsidR="00A03D61">
        <w:t xml:space="preserve">idea of pneuma (animal spirit), </w:t>
      </w:r>
      <w:r w:rsidR="00F50E74">
        <w:t>four humors, the</w:t>
      </w:r>
      <w:r w:rsidR="00534E74">
        <w:t xml:space="preserve"> natural laws</w:t>
      </w:r>
      <w:r w:rsidR="006232B7">
        <w:t>,</w:t>
      </w:r>
      <w:r w:rsidR="00534E74">
        <w:t xml:space="preserve"> and the soul. </w:t>
      </w:r>
      <w:r w:rsidR="006232B7">
        <w:t>He believed that a</w:t>
      </w:r>
      <w:r w:rsidR="00F50E74">
        <w:t xml:space="preserve"> combination of these different elements within the human body resulted in different mental disorders.</w:t>
      </w:r>
      <w:r w:rsidR="006F3292">
        <w:rPr>
          <w:rStyle w:val="FootnoteReference"/>
        </w:rPr>
        <w:footnoteReference w:id="50"/>
      </w:r>
      <w:r w:rsidR="00F50E74">
        <w:t xml:space="preserve"> For example, when a </w:t>
      </w:r>
      <w:r w:rsidR="00FD7FD1">
        <w:t xml:space="preserve">patient is feeling panicked and oppressed it results in the black bile being aggravated, causing it </w:t>
      </w:r>
      <w:r w:rsidR="006232B7">
        <w:t xml:space="preserve">to be </w:t>
      </w:r>
      <w:r w:rsidR="00FD7FD1">
        <w:t>presen</w:t>
      </w:r>
      <w:r w:rsidR="006232B7">
        <w:t>t</w:t>
      </w:r>
      <w:r w:rsidR="00FD7FD1">
        <w:t xml:space="preserve"> within the patients’ blood system</w:t>
      </w:r>
      <w:r w:rsidR="006232B7">
        <w:t xml:space="preserve"> in much higher levels than</w:t>
      </w:r>
      <w:r w:rsidR="00FD7FD1">
        <w:t xml:space="preserve"> before.</w:t>
      </w:r>
      <w:r w:rsidR="006F3292">
        <w:rPr>
          <w:rStyle w:val="FootnoteReference"/>
        </w:rPr>
        <w:footnoteReference w:id="51"/>
      </w:r>
      <w:r w:rsidR="00FD7FD1">
        <w:t xml:space="preserve"> This</w:t>
      </w:r>
      <w:r w:rsidR="00A03D61">
        <w:t>,</w:t>
      </w:r>
      <w:r w:rsidR="00FD7FD1">
        <w:t xml:space="preserve"> in turn</w:t>
      </w:r>
      <w:r w:rsidR="00A03D61">
        <w:t>,</w:t>
      </w:r>
      <w:r w:rsidR="00FD7FD1">
        <w:t xml:space="preserve"> chills </w:t>
      </w:r>
      <w:r w:rsidR="00FD7FD1">
        <w:lastRenderedPageBreak/>
        <w:t>the soul</w:t>
      </w:r>
      <w:r w:rsidR="00A03D61">
        <w:t xml:space="preserve"> (pneuma)</w:t>
      </w:r>
      <w:r w:rsidR="00FD7FD1">
        <w:t xml:space="preserve"> and results in melanchol</w:t>
      </w:r>
      <w:r w:rsidR="00A03D61">
        <w:t>ia</w:t>
      </w:r>
      <w:r w:rsidR="00FD7FD1">
        <w:t xml:space="preserve">. </w:t>
      </w:r>
      <w:r w:rsidR="00254846">
        <w:t xml:space="preserve">Author Theodore Millon </w:t>
      </w:r>
      <w:r w:rsidR="00A03D61">
        <w:t xml:space="preserve">also </w:t>
      </w:r>
      <w:r w:rsidR="00254846">
        <w:t xml:space="preserve">states </w:t>
      </w:r>
      <w:r w:rsidR="00BF0DED">
        <w:t>that ‘Aretaeus proposed that melancholia was best attributed to psychological causes having nothing to do with bile or other bodily humors’.</w:t>
      </w:r>
      <w:r w:rsidR="006F3292">
        <w:rPr>
          <w:rStyle w:val="FootnoteReference"/>
        </w:rPr>
        <w:footnoteReference w:id="52"/>
      </w:r>
      <w:r w:rsidR="00BF0DED">
        <w:t xml:space="preserve"> </w:t>
      </w:r>
      <w:r w:rsidR="00A03D61">
        <w:t xml:space="preserve">Therefore Arethaeus, seems to adapt his perspectives, regarding the causes of different conditions, for different individuals. </w:t>
      </w:r>
      <w:r w:rsidR="00BF0DED">
        <w:t xml:space="preserve">This shows a change in the medical norms and steps away from humors being </w:t>
      </w:r>
      <w:r w:rsidR="00A03D61">
        <w:t xml:space="preserve">primary </w:t>
      </w:r>
      <w:r w:rsidR="00BF0DED">
        <w:t>aggravates to mental illnesses. Aretaeus followed in Hippocrates</w:t>
      </w:r>
      <w:r w:rsidR="00A03D61">
        <w:t>’</w:t>
      </w:r>
      <w:r w:rsidR="00BF0DED">
        <w:t xml:space="preserve"> fo</w:t>
      </w:r>
      <w:r w:rsidR="00A03D61">
        <w:t>otsteps in that he created long-term follow-</w:t>
      </w:r>
      <w:r w:rsidR="00BF0DED">
        <w:t>ups on patients</w:t>
      </w:r>
      <w:r w:rsidR="00A03D61">
        <w:t>,</w:t>
      </w:r>
      <w:r w:rsidR="00BF0DED">
        <w:t xml:space="preserve"> as well as providing </w:t>
      </w:r>
      <w:r w:rsidR="00A03D61">
        <w:t xml:space="preserve">a set of predictions for the </w:t>
      </w:r>
      <w:r w:rsidR="00BF0DED">
        <w:t>general outcomes for different mental illnesses.</w:t>
      </w:r>
      <w:r w:rsidR="006F3292">
        <w:rPr>
          <w:rStyle w:val="FootnoteReference"/>
        </w:rPr>
        <w:footnoteReference w:id="53"/>
      </w:r>
      <w:r w:rsidR="00BF0DED">
        <w:t xml:space="preserve"> </w:t>
      </w:r>
    </w:p>
    <w:p w14:paraId="32EFBF97" w14:textId="2477D932" w:rsidR="00B86DB2" w:rsidRDefault="00DD34A9" w:rsidP="00B07D02">
      <w:pPr>
        <w:spacing w:line="480" w:lineRule="auto"/>
      </w:pPr>
      <w:r>
        <w:t>Soranus (98 – 135 CE)</w:t>
      </w:r>
      <w:r w:rsidR="0041218B">
        <w:t>, Greek physicians,</w:t>
      </w:r>
      <w:r>
        <w:t xml:space="preserve"> took inspiration from Celsus and Aretaes,</w:t>
      </w:r>
      <w:r w:rsidR="001B78CB">
        <w:t xml:space="preserve"> in</w:t>
      </w:r>
      <w:r>
        <w:t xml:space="preserve"> highlighting </w:t>
      </w:r>
      <w:r w:rsidR="00A03D61">
        <w:t>different phenomena</w:t>
      </w:r>
      <w:r w:rsidR="00675BFD">
        <w:t xml:space="preserve"> as a result of mental illnesses. Melancholia, as already been stated, was a result of excessive black bile. </w:t>
      </w:r>
      <w:r w:rsidR="008813AD">
        <w:t xml:space="preserve">Hysteria was associated with the uterus and phrenitis </w:t>
      </w:r>
      <w:r w:rsidR="00F505E2">
        <w:t xml:space="preserve">(inflammation of the brain) </w:t>
      </w:r>
      <w:r w:rsidR="00A03D61">
        <w:t xml:space="preserve">which </w:t>
      </w:r>
      <w:r w:rsidR="00F505E2">
        <w:t>was found in the diaphragm.</w:t>
      </w:r>
      <w:r w:rsidR="006F3292">
        <w:rPr>
          <w:rStyle w:val="FootnoteReference"/>
        </w:rPr>
        <w:footnoteReference w:id="54"/>
      </w:r>
      <w:r w:rsidR="00F505E2">
        <w:t xml:space="preserve"> </w:t>
      </w:r>
      <w:r w:rsidR="007D4D0E">
        <w:t xml:space="preserve">Soranus stressed </w:t>
      </w:r>
      <w:r w:rsidR="00CD167F">
        <w:t>the need for a humane approach to those with mental illness, going to great lengths to provide comfort for those who were mentally</w:t>
      </w:r>
      <w:r w:rsidR="00382084">
        <w:t xml:space="preserve"> </w:t>
      </w:r>
      <w:r w:rsidR="00B86DB2">
        <w:t>ill.</w:t>
      </w:r>
      <w:r w:rsidR="006F3292">
        <w:rPr>
          <w:rStyle w:val="FootnoteReference"/>
        </w:rPr>
        <w:footnoteReference w:id="55"/>
      </w:r>
      <w:r w:rsidR="00B86DB2">
        <w:t xml:space="preserve"> However, he understood the need for restraints and so advised his medical colleges to use bands that were ‘soft and of delicate texture’</w:t>
      </w:r>
      <w:r w:rsidR="006F3292">
        <w:rPr>
          <w:rStyle w:val="FootnoteReference"/>
        </w:rPr>
        <w:footnoteReference w:id="56"/>
      </w:r>
      <w:r w:rsidR="00E80E35">
        <w:t xml:space="preserve"> in attempt to prevent injury</w:t>
      </w:r>
      <w:r w:rsidR="00B86DB2">
        <w:t xml:space="preserve"> to the </w:t>
      </w:r>
      <w:r w:rsidR="00E80E35">
        <w:t>patient’s</w:t>
      </w:r>
      <w:r w:rsidR="00B86DB2">
        <w:t xml:space="preserve"> joints. </w:t>
      </w:r>
    </w:p>
    <w:p w14:paraId="6448BF03" w14:textId="6EDB979A" w:rsidR="0041218B" w:rsidRDefault="00A65680" w:rsidP="00B07D02">
      <w:pPr>
        <w:spacing w:line="480" w:lineRule="auto"/>
      </w:pPr>
      <w:r>
        <w:t>Galen (131 – 201 CE)</w:t>
      </w:r>
      <w:r w:rsidR="007303F7">
        <w:t xml:space="preserve"> like Hippocrates, stressed the importance of observation, taking note </w:t>
      </w:r>
      <w:r w:rsidR="00A75B3A">
        <w:t>of medical outcomes and preferring methods</w:t>
      </w:r>
      <w:r w:rsidR="00457735">
        <w:t>, for treatment,</w:t>
      </w:r>
      <w:r w:rsidR="00A75B3A">
        <w:t xml:space="preserve"> that had </w:t>
      </w:r>
      <w:r w:rsidR="00A03D61">
        <w:t>historically</w:t>
      </w:r>
      <w:r w:rsidR="00A75B3A">
        <w:t xml:space="preserve"> been </w:t>
      </w:r>
      <w:r w:rsidR="00A03D61">
        <w:t>tested, so</w:t>
      </w:r>
      <w:r w:rsidR="00A75B3A">
        <w:t xml:space="preserve"> that there was evidence to them working, rather than hypotheses that lacked factual evidence.</w:t>
      </w:r>
      <w:r w:rsidR="006F3292">
        <w:rPr>
          <w:rStyle w:val="FootnoteReference"/>
        </w:rPr>
        <w:footnoteReference w:id="57"/>
      </w:r>
      <w:r w:rsidR="00457735">
        <w:t xml:space="preserve"> To Galen,</w:t>
      </w:r>
      <w:r w:rsidR="00CC5A4C">
        <w:t xml:space="preserve"> mental illness</w:t>
      </w:r>
      <w:r w:rsidR="00B72950">
        <w:t>es</w:t>
      </w:r>
      <w:r w:rsidR="00CC5A4C">
        <w:t xml:space="preserve"> were attributed</w:t>
      </w:r>
      <w:r w:rsidR="00A75B3A">
        <w:t xml:space="preserve"> </w:t>
      </w:r>
      <w:r w:rsidR="003D4243">
        <w:t>mainly to the brain</w:t>
      </w:r>
      <w:r w:rsidR="00B72950">
        <w:t>, being</w:t>
      </w:r>
      <w:r w:rsidR="003D4243">
        <w:t xml:space="preserve"> caused for a variety of reasons such as humors and human emotion.</w:t>
      </w:r>
      <w:r w:rsidR="006F3292">
        <w:rPr>
          <w:rStyle w:val="FootnoteReference"/>
        </w:rPr>
        <w:footnoteReference w:id="58"/>
      </w:r>
      <w:r w:rsidR="003D4243">
        <w:t xml:space="preserve"> </w:t>
      </w:r>
      <w:r w:rsidR="003D4243" w:rsidRPr="00B72950">
        <w:t>Ga</w:t>
      </w:r>
      <w:r w:rsidR="00F85B3F" w:rsidRPr="00B72950">
        <w:t>len did not believe that</w:t>
      </w:r>
      <w:r w:rsidR="00F85B3F">
        <w:t xml:space="preserve"> </w:t>
      </w:r>
      <w:r w:rsidR="00B72950">
        <w:t xml:space="preserve">environmental and psychological </w:t>
      </w:r>
      <w:r w:rsidR="00B72950">
        <w:lastRenderedPageBreak/>
        <w:t>factors could cause mental illness.</w:t>
      </w:r>
      <w:r w:rsidR="006F3292">
        <w:rPr>
          <w:rStyle w:val="FootnoteReference"/>
        </w:rPr>
        <w:footnoteReference w:id="59"/>
      </w:r>
      <w:r w:rsidR="0041218B">
        <w:t xml:space="preserve"> However, Galen did believe that brain activity was related to spirit animals that carried out both voluntary and involuntary actions.</w:t>
      </w:r>
      <w:r w:rsidR="006F3292">
        <w:rPr>
          <w:rStyle w:val="FootnoteReference"/>
        </w:rPr>
        <w:footnoteReference w:id="60"/>
      </w:r>
      <w:r w:rsidR="0041218B">
        <w:t xml:space="preserve"> </w:t>
      </w:r>
    </w:p>
    <w:p w14:paraId="2975561E" w14:textId="0C76EC52" w:rsidR="0041218B" w:rsidRDefault="0041218B" w:rsidP="00B07D02">
      <w:pPr>
        <w:spacing w:line="480" w:lineRule="auto"/>
      </w:pPr>
      <w:r>
        <w:t xml:space="preserve">What is interesting when analysing these different theories, practices and treatments is that a common theme on the cause for mental illnesses occurs </w:t>
      </w:r>
      <w:r w:rsidR="00F65E8C">
        <w:t xml:space="preserve">when </w:t>
      </w:r>
      <w:r>
        <w:t>an imba</w:t>
      </w:r>
      <w:r w:rsidR="00F65E8C">
        <w:t xml:space="preserve">lance disrupts </w:t>
      </w:r>
      <w:r w:rsidR="00B3160B">
        <w:t>the normal functioning of the human body. The imbalance seems to occur either from the humors, human emotions or environmental changes such as temperature. What i</w:t>
      </w:r>
      <w:r w:rsidR="008625E5">
        <w:t xml:space="preserve">s also notable is that particularly all </w:t>
      </w:r>
      <w:r w:rsidR="00F6551C">
        <w:t>the philosophers and physicians</w:t>
      </w:r>
      <w:r w:rsidR="008625E5">
        <w:t xml:space="preserve">, expect Celsus, stressed for a humane approach to those who were deemed mentally ill. </w:t>
      </w:r>
    </w:p>
    <w:p w14:paraId="0F67A9AC" w14:textId="4DF08C95" w:rsidR="00A75B3A" w:rsidRDefault="008625E5" w:rsidP="00B07D02">
      <w:pPr>
        <w:spacing w:line="480" w:lineRule="auto"/>
      </w:pPr>
      <w:r>
        <w:t xml:space="preserve">The question still remains on why these men of knowledge </w:t>
      </w:r>
      <w:r w:rsidR="00D17FB7">
        <w:t>were influenced to believe in their theories, methods and practices the way they</w:t>
      </w:r>
      <w:r w:rsidR="00B3370F">
        <w:t xml:space="preserve"> did. </w:t>
      </w:r>
      <w:r w:rsidR="00FC0FC4">
        <w:t xml:space="preserve">In the case of </w:t>
      </w:r>
      <w:r w:rsidR="00A752ED">
        <w:t>Socrates and</w:t>
      </w:r>
      <w:r w:rsidR="00FC0FC4">
        <w:t xml:space="preserve"> Hippoc</w:t>
      </w:r>
      <w:r w:rsidR="00CE1043">
        <w:t xml:space="preserve">rates </w:t>
      </w:r>
      <w:r w:rsidR="00A752ED">
        <w:t>they</w:t>
      </w:r>
      <w:r w:rsidR="00CE1043">
        <w:t xml:space="preserve"> lived </w:t>
      </w:r>
      <w:r w:rsidR="00FC0FC4">
        <w:t>during the time of the Peloponnesian War which lasted from 431 BCE to 404 BCE.</w:t>
      </w:r>
      <w:r w:rsidR="00CE07E5">
        <w:t xml:space="preserve"> This conflict could have </w:t>
      </w:r>
      <w:r w:rsidR="00FD0DC5">
        <w:t>possibly contributed to their theories, methods and practices.</w:t>
      </w:r>
      <w:r w:rsidR="00FC0FC4">
        <w:t xml:space="preserve"> </w:t>
      </w:r>
      <w:r w:rsidR="00B40769">
        <w:t xml:space="preserve">Socrates during the Peloponnesian </w:t>
      </w:r>
      <w:r w:rsidR="004A18EC">
        <w:t>War</w:t>
      </w:r>
      <w:r w:rsidR="00B40769">
        <w:t xml:space="preserve"> was a hoplite</w:t>
      </w:r>
      <w:r w:rsidR="00B40769">
        <w:rPr>
          <w:rStyle w:val="FootnoteReference"/>
        </w:rPr>
        <w:footnoteReference w:id="61"/>
      </w:r>
      <w:r w:rsidR="00B40769">
        <w:t xml:space="preserve"> who had taken part in battles</w:t>
      </w:r>
      <w:r w:rsidR="00FE4375">
        <w:t>,</w:t>
      </w:r>
      <w:r w:rsidR="00B40769">
        <w:t xml:space="preserve"> such as</w:t>
      </w:r>
      <w:r w:rsidR="00FE4375">
        <w:t>,</w:t>
      </w:r>
      <w:r w:rsidR="00B40769">
        <w:t xml:space="preserve"> </w:t>
      </w:r>
      <w:r w:rsidR="00F57F41">
        <w:t>the battle of Amphipolis,</w:t>
      </w:r>
      <w:r w:rsidR="00E316AB">
        <w:t xml:space="preserve"> </w:t>
      </w:r>
      <w:r w:rsidR="00BC4CD0">
        <w:t>Delium</w:t>
      </w:r>
      <w:r w:rsidR="00F57F41">
        <w:t xml:space="preserve"> and Potidaea</w:t>
      </w:r>
      <w:r w:rsidR="00E316AB">
        <w:t>.</w:t>
      </w:r>
      <w:r w:rsidR="00F57F41">
        <w:rPr>
          <w:rStyle w:val="FootnoteReference"/>
        </w:rPr>
        <w:footnoteReference w:id="62"/>
      </w:r>
      <w:r w:rsidR="00E316AB">
        <w:t xml:space="preserve"> During these battles Socrates would have seen action and death and it is perhaps from these conflicts that he developed his idea as a philosopher that people became ill due to </w:t>
      </w:r>
      <w:r w:rsidR="00235688">
        <w:t xml:space="preserve">inner demons. </w:t>
      </w:r>
      <w:r w:rsidR="007A3656">
        <w:t>From what is known today, due to modern research, is the understanding of post-traumatic stress disorder (PTSD) that occurs due to an extremely traumatic experience or event.</w:t>
      </w:r>
      <w:r w:rsidR="00AA36B5">
        <w:rPr>
          <w:rStyle w:val="FootnoteReference"/>
        </w:rPr>
        <w:footnoteReference w:id="63"/>
      </w:r>
      <w:r w:rsidR="007A3656">
        <w:t xml:space="preserve"> People who suffer from PTSD </w:t>
      </w:r>
      <w:r w:rsidR="00AA36B5">
        <w:t xml:space="preserve">are known to display a notable change in their personality </w:t>
      </w:r>
      <w:r w:rsidR="008A6FC9">
        <w:t xml:space="preserve">due to their brain replaying the traumatic experience in detail </w:t>
      </w:r>
      <w:r w:rsidR="00945C4A">
        <w:t>in</w:t>
      </w:r>
      <w:r w:rsidR="008A6FC9">
        <w:t xml:space="preserve"> their mind.</w:t>
      </w:r>
      <w:r w:rsidR="008A6FC9">
        <w:rPr>
          <w:rStyle w:val="FootnoteReference"/>
        </w:rPr>
        <w:footnoteReference w:id="64"/>
      </w:r>
      <w:r w:rsidR="008A6FC9">
        <w:t xml:space="preserve"> </w:t>
      </w:r>
      <w:r w:rsidR="00945C4A">
        <w:t xml:space="preserve">The term post-traumatic stress disorder is new, however, that does not mean people suffering from it is new. Socrates would have fought alongside soldiers that would had suffered from PTSD after the brutal military conflict. Socrates would have taken note of his fellow soldiers change in personality, notably if Socrates </w:t>
      </w:r>
      <w:r w:rsidR="00945C4A">
        <w:lastRenderedPageBreak/>
        <w:t>himself was unaffected by trauma gained through military action.</w:t>
      </w:r>
      <w:r w:rsidR="00945C4A">
        <w:rPr>
          <w:rStyle w:val="FootnoteReference"/>
        </w:rPr>
        <w:footnoteReference w:id="65"/>
      </w:r>
      <w:r w:rsidR="00945C4A">
        <w:t xml:space="preserve"> On the other hand, Socrates could have gone through PTSD but</w:t>
      </w:r>
      <w:r w:rsidR="00FE4375">
        <w:t xml:space="preserve"> could have</w:t>
      </w:r>
      <w:r w:rsidR="00945C4A">
        <w:t xml:space="preserve"> overcome</w:t>
      </w:r>
      <w:r w:rsidR="00FE4375">
        <w:t xml:space="preserve"> it,</w:t>
      </w:r>
      <w:r w:rsidR="00945C4A">
        <w:t xml:space="preserve"> </w:t>
      </w:r>
      <w:r w:rsidR="00966411">
        <w:t xml:space="preserve">which would provide an understanding as to why he believed a person could overcome mental illness simply by reason. </w:t>
      </w:r>
    </w:p>
    <w:p w14:paraId="4951DCB0" w14:textId="4F8B2682" w:rsidR="00FE4375" w:rsidRDefault="00FE4375" w:rsidP="00B07D02">
      <w:pPr>
        <w:spacing w:line="480" w:lineRule="auto"/>
      </w:pPr>
      <w:r>
        <w:t>Hippocrates was a notable physician durin</w:t>
      </w:r>
      <w:r w:rsidR="004A18EC">
        <w:t>g the time of the Peloponnesian War, who had an active role in treating the victims of the plague that struck Athens in 430 BCE and lasted until 427BCE.</w:t>
      </w:r>
      <w:r w:rsidR="004A18EC">
        <w:rPr>
          <w:rStyle w:val="FootnoteReference"/>
        </w:rPr>
        <w:footnoteReference w:id="66"/>
      </w:r>
      <w:r w:rsidR="004A18EC">
        <w:t xml:space="preserve"> </w:t>
      </w:r>
      <w:r w:rsidR="00F23D87">
        <w:t xml:space="preserve">The symptoms displayed by the plague </w:t>
      </w:r>
      <w:r w:rsidR="00F96960">
        <w:t>victims are told to us by Thucydides which highlight an unpleasan</w:t>
      </w:r>
      <w:r w:rsidR="007C1F48">
        <w:t>t</w:t>
      </w:r>
      <w:r w:rsidR="00D43B25">
        <w:t xml:space="preserve"> experience for the plague victims</w:t>
      </w:r>
      <w:r w:rsidR="007C1F48">
        <w:t xml:space="preserve">: </w:t>
      </w:r>
    </w:p>
    <w:p w14:paraId="09EF9D70" w14:textId="47ACE1CE" w:rsidR="007C1F48" w:rsidRDefault="007C1F48" w:rsidP="00B07D02">
      <w:pPr>
        <w:spacing w:line="480" w:lineRule="auto"/>
        <w:ind w:left="720"/>
      </w:pPr>
      <w:r w:rsidRPr="007C1F48">
        <w:t xml:space="preserve">heat of the head, and redness and inflammation of the eyes, and the parts inside the mouth, both the throat and the tongue, immediately became blood-red and exhaled an </w:t>
      </w:r>
      <w:r>
        <w:t>unnatural and fetid breath.</w:t>
      </w:r>
      <w:r>
        <w:rPr>
          <w:rStyle w:val="FootnoteReference"/>
        </w:rPr>
        <w:footnoteReference w:id="67"/>
      </w:r>
    </w:p>
    <w:p w14:paraId="5FB58EBE" w14:textId="37B25BB3" w:rsidR="005B6558" w:rsidRDefault="009C75E2" w:rsidP="00B07D02">
      <w:pPr>
        <w:spacing w:line="480" w:lineRule="auto"/>
      </w:pPr>
      <w:r>
        <w:t xml:space="preserve">The disease described by Thucydides that struck Athens is still unclear even to today scientists and </w:t>
      </w:r>
      <w:r w:rsidR="00C67519">
        <w:t xml:space="preserve">historians and </w:t>
      </w:r>
      <w:r>
        <w:t xml:space="preserve">has </w:t>
      </w:r>
      <w:r w:rsidR="001E16C5">
        <w:t xml:space="preserve">been attributed to signs and symptoms for a variety of </w:t>
      </w:r>
      <w:r w:rsidR="00C67519">
        <w:t>diseases</w:t>
      </w:r>
      <w:r w:rsidR="001E16C5">
        <w:t>.</w:t>
      </w:r>
      <w:r w:rsidR="001E16C5">
        <w:rPr>
          <w:rStyle w:val="FootnoteReference"/>
        </w:rPr>
        <w:footnoteReference w:id="68"/>
      </w:r>
      <w:r w:rsidR="00195850">
        <w:t xml:space="preserve"> One of the diseases that has been suggested as the cause of the plague at Athens was Ergot poisoning.</w:t>
      </w:r>
      <w:r w:rsidR="00195850">
        <w:rPr>
          <w:rStyle w:val="FootnoteReference"/>
        </w:rPr>
        <w:footnoteReference w:id="69"/>
      </w:r>
      <w:r w:rsidR="00195850">
        <w:t xml:space="preserve"> Ergot is basically a fungus </w:t>
      </w:r>
      <w:r w:rsidR="002D53D1">
        <w:t xml:space="preserve">that effects plants such as wheat. </w:t>
      </w:r>
      <w:r w:rsidR="00F4002B">
        <w:t xml:space="preserve">The beginning </w:t>
      </w:r>
      <w:r w:rsidR="002D53D1">
        <w:t>symptoms of this fungal disease vary but significantly</w:t>
      </w:r>
      <w:r w:rsidR="00D43B25">
        <w:t>, one of the symptoms that occur due to Egrot can be depression.</w:t>
      </w:r>
      <w:r w:rsidR="00D43B25">
        <w:rPr>
          <w:rStyle w:val="FootnoteReference"/>
        </w:rPr>
        <w:footnoteReference w:id="70"/>
      </w:r>
      <w:r w:rsidR="00D43B25">
        <w:t xml:space="preserve"> Hippocrates, as a physician with experience, unlike Socrates, would have possibly sort to correct this epidemic </w:t>
      </w:r>
      <w:r w:rsidR="008118DE">
        <w:t>by seeking ways to create balance with the hu</w:t>
      </w:r>
      <w:r w:rsidR="005B6558">
        <w:t xml:space="preserve">mors that had become imbalance if melancholy </w:t>
      </w:r>
      <w:r w:rsidR="007C4F33">
        <w:t xml:space="preserve">was </w:t>
      </w:r>
      <w:r w:rsidR="005B6558">
        <w:t xml:space="preserve">displayed as one of the symptoms. </w:t>
      </w:r>
    </w:p>
    <w:p w14:paraId="5074ABFB" w14:textId="18673AC7" w:rsidR="006078D1" w:rsidRDefault="006078D1" w:rsidP="00B07D02">
      <w:pPr>
        <w:spacing w:line="480" w:lineRule="auto"/>
      </w:pPr>
      <w:r>
        <w:t xml:space="preserve">Cicero </w:t>
      </w:r>
      <w:r w:rsidR="002747E1">
        <w:t xml:space="preserve">held a similar view </w:t>
      </w:r>
      <w:r w:rsidR="007D3DB0">
        <w:t xml:space="preserve">to Socrates that mental illnesses could be cured by self-help, however, Cicero encounter with those considered to be mental ill was different to that of Socrates and Hippocrates. Cicero was not a physician so did not treat the ill on a daily basis like Hippocrates. Nor </w:t>
      </w:r>
      <w:r w:rsidR="00603977">
        <w:lastRenderedPageBreak/>
        <w:t>did Cicero see an</w:t>
      </w:r>
      <w:r w:rsidR="003E3648">
        <w:t>y</w:t>
      </w:r>
      <w:r w:rsidR="00603977">
        <w:t xml:space="preserve"> military action like Socrates</w:t>
      </w:r>
      <w:r w:rsidR="003E3648">
        <w:t>,</w:t>
      </w:r>
      <w:r w:rsidR="00603977">
        <w:t xml:space="preserve"> so would not have encountered those suffering from post-traumatic stress disorder. </w:t>
      </w:r>
      <w:r w:rsidR="003E3648">
        <w:t xml:space="preserve">Cicero instead encounter those who were mental ill, specifically those with psychopathic and antisocial personalities, through his career as a politician and lawyer. </w:t>
      </w:r>
    </w:p>
    <w:p w14:paraId="4B46ACC0" w14:textId="16BBD9E7" w:rsidR="00291AF6" w:rsidRDefault="00291AF6" w:rsidP="00B07D02">
      <w:pPr>
        <w:spacing w:line="480" w:lineRule="auto"/>
      </w:pPr>
      <w:r>
        <w:t>Taking the case Cicero brought against</w:t>
      </w:r>
      <w:r w:rsidR="00EE09EA">
        <w:t xml:space="preserve"> G</w:t>
      </w:r>
      <w:r>
        <w:t>aius Verres</w:t>
      </w:r>
      <w:r w:rsidR="00EE09EA">
        <w:t xml:space="preserve"> </w:t>
      </w:r>
      <w:r w:rsidR="00070135">
        <w:t xml:space="preserve">in 70 BCE </w:t>
      </w:r>
      <w:r w:rsidR="00EE09EA">
        <w:t xml:space="preserve">for the crimes he committed in Sicily. These crimes </w:t>
      </w:r>
      <w:r w:rsidR="00070135">
        <w:t>that Gaius was accused of committing ranged from extortion to disregard of Roman citizen rights.</w:t>
      </w:r>
      <w:r w:rsidR="008E74F3">
        <w:rPr>
          <w:rStyle w:val="FootnoteReference"/>
        </w:rPr>
        <w:footnoteReference w:id="71"/>
      </w:r>
      <w:r w:rsidR="00070135">
        <w:t xml:space="preserve"> What Cicero also mentioned in his speeches against Verres was the other crimes he had committed that he was not being charge with during the trial was the rape of wives and daughters as well as the execution of innocent citizens.</w:t>
      </w:r>
      <w:r w:rsidR="008E74F3">
        <w:rPr>
          <w:rStyle w:val="FootnoteReference"/>
        </w:rPr>
        <w:footnoteReference w:id="72"/>
      </w:r>
      <w:r w:rsidR="00070135">
        <w:t xml:space="preserve"> </w:t>
      </w:r>
      <w:r w:rsidR="00EE09EA">
        <w:t xml:space="preserve">It can perhaps be suggested that </w:t>
      </w:r>
      <w:r w:rsidR="008E74F3">
        <w:t>due</w:t>
      </w:r>
      <w:r w:rsidR="00070135">
        <w:t xml:space="preserve"> to the tyranny </w:t>
      </w:r>
      <w:r w:rsidR="008E74F3">
        <w:t>Verres imposed on the citizens of Sicily that perhaps his personality is now best attributed to that of a psychopath. There is modern research to suggest that those with psychopathic tendencies tend to achieve high office jobs,</w:t>
      </w:r>
      <w:r w:rsidR="008E74F3">
        <w:rPr>
          <w:rStyle w:val="FootnoteReference"/>
        </w:rPr>
        <w:footnoteReference w:id="73"/>
      </w:r>
      <w:r w:rsidR="00244FB9">
        <w:t xml:space="preserve"> this is significant, if applied to Cicero era, </w:t>
      </w:r>
      <w:r w:rsidR="008E74F3">
        <w:t xml:space="preserve">as Verres was the </w:t>
      </w:r>
      <w:r w:rsidR="008E74F3" w:rsidRPr="008E74F3">
        <w:t>Praetor</w:t>
      </w:r>
      <w:r w:rsidR="008E74F3">
        <w:t xml:space="preserve"> of Sicily</w:t>
      </w:r>
      <w:r w:rsidR="00244FB9">
        <w:t>, which is considered high office position</w:t>
      </w:r>
      <w:r w:rsidR="008E74F3">
        <w:t xml:space="preserve">.  </w:t>
      </w:r>
    </w:p>
    <w:p w14:paraId="335B47DB" w14:textId="5C07FCBA" w:rsidR="005A2960" w:rsidRDefault="00244FB9" w:rsidP="00B07D02">
      <w:pPr>
        <w:spacing w:line="480" w:lineRule="auto"/>
      </w:pPr>
      <w:r>
        <w:t xml:space="preserve">Continuing on with this theme of people in high office, Augustus reign could have possibly </w:t>
      </w:r>
      <w:r w:rsidR="00A273BE">
        <w:t>effected Celsus theories, methods and practices. It is debate whether Celsus was</w:t>
      </w:r>
      <w:r>
        <w:t xml:space="preserve"> </w:t>
      </w:r>
      <w:r w:rsidR="00A273BE">
        <w:t>a</w:t>
      </w:r>
      <w:r w:rsidR="008E74F3">
        <w:t xml:space="preserve"> physician</w:t>
      </w:r>
      <w:r w:rsidR="00A273BE">
        <w:rPr>
          <w:rStyle w:val="FootnoteReference"/>
        </w:rPr>
        <w:footnoteReference w:id="74"/>
      </w:r>
      <w:r w:rsidR="008E74F3">
        <w:t xml:space="preserve"> </w:t>
      </w:r>
      <w:r w:rsidR="00A6430F">
        <w:t xml:space="preserve">but </w:t>
      </w:r>
      <w:r w:rsidR="00A273BE">
        <w:t xml:space="preserve">what is known is that he was </w:t>
      </w:r>
      <w:r w:rsidR="00A6430F">
        <w:t xml:space="preserve">an </w:t>
      </w:r>
      <w:r w:rsidR="00583963">
        <w:t>encyclopaedist on medicine and h</w:t>
      </w:r>
      <w:r w:rsidR="00225C46">
        <w:t>e livid during the reigns of Emperor Augustus and Emperor Tiberius. It can be</w:t>
      </w:r>
      <w:r w:rsidR="00A273BE">
        <w:t>,</w:t>
      </w:r>
      <w:r w:rsidR="00225C46">
        <w:t xml:space="preserve"> perhaps</w:t>
      </w:r>
      <w:r w:rsidR="00A273BE">
        <w:t>,</w:t>
      </w:r>
      <w:r w:rsidR="00225C46">
        <w:t xml:space="preserve"> suggested that Celsus gained his influence on why a person becomes mentally ill due to Augustus regime. Augustus came to power after a long </w:t>
      </w:r>
      <w:r w:rsidR="00823EBF">
        <w:t xml:space="preserve">period of </w:t>
      </w:r>
      <w:r w:rsidR="00225C46">
        <w:t>civil war within Rome</w:t>
      </w:r>
      <w:r w:rsidR="00823EBF">
        <w:t>.</w:t>
      </w:r>
      <w:r w:rsidR="00A273BE">
        <w:rPr>
          <w:rStyle w:val="FootnoteReference"/>
        </w:rPr>
        <w:footnoteReference w:id="75"/>
      </w:r>
      <w:r w:rsidR="0038777E">
        <w:t xml:space="preserve"> Once he gained power, Augustus </w:t>
      </w:r>
      <w:r w:rsidR="00823EBF">
        <w:t>sort to restore Rome to its foundations</w:t>
      </w:r>
      <w:r w:rsidR="0038777E">
        <w:t>;</w:t>
      </w:r>
      <w:r w:rsidR="00823EBF">
        <w:t xml:space="preserve"> stating tha</w:t>
      </w:r>
      <w:r w:rsidR="00A273BE">
        <w:t>t the cause of conflict was due</w:t>
      </w:r>
      <w:r w:rsidR="00823EBF">
        <w:t xml:space="preserve"> to Romans becoming impious and so instated laws to make Roman pious again.</w:t>
      </w:r>
      <w:r w:rsidR="00A273BE">
        <w:rPr>
          <w:rStyle w:val="FootnoteReference"/>
        </w:rPr>
        <w:footnoteReference w:id="76"/>
      </w:r>
      <w:r w:rsidR="00823EBF">
        <w:t xml:space="preserve"> A notable law</w:t>
      </w:r>
      <w:r w:rsidR="001E7631">
        <w:t>,</w:t>
      </w:r>
      <w:r w:rsidR="00823EBF">
        <w:t xml:space="preserve"> </w:t>
      </w:r>
      <w:r w:rsidR="001E7631">
        <w:t>which Augustus brought in,</w:t>
      </w:r>
      <w:r w:rsidR="00823EBF">
        <w:t xml:space="preserve"> was to stop adultery</w:t>
      </w:r>
      <w:r w:rsidR="001E7631">
        <w:t>,</w:t>
      </w:r>
      <w:r w:rsidR="001E7631">
        <w:rPr>
          <w:rStyle w:val="FootnoteReference"/>
        </w:rPr>
        <w:footnoteReference w:id="77"/>
      </w:r>
      <w:r w:rsidR="00823EBF">
        <w:t xml:space="preserve"> which he exiled his daughter Julia some years later for.</w:t>
      </w:r>
      <w:r w:rsidR="00A273BE">
        <w:rPr>
          <w:rStyle w:val="FootnoteReference"/>
        </w:rPr>
        <w:footnoteReference w:id="78"/>
      </w:r>
      <w:r w:rsidR="00823EBF">
        <w:t xml:space="preserve"> </w:t>
      </w:r>
      <w:r w:rsidR="00A273BE">
        <w:t>Celsus would have been influe</w:t>
      </w:r>
      <w:r w:rsidR="0038777E">
        <w:t xml:space="preserve">nced by </w:t>
      </w:r>
      <w:r w:rsidR="0038777E">
        <w:lastRenderedPageBreak/>
        <w:t xml:space="preserve">these laws to make Rome pious against and would have saw the working classes of Roman society as more pious than those in the upper classes because as he states the upper classes have time for idleness and lust which is not very pious, whereas the working class are working every day to survive so do not have time for such luxuries. Celsus theory of mental illness holds significance in today society as an </w:t>
      </w:r>
      <w:r w:rsidR="00777446">
        <w:t>ongoing</w:t>
      </w:r>
      <w:r w:rsidR="0038777E">
        <w:t xml:space="preserve"> </w:t>
      </w:r>
      <w:r w:rsidR="00777446">
        <w:t>question is whether a person is depressed because of psychological reasons, or whether they are depressed due to idleness.</w:t>
      </w:r>
    </w:p>
    <w:p w14:paraId="68437632" w14:textId="459172FC" w:rsidR="00777446" w:rsidRDefault="001F657C" w:rsidP="00B07D02">
      <w:pPr>
        <w:spacing w:line="480" w:lineRule="auto"/>
      </w:pPr>
      <w:r>
        <w:t>Aretaeus livid</w:t>
      </w:r>
      <w:r w:rsidR="00DD65CB">
        <w:t xml:space="preserve"> round the time of the reign of the ‘Mad Emperor’</w:t>
      </w:r>
      <w:r w:rsidR="00476C8F">
        <w:t xml:space="preserve"> (Caligula)</w:t>
      </w:r>
      <w:r w:rsidR="000C182A">
        <w:t xml:space="preserve"> who is famed for making his soldiers whip the sea after he lost some of his ships to it and appointing his horse as a priest.</w:t>
      </w:r>
      <w:r w:rsidR="000C182A">
        <w:rPr>
          <w:rStyle w:val="FootnoteReference"/>
        </w:rPr>
        <w:footnoteReference w:id="79"/>
      </w:r>
      <w:r w:rsidR="000C182A">
        <w:t xml:space="preserve"> </w:t>
      </w:r>
      <w:r w:rsidR="00DD65CB">
        <w:t xml:space="preserve"> </w:t>
      </w:r>
      <w:r w:rsidR="000C182A">
        <w:t>It is of no surpris</w:t>
      </w:r>
      <w:r w:rsidR="00476C8F">
        <w:t xml:space="preserve">e then that Aretaeus would seek to explain mental illness through the ideas of imbalance in the humors, pneuma and the soul, as it would be easier to explain someone unusual behaviour, more specifically </w:t>
      </w:r>
      <w:r w:rsidR="008D1F5D">
        <w:t>an</w:t>
      </w:r>
      <w:r w:rsidR="00476C8F">
        <w:t xml:space="preserve"> emperor behaviour who killed people for mere fun, on spirit animals rather than a person cognitive mental processes</w:t>
      </w:r>
      <w:r w:rsidR="008D1F5D">
        <w:t xml:space="preserve"> as it would to safer to imply external matters to the insaneness rather than internal matters</w:t>
      </w:r>
      <w:r w:rsidR="00476C8F">
        <w:t xml:space="preserve">.  </w:t>
      </w:r>
    </w:p>
    <w:p w14:paraId="77F502AA" w14:textId="40597141" w:rsidR="008D1F5D" w:rsidRDefault="008D1F5D" w:rsidP="00B07D02">
      <w:pPr>
        <w:spacing w:line="480" w:lineRule="auto"/>
      </w:pPr>
      <w:r>
        <w:t>There is an ongoing debate on whether Caligula was actually insane or not or whether his insanity came from an infection or virus such as encephalitis and meningitis</w:t>
      </w:r>
      <w:r w:rsidR="006B3F69">
        <w:t>.</w:t>
      </w:r>
      <w:r>
        <w:rPr>
          <w:rStyle w:val="FootnoteReference"/>
        </w:rPr>
        <w:footnoteReference w:id="80"/>
      </w:r>
      <w:r w:rsidR="006B3F69">
        <w:t xml:space="preserve"> Another theory is that he suffered from epilepsy growing up as a child,</w:t>
      </w:r>
      <w:r w:rsidR="00427DB3">
        <w:rPr>
          <w:rStyle w:val="FootnoteReference"/>
        </w:rPr>
        <w:footnoteReference w:id="81"/>
      </w:r>
      <w:r w:rsidR="006B3F69">
        <w:t xml:space="preserve"> this suggestion has been brought up due to his inability to swim even though it was part of the imperial education system</w:t>
      </w:r>
      <w:r w:rsidR="00427DB3">
        <w:rPr>
          <w:rStyle w:val="FootnoteReference"/>
        </w:rPr>
        <w:footnoteReference w:id="82"/>
      </w:r>
      <w:r w:rsidR="00427DB3">
        <w:t xml:space="preserve"> and because he was known to talk to the moon,</w:t>
      </w:r>
      <w:r w:rsidR="00427DB3">
        <w:rPr>
          <w:rStyle w:val="FootnoteReference"/>
        </w:rPr>
        <w:footnoteReference w:id="83"/>
      </w:r>
      <w:r w:rsidR="00427DB3">
        <w:t>the moon being associated with epilepsy.</w:t>
      </w:r>
      <w:r w:rsidR="00427DB3">
        <w:rPr>
          <w:rStyle w:val="FootnoteReference"/>
        </w:rPr>
        <w:footnoteReference w:id="84"/>
      </w:r>
      <w:r w:rsidR="00427DB3">
        <w:t xml:space="preserve"> </w:t>
      </w:r>
    </w:p>
    <w:p w14:paraId="27F178E9" w14:textId="335D7466" w:rsidR="00CA6CC3" w:rsidRDefault="003F5DF9" w:rsidP="00B07D02">
      <w:pPr>
        <w:spacing w:line="480" w:lineRule="auto"/>
      </w:pPr>
      <w:r>
        <w:t xml:space="preserve">Galen influence for his theories, methods and practices can attributed to that of his predecessors such as Hippocrates and Aretaeus. What could have also </w:t>
      </w:r>
      <w:r w:rsidR="00065810">
        <w:t xml:space="preserve">contributed to Galen influence was the fact he came from a wealthy family and was able to receive the best education possible at the time, as </w:t>
      </w:r>
      <w:r w:rsidR="00065810">
        <w:lastRenderedPageBreak/>
        <w:t xml:space="preserve">well as, extensively traveling before settling in Rome. </w:t>
      </w:r>
      <w:r w:rsidR="00CA6CC3">
        <w:t>This extensive travel exposed him to new theory, methods and practices from a range of cultures</w:t>
      </w:r>
      <w:r w:rsidR="00D13629">
        <w:t xml:space="preserve"> </w:t>
      </w:r>
      <w:r w:rsidR="00CA6CC3">
        <w:t xml:space="preserve">and would have allowed him to perceive his own ideas on what cause mental illness. </w:t>
      </w:r>
    </w:p>
    <w:p w14:paraId="682316A8" w14:textId="7B54DAF1" w:rsidR="00C74383" w:rsidRDefault="00CA6CC3" w:rsidP="00B07D02">
      <w:pPr>
        <w:spacing w:line="480" w:lineRule="auto"/>
      </w:pPr>
      <w:r>
        <w:t>When looking at these different theorist</w:t>
      </w:r>
      <w:r w:rsidR="002F0811">
        <w:t>s and physician</w:t>
      </w:r>
      <w:r w:rsidR="00C74383">
        <w:t>s</w:t>
      </w:r>
      <w:r w:rsidR="002F0811">
        <w:t xml:space="preserve"> there becomes a</w:t>
      </w:r>
      <w:r>
        <w:t xml:space="preserve"> </w:t>
      </w:r>
      <w:r w:rsidR="00560DD0">
        <w:t xml:space="preserve">line in which the two </w:t>
      </w:r>
      <w:r w:rsidR="002F0811">
        <w:t>looks</w:t>
      </w:r>
      <w:r w:rsidR="00560DD0">
        <w:t xml:space="preserve"> a</w:t>
      </w:r>
      <w:r w:rsidR="002F0811">
        <w:t>t mental illnesses. From Aristotle, Cicero and Celsus point of view, as non-practicing physicians, they saw mental illness from a cultural po</w:t>
      </w:r>
      <w:r w:rsidR="00C74383">
        <w:t xml:space="preserve">int of view, as in the upper classes became ill because they had time to spare whether as the lower classes did not. However, practicing physicians, Hippocrates, Asclepiades, Aretaeus, Soranus and Galen saw mental illness as more than just environmental causes. To them it was a mixture of both culture and the inner workings of the human body that caused mental illnesses. </w:t>
      </w:r>
    </w:p>
    <w:p w14:paraId="01604677" w14:textId="2BD73380" w:rsidR="00F67B05" w:rsidRDefault="00F67B05" w:rsidP="00B07D02">
      <w:pPr>
        <w:spacing w:line="480" w:lineRule="auto"/>
      </w:pPr>
      <w:r>
        <w:t xml:space="preserve">What is also noticeable is that the different time periods each philosopher and physician lived in provided a different influence on their lives that could have impacted on their perception on mental illness. these influences range from war to tyrannical leaders.  </w:t>
      </w:r>
    </w:p>
    <w:p w14:paraId="425AACD8" w14:textId="5ECD5A71" w:rsidR="00427DB3" w:rsidRDefault="00C74383" w:rsidP="00B07D02">
      <w:pPr>
        <w:spacing w:line="480" w:lineRule="auto"/>
      </w:pPr>
      <w:r>
        <w:t xml:space="preserve">In conclusion, attitudes towards, and treatment of, mental ‘illness’ from 500 BCE to 200 CE varied and changed </w:t>
      </w:r>
      <w:r w:rsidR="00F67B05">
        <w:t>depending on whether you were a philosopher, that attributed mental illness to cultural issues or physician, that considered both cultural and bodi</w:t>
      </w:r>
      <w:r w:rsidR="00225636">
        <w:t xml:space="preserve">ly reasons for mental illness. what also influenced attitudes and treatments were personal experiences that the different philosophers and physicians went through. For Socrates, he witnesses mental illness through war so of course thought treatment was through self-help. For Galen, he had travelled to varices places and understood that mental illness was caused for a variant of reasons and thus needed different treatments for different mental illnesses. </w:t>
      </w:r>
    </w:p>
    <w:p w14:paraId="11E5A216" w14:textId="64B3C5BB" w:rsidR="00FE4375" w:rsidRDefault="005B6558" w:rsidP="00B07D02">
      <w:pPr>
        <w:spacing w:line="480" w:lineRule="auto"/>
      </w:pPr>
      <w:r>
        <w:t xml:space="preserve"> </w:t>
      </w:r>
      <w:r w:rsidR="00D43B25">
        <w:t xml:space="preserve">  </w:t>
      </w:r>
    </w:p>
    <w:p w14:paraId="1FEE697A" w14:textId="77777777" w:rsidR="00EB0AE7" w:rsidRDefault="00923C1A" w:rsidP="00B07D02">
      <w:pPr>
        <w:spacing w:line="480" w:lineRule="auto"/>
      </w:pPr>
      <w:r>
        <w:t xml:space="preserve"> </w:t>
      </w:r>
      <w:r w:rsidR="00063F29">
        <w:t xml:space="preserve"> </w:t>
      </w:r>
    </w:p>
    <w:p w14:paraId="7D862B35" w14:textId="77777777" w:rsidR="00EB0AE7" w:rsidRDefault="00EB0AE7" w:rsidP="00B07D02">
      <w:pPr>
        <w:spacing w:line="480" w:lineRule="auto"/>
      </w:pPr>
    </w:p>
    <w:p w14:paraId="068D49B4" w14:textId="18512F09" w:rsidR="006D608A" w:rsidRPr="00EB0AE7" w:rsidRDefault="006D608A" w:rsidP="00B07D02">
      <w:pPr>
        <w:spacing w:line="480" w:lineRule="auto"/>
        <w:rPr>
          <w:u w:val="single"/>
        </w:rPr>
      </w:pPr>
      <w:r w:rsidRPr="00EB0AE7">
        <w:rPr>
          <w:u w:val="single"/>
        </w:rPr>
        <w:lastRenderedPageBreak/>
        <w:t>Bibliography</w:t>
      </w:r>
    </w:p>
    <w:p w14:paraId="7D4DD8B8" w14:textId="260F049B" w:rsidR="007D5F4A" w:rsidRPr="00D919B1" w:rsidRDefault="007D5F4A" w:rsidP="00B07D02">
      <w:pPr>
        <w:spacing w:line="480" w:lineRule="auto"/>
        <w:rPr>
          <w:u w:val="single"/>
        </w:rPr>
      </w:pPr>
      <w:r w:rsidRPr="00D919B1">
        <w:rPr>
          <w:u w:val="single"/>
        </w:rPr>
        <w:t xml:space="preserve">Ancient Sources </w:t>
      </w:r>
    </w:p>
    <w:p w14:paraId="293086BA" w14:textId="5ECA91E7" w:rsidR="00BE37D7" w:rsidRDefault="00BE37D7" w:rsidP="00B07D02">
      <w:pPr>
        <w:spacing w:line="480" w:lineRule="auto"/>
      </w:pPr>
      <w:r>
        <w:t xml:space="preserve">Aretaeus, </w:t>
      </w:r>
      <w:r>
        <w:rPr>
          <w:i/>
        </w:rPr>
        <w:t xml:space="preserve">The Extend Works of Aretaeus, The Cappadocian. </w:t>
      </w:r>
      <w:r>
        <w:t>1972. Francis Adams (trans). Milford House: Boston</w:t>
      </w:r>
    </w:p>
    <w:p w14:paraId="1C4C4667" w14:textId="159FF01F" w:rsidR="003A5F7E" w:rsidRPr="003A5F7E" w:rsidRDefault="003A5F7E" w:rsidP="00B07D02">
      <w:pPr>
        <w:spacing w:line="480" w:lineRule="auto"/>
      </w:pPr>
      <w:r>
        <w:t xml:space="preserve">Caelius Aurelianus, </w:t>
      </w:r>
      <w:r>
        <w:rPr>
          <w:i/>
        </w:rPr>
        <w:t xml:space="preserve">On Acute Diseases and On Chronic Diseases. </w:t>
      </w:r>
      <w:r>
        <w:t xml:space="preserve">1950. I. E. Drabkin, University of Chicago Press: Chicago  </w:t>
      </w:r>
    </w:p>
    <w:p w14:paraId="2D274FFC" w14:textId="5496977C" w:rsidR="005D221A" w:rsidRDefault="005D221A" w:rsidP="00B07D02">
      <w:pPr>
        <w:spacing w:line="480" w:lineRule="auto"/>
      </w:pPr>
      <w:r>
        <w:t xml:space="preserve">Celsus, </w:t>
      </w:r>
      <w:r>
        <w:rPr>
          <w:i/>
        </w:rPr>
        <w:t xml:space="preserve">De Medicina. </w:t>
      </w:r>
      <w:r>
        <w:t xml:space="preserve">1971. W. G. Spencer (trans). Harvard University Press: Massachusetts  </w:t>
      </w:r>
    </w:p>
    <w:p w14:paraId="36EC1D99" w14:textId="020C1498" w:rsidR="00FC75EF" w:rsidRDefault="00FC75EF" w:rsidP="00B07D02">
      <w:pPr>
        <w:spacing w:line="480" w:lineRule="auto"/>
      </w:pPr>
      <w:r w:rsidRPr="00FC75EF">
        <w:t xml:space="preserve">Cicero, </w:t>
      </w:r>
      <w:r w:rsidRPr="00FC75EF">
        <w:rPr>
          <w:i/>
        </w:rPr>
        <w:t>Tusculan Disputations.</w:t>
      </w:r>
      <w:r w:rsidRPr="00FC75EF">
        <w:t xml:space="preserve"> 1927.  J. E. King (trans.). </w:t>
      </w:r>
      <w:r>
        <w:t xml:space="preserve">Harvard University </w:t>
      </w:r>
      <w:r w:rsidR="0026115C">
        <w:t>Press: Cambridge, MA</w:t>
      </w:r>
    </w:p>
    <w:p w14:paraId="247EBA20" w14:textId="1F662B70" w:rsidR="007F6297" w:rsidRPr="007F6297" w:rsidRDefault="007F6297" w:rsidP="00B07D02">
      <w:pPr>
        <w:spacing w:line="480" w:lineRule="auto"/>
      </w:pPr>
      <w:r>
        <w:t xml:space="preserve">Cicero, </w:t>
      </w:r>
      <w:r>
        <w:rPr>
          <w:i/>
        </w:rPr>
        <w:t xml:space="preserve">The Orations of Marcus. </w:t>
      </w:r>
      <w:r>
        <w:t xml:space="preserve">1903. C. D. Yonge (trans). George Bell &amp; Sons: London </w:t>
      </w:r>
    </w:p>
    <w:p w14:paraId="75D8720A" w14:textId="509426D6" w:rsidR="00606D77" w:rsidRDefault="00606D77" w:rsidP="00B07D02">
      <w:pPr>
        <w:spacing w:line="480" w:lineRule="auto"/>
      </w:pPr>
      <w:r>
        <w:t xml:space="preserve">Diogenes Laertius, </w:t>
      </w:r>
      <w:r>
        <w:rPr>
          <w:i/>
        </w:rPr>
        <w:t xml:space="preserve">Lives of Eminent Philosophers. </w:t>
      </w:r>
      <w:r>
        <w:t>1925. R. D. Hicks (trans) Harvard University Press: Cambridge, MA</w:t>
      </w:r>
    </w:p>
    <w:p w14:paraId="5EA2C844" w14:textId="2A72D1FF" w:rsidR="00317FB6" w:rsidRPr="00317FB6" w:rsidRDefault="00317FB6" w:rsidP="00B07D02">
      <w:pPr>
        <w:spacing w:line="480" w:lineRule="auto"/>
      </w:pPr>
      <w:r>
        <w:t xml:space="preserve">Dio Cassius, </w:t>
      </w:r>
      <w:r>
        <w:rPr>
          <w:i/>
        </w:rPr>
        <w:t xml:space="preserve">Roman History. </w:t>
      </w:r>
      <w:r>
        <w:t xml:space="preserve">1924. Earnest Cary (trans) Harvard University Press: Cambridge, MA </w:t>
      </w:r>
    </w:p>
    <w:p w14:paraId="55566FA2" w14:textId="43F06D01" w:rsidR="00912830" w:rsidRPr="00912830" w:rsidRDefault="00912830" w:rsidP="00B07D02">
      <w:pPr>
        <w:spacing w:line="480" w:lineRule="auto"/>
      </w:pPr>
      <w:r>
        <w:t xml:space="preserve">Empedocles, </w:t>
      </w:r>
      <w:r>
        <w:rPr>
          <w:i/>
        </w:rPr>
        <w:t xml:space="preserve">The Poem of Empedocles. </w:t>
      </w:r>
      <w:r>
        <w:t xml:space="preserve">2001. Brad Inwood (trans) [Revised Edition] University of Toronto Press: Canada  </w:t>
      </w:r>
    </w:p>
    <w:p w14:paraId="62686095" w14:textId="5BC26121" w:rsidR="00E706A4" w:rsidRDefault="00E706A4" w:rsidP="00B07D02">
      <w:pPr>
        <w:spacing w:line="480" w:lineRule="auto"/>
      </w:pPr>
      <w:r>
        <w:t xml:space="preserve">Galen, </w:t>
      </w:r>
      <w:r>
        <w:rPr>
          <w:i/>
        </w:rPr>
        <w:t xml:space="preserve">On the Nature Faculties. </w:t>
      </w:r>
      <w:r>
        <w:t>1916. A. J. Brock (trans). Harvard University Press: Massachusetts</w:t>
      </w:r>
    </w:p>
    <w:p w14:paraId="4B151BB5" w14:textId="0F9B8EB1" w:rsidR="00907C89" w:rsidRPr="00907C89" w:rsidRDefault="00907C89" w:rsidP="00B07D02">
      <w:pPr>
        <w:spacing w:line="480" w:lineRule="auto"/>
      </w:pPr>
      <w:r>
        <w:t xml:space="preserve">Galen, </w:t>
      </w:r>
      <w:r>
        <w:rPr>
          <w:i/>
        </w:rPr>
        <w:t xml:space="preserve">Method of Medicine. </w:t>
      </w:r>
      <w:r>
        <w:t xml:space="preserve">2011. Ian Johnston (trans). Harvard University Press: Cambridge, MA </w:t>
      </w:r>
    </w:p>
    <w:p w14:paraId="7FB7EABD" w14:textId="5A0FF32F" w:rsidR="007D5F4A" w:rsidRDefault="007D5F4A" w:rsidP="00B07D02">
      <w:pPr>
        <w:spacing w:line="480" w:lineRule="auto"/>
      </w:pPr>
      <w:r>
        <w:t>Hippocrates,</w:t>
      </w:r>
      <w:r w:rsidRPr="007D5F4A">
        <w:t xml:space="preserve"> </w:t>
      </w:r>
      <w:r w:rsidRPr="007D5F4A">
        <w:rPr>
          <w:i/>
        </w:rPr>
        <w:t>The Genuine Works of Hippocrates</w:t>
      </w:r>
      <w:r w:rsidRPr="007D5F4A">
        <w:t>.</w:t>
      </w:r>
      <w:r w:rsidR="00BE37D7">
        <w:t xml:space="preserve"> </w:t>
      </w:r>
      <w:r w:rsidR="00BE37D7" w:rsidRPr="00BE37D7">
        <w:t>1868</w:t>
      </w:r>
      <w:r w:rsidR="00BE37D7">
        <w:t>.</w:t>
      </w:r>
      <w:r w:rsidRPr="007D5F4A">
        <w:t xml:space="preserve"> </w:t>
      </w:r>
      <w:r>
        <w:t>Charles Darwin Adams (trans)</w:t>
      </w:r>
      <w:r w:rsidR="00BD4F26">
        <w:t>.</w:t>
      </w:r>
      <w:r w:rsidRPr="007D5F4A">
        <w:t xml:space="preserve"> </w:t>
      </w:r>
      <w:r w:rsidR="00BD4F26">
        <w:t xml:space="preserve">Dover: New York </w:t>
      </w:r>
    </w:p>
    <w:p w14:paraId="30F14A1C" w14:textId="314BB2C1" w:rsidR="007427BC" w:rsidRPr="000359F6" w:rsidRDefault="007427BC" w:rsidP="00B07D02">
      <w:pPr>
        <w:spacing w:line="480" w:lineRule="auto"/>
      </w:pPr>
      <w:r>
        <w:t>Hippocrates</w:t>
      </w:r>
      <w:r w:rsidR="000359F6">
        <w:t xml:space="preserve">, </w:t>
      </w:r>
      <w:r w:rsidR="000359F6">
        <w:rPr>
          <w:i/>
        </w:rPr>
        <w:t xml:space="preserve">Hippocrates Volume IV. </w:t>
      </w:r>
      <w:r w:rsidR="000359F6">
        <w:t xml:space="preserve">1931. W. H. S. Jones (trans). Harvard University Press: Cambridge: MA </w:t>
      </w:r>
    </w:p>
    <w:p w14:paraId="70C72361" w14:textId="0F04B126" w:rsidR="00BD4F26" w:rsidRDefault="00BD4F26" w:rsidP="00B07D02">
      <w:pPr>
        <w:spacing w:line="480" w:lineRule="auto"/>
      </w:pPr>
      <w:r>
        <w:t xml:space="preserve">Ovid, </w:t>
      </w:r>
      <w:r w:rsidRPr="00BD4F26">
        <w:rPr>
          <w:i/>
        </w:rPr>
        <w:t>Metamorphoses</w:t>
      </w:r>
      <w:r>
        <w:rPr>
          <w:i/>
        </w:rPr>
        <w:t xml:space="preserve">. </w:t>
      </w:r>
      <w:r w:rsidR="00BE37D7" w:rsidRPr="00BE37D7">
        <w:t>1916</w:t>
      </w:r>
      <w:r w:rsidR="00BE37D7">
        <w:rPr>
          <w:i/>
        </w:rPr>
        <w:t>.</w:t>
      </w:r>
      <w:r w:rsidR="00BE37D7" w:rsidRPr="00BE37D7">
        <w:rPr>
          <w:i/>
        </w:rPr>
        <w:t xml:space="preserve"> </w:t>
      </w:r>
      <w:r w:rsidRPr="00BD4F26">
        <w:t>Frank Justus Miller</w:t>
      </w:r>
      <w:r>
        <w:t xml:space="preserve"> (trans).  </w:t>
      </w:r>
      <w:r w:rsidRPr="00BD4F26">
        <w:t>Harvard University Press</w:t>
      </w:r>
      <w:r>
        <w:t xml:space="preserve">: Cambridge, MA </w:t>
      </w:r>
    </w:p>
    <w:p w14:paraId="46F8ACFA" w14:textId="65CC8C02" w:rsidR="009473A0" w:rsidRDefault="009473A0" w:rsidP="00B07D02">
      <w:pPr>
        <w:spacing w:line="480" w:lineRule="auto"/>
      </w:pPr>
      <w:r>
        <w:t xml:space="preserve">Suetonius, </w:t>
      </w:r>
      <w:r>
        <w:rPr>
          <w:i/>
        </w:rPr>
        <w:t xml:space="preserve">The Lives of the Twelve Caesars. </w:t>
      </w:r>
      <w:r>
        <w:t>1889. Eugene Reed (ed.) Gebbie &amp; Co: Philadelphia</w:t>
      </w:r>
    </w:p>
    <w:p w14:paraId="345F8C7C" w14:textId="357790BF" w:rsidR="007C1F48" w:rsidRPr="007C1F48" w:rsidRDefault="007C1F48" w:rsidP="00B07D02">
      <w:pPr>
        <w:spacing w:line="480" w:lineRule="auto"/>
      </w:pPr>
      <w:r>
        <w:lastRenderedPageBreak/>
        <w:t xml:space="preserve">Thucydides, </w:t>
      </w:r>
      <w:r w:rsidRPr="007C1F48">
        <w:rPr>
          <w:i/>
        </w:rPr>
        <w:t>History of the Peloponnesian War</w:t>
      </w:r>
      <w:r>
        <w:rPr>
          <w:i/>
        </w:rPr>
        <w:t>.</w:t>
      </w:r>
      <w:r w:rsidR="00BE37D7">
        <w:rPr>
          <w:i/>
        </w:rPr>
        <w:t xml:space="preserve"> </w:t>
      </w:r>
      <w:r w:rsidR="00BE37D7" w:rsidRPr="00BE37D7">
        <w:t>1919</w:t>
      </w:r>
      <w:r>
        <w:rPr>
          <w:i/>
        </w:rPr>
        <w:t xml:space="preserve"> </w:t>
      </w:r>
      <w:r w:rsidRPr="007C1F48">
        <w:t>C. F. Smith</w:t>
      </w:r>
      <w:r>
        <w:t xml:space="preserve"> (trans). Harvard University Press: Cambridge, MA </w:t>
      </w:r>
    </w:p>
    <w:p w14:paraId="4C5CD03B" w14:textId="77777777" w:rsidR="007D5F4A" w:rsidRDefault="007D5F4A" w:rsidP="00B07D02">
      <w:pPr>
        <w:spacing w:line="480" w:lineRule="auto"/>
      </w:pPr>
    </w:p>
    <w:p w14:paraId="6D15425E" w14:textId="230D2A97" w:rsidR="007E36D3" w:rsidRDefault="007E36D3" w:rsidP="00B07D02">
      <w:pPr>
        <w:spacing w:line="480" w:lineRule="auto"/>
        <w:rPr>
          <w:u w:val="single"/>
        </w:rPr>
      </w:pPr>
      <w:r w:rsidRPr="00D919B1">
        <w:rPr>
          <w:u w:val="single"/>
        </w:rPr>
        <w:t>Modern Schol</w:t>
      </w:r>
      <w:r w:rsidR="007D5F4A" w:rsidRPr="00D919B1">
        <w:rPr>
          <w:u w:val="single"/>
        </w:rPr>
        <w:t xml:space="preserve">ars </w:t>
      </w:r>
    </w:p>
    <w:p w14:paraId="4B27A564" w14:textId="66874A47" w:rsidR="00DA3D82" w:rsidRPr="00DA3D82" w:rsidRDefault="00DA3D82" w:rsidP="00B07D02">
      <w:pPr>
        <w:spacing w:line="480" w:lineRule="auto"/>
      </w:pPr>
      <w:r w:rsidRPr="00DA3D82">
        <w:t>Boddy</w:t>
      </w:r>
      <w:r>
        <w:t>, C. R.,</w:t>
      </w:r>
      <w:r w:rsidRPr="00DA3D82">
        <w:t xml:space="preserve"> 2011. </w:t>
      </w:r>
      <w:r>
        <w:t xml:space="preserve"> ‘The Corporate Psychopaths Theory of the Global Financial Crisis’, </w:t>
      </w:r>
      <w:r w:rsidRPr="00DA3D82">
        <w:rPr>
          <w:i/>
        </w:rPr>
        <w:t>Journal of Business Ethics</w:t>
      </w:r>
      <w:r>
        <w:t xml:space="preserve"> 255-259</w:t>
      </w:r>
      <w:r w:rsidRPr="00DA3D82">
        <w:t xml:space="preserve">  </w:t>
      </w:r>
    </w:p>
    <w:p w14:paraId="35245F9E" w14:textId="4BD603C5" w:rsidR="00B40769" w:rsidRDefault="00202FD4" w:rsidP="00B07D02">
      <w:pPr>
        <w:spacing w:line="480" w:lineRule="auto"/>
      </w:pPr>
      <w:r>
        <w:t xml:space="preserve">Cavanaugh, </w:t>
      </w:r>
      <w:r w:rsidRPr="00202FD4">
        <w:t>T. A.</w:t>
      </w:r>
      <w:r>
        <w:t>,</w:t>
      </w:r>
      <w:r w:rsidR="00804573">
        <w:t xml:space="preserve"> 2018.</w:t>
      </w:r>
      <w:r>
        <w:t xml:space="preserve"> </w:t>
      </w:r>
      <w:r w:rsidRPr="00202FD4">
        <w:rPr>
          <w:i/>
        </w:rPr>
        <w:t>Hippocrates' Oath and Asclepius' Snake: The Birth of a Medical Profession</w:t>
      </w:r>
      <w:r>
        <w:rPr>
          <w:i/>
        </w:rPr>
        <w:t xml:space="preserve">. </w:t>
      </w:r>
      <w:r>
        <w:t xml:space="preserve">Oxford: University Press </w:t>
      </w:r>
    </w:p>
    <w:p w14:paraId="6654C731" w14:textId="486D7F45" w:rsidR="00B40769" w:rsidRDefault="00B40769" w:rsidP="00B07D02">
      <w:pPr>
        <w:spacing w:line="480" w:lineRule="auto"/>
      </w:pPr>
      <w:r>
        <w:t>Colaiaco, J. A.,</w:t>
      </w:r>
      <w:r w:rsidR="00804573">
        <w:t xml:space="preserve"> 2001.</w:t>
      </w:r>
      <w:r>
        <w:t xml:space="preserve"> </w:t>
      </w:r>
      <w:r>
        <w:rPr>
          <w:i/>
        </w:rPr>
        <w:t xml:space="preserve">Socrates Against Athens: Philosophy on Trial. </w:t>
      </w:r>
      <w:r>
        <w:t xml:space="preserve">Routledge: New York </w:t>
      </w:r>
    </w:p>
    <w:p w14:paraId="2BB8533C" w14:textId="5019444B" w:rsidR="009A7852" w:rsidRPr="009A7852" w:rsidRDefault="009A7852" w:rsidP="00B07D02">
      <w:pPr>
        <w:spacing w:line="480" w:lineRule="auto"/>
      </w:pPr>
      <w:r>
        <w:t xml:space="preserve">Goldberg, H. 2006. </w:t>
      </w:r>
      <w:r>
        <w:rPr>
          <w:i/>
        </w:rPr>
        <w:t xml:space="preserve">Hippocrates: Father of Medicine. </w:t>
      </w:r>
      <w:r>
        <w:t xml:space="preserve">Author Choice Press: New York </w:t>
      </w:r>
    </w:p>
    <w:p w14:paraId="62139861" w14:textId="0C8B7EEF" w:rsidR="001E16C5" w:rsidRDefault="001E16C5" w:rsidP="00B07D02">
      <w:pPr>
        <w:spacing w:line="480" w:lineRule="auto"/>
      </w:pPr>
      <w:r>
        <w:t xml:space="preserve">Horgan, J. ‘The Plague at Athens, 430 – 427 BCE’ 2016. Ancient History Encyclopedia. </w:t>
      </w:r>
      <w:hyperlink r:id="rId8" w:history="1">
        <w:r w:rsidRPr="00193431">
          <w:rPr>
            <w:rStyle w:val="Hyperlink"/>
          </w:rPr>
          <w:t>https://www.ancient.eu/article/939/the-plague-at-athens-430-427-bce/</w:t>
        </w:r>
      </w:hyperlink>
      <w:r>
        <w:t xml:space="preserve"> [accessed 02/05/2018] </w:t>
      </w:r>
    </w:p>
    <w:p w14:paraId="5E9154CA" w14:textId="4500DD01" w:rsidR="00F96E66" w:rsidRPr="00F96E66" w:rsidRDefault="00F96E66" w:rsidP="00B07D02">
      <w:pPr>
        <w:spacing w:line="480" w:lineRule="auto"/>
      </w:pPr>
      <w:r>
        <w:t xml:space="preserve">Jouanna, J., 2012, </w:t>
      </w:r>
      <w:r>
        <w:rPr>
          <w:i/>
        </w:rPr>
        <w:t xml:space="preserve">Greek Medicine from Hippocrates to Galen. </w:t>
      </w:r>
      <w:r>
        <w:t xml:space="preserve">Brill: Boston </w:t>
      </w:r>
    </w:p>
    <w:p w14:paraId="7ED13D78" w14:textId="69ABBA2F" w:rsidR="00F46EA3" w:rsidRDefault="00F46EA3" w:rsidP="00B07D02">
      <w:pPr>
        <w:spacing w:line="480" w:lineRule="auto"/>
      </w:pPr>
      <w:r>
        <w:t>Kahn, C. H.,</w:t>
      </w:r>
      <w:r w:rsidR="00804573">
        <w:t xml:space="preserve"> 2001.</w:t>
      </w:r>
      <w:r>
        <w:t xml:space="preserve"> </w:t>
      </w:r>
      <w:r w:rsidRPr="00F46EA3">
        <w:rPr>
          <w:i/>
        </w:rPr>
        <w:t>Pythagoras and the Pythagoreans: A Brief History</w:t>
      </w:r>
      <w:r>
        <w:t xml:space="preserve">.  Hackett Publishing Company: Indianapolis </w:t>
      </w:r>
    </w:p>
    <w:p w14:paraId="755120DB" w14:textId="5342357C" w:rsidR="006D608A" w:rsidRDefault="006D608A" w:rsidP="00B07D02">
      <w:pPr>
        <w:spacing w:line="480" w:lineRule="auto"/>
      </w:pPr>
      <w:r>
        <w:t>Millon,</w:t>
      </w:r>
      <w:r w:rsidR="00F46EA3">
        <w:t xml:space="preserve"> T.,</w:t>
      </w:r>
      <w:r w:rsidR="00804573" w:rsidRPr="00804573">
        <w:t xml:space="preserve"> 2004</w:t>
      </w:r>
      <w:r w:rsidR="00804573">
        <w:t xml:space="preserve">. </w:t>
      </w:r>
      <w:r>
        <w:rPr>
          <w:i/>
        </w:rPr>
        <w:t>Masters of the Mind: Exploring the Story of Mental Illness from the Ancient Times to the New Millennium</w:t>
      </w:r>
      <w:r w:rsidR="00BD4F26">
        <w:rPr>
          <w:i/>
        </w:rPr>
        <w:t>.</w:t>
      </w:r>
      <w:r>
        <w:rPr>
          <w:i/>
        </w:rPr>
        <w:t xml:space="preserve"> </w:t>
      </w:r>
      <w:r w:rsidR="00BD4F26">
        <w:t xml:space="preserve">Hoboken: New Jersey </w:t>
      </w:r>
    </w:p>
    <w:p w14:paraId="78222454" w14:textId="4A010C7A" w:rsidR="00F57F41" w:rsidRDefault="00F57F41" w:rsidP="00B07D02">
      <w:pPr>
        <w:spacing w:line="480" w:lineRule="auto"/>
        <w:rPr>
          <w:i/>
        </w:rPr>
      </w:pPr>
      <w:r>
        <w:t>Monoson, S. S,</w:t>
      </w:r>
      <w:r w:rsidR="00804573">
        <w:t xml:space="preserve"> 2014.</w:t>
      </w:r>
      <w:r>
        <w:t xml:space="preserve"> ‘Socrates in Combat: Trauma and Resilience in Plato’s Political Theory’ in </w:t>
      </w:r>
      <w:r>
        <w:rPr>
          <w:i/>
        </w:rPr>
        <w:t xml:space="preserve">Combat Trauma and the Ancient Greeks. </w:t>
      </w:r>
      <w:r>
        <w:t xml:space="preserve">Peter Meineck and David Konstan (ed.) Palgrave Macmillan: New York </w:t>
      </w:r>
    </w:p>
    <w:p w14:paraId="71BBD5A2" w14:textId="0A8DAF02" w:rsidR="0079546B" w:rsidRDefault="0079546B" w:rsidP="00B07D02">
      <w:pPr>
        <w:spacing w:line="480" w:lineRule="auto"/>
      </w:pPr>
      <w:r>
        <w:t>NHS Choices. ‘Post-traumatic stress disorder (PTSD)’ 2015. NHS.</w:t>
      </w:r>
      <w:r w:rsidRPr="0079546B">
        <w:t xml:space="preserve"> </w:t>
      </w:r>
      <w:hyperlink r:id="rId9" w:history="1">
        <w:r w:rsidRPr="00193431">
          <w:rPr>
            <w:rStyle w:val="Hyperlink"/>
          </w:rPr>
          <w:t>https://www.nhs.uk/conditions/post-traumatic-stress-disorder-ptsd/</w:t>
        </w:r>
      </w:hyperlink>
      <w:r>
        <w:t xml:space="preserve">  [accessed 02/05/2018] </w:t>
      </w:r>
    </w:p>
    <w:p w14:paraId="787FA51B" w14:textId="3ABC1A9F" w:rsidR="00001B9E" w:rsidRPr="00001B9E" w:rsidRDefault="00001B9E" w:rsidP="00B07D02">
      <w:pPr>
        <w:spacing w:line="480" w:lineRule="auto"/>
      </w:pPr>
      <w:r>
        <w:lastRenderedPageBreak/>
        <w:t xml:space="preserve">Potter, D., 2009. </w:t>
      </w:r>
      <w:r>
        <w:rPr>
          <w:i/>
        </w:rPr>
        <w:t xml:space="preserve">Rome in the Ancient World: From Romulus to Justinian. </w:t>
      </w:r>
      <w:r>
        <w:t xml:space="preserve">Thames &amp; Hodson: London </w:t>
      </w:r>
    </w:p>
    <w:p w14:paraId="258E86C5" w14:textId="17BBD69E" w:rsidR="009A7841" w:rsidRDefault="009A7841" w:rsidP="00B07D02">
      <w:pPr>
        <w:spacing w:line="480" w:lineRule="auto"/>
      </w:pPr>
      <w:r>
        <w:t xml:space="preserve">Rocca, J., 2016. ‘Anatomy and Physiology’ in </w:t>
      </w:r>
      <w:r>
        <w:rPr>
          <w:i/>
        </w:rPr>
        <w:t xml:space="preserve">A Companion to Science, Technology and Medicine in Ancient Greece and Rome. </w:t>
      </w:r>
      <w:r>
        <w:t xml:space="preserve">Georgia L. Irby (ed.) John Wiley &amp; Sons: Oxford  </w:t>
      </w:r>
    </w:p>
    <w:p w14:paraId="48E17D93" w14:textId="40BE699D" w:rsidR="0079546B" w:rsidRDefault="00A427E5" w:rsidP="00B07D02">
      <w:pPr>
        <w:spacing w:line="480" w:lineRule="auto"/>
      </w:pPr>
      <w:r>
        <w:t>Sakula, A. 1984. ‘</w:t>
      </w:r>
      <w:r w:rsidRPr="00A427E5">
        <w:t>In search of Hippocrates: a visit to Kos</w:t>
      </w:r>
      <w:r>
        <w:t xml:space="preserve">’, </w:t>
      </w:r>
      <w:r>
        <w:rPr>
          <w:i/>
        </w:rPr>
        <w:t xml:space="preserve">Journal of the Royal Society of Medicine, </w:t>
      </w:r>
      <w:r>
        <w:t>682-688</w:t>
      </w:r>
      <w:r>
        <w:rPr>
          <w:i/>
        </w:rPr>
        <w:t xml:space="preserve"> </w:t>
      </w:r>
      <w:r>
        <w:t xml:space="preserve"> </w:t>
      </w:r>
    </w:p>
    <w:p w14:paraId="63E678C3" w14:textId="2031F79B" w:rsidR="00475A41" w:rsidRPr="00475A41" w:rsidRDefault="00475A41" w:rsidP="00B07D02">
      <w:pPr>
        <w:spacing w:line="480" w:lineRule="auto"/>
      </w:pPr>
      <w:r>
        <w:t xml:space="preserve">Severy, B. 2003. </w:t>
      </w:r>
      <w:r>
        <w:rPr>
          <w:i/>
        </w:rPr>
        <w:t xml:space="preserve">Augustus and the Family at the Birth of the Roman Empire. </w:t>
      </w:r>
      <w:r>
        <w:t xml:space="preserve">Routledge: London </w:t>
      </w:r>
    </w:p>
    <w:p w14:paraId="6DAC3D2C" w14:textId="2212DE05" w:rsidR="006B3F69" w:rsidRDefault="006B3F69" w:rsidP="00B07D02">
      <w:pPr>
        <w:spacing w:line="480" w:lineRule="auto"/>
      </w:pPr>
      <w:r>
        <w:t xml:space="preserve">Sidwell, B. 2010. ‘Gaius Caligula’s Mental Illness’, </w:t>
      </w:r>
      <w:r>
        <w:rPr>
          <w:i/>
        </w:rPr>
        <w:t xml:space="preserve">Classical World, </w:t>
      </w:r>
      <w:r>
        <w:t xml:space="preserve">183-206.  </w:t>
      </w:r>
    </w:p>
    <w:p w14:paraId="48DC1EFD" w14:textId="6886ACCB" w:rsidR="003C59FF" w:rsidRPr="003C59FF" w:rsidRDefault="003C59FF" w:rsidP="00B07D02">
      <w:pPr>
        <w:spacing w:line="480" w:lineRule="auto"/>
      </w:pPr>
      <w:r>
        <w:t xml:space="preserve">Temkin, O., 1994. </w:t>
      </w:r>
      <w:r>
        <w:rPr>
          <w:i/>
        </w:rPr>
        <w:t xml:space="preserve">Falling sickness: A History of Epilepsy from the Greeks to the Beginnings of modern neurology. </w:t>
      </w:r>
      <w:r>
        <w:t xml:space="preserve">Johns Hopkins University Press: Baltimore, MD </w:t>
      </w:r>
    </w:p>
    <w:sectPr w:rsidR="003C59FF" w:rsidRPr="003C59F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80166B" w14:textId="77777777" w:rsidR="00364471" w:rsidRDefault="00364471" w:rsidP="006D608A">
      <w:pPr>
        <w:spacing w:after="0" w:line="240" w:lineRule="auto"/>
      </w:pPr>
      <w:r>
        <w:separator/>
      </w:r>
    </w:p>
  </w:endnote>
  <w:endnote w:type="continuationSeparator" w:id="0">
    <w:p w14:paraId="25936328" w14:textId="77777777" w:rsidR="00364471" w:rsidRDefault="00364471" w:rsidP="006D60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E64818" w14:textId="77777777" w:rsidR="00364471" w:rsidRDefault="00364471" w:rsidP="006D608A">
      <w:pPr>
        <w:spacing w:after="0" w:line="240" w:lineRule="auto"/>
      </w:pPr>
      <w:r>
        <w:separator/>
      </w:r>
    </w:p>
  </w:footnote>
  <w:footnote w:type="continuationSeparator" w:id="0">
    <w:p w14:paraId="218AB444" w14:textId="77777777" w:rsidR="00364471" w:rsidRDefault="00364471" w:rsidP="006D608A">
      <w:pPr>
        <w:spacing w:after="0" w:line="240" w:lineRule="auto"/>
      </w:pPr>
      <w:r>
        <w:continuationSeparator/>
      </w:r>
    </w:p>
  </w:footnote>
  <w:footnote w:id="1">
    <w:p w14:paraId="12040AF2" w14:textId="2EAE5BDE" w:rsidR="008D48EE" w:rsidRDefault="008D48EE">
      <w:pPr>
        <w:pStyle w:val="FootnoteText"/>
      </w:pPr>
      <w:r>
        <w:rPr>
          <w:rStyle w:val="FootnoteReference"/>
        </w:rPr>
        <w:footnoteRef/>
      </w:r>
      <w:r>
        <w:t xml:space="preserve"> </w:t>
      </w:r>
      <w:r w:rsidRPr="008D48EE">
        <w:t>Hp. Morb. Sacr.</w:t>
      </w:r>
    </w:p>
  </w:footnote>
  <w:footnote w:id="2">
    <w:p w14:paraId="17A56EE1" w14:textId="6EA8E186" w:rsidR="008D48EE" w:rsidRDefault="008D48EE">
      <w:pPr>
        <w:pStyle w:val="FootnoteText"/>
      </w:pPr>
      <w:r>
        <w:rPr>
          <w:rStyle w:val="FootnoteReference"/>
        </w:rPr>
        <w:footnoteRef/>
      </w:r>
      <w:r w:rsidR="005754A8">
        <w:t xml:space="preserve">Cic. Tusc. </w:t>
      </w:r>
    </w:p>
  </w:footnote>
  <w:footnote w:id="3">
    <w:p w14:paraId="41EFA79E" w14:textId="6B5480E5" w:rsidR="0088259B" w:rsidRDefault="0088259B">
      <w:pPr>
        <w:pStyle w:val="FootnoteText"/>
      </w:pPr>
      <w:r>
        <w:rPr>
          <w:rStyle w:val="FootnoteReference"/>
        </w:rPr>
        <w:footnoteRef/>
      </w:r>
      <w:r>
        <w:t xml:space="preserve"> </w:t>
      </w:r>
      <w:r w:rsidR="00E345AE">
        <w:t xml:space="preserve">Cels. </w:t>
      </w:r>
    </w:p>
  </w:footnote>
  <w:footnote w:id="4">
    <w:p w14:paraId="0AF1CE6F" w14:textId="6700D598" w:rsidR="005143D8" w:rsidRDefault="005143D8">
      <w:pPr>
        <w:pStyle w:val="FootnoteText"/>
      </w:pPr>
      <w:r>
        <w:rPr>
          <w:rStyle w:val="FootnoteReference"/>
        </w:rPr>
        <w:footnoteRef/>
      </w:r>
      <w:r>
        <w:t xml:space="preserve"> </w:t>
      </w:r>
      <w:r w:rsidR="00BE37D7">
        <w:t xml:space="preserve">Aret. SD. </w:t>
      </w:r>
    </w:p>
  </w:footnote>
  <w:footnote w:id="5">
    <w:p w14:paraId="345F0814" w14:textId="37F22036" w:rsidR="005143D8" w:rsidRDefault="005143D8">
      <w:pPr>
        <w:pStyle w:val="FootnoteText"/>
      </w:pPr>
      <w:r>
        <w:rPr>
          <w:rStyle w:val="FootnoteReference"/>
        </w:rPr>
        <w:footnoteRef/>
      </w:r>
      <w:r>
        <w:t xml:space="preserve"> </w:t>
      </w:r>
      <w:r w:rsidR="003A5F7E">
        <w:t xml:space="preserve">Caelius Aurelianus </w:t>
      </w:r>
    </w:p>
  </w:footnote>
  <w:footnote w:id="6">
    <w:p w14:paraId="05F1FA59" w14:textId="02C6E992" w:rsidR="005143D8" w:rsidRDefault="005143D8">
      <w:pPr>
        <w:pStyle w:val="FootnoteText"/>
      </w:pPr>
      <w:r>
        <w:rPr>
          <w:rStyle w:val="FootnoteReference"/>
        </w:rPr>
        <w:footnoteRef/>
      </w:r>
      <w:r>
        <w:t xml:space="preserve"> </w:t>
      </w:r>
      <w:r w:rsidR="000E3F5F">
        <w:t xml:space="preserve">Gal. </w:t>
      </w:r>
      <w:r w:rsidR="00361E3C">
        <w:t xml:space="preserve">Nat. Fac. </w:t>
      </w:r>
    </w:p>
  </w:footnote>
  <w:footnote w:id="7">
    <w:p w14:paraId="11EF7215" w14:textId="1D12FFFB" w:rsidR="005143D8" w:rsidRDefault="005143D8">
      <w:pPr>
        <w:pStyle w:val="FootnoteText"/>
      </w:pPr>
      <w:r>
        <w:rPr>
          <w:rStyle w:val="FootnoteReference"/>
        </w:rPr>
        <w:footnoteRef/>
      </w:r>
      <w:r>
        <w:t xml:space="preserve"> </w:t>
      </w:r>
      <w:r w:rsidR="007438D4">
        <w:t xml:space="preserve">Rocca </w:t>
      </w:r>
      <w:r w:rsidR="00DB009C">
        <w:t xml:space="preserve">2016: </w:t>
      </w:r>
      <w:r w:rsidR="007438D4">
        <w:t>350</w:t>
      </w:r>
    </w:p>
  </w:footnote>
  <w:footnote w:id="8">
    <w:p w14:paraId="7F9E6728" w14:textId="574FF466" w:rsidR="005143D8" w:rsidRDefault="005143D8">
      <w:pPr>
        <w:pStyle w:val="FootnoteText"/>
      </w:pPr>
      <w:r>
        <w:rPr>
          <w:rStyle w:val="FootnoteReference"/>
        </w:rPr>
        <w:footnoteRef/>
      </w:r>
      <w:r>
        <w:t xml:space="preserve"> </w:t>
      </w:r>
      <w:r w:rsidR="004A203F">
        <w:t xml:space="preserve">Cels. 1.pr </w:t>
      </w:r>
    </w:p>
  </w:footnote>
  <w:footnote w:id="9">
    <w:p w14:paraId="7ACC50E7" w14:textId="420B2231" w:rsidR="004B3FB0" w:rsidRDefault="004B3FB0">
      <w:pPr>
        <w:pStyle w:val="FootnoteText"/>
      </w:pPr>
      <w:r>
        <w:rPr>
          <w:rStyle w:val="FootnoteReference"/>
        </w:rPr>
        <w:footnoteRef/>
      </w:r>
      <w:r>
        <w:t xml:space="preserve"> </w:t>
      </w:r>
      <w:r w:rsidR="00993F39">
        <w:t xml:space="preserve">Ov. Met; </w:t>
      </w:r>
      <w:r w:rsidR="00993F39" w:rsidRPr="00993F39">
        <w:t>D. L. 8.1</w:t>
      </w:r>
    </w:p>
  </w:footnote>
  <w:footnote w:id="10">
    <w:p w14:paraId="3D1F976E" w14:textId="275AC370" w:rsidR="004B7AED" w:rsidRDefault="004B7AED">
      <w:pPr>
        <w:pStyle w:val="FootnoteText"/>
      </w:pPr>
      <w:r>
        <w:rPr>
          <w:rStyle w:val="FootnoteReference"/>
        </w:rPr>
        <w:footnoteRef/>
      </w:r>
      <w:r>
        <w:t xml:space="preserve"> </w:t>
      </w:r>
      <w:r w:rsidR="0035395C">
        <w:t>Millon 2004: 12-13</w:t>
      </w:r>
    </w:p>
  </w:footnote>
  <w:footnote w:id="11">
    <w:p w14:paraId="3D9E7F12" w14:textId="412E5C7A" w:rsidR="0035395C" w:rsidRDefault="0035395C">
      <w:pPr>
        <w:pStyle w:val="FootnoteText"/>
      </w:pPr>
      <w:r>
        <w:rPr>
          <w:rStyle w:val="FootnoteReference"/>
        </w:rPr>
        <w:footnoteRef/>
      </w:r>
      <w:r w:rsidR="00BB2A79">
        <w:t>Millon 2004: 12-13</w:t>
      </w:r>
    </w:p>
  </w:footnote>
  <w:footnote w:id="12">
    <w:p w14:paraId="3B909AAE" w14:textId="434367F3" w:rsidR="0035395C" w:rsidRDefault="0035395C">
      <w:pPr>
        <w:pStyle w:val="FootnoteText"/>
      </w:pPr>
      <w:r>
        <w:rPr>
          <w:rStyle w:val="FootnoteReference"/>
        </w:rPr>
        <w:footnoteRef/>
      </w:r>
      <w:r w:rsidR="00BB2A79">
        <w:t xml:space="preserve"> Millon 2004: 12-13</w:t>
      </w:r>
      <w:r w:rsidR="00034BF9">
        <w:t xml:space="preserve">; </w:t>
      </w:r>
      <w:r w:rsidR="00F46EA3">
        <w:t xml:space="preserve">Kahn 2001: </w:t>
      </w:r>
      <w:r w:rsidR="00034BF9">
        <w:t>11</w:t>
      </w:r>
      <w:r w:rsidR="00F46EA3">
        <w:t>;</w:t>
      </w:r>
      <w:r w:rsidR="00F46EA3" w:rsidRPr="00F46EA3">
        <w:t xml:space="preserve"> </w:t>
      </w:r>
      <w:r w:rsidR="00F46EA3">
        <w:t xml:space="preserve">D. L. 10 </w:t>
      </w:r>
    </w:p>
  </w:footnote>
  <w:footnote w:id="13">
    <w:p w14:paraId="3AA04290" w14:textId="69601A30" w:rsidR="00BE2661" w:rsidRDefault="00BE2661">
      <w:pPr>
        <w:pStyle w:val="FootnoteText"/>
      </w:pPr>
      <w:r>
        <w:rPr>
          <w:rStyle w:val="FootnoteReference"/>
        </w:rPr>
        <w:footnoteRef/>
      </w:r>
      <w:r>
        <w:t xml:space="preserve"> Millon 2004: 13</w:t>
      </w:r>
    </w:p>
  </w:footnote>
  <w:footnote w:id="14">
    <w:p w14:paraId="04F7ACCF" w14:textId="239F7C80" w:rsidR="00BE2661" w:rsidRDefault="00BE2661">
      <w:pPr>
        <w:pStyle w:val="FootnoteText"/>
      </w:pPr>
      <w:r>
        <w:rPr>
          <w:rStyle w:val="FootnoteReference"/>
        </w:rPr>
        <w:footnoteRef/>
      </w:r>
      <w:r w:rsidR="00BB2A79">
        <w:t xml:space="preserve"> Millon 2004: 13</w:t>
      </w:r>
      <w:r w:rsidR="002B62FE">
        <w:t xml:space="preserve">; </w:t>
      </w:r>
      <w:r w:rsidR="006D1387">
        <w:t xml:space="preserve">Scullard 1981: 54-6 </w:t>
      </w:r>
    </w:p>
  </w:footnote>
  <w:footnote w:id="15">
    <w:p w14:paraId="38B25EE7" w14:textId="02F50F58" w:rsidR="00BE2661" w:rsidRDefault="00BE2661">
      <w:pPr>
        <w:pStyle w:val="FootnoteText"/>
      </w:pPr>
      <w:r>
        <w:rPr>
          <w:rStyle w:val="FootnoteReference"/>
        </w:rPr>
        <w:footnoteRef/>
      </w:r>
      <w:r w:rsidR="00BB2A79">
        <w:t xml:space="preserve"> Millon 2004: 13</w:t>
      </w:r>
      <w:r w:rsidR="00202FD4">
        <w:t>; Cavanaugh 2018: 48</w:t>
      </w:r>
    </w:p>
  </w:footnote>
  <w:footnote w:id="16">
    <w:p w14:paraId="3CC92D91" w14:textId="4494087E" w:rsidR="00FA6DE5" w:rsidRDefault="00FA6DE5">
      <w:pPr>
        <w:pStyle w:val="FootnoteText"/>
      </w:pPr>
      <w:r>
        <w:rPr>
          <w:rStyle w:val="FootnoteReference"/>
        </w:rPr>
        <w:footnoteRef/>
      </w:r>
      <w:r w:rsidR="00BB2A79">
        <w:t xml:space="preserve"> Millon 2004: 13</w:t>
      </w:r>
      <w:r w:rsidR="00202FD4">
        <w:t xml:space="preserve">; </w:t>
      </w:r>
      <w:r w:rsidR="00BB2A79">
        <w:t xml:space="preserve"> </w:t>
      </w:r>
    </w:p>
  </w:footnote>
  <w:footnote w:id="17">
    <w:p w14:paraId="466E9830" w14:textId="29E6BEF5" w:rsidR="00870ED6" w:rsidRDefault="00870ED6">
      <w:pPr>
        <w:pStyle w:val="FootnoteText"/>
      </w:pPr>
      <w:r>
        <w:rPr>
          <w:rStyle w:val="FootnoteReference"/>
        </w:rPr>
        <w:footnoteRef/>
      </w:r>
      <w:r w:rsidR="00BB2A79">
        <w:t xml:space="preserve"> Millon 2004: 13 </w:t>
      </w:r>
    </w:p>
  </w:footnote>
  <w:footnote w:id="18">
    <w:p w14:paraId="39AFF20F" w14:textId="7BDC3958" w:rsidR="009E21E6" w:rsidRDefault="009E21E6">
      <w:pPr>
        <w:pStyle w:val="FootnoteText"/>
      </w:pPr>
      <w:r>
        <w:rPr>
          <w:rStyle w:val="FootnoteReference"/>
        </w:rPr>
        <w:footnoteRef/>
      </w:r>
      <w:r w:rsidR="00BB2A79">
        <w:t xml:space="preserve"> Millon 2004: 13</w:t>
      </w:r>
    </w:p>
  </w:footnote>
  <w:footnote w:id="19">
    <w:p w14:paraId="029D7772" w14:textId="72BF8BBE" w:rsidR="005143D8" w:rsidRDefault="005143D8">
      <w:pPr>
        <w:pStyle w:val="FootnoteText"/>
      </w:pPr>
      <w:r>
        <w:rPr>
          <w:rStyle w:val="FootnoteReference"/>
        </w:rPr>
        <w:footnoteRef/>
      </w:r>
      <w:r>
        <w:t xml:space="preserve"> </w:t>
      </w:r>
      <w:r w:rsidR="004B4AC8">
        <w:t>Diog. La</w:t>
      </w:r>
      <w:r w:rsidR="00802497">
        <w:t>ert. 8.2.76</w:t>
      </w:r>
    </w:p>
  </w:footnote>
  <w:footnote w:id="20">
    <w:p w14:paraId="71C4A205" w14:textId="16110D17" w:rsidR="005143D8" w:rsidRDefault="005143D8">
      <w:pPr>
        <w:pStyle w:val="FootnoteText"/>
      </w:pPr>
      <w:r>
        <w:rPr>
          <w:rStyle w:val="FootnoteReference"/>
        </w:rPr>
        <w:footnoteRef/>
      </w:r>
      <w:r>
        <w:t xml:space="preserve"> </w:t>
      </w:r>
      <w:r w:rsidR="003649AF">
        <w:t xml:space="preserve">Inwood </w:t>
      </w:r>
      <w:r w:rsidR="00D76B91">
        <w:t>2001: 198</w:t>
      </w:r>
    </w:p>
  </w:footnote>
  <w:footnote w:id="21">
    <w:p w14:paraId="796E7570" w14:textId="3A133748" w:rsidR="005143D8" w:rsidRDefault="005143D8">
      <w:pPr>
        <w:pStyle w:val="FootnoteText"/>
      </w:pPr>
      <w:r>
        <w:rPr>
          <w:rStyle w:val="FootnoteReference"/>
        </w:rPr>
        <w:footnoteRef/>
      </w:r>
      <w:r>
        <w:t xml:space="preserve"> </w:t>
      </w:r>
      <w:r w:rsidR="00245403">
        <w:t>Millon 2004: 14; Inwood 2001: 207</w:t>
      </w:r>
    </w:p>
  </w:footnote>
  <w:footnote w:id="22">
    <w:p w14:paraId="29F2B597" w14:textId="3AFA3A3F" w:rsidR="005143D8" w:rsidRDefault="005143D8">
      <w:pPr>
        <w:pStyle w:val="FootnoteText"/>
      </w:pPr>
      <w:r>
        <w:rPr>
          <w:rStyle w:val="FootnoteReference"/>
        </w:rPr>
        <w:footnoteRef/>
      </w:r>
      <w:r>
        <w:t xml:space="preserve"> </w:t>
      </w:r>
      <w:r w:rsidR="00D26FFE">
        <w:t xml:space="preserve">Sakula 1984: </w:t>
      </w:r>
      <w:r w:rsidR="00A47E57">
        <w:t>682</w:t>
      </w:r>
    </w:p>
  </w:footnote>
  <w:footnote w:id="23">
    <w:p w14:paraId="5151E7BF" w14:textId="77777777" w:rsidR="006D608A" w:rsidRDefault="006D608A">
      <w:pPr>
        <w:pStyle w:val="FootnoteText"/>
      </w:pPr>
      <w:r>
        <w:rPr>
          <w:rStyle w:val="FootnoteReference"/>
        </w:rPr>
        <w:footnoteRef/>
      </w:r>
      <w:r>
        <w:t xml:space="preserve"> </w:t>
      </w:r>
      <w:bookmarkStart w:id="2" w:name="_Hlk513401811"/>
      <w:r>
        <w:t>Millon 2004: 14</w:t>
      </w:r>
      <w:bookmarkEnd w:id="2"/>
    </w:p>
  </w:footnote>
  <w:footnote w:id="24">
    <w:p w14:paraId="4E34637A" w14:textId="77777777" w:rsidR="0008166B" w:rsidRDefault="0008166B">
      <w:pPr>
        <w:pStyle w:val="FootnoteText"/>
      </w:pPr>
      <w:r>
        <w:rPr>
          <w:rStyle w:val="FootnoteReference"/>
        </w:rPr>
        <w:footnoteRef/>
      </w:r>
      <w:r>
        <w:t xml:space="preserve"> </w:t>
      </w:r>
      <w:bookmarkStart w:id="3" w:name="_Hlk513723773"/>
      <w:r w:rsidRPr="0008166B">
        <w:t xml:space="preserve">Hp. Morb. Sacr. </w:t>
      </w:r>
      <w:bookmarkEnd w:id="3"/>
      <w:r w:rsidRPr="0008166B">
        <w:t>1</w:t>
      </w:r>
      <w:r>
        <w:t xml:space="preserve"> </w:t>
      </w:r>
    </w:p>
  </w:footnote>
  <w:footnote w:id="25">
    <w:p w14:paraId="2DFE04E9" w14:textId="285E65A0" w:rsidR="00080C01" w:rsidRDefault="00080C01">
      <w:pPr>
        <w:pStyle w:val="FootnoteText"/>
      </w:pPr>
      <w:r>
        <w:rPr>
          <w:rStyle w:val="FootnoteReference"/>
        </w:rPr>
        <w:footnoteRef/>
      </w:r>
      <w:r>
        <w:t xml:space="preserve"> </w:t>
      </w:r>
      <w:r w:rsidR="009A7852">
        <w:t xml:space="preserve">GoldBerg 2006: 62-63 </w:t>
      </w:r>
    </w:p>
  </w:footnote>
  <w:footnote w:id="26">
    <w:p w14:paraId="22015259" w14:textId="70031DB3" w:rsidR="00080C01" w:rsidRDefault="00080C01">
      <w:pPr>
        <w:pStyle w:val="FootnoteText"/>
      </w:pPr>
      <w:r>
        <w:rPr>
          <w:rStyle w:val="FootnoteReference"/>
        </w:rPr>
        <w:footnoteRef/>
      </w:r>
      <w:r>
        <w:t xml:space="preserve"> </w:t>
      </w:r>
      <w:r w:rsidR="007427BC">
        <w:t xml:space="preserve">Millon 2004: 15 </w:t>
      </w:r>
    </w:p>
  </w:footnote>
  <w:footnote w:id="27">
    <w:p w14:paraId="75E7C419" w14:textId="3418A404" w:rsidR="00080C01" w:rsidRDefault="00080C01">
      <w:pPr>
        <w:pStyle w:val="FootnoteText"/>
      </w:pPr>
      <w:r>
        <w:rPr>
          <w:rStyle w:val="FootnoteReference"/>
        </w:rPr>
        <w:footnoteRef/>
      </w:r>
      <w:r>
        <w:t xml:space="preserve"> </w:t>
      </w:r>
      <w:r w:rsidR="007C27AC">
        <w:t>Millon 2004: 17</w:t>
      </w:r>
    </w:p>
  </w:footnote>
  <w:footnote w:id="28">
    <w:p w14:paraId="1C48E0E8" w14:textId="6194294F" w:rsidR="00080C01" w:rsidRDefault="00080C01">
      <w:pPr>
        <w:pStyle w:val="FootnoteText"/>
      </w:pPr>
      <w:r>
        <w:rPr>
          <w:rStyle w:val="FootnoteReference"/>
        </w:rPr>
        <w:footnoteRef/>
      </w:r>
      <w:r>
        <w:t xml:space="preserve"> </w:t>
      </w:r>
      <w:r w:rsidR="00864B05">
        <w:t>Jouanna 2012: 223-234</w:t>
      </w:r>
    </w:p>
  </w:footnote>
  <w:footnote w:id="29">
    <w:p w14:paraId="4E76749E" w14:textId="1D12172E" w:rsidR="00080C01" w:rsidRDefault="00080C01">
      <w:pPr>
        <w:pStyle w:val="FootnoteText"/>
      </w:pPr>
      <w:r>
        <w:rPr>
          <w:rStyle w:val="FootnoteReference"/>
        </w:rPr>
        <w:footnoteRef/>
      </w:r>
      <w:r>
        <w:t xml:space="preserve"> </w:t>
      </w:r>
      <w:r w:rsidR="007427BC">
        <w:t xml:space="preserve">Hp. Humours: 69 </w:t>
      </w:r>
    </w:p>
  </w:footnote>
  <w:footnote w:id="30">
    <w:p w14:paraId="0CA07722" w14:textId="6E681F9E" w:rsidR="00080C01" w:rsidRDefault="00080C01">
      <w:pPr>
        <w:pStyle w:val="FootnoteText"/>
      </w:pPr>
      <w:r>
        <w:rPr>
          <w:rStyle w:val="FootnoteReference"/>
        </w:rPr>
        <w:footnoteRef/>
      </w:r>
      <w:r>
        <w:t xml:space="preserve"> </w:t>
      </w:r>
      <w:r w:rsidR="00E806B1">
        <w:t>Millon 2004: 15</w:t>
      </w:r>
    </w:p>
  </w:footnote>
  <w:footnote w:id="31">
    <w:p w14:paraId="4E4F31F1" w14:textId="7C703BAA" w:rsidR="00080C01" w:rsidRDefault="00080C01">
      <w:pPr>
        <w:pStyle w:val="FootnoteText"/>
      </w:pPr>
      <w:r>
        <w:rPr>
          <w:rStyle w:val="FootnoteReference"/>
        </w:rPr>
        <w:footnoteRef/>
      </w:r>
      <w:r>
        <w:t xml:space="preserve"> </w:t>
      </w:r>
      <w:r w:rsidR="00F9282D">
        <w:t>Millon 2004: 29</w:t>
      </w:r>
    </w:p>
  </w:footnote>
  <w:footnote w:id="32">
    <w:p w14:paraId="4E52B401" w14:textId="5BADE46C" w:rsidR="00080C01" w:rsidRDefault="00080C01">
      <w:pPr>
        <w:pStyle w:val="FootnoteText"/>
      </w:pPr>
      <w:r>
        <w:rPr>
          <w:rStyle w:val="FootnoteReference"/>
        </w:rPr>
        <w:footnoteRef/>
      </w:r>
      <w:r>
        <w:t xml:space="preserve"> </w:t>
      </w:r>
      <w:r w:rsidR="00F9282D">
        <w:t>ibid</w:t>
      </w:r>
    </w:p>
  </w:footnote>
  <w:footnote w:id="33">
    <w:p w14:paraId="30049D9D" w14:textId="08C089FB" w:rsidR="00080C01" w:rsidRDefault="00080C01">
      <w:pPr>
        <w:pStyle w:val="FootnoteText"/>
      </w:pPr>
      <w:r>
        <w:rPr>
          <w:rStyle w:val="FootnoteReference"/>
        </w:rPr>
        <w:footnoteRef/>
      </w:r>
      <w:r>
        <w:t xml:space="preserve"> </w:t>
      </w:r>
      <w:r w:rsidR="00EF2212">
        <w:t>Millon 2004: 21</w:t>
      </w:r>
    </w:p>
  </w:footnote>
  <w:footnote w:id="34">
    <w:p w14:paraId="120259E2" w14:textId="4429D511" w:rsidR="00080C01" w:rsidRDefault="00080C01">
      <w:pPr>
        <w:pStyle w:val="FootnoteText"/>
      </w:pPr>
      <w:r>
        <w:rPr>
          <w:rStyle w:val="FootnoteReference"/>
        </w:rPr>
        <w:footnoteRef/>
      </w:r>
      <w:r>
        <w:t xml:space="preserve"> </w:t>
      </w:r>
      <w:r w:rsidR="00EF2212">
        <w:t>Millon 2004: 20</w:t>
      </w:r>
    </w:p>
  </w:footnote>
  <w:footnote w:id="35">
    <w:p w14:paraId="53B4BB35" w14:textId="0BAAF7B2" w:rsidR="00B56CBE" w:rsidRDefault="00B56CBE">
      <w:pPr>
        <w:pStyle w:val="FootnoteText"/>
      </w:pPr>
      <w:r>
        <w:rPr>
          <w:rStyle w:val="FootnoteReference"/>
        </w:rPr>
        <w:footnoteRef/>
      </w:r>
      <w:r>
        <w:t xml:space="preserve"> </w:t>
      </w:r>
      <w:r w:rsidR="00EF2212">
        <w:t>Millon 2004: 22</w:t>
      </w:r>
    </w:p>
  </w:footnote>
  <w:footnote w:id="36">
    <w:p w14:paraId="6465FC97" w14:textId="1BFDFFAF" w:rsidR="00BA40BC" w:rsidRDefault="004F2BC0">
      <w:pPr>
        <w:pStyle w:val="FootnoteText"/>
      </w:pPr>
      <w:r>
        <w:rPr>
          <w:rStyle w:val="FootnoteReference"/>
        </w:rPr>
        <w:footnoteRef/>
      </w:r>
      <w:r>
        <w:t xml:space="preserve"> </w:t>
      </w:r>
      <w:r w:rsidR="00BA40BC">
        <w:t>Millon 2004: 23</w:t>
      </w:r>
    </w:p>
  </w:footnote>
  <w:footnote w:id="37">
    <w:p w14:paraId="03D6BE27" w14:textId="245EE2E7" w:rsidR="004F2BC0" w:rsidRDefault="004F2BC0">
      <w:pPr>
        <w:pStyle w:val="FootnoteText"/>
      </w:pPr>
      <w:r>
        <w:rPr>
          <w:rStyle w:val="FootnoteReference"/>
        </w:rPr>
        <w:footnoteRef/>
      </w:r>
      <w:r>
        <w:t xml:space="preserve"> </w:t>
      </w:r>
      <w:r w:rsidR="00BA40BC">
        <w:t xml:space="preserve">Ibid </w:t>
      </w:r>
    </w:p>
  </w:footnote>
  <w:footnote w:id="38">
    <w:p w14:paraId="17543D78" w14:textId="3D6CB0BD" w:rsidR="004F2BC0" w:rsidRDefault="004F2BC0">
      <w:pPr>
        <w:pStyle w:val="FootnoteText"/>
      </w:pPr>
      <w:r>
        <w:rPr>
          <w:rStyle w:val="FootnoteReference"/>
        </w:rPr>
        <w:footnoteRef/>
      </w:r>
      <w:r>
        <w:t xml:space="preserve"> </w:t>
      </w:r>
      <w:r w:rsidR="002B1C0A">
        <w:t xml:space="preserve">Millon 2004: 26 </w:t>
      </w:r>
    </w:p>
  </w:footnote>
  <w:footnote w:id="39">
    <w:p w14:paraId="2A42FD80" w14:textId="0C3923F5" w:rsidR="004F2BC0" w:rsidRDefault="004F2BC0">
      <w:pPr>
        <w:pStyle w:val="FootnoteText"/>
      </w:pPr>
      <w:r>
        <w:rPr>
          <w:rStyle w:val="FootnoteReference"/>
        </w:rPr>
        <w:footnoteRef/>
      </w:r>
      <w:r>
        <w:t xml:space="preserve"> </w:t>
      </w:r>
      <w:r w:rsidR="002B1C0A">
        <w:t xml:space="preserve">Ibid </w:t>
      </w:r>
    </w:p>
  </w:footnote>
  <w:footnote w:id="40">
    <w:p w14:paraId="5CA49131" w14:textId="205EA78F" w:rsidR="004F2BC0" w:rsidRDefault="004F2BC0">
      <w:pPr>
        <w:pStyle w:val="FootnoteText"/>
      </w:pPr>
      <w:r>
        <w:rPr>
          <w:rStyle w:val="FootnoteReference"/>
        </w:rPr>
        <w:footnoteRef/>
      </w:r>
      <w:r>
        <w:t xml:space="preserve"> </w:t>
      </w:r>
      <w:r w:rsidR="002B1C0A">
        <w:t>ibid</w:t>
      </w:r>
    </w:p>
  </w:footnote>
  <w:footnote w:id="41">
    <w:p w14:paraId="1751C9EE" w14:textId="3BA5EE8A" w:rsidR="004F2BC0" w:rsidRDefault="004F2BC0">
      <w:pPr>
        <w:pStyle w:val="FootnoteText"/>
      </w:pPr>
      <w:r>
        <w:rPr>
          <w:rStyle w:val="FootnoteReference"/>
        </w:rPr>
        <w:footnoteRef/>
      </w:r>
      <w:r>
        <w:t xml:space="preserve"> </w:t>
      </w:r>
      <w:r w:rsidR="002B1C0A">
        <w:t xml:space="preserve">Ibid </w:t>
      </w:r>
    </w:p>
  </w:footnote>
  <w:footnote w:id="42">
    <w:p w14:paraId="4364A71E" w14:textId="44D645EF" w:rsidR="004F2BC0" w:rsidRDefault="004F2BC0">
      <w:pPr>
        <w:pStyle w:val="FootnoteText"/>
      </w:pPr>
      <w:r>
        <w:rPr>
          <w:rStyle w:val="FootnoteReference"/>
        </w:rPr>
        <w:footnoteRef/>
      </w:r>
      <w:r>
        <w:t xml:space="preserve"> </w:t>
      </w:r>
      <w:r w:rsidR="001818A3">
        <w:t>Millon 2004: 27</w:t>
      </w:r>
    </w:p>
  </w:footnote>
  <w:footnote w:id="43">
    <w:p w14:paraId="6D4B0006" w14:textId="015E5DC3" w:rsidR="004F2BC0" w:rsidRDefault="004F2BC0">
      <w:pPr>
        <w:pStyle w:val="FootnoteText"/>
      </w:pPr>
      <w:r>
        <w:rPr>
          <w:rStyle w:val="FootnoteReference"/>
        </w:rPr>
        <w:footnoteRef/>
      </w:r>
      <w:r>
        <w:t xml:space="preserve"> </w:t>
      </w:r>
      <w:r w:rsidR="005754A8">
        <w:t>Cic. Tusc. 2. 22- 23</w:t>
      </w:r>
    </w:p>
  </w:footnote>
  <w:footnote w:id="44">
    <w:p w14:paraId="6FAD84FA" w14:textId="7BC7340B" w:rsidR="004F2BC0" w:rsidRDefault="004F2BC0">
      <w:pPr>
        <w:pStyle w:val="FootnoteText"/>
      </w:pPr>
      <w:r>
        <w:rPr>
          <w:rStyle w:val="FootnoteReference"/>
        </w:rPr>
        <w:footnoteRef/>
      </w:r>
      <w:r>
        <w:t xml:space="preserve"> </w:t>
      </w:r>
      <w:r w:rsidR="005754A8">
        <w:t xml:space="preserve">Cic. Tusc. 2. 23 </w:t>
      </w:r>
    </w:p>
  </w:footnote>
  <w:footnote w:id="45">
    <w:p w14:paraId="58DC20B8" w14:textId="25CE5777" w:rsidR="004F2BC0" w:rsidRDefault="004F2BC0">
      <w:pPr>
        <w:pStyle w:val="FootnoteText"/>
      </w:pPr>
      <w:r>
        <w:rPr>
          <w:rStyle w:val="FootnoteReference"/>
        </w:rPr>
        <w:footnoteRef/>
      </w:r>
      <w:r>
        <w:t xml:space="preserve"> </w:t>
      </w:r>
      <w:r w:rsidR="000071E4">
        <w:t xml:space="preserve">Millon 2004: </w:t>
      </w:r>
      <w:r w:rsidR="0033330D">
        <w:t>27</w:t>
      </w:r>
    </w:p>
  </w:footnote>
  <w:footnote w:id="46">
    <w:p w14:paraId="6A3CA46B" w14:textId="3DE22D29" w:rsidR="004F2BC0" w:rsidRDefault="004F2BC0">
      <w:pPr>
        <w:pStyle w:val="FootnoteText"/>
      </w:pPr>
      <w:r>
        <w:rPr>
          <w:rStyle w:val="FootnoteReference"/>
        </w:rPr>
        <w:footnoteRef/>
      </w:r>
      <w:r>
        <w:t xml:space="preserve"> </w:t>
      </w:r>
      <w:r w:rsidR="0033330D">
        <w:t>Cels. 1. pr</w:t>
      </w:r>
    </w:p>
  </w:footnote>
  <w:footnote w:id="47">
    <w:p w14:paraId="0D52964D" w14:textId="5409D584" w:rsidR="004F2BC0" w:rsidRDefault="004F2BC0">
      <w:pPr>
        <w:pStyle w:val="FootnoteText"/>
      </w:pPr>
      <w:r>
        <w:rPr>
          <w:rStyle w:val="FootnoteReference"/>
        </w:rPr>
        <w:footnoteRef/>
      </w:r>
      <w:r>
        <w:t xml:space="preserve"> </w:t>
      </w:r>
      <w:r w:rsidR="0033330D">
        <w:t>ibid</w:t>
      </w:r>
    </w:p>
  </w:footnote>
  <w:footnote w:id="48">
    <w:p w14:paraId="585FD6CD" w14:textId="004C32AD" w:rsidR="004F2BC0" w:rsidRDefault="004F2BC0">
      <w:pPr>
        <w:pStyle w:val="FootnoteText"/>
      </w:pPr>
      <w:r>
        <w:rPr>
          <w:rStyle w:val="FootnoteReference"/>
        </w:rPr>
        <w:footnoteRef/>
      </w:r>
      <w:r>
        <w:t xml:space="preserve"> </w:t>
      </w:r>
      <w:r w:rsidR="0033330D">
        <w:t>ibid</w:t>
      </w:r>
    </w:p>
  </w:footnote>
  <w:footnote w:id="49">
    <w:p w14:paraId="1A9A8A1C" w14:textId="181D9D0B" w:rsidR="006F3292" w:rsidRDefault="006F3292">
      <w:pPr>
        <w:pStyle w:val="FootnoteText"/>
      </w:pPr>
      <w:r>
        <w:rPr>
          <w:rStyle w:val="FootnoteReference"/>
        </w:rPr>
        <w:footnoteRef/>
      </w:r>
      <w:r>
        <w:t xml:space="preserve"> </w:t>
      </w:r>
      <w:r w:rsidR="00BD0B49">
        <w:t>Millon 2004: 28</w:t>
      </w:r>
    </w:p>
  </w:footnote>
  <w:footnote w:id="50">
    <w:p w14:paraId="40EAA897" w14:textId="2668C490" w:rsidR="006F3292" w:rsidRDefault="006F3292">
      <w:pPr>
        <w:pStyle w:val="FootnoteText"/>
      </w:pPr>
      <w:r>
        <w:rPr>
          <w:rStyle w:val="FootnoteReference"/>
        </w:rPr>
        <w:footnoteRef/>
      </w:r>
      <w:r>
        <w:t xml:space="preserve"> </w:t>
      </w:r>
      <w:r w:rsidR="00951DE8">
        <w:t>ibid</w:t>
      </w:r>
    </w:p>
  </w:footnote>
  <w:footnote w:id="51">
    <w:p w14:paraId="7CF309AA" w14:textId="6BFC272D" w:rsidR="006F3292" w:rsidRDefault="006F3292">
      <w:pPr>
        <w:pStyle w:val="FootnoteText"/>
      </w:pPr>
      <w:r>
        <w:rPr>
          <w:rStyle w:val="FootnoteReference"/>
        </w:rPr>
        <w:footnoteRef/>
      </w:r>
      <w:r>
        <w:t xml:space="preserve"> </w:t>
      </w:r>
      <w:r w:rsidR="00951DE8">
        <w:t xml:space="preserve">Aret. SD 1.5 </w:t>
      </w:r>
    </w:p>
  </w:footnote>
  <w:footnote w:id="52">
    <w:p w14:paraId="5A3AC6D2" w14:textId="049F842E" w:rsidR="00F20441" w:rsidRDefault="006F3292">
      <w:pPr>
        <w:pStyle w:val="FootnoteText"/>
      </w:pPr>
      <w:r>
        <w:rPr>
          <w:rStyle w:val="FootnoteReference"/>
        </w:rPr>
        <w:footnoteRef/>
      </w:r>
      <w:r>
        <w:t xml:space="preserve"> Millon 2004: 29</w:t>
      </w:r>
      <w:r w:rsidR="00AF266B">
        <w:t xml:space="preserve">; Aret. SD 1.5 </w:t>
      </w:r>
    </w:p>
  </w:footnote>
  <w:footnote w:id="53">
    <w:p w14:paraId="2AD4FDC1" w14:textId="5E95A368" w:rsidR="006F3292" w:rsidRDefault="006F3292">
      <w:pPr>
        <w:pStyle w:val="FootnoteText"/>
      </w:pPr>
      <w:r>
        <w:rPr>
          <w:rStyle w:val="FootnoteReference"/>
        </w:rPr>
        <w:footnoteRef/>
      </w:r>
      <w:r>
        <w:t xml:space="preserve"> </w:t>
      </w:r>
      <w:r w:rsidR="00F20441">
        <w:t>Millon 2004: 29</w:t>
      </w:r>
    </w:p>
  </w:footnote>
  <w:footnote w:id="54">
    <w:p w14:paraId="7597EFAC" w14:textId="5F36CB46" w:rsidR="006F3292" w:rsidRDefault="006F3292">
      <w:pPr>
        <w:pStyle w:val="FootnoteText"/>
      </w:pPr>
      <w:r>
        <w:rPr>
          <w:rStyle w:val="FootnoteReference"/>
        </w:rPr>
        <w:footnoteRef/>
      </w:r>
      <w:r>
        <w:t xml:space="preserve"> </w:t>
      </w:r>
      <w:r w:rsidR="00AC5622">
        <w:t>ibid</w:t>
      </w:r>
    </w:p>
  </w:footnote>
  <w:footnote w:id="55">
    <w:p w14:paraId="4A353C1F" w14:textId="29B93E88" w:rsidR="006F3292" w:rsidRDefault="006F3292">
      <w:pPr>
        <w:pStyle w:val="FootnoteText"/>
      </w:pPr>
      <w:r>
        <w:rPr>
          <w:rStyle w:val="FootnoteReference"/>
        </w:rPr>
        <w:footnoteRef/>
      </w:r>
      <w:r>
        <w:t xml:space="preserve"> </w:t>
      </w:r>
      <w:r w:rsidR="00AC5622">
        <w:t>Millon 2004: 30</w:t>
      </w:r>
    </w:p>
  </w:footnote>
  <w:footnote w:id="56">
    <w:p w14:paraId="24D42523" w14:textId="3FB6EAC1" w:rsidR="006F3292" w:rsidRDefault="006F3292">
      <w:pPr>
        <w:pStyle w:val="FootnoteText"/>
      </w:pPr>
      <w:r>
        <w:rPr>
          <w:rStyle w:val="FootnoteReference"/>
        </w:rPr>
        <w:footnoteRef/>
      </w:r>
      <w:r>
        <w:t xml:space="preserve"> </w:t>
      </w:r>
      <w:r w:rsidR="004C1E1C">
        <w:t xml:space="preserve">Ibid </w:t>
      </w:r>
    </w:p>
  </w:footnote>
  <w:footnote w:id="57">
    <w:p w14:paraId="10501DC6" w14:textId="3D14E928" w:rsidR="006F3292" w:rsidRDefault="006F3292">
      <w:pPr>
        <w:pStyle w:val="FootnoteText"/>
      </w:pPr>
      <w:r>
        <w:rPr>
          <w:rStyle w:val="FootnoteReference"/>
        </w:rPr>
        <w:footnoteRef/>
      </w:r>
      <w:r>
        <w:t xml:space="preserve"> </w:t>
      </w:r>
      <w:r w:rsidR="00DE3C4A">
        <w:t>Millon 2004: 31</w:t>
      </w:r>
      <w:r w:rsidR="0035179B">
        <w:t xml:space="preserve">; </w:t>
      </w:r>
      <w:r w:rsidR="006928C6">
        <w:t>Gal. Method of Medicine: 7</w:t>
      </w:r>
      <w:r w:rsidR="000258E6">
        <w:t xml:space="preserve">; Gal. Nat. Fac. 1.14 </w:t>
      </w:r>
    </w:p>
  </w:footnote>
  <w:footnote w:id="58">
    <w:p w14:paraId="63B2A948" w14:textId="7A4C0452" w:rsidR="006F3292" w:rsidRDefault="006F3292">
      <w:pPr>
        <w:pStyle w:val="FootnoteText"/>
      </w:pPr>
      <w:r>
        <w:rPr>
          <w:rStyle w:val="FootnoteReference"/>
        </w:rPr>
        <w:footnoteRef/>
      </w:r>
      <w:r>
        <w:t xml:space="preserve"> </w:t>
      </w:r>
      <w:r w:rsidR="00DE3C4A">
        <w:t>ibid</w:t>
      </w:r>
    </w:p>
  </w:footnote>
  <w:footnote w:id="59">
    <w:p w14:paraId="3ACF7E8E" w14:textId="0F0A019D" w:rsidR="006F3292" w:rsidRDefault="006F3292">
      <w:pPr>
        <w:pStyle w:val="FootnoteText"/>
      </w:pPr>
      <w:r>
        <w:rPr>
          <w:rStyle w:val="FootnoteReference"/>
        </w:rPr>
        <w:footnoteRef/>
      </w:r>
      <w:r>
        <w:t xml:space="preserve"> </w:t>
      </w:r>
      <w:r w:rsidR="002D66F8">
        <w:t xml:space="preserve">Ibid </w:t>
      </w:r>
    </w:p>
  </w:footnote>
  <w:footnote w:id="60">
    <w:p w14:paraId="7953DA17" w14:textId="6506E2B8" w:rsidR="006F3292" w:rsidRDefault="006F3292">
      <w:pPr>
        <w:pStyle w:val="FootnoteText"/>
      </w:pPr>
      <w:r>
        <w:rPr>
          <w:rStyle w:val="FootnoteReference"/>
        </w:rPr>
        <w:footnoteRef/>
      </w:r>
      <w:r>
        <w:t xml:space="preserve"> </w:t>
      </w:r>
      <w:r w:rsidR="00DE3C4A">
        <w:t xml:space="preserve">Gal. Nat. Fac. 1.1 </w:t>
      </w:r>
    </w:p>
  </w:footnote>
  <w:footnote w:id="61">
    <w:p w14:paraId="686BDB38" w14:textId="3CEE805D" w:rsidR="00B40769" w:rsidRDefault="00B40769">
      <w:pPr>
        <w:pStyle w:val="FootnoteText"/>
      </w:pPr>
      <w:r>
        <w:rPr>
          <w:rStyle w:val="FootnoteReference"/>
        </w:rPr>
        <w:footnoteRef/>
      </w:r>
      <w:r>
        <w:t xml:space="preserve"> Colaiaco 2001 :14</w:t>
      </w:r>
    </w:p>
  </w:footnote>
  <w:footnote w:id="62">
    <w:p w14:paraId="07488104" w14:textId="13590D01" w:rsidR="00F57F41" w:rsidRDefault="00F57F41">
      <w:pPr>
        <w:pStyle w:val="FootnoteText"/>
      </w:pPr>
      <w:r>
        <w:rPr>
          <w:rStyle w:val="FootnoteReference"/>
        </w:rPr>
        <w:footnoteRef/>
      </w:r>
      <w:r>
        <w:t xml:space="preserve"> Monoson 2014: 136</w:t>
      </w:r>
    </w:p>
  </w:footnote>
  <w:footnote w:id="63">
    <w:p w14:paraId="2E80A475" w14:textId="3502373E" w:rsidR="00AA36B5" w:rsidRDefault="00AA36B5">
      <w:pPr>
        <w:pStyle w:val="FootnoteText"/>
      </w:pPr>
      <w:r>
        <w:rPr>
          <w:rStyle w:val="FootnoteReference"/>
        </w:rPr>
        <w:footnoteRef/>
      </w:r>
      <w:r>
        <w:t xml:space="preserve"> NHS 2015</w:t>
      </w:r>
    </w:p>
  </w:footnote>
  <w:footnote w:id="64">
    <w:p w14:paraId="455D045A" w14:textId="3FB62A60" w:rsidR="008A6FC9" w:rsidRDefault="008A6FC9">
      <w:pPr>
        <w:pStyle w:val="FootnoteText"/>
      </w:pPr>
      <w:r>
        <w:rPr>
          <w:rStyle w:val="FootnoteReference"/>
        </w:rPr>
        <w:footnoteRef/>
      </w:r>
      <w:r>
        <w:t xml:space="preserve"> NHS 2015</w:t>
      </w:r>
    </w:p>
  </w:footnote>
  <w:footnote w:id="65">
    <w:p w14:paraId="121DA0FB" w14:textId="26F067C4" w:rsidR="00945C4A" w:rsidRDefault="00945C4A">
      <w:pPr>
        <w:pStyle w:val="FootnoteText"/>
      </w:pPr>
      <w:r>
        <w:rPr>
          <w:rStyle w:val="FootnoteReference"/>
        </w:rPr>
        <w:footnoteRef/>
      </w:r>
      <w:r>
        <w:t xml:space="preserve"> Monoson 2014: 141</w:t>
      </w:r>
    </w:p>
  </w:footnote>
  <w:footnote w:id="66">
    <w:p w14:paraId="3147A0B6" w14:textId="0F95FE5B" w:rsidR="004A18EC" w:rsidRDefault="004A18EC">
      <w:pPr>
        <w:pStyle w:val="FootnoteText"/>
      </w:pPr>
      <w:r>
        <w:rPr>
          <w:rStyle w:val="FootnoteReference"/>
        </w:rPr>
        <w:footnoteRef/>
      </w:r>
      <w:r>
        <w:t xml:space="preserve"> </w:t>
      </w:r>
      <w:r w:rsidR="00A427E5">
        <w:t xml:space="preserve">Sakula 1984: 686 </w:t>
      </w:r>
    </w:p>
  </w:footnote>
  <w:footnote w:id="67">
    <w:p w14:paraId="4E5F64E4" w14:textId="6C19DDB2" w:rsidR="007C1F48" w:rsidRDefault="007C1F48">
      <w:pPr>
        <w:pStyle w:val="FootnoteText"/>
      </w:pPr>
      <w:r>
        <w:rPr>
          <w:rStyle w:val="FootnoteReference"/>
        </w:rPr>
        <w:footnoteRef/>
      </w:r>
      <w:r>
        <w:t xml:space="preserve"> Thuc. 2.49 </w:t>
      </w:r>
    </w:p>
  </w:footnote>
  <w:footnote w:id="68">
    <w:p w14:paraId="20133B9F" w14:textId="3AD4DB67" w:rsidR="001E16C5" w:rsidRDefault="001E16C5">
      <w:pPr>
        <w:pStyle w:val="FootnoteText"/>
      </w:pPr>
      <w:r>
        <w:rPr>
          <w:rStyle w:val="FootnoteReference"/>
        </w:rPr>
        <w:footnoteRef/>
      </w:r>
      <w:r>
        <w:t xml:space="preserve"> Horgan 2016</w:t>
      </w:r>
    </w:p>
  </w:footnote>
  <w:footnote w:id="69">
    <w:p w14:paraId="614453F0" w14:textId="36BE4FA6" w:rsidR="00195850" w:rsidRDefault="00195850">
      <w:pPr>
        <w:pStyle w:val="FootnoteText"/>
      </w:pPr>
      <w:r>
        <w:rPr>
          <w:rStyle w:val="FootnoteReference"/>
        </w:rPr>
        <w:footnoteRef/>
      </w:r>
      <w:r>
        <w:t xml:space="preserve"> ibid</w:t>
      </w:r>
    </w:p>
  </w:footnote>
  <w:footnote w:id="70">
    <w:p w14:paraId="47B4454C" w14:textId="02F503E2" w:rsidR="00D43B25" w:rsidRDefault="00D43B25">
      <w:pPr>
        <w:pStyle w:val="FootnoteText"/>
      </w:pPr>
      <w:r>
        <w:rPr>
          <w:rStyle w:val="FootnoteReference"/>
        </w:rPr>
        <w:footnoteRef/>
      </w:r>
      <w:r>
        <w:t xml:space="preserve"> Ibid </w:t>
      </w:r>
    </w:p>
  </w:footnote>
  <w:footnote w:id="71">
    <w:p w14:paraId="0EAF9A3A" w14:textId="221AB3D9" w:rsidR="008E74F3" w:rsidRDefault="008E74F3">
      <w:pPr>
        <w:pStyle w:val="FootnoteText"/>
      </w:pPr>
      <w:r>
        <w:rPr>
          <w:rStyle w:val="FootnoteReference"/>
        </w:rPr>
        <w:footnoteRef/>
      </w:r>
      <w:r>
        <w:t xml:space="preserve"> </w:t>
      </w:r>
      <w:r w:rsidR="00BE6A44">
        <w:t xml:space="preserve">Cic. Ver. 1.1 </w:t>
      </w:r>
    </w:p>
  </w:footnote>
  <w:footnote w:id="72">
    <w:p w14:paraId="7C1B43CC" w14:textId="2542D7BE" w:rsidR="008E74F3" w:rsidRDefault="008E74F3">
      <w:pPr>
        <w:pStyle w:val="FootnoteText"/>
      </w:pPr>
      <w:r>
        <w:rPr>
          <w:rStyle w:val="FootnoteReference"/>
        </w:rPr>
        <w:footnoteRef/>
      </w:r>
      <w:r>
        <w:t xml:space="preserve"> </w:t>
      </w:r>
      <w:r w:rsidR="00D43169">
        <w:t xml:space="preserve">Cic. Ver. 5. </w:t>
      </w:r>
      <w:r w:rsidR="00DB1CF9">
        <w:t xml:space="preserve">14 </w:t>
      </w:r>
    </w:p>
  </w:footnote>
  <w:footnote w:id="73">
    <w:p w14:paraId="4271092B" w14:textId="67AAEB2E" w:rsidR="008E74F3" w:rsidRDefault="008E74F3">
      <w:pPr>
        <w:pStyle w:val="FootnoteText"/>
      </w:pPr>
      <w:r>
        <w:rPr>
          <w:rStyle w:val="FootnoteReference"/>
        </w:rPr>
        <w:footnoteRef/>
      </w:r>
      <w:r>
        <w:t xml:space="preserve"> </w:t>
      </w:r>
      <w:r w:rsidR="00DA3D82">
        <w:t>Boddy 2011: 255-259</w:t>
      </w:r>
    </w:p>
  </w:footnote>
  <w:footnote w:id="74">
    <w:p w14:paraId="1EBD4BBC" w14:textId="3881DFF1" w:rsidR="00A273BE" w:rsidRDefault="00A273BE">
      <w:pPr>
        <w:pStyle w:val="FootnoteText"/>
      </w:pPr>
      <w:r>
        <w:rPr>
          <w:rStyle w:val="FootnoteReference"/>
        </w:rPr>
        <w:footnoteRef/>
      </w:r>
      <w:r>
        <w:t xml:space="preserve"> </w:t>
      </w:r>
    </w:p>
  </w:footnote>
  <w:footnote w:id="75">
    <w:p w14:paraId="196425AB" w14:textId="0EFF92BA" w:rsidR="00A273BE" w:rsidRDefault="00A273BE">
      <w:pPr>
        <w:pStyle w:val="FootnoteText"/>
      </w:pPr>
      <w:r>
        <w:rPr>
          <w:rStyle w:val="FootnoteReference"/>
        </w:rPr>
        <w:footnoteRef/>
      </w:r>
      <w:r>
        <w:t xml:space="preserve"> </w:t>
      </w:r>
      <w:r w:rsidR="00001B9E">
        <w:t>Potter 2009: 169; Severy</w:t>
      </w:r>
      <w:r w:rsidR="001E7631">
        <w:t xml:space="preserve"> 2003</w:t>
      </w:r>
      <w:r w:rsidR="00001B9E">
        <w:t>:51</w:t>
      </w:r>
    </w:p>
  </w:footnote>
  <w:footnote w:id="76">
    <w:p w14:paraId="2C9FA85A" w14:textId="27C3431E" w:rsidR="00A273BE" w:rsidRDefault="00A273BE">
      <w:pPr>
        <w:pStyle w:val="FootnoteText"/>
      </w:pPr>
      <w:r>
        <w:rPr>
          <w:rStyle w:val="FootnoteReference"/>
        </w:rPr>
        <w:footnoteRef/>
      </w:r>
      <w:r>
        <w:t xml:space="preserve"> </w:t>
      </w:r>
      <w:r w:rsidR="00001B9E">
        <w:t xml:space="preserve">Ibid </w:t>
      </w:r>
    </w:p>
  </w:footnote>
  <w:footnote w:id="77">
    <w:p w14:paraId="6CD5174F" w14:textId="56A80199" w:rsidR="001E7631" w:rsidRDefault="001E7631">
      <w:pPr>
        <w:pStyle w:val="FootnoteText"/>
      </w:pPr>
      <w:r>
        <w:rPr>
          <w:rStyle w:val="FootnoteReference"/>
        </w:rPr>
        <w:footnoteRef/>
      </w:r>
      <w:r>
        <w:t xml:space="preserve"> Severy 2003: 52</w:t>
      </w:r>
    </w:p>
  </w:footnote>
  <w:footnote w:id="78">
    <w:p w14:paraId="6D1055C4" w14:textId="5E291338" w:rsidR="00A273BE" w:rsidRDefault="00A273BE">
      <w:pPr>
        <w:pStyle w:val="FootnoteText"/>
      </w:pPr>
      <w:r>
        <w:rPr>
          <w:rStyle w:val="FootnoteReference"/>
        </w:rPr>
        <w:footnoteRef/>
      </w:r>
      <w:r>
        <w:t xml:space="preserve"> </w:t>
      </w:r>
    </w:p>
  </w:footnote>
  <w:footnote w:id="79">
    <w:p w14:paraId="055C0076" w14:textId="21201C5D" w:rsidR="000C182A" w:rsidRDefault="000C182A">
      <w:pPr>
        <w:pStyle w:val="FootnoteText"/>
      </w:pPr>
      <w:r>
        <w:rPr>
          <w:rStyle w:val="FootnoteReference"/>
        </w:rPr>
        <w:footnoteRef/>
      </w:r>
      <w:r>
        <w:t xml:space="preserve"> </w:t>
      </w:r>
      <w:r w:rsidR="008F5B89">
        <w:t xml:space="preserve">Dio. Cassius. 59. 6 </w:t>
      </w:r>
    </w:p>
  </w:footnote>
  <w:footnote w:id="80">
    <w:p w14:paraId="785B4B95" w14:textId="5892491A" w:rsidR="008D1F5D" w:rsidRDefault="008D1F5D">
      <w:pPr>
        <w:pStyle w:val="FootnoteText"/>
      </w:pPr>
      <w:r>
        <w:rPr>
          <w:rStyle w:val="FootnoteReference"/>
        </w:rPr>
        <w:footnoteRef/>
      </w:r>
      <w:r>
        <w:t xml:space="preserve"> </w:t>
      </w:r>
      <w:r w:rsidR="006B3F69">
        <w:t>Sidwell 2010: 194-200</w:t>
      </w:r>
    </w:p>
  </w:footnote>
  <w:footnote w:id="81">
    <w:p w14:paraId="0BA34C5A" w14:textId="1B06803B" w:rsidR="00427DB3" w:rsidRDefault="00427DB3">
      <w:pPr>
        <w:pStyle w:val="FootnoteText"/>
      </w:pPr>
      <w:r>
        <w:rPr>
          <w:rStyle w:val="FootnoteReference"/>
        </w:rPr>
        <w:footnoteRef/>
      </w:r>
      <w:r>
        <w:t xml:space="preserve"> </w:t>
      </w:r>
      <w:r w:rsidR="00641A60">
        <w:t xml:space="preserve">Suet. Cal. 54 </w:t>
      </w:r>
    </w:p>
  </w:footnote>
  <w:footnote w:id="82">
    <w:p w14:paraId="02CF2775" w14:textId="22A2E415" w:rsidR="00427DB3" w:rsidRDefault="00427DB3">
      <w:pPr>
        <w:pStyle w:val="FootnoteText"/>
      </w:pPr>
      <w:r>
        <w:rPr>
          <w:rStyle w:val="FootnoteReference"/>
        </w:rPr>
        <w:footnoteRef/>
      </w:r>
      <w:r>
        <w:t xml:space="preserve"> </w:t>
      </w:r>
      <w:r w:rsidR="00BF363B">
        <w:t xml:space="preserve">Suet. Cal. 54 </w:t>
      </w:r>
    </w:p>
  </w:footnote>
  <w:footnote w:id="83">
    <w:p w14:paraId="472800D4" w14:textId="52E84D96" w:rsidR="00427DB3" w:rsidRDefault="00427DB3">
      <w:pPr>
        <w:pStyle w:val="FootnoteText"/>
      </w:pPr>
      <w:r>
        <w:rPr>
          <w:rStyle w:val="FootnoteReference"/>
        </w:rPr>
        <w:footnoteRef/>
      </w:r>
      <w:r>
        <w:t xml:space="preserve"> </w:t>
      </w:r>
      <w:r w:rsidR="009F100F">
        <w:t xml:space="preserve">Suet. Cal. 22 </w:t>
      </w:r>
    </w:p>
  </w:footnote>
  <w:footnote w:id="84">
    <w:p w14:paraId="0170D062" w14:textId="1638F4C5" w:rsidR="00427DB3" w:rsidRDefault="00427DB3">
      <w:pPr>
        <w:pStyle w:val="FootnoteText"/>
      </w:pPr>
      <w:r>
        <w:rPr>
          <w:rStyle w:val="FootnoteReference"/>
        </w:rPr>
        <w:footnoteRef/>
      </w:r>
      <w:r>
        <w:t xml:space="preserve"> </w:t>
      </w:r>
      <w:r w:rsidR="00A905A5">
        <w:t xml:space="preserve">Temkin </w:t>
      </w:r>
      <w:r w:rsidR="003C59FF">
        <w:t xml:space="preserve">1994: 3-4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851C48"/>
    <w:multiLevelType w:val="hybridMultilevel"/>
    <w:tmpl w:val="5DC60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21FED"/>
    <w:rsid w:val="00001B9E"/>
    <w:rsid w:val="000071E4"/>
    <w:rsid w:val="0001581C"/>
    <w:rsid w:val="000204C9"/>
    <w:rsid w:val="000258E6"/>
    <w:rsid w:val="00034BF9"/>
    <w:rsid w:val="000359F6"/>
    <w:rsid w:val="00037DA4"/>
    <w:rsid w:val="00063F29"/>
    <w:rsid w:val="00065810"/>
    <w:rsid w:val="00070135"/>
    <w:rsid w:val="00080C01"/>
    <w:rsid w:val="0008166B"/>
    <w:rsid w:val="000C182A"/>
    <w:rsid w:val="000C7B5E"/>
    <w:rsid w:val="000D2327"/>
    <w:rsid w:val="000E3F5F"/>
    <w:rsid w:val="0011025D"/>
    <w:rsid w:val="001147FC"/>
    <w:rsid w:val="00135FB9"/>
    <w:rsid w:val="0016157F"/>
    <w:rsid w:val="001818A3"/>
    <w:rsid w:val="00187455"/>
    <w:rsid w:val="00193B73"/>
    <w:rsid w:val="00195850"/>
    <w:rsid w:val="001B65A3"/>
    <w:rsid w:val="001B78CB"/>
    <w:rsid w:val="001C11CE"/>
    <w:rsid w:val="001C71AA"/>
    <w:rsid w:val="001E16C5"/>
    <w:rsid w:val="001E7631"/>
    <w:rsid w:val="001F657C"/>
    <w:rsid w:val="00202FD4"/>
    <w:rsid w:val="00206629"/>
    <w:rsid w:val="002129A4"/>
    <w:rsid w:val="00217429"/>
    <w:rsid w:val="002212B8"/>
    <w:rsid w:val="00225636"/>
    <w:rsid w:val="00225C46"/>
    <w:rsid w:val="00235688"/>
    <w:rsid w:val="00236239"/>
    <w:rsid w:val="00244FB9"/>
    <w:rsid w:val="00245403"/>
    <w:rsid w:val="00254846"/>
    <w:rsid w:val="0026115C"/>
    <w:rsid w:val="002747E1"/>
    <w:rsid w:val="00282E93"/>
    <w:rsid w:val="00291AF6"/>
    <w:rsid w:val="002B1C0A"/>
    <w:rsid w:val="002B62FE"/>
    <w:rsid w:val="002D53D1"/>
    <w:rsid w:val="002D66F8"/>
    <w:rsid w:val="002F0811"/>
    <w:rsid w:val="002F3D56"/>
    <w:rsid w:val="00300697"/>
    <w:rsid w:val="00317FB6"/>
    <w:rsid w:val="0033330D"/>
    <w:rsid w:val="0035179B"/>
    <w:rsid w:val="0035395C"/>
    <w:rsid w:val="00356EF5"/>
    <w:rsid w:val="00361E3C"/>
    <w:rsid w:val="00364471"/>
    <w:rsid w:val="003649AF"/>
    <w:rsid w:val="0037002F"/>
    <w:rsid w:val="0037478F"/>
    <w:rsid w:val="00382084"/>
    <w:rsid w:val="0038777E"/>
    <w:rsid w:val="003A0C01"/>
    <w:rsid w:val="003A55E8"/>
    <w:rsid w:val="003A5F7E"/>
    <w:rsid w:val="003B735A"/>
    <w:rsid w:val="003C59FF"/>
    <w:rsid w:val="003D4243"/>
    <w:rsid w:val="003E3648"/>
    <w:rsid w:val="003F0A44"/>
    <w:rsid w:val="003F5DF9"/>
    <w:rsid w:val="0041218B"/>
    <w:rsid w:val="004256A3"/>
    <w:rsid w:val="00427DB3"/>
    <w:rsid w:val="00443013"/>
    <w:rsid w:val="004523E1"/>
    <w:rsid w:val="00457735"/>
    <w:rsid w:val="00475A41"/>
    <w:rsid w:val="00476C8F"/>
    <w:rsid w:val="00490BEE"/>
    <w:rsid w:val="004A18EC"/>
    <w:rsid w:val="004A203F"/>
    <w:rsid w:val="004A3B52"/>
    <w:rsid w:val="004B3FB0"/>
    <w:rsid w:val="004B4AC8"/>
    <w:rsid w:val="004B7AED"/>
    <w:rsid w:val="004C1E1C"/>
    <w:rsid w:val="004C4337"/>
    <w:rsid w:val="004F2BC0"/>
    <w:rsid w:val="005143D8"/>
    <w:rsid w:val="00527D5E"/>
    <w:rsid w:val="00534E74"/>
    <w:rsid w:val="00560DD0"/>
    <w:rsid w:val="005754A8"/>
    <w:rsid w:val="00583963"/>
    <w:rsid w:val="00597D24"/>
    <w:rsid w:val="005A2960"/>
    <w:rsid w:val="005B1A13"/>
    <w:rsid w:val="005B6558"/>
    <w:rsid w:val="005C352F"/>
    <w:rsid w:val="005D221A"/>
    <w:rsid w:val="005D7D11"/>
    <w:rsid w:val="005F7D97"/>
    <w:rsid w:val="00600A9F"/>
    <w:rsid w:val="00603977"/>
    <w:rsid w:val="00606D77"/>
    <w:rsid w:val="006078D1"/>
    <w:rsid w:val="006232B7"/>
    <w:rsid w:val="00641A60"/>
    <w:rsid w:val="006423AC"/>
    <w:rsid w:val="00644691"/>
    <w:rsid w:val="006516D1"/>
    <w:rsid w:val="006524EC"/>
    <w:rsid w:val="00652C35"/>
    <w:rsid w:val="00660312"/>
    <w:rsid w:val="00675BFD"/>
    <w:rsid w:val="006928C6"/>
    <w:rsid w:val="00692D68"/>
    <w:rsid w:val="00693CDD"/>
    <w:rsid w:val="006B3F69"/>
    <w:rsid w:val="006C37AB"/>
    <w:rsid w:val="006D1387"/>
    <w:rsid w:val="006D608A"/>
    <w:rsid w:val="006F3292"/>
    <w:rsid w:val="006F50B4"/>
    <w:rsid w:val="006F7730"/>
    <w:rsid w:val="007079D8"/>
    <w:rsid w:val="007218CE"/>
    <w:rsid w:val="007303F7"/>
    <w:rsid w:val="00733DD4"/>
    <w:rsid w:val="007427BC"/>
    <w:rsid w:val="007438D4"/>
    <w:rsid w:val="00757A3A"/>
    <w:rsid w:val="00777446"/>
    <w:rsid w:val="007822F3"/>
    <w:rsid w:val="00795071"/>
    <w:rsid w:val="0079546B"/>
    <w:rsid w:val="007A3656"/>
    <w:rsid w:val="007C1F48"/>
    <w:rsid w:val="007C27AC"/>
    <w:rsid w:val="007C4F33"/>
    <w:rsid w:val="007D3278"/>
    <w:rsid w:val="007D3DB0"/>
    <w:rsid w:val="007D4D0E"/>
    <w:rsid w:val="007D5F4A"/>
    <w:rsid w:val="007E36D3"/>
    <w:rsid w:val="007E466C"/>
    <w:rsid w:val="007F6297"/>
    <w:rsid w:val="00802497"/>
    <w:rsid w:val="00804573"/>
    <w:rsid w:val="008118DE"/>
    <w:rsid w:val="00823EBF"/>
    <w:rsid w:val="008612FD"/>
    <w:rsid w:val="008625E5"/>
    <w:rsid w:val="00864B05"/>
    <w:rsid w:val="00870ED6"/>
    <w:rsid w:val="00875C86"/>
    <w:rsid w:val="008813AD"/>
    <w:rsid w:val="0088259B"/>
    <w:rsid w:val="008A6FC9"/>
    <w:rsid w:val="008D1F5D"/>
    <w:rsid w:val="008D2152"/>
    <w:rsid w:val="008D48EE"/>
    <w:rsid w:val="008D552A"/>
    <w:rsid w:val="008E74F3"/>
    <w:rsid w:val="008F5B89"/>
    <w:rsid w:val="00907C89"/>
    <w:rsid w:val="00912830"/>
    <w:rsid w:val="00912F6D"/>
    <w:rsid w:val="00923C1A"/>
    <w:rsid w:val="00945C4A"/>
    <w:rsid w:val="009473A0"/>
    <w:rsid w:val="00951DE8"/>
    <w:rsid w:val="00966411"/>
    <w:rsid w:val="00973B7C"/>
    <w:rsid w:val="00975B09"/>
    <w:rsid w:val="00993082"/>
    <w:rsid w:val="00993F39"/>
    <w:rsid w:val="00996CEE"/>
    <w:rsid w:val="009A7841"/>
    <w:rsid w:val="009A7852"/>
    <w:rsid w:val="009B35E1"/>
    <w:rsid w:val="009C7573"/>
    <w:rsid w:val="009C75E2"/>
    <w:rsid w:val="009E21E6"/>
    <w:rsid w:val="009F100F"/>
    <w:rsid w:val="00A03D61"/>
    <w:rsid w:val="00A24CCC"/>
    <w:rsid w:val="00A273BE"/>
    <w:rsid w:val="00A357AA"/>
    <w:rsid w:val="00A427E5"/>
    <w:rsid w:val="00A435A2"/>
    <w:rsid w:val="00A47E57"/>
    <w:rsid w:val="00A50357"/>
    <w:rsid w:val="00A52DDC"/>
    <w:rsid w:val="00A54593"/>
    <w:rsid w:val="00A6430F"/>
    <w:rsid w:val="00A6536B"/>
    <w:rsid w:val="00A65680"/>
    <w:rsid w:val="00A752ED"/>
    <w:rsid w:val="00A75B3A"/>
    <w:rsid w:val="00A905A5"/>
    <w:rsid w:val="00A92DEE"/>
    <w:rsid w:val="00AA1F48"/>
    <w:rsid w:val="00AA36B5"/>
    <w:rsid w:val="00AC5622"/>
    <w:rsid w:val="00AD4D09"/>
    <w:rsid w:val="00AF266B"/>
    <w:rsid w:val="00AF5034"/>
    <w:rsid w:val="00B07D02"/>
    <w:rsid w:val="00B3160B"/>
    <w:rsid w:val="00B3370F"/>
    <w:rsid w:val="00B40769"/>
    <w:rsid w:val="00B42642"/>
    <w:rsid w:val="00B55D96"/>
    <w:rsid w:val="00B56CBE"/>
    <w:rsid w:val="00B5731A"/>
    <w:rsid w:val="00B67F99"/>
    <w:rsid w:val="00B72950"/>
    <w:rsid w:val="00B82E71"/>
    <w:rsid w:val="00B86DB2"/>
    <w:rsid w:val="00BA07DF"/>
    <w:rsid w:val="00BA40BC"/>
    <w:rsid w:val="00BA6454"/>
    <w:rsid w:val="00BA7CD6"/>
    <w:rsid w:val="00BB2A79"/>
    <w:rsid w:val="00BB7706"/>
    <w:rsid w:val="00BC4CD0"/>
    <w:rsid w:val="00BD0B49"/>
    <w:rsid w:val="00BD2E47"/>
    <w:rsid w:val="00BD4F26"/>
    <w:rsid w:val="00BE2661"/>
    <w:rsid w:val="00BE37D7"/>
    <w:rsid w:val="00BE6A44"/>
    <w:rsid w:val="00BF0DED"/>
    <w:rsid w:val="00BF363B"/>
    <w:rsid w:val="00C373B7"/>
    <w:rsid w:val="00C40F02"/>
    <w:rsid w:val="00C57D34"/>
    <w:rsid w:val="00C67519"/>
    <w:rsid w:val="00C74383"/>
    <w:rsid w:val="00C918B9"/>
    <w:rsid w:val="00C97637"/>
    <w:rsid w:val="00CA6CC3"/>
    <w:rsid w:val="00CC102A"/>
    <w:rsid w:val="00CC5A4C"/>
    <w:rsid w:val="00CD167F"/>
    <w:rsid w:val="00CE07E5"/>
    <w:rsid w:val="00CE1043"/>
    <w:rsid w:val="00D01E6B"/>
    <w:rsid w:val="00D13629"/>
    <w:rsid w:val="00D17FB7"/>
    <w:rsid w:val="00D247D6"/>
    <w:rsid w:val="00D26FFE"/>
    <w:rsid w:val="00D31C75"/>
    <w:rsid w:val="00D37317"/>
    <w:rsid w:val="00D43169"/>
    <w:rsid w:val="00D43B25"/>
    <w:rsid w:val="00D56B79"/>
    <w:rsid w:val="00D76B91"/>
    <w:rsid w:val="00D77A85"/>
    <w:rsid w:val="00D80592"/>
    <w:rsid w:val="00D8202D"/>
    <w:rsid w:val="00D86DB7"/>
    <w:rsid w:val="00D919B1"/>
    <w:rsid w:val="00D96580"/>
    <w:rsid w:val="00DA3D82"/>
    <w:rsid w:val="00DB009C"/>
    <w:rsid w:val="00DB0F1B"/>
    <w:rsid w:val="00DB1CF9"/>
    <w:rsid w:val="00DB4E41"/>
    <w:rsid w:val="00DD34A9"/>
    <w:rsid w:val="00DD536E"/>
    <w:rsid w:val="00DD65CB"/>
    <w:rsid w:val="00DE3C4A"/>
    <w:rsid w:val="00DF3543"/>
    <w:rsid w:val="00E11C5D"/>
    <w:rsid w:val="00E14659"/>
    <w:rsid w:val="00E15604"/>
    <w:rsid w:val="00E21FED"/>
    <w:rsid w:val="00E24824"/>
    <w:rsid w:val="00E316AB"/>
    <w:rsid w:val="00E345AE"/>
    <w:rsid w:val="00E40803"/>
    <w:rsid w:val="00E521DC"/>
    <w:rsid w:val="00E706A4"/>
    <w:rsid w:val="00E806B1"/>
    <w:rsid w:val="00E80E35"/>
    <w:rsid w:val="00E96A32"/>
    <w:rsid w:val="00EA65EE"/>
    <w:rsid w:val="00EB0AE7"/>
    <w:rsid w:val="00EC0A56"/>
    <w:rsid w:val="00EE09EA"/>
    <w:rsid w:val="00EF2212"/>
    <w:rsid w:val="00EF45C3"/>
    <w:rsid w:val="00F05170"/>
    <w:rsid w:val="00F20441"/>
    <w:rsid w:val="00F23D87"/>
    <w:rsid w:val="00F4002B"/>
    <w:rsid w:val="00F46EA3"/>
    <w:rsid w:val="00F505E2"/>
    <w:rsid w:val="00F50E74"/>
    <w:rsid w:val="00F57F41"/>
    <w:rsid w:val="00F6551C"/>
    <w:rsid w:val="00F65E8C"/>
    <w:rsid w:val="00F67B05"/>
    <w:rsid w:val="00F812C7"/>
    <w:rsid w:val="00F85B3F"/>
    <w:rsid w:val="00F9282D"/>
    <w:rsid w:val="00F96960"/>
    <w:rsid w:val="00F96E66"/>
    <w:rsid w:val="00FA1F0D"/>
    <w:rsid w:val="00FA5E60"/>
    <w:rsid w:val="00FA6D5C"/>
    <w:rsid w:val="00FA6DE5"/>
    <w:rsid w:val="00FB7EC3"/>
    <w:rsid w:val="00FC0FC4"/>
    <w:rsid w:val="00FC59FA"/>
    <w:rsid w:val="00FC75EF"/>
    <w:rsid w:val="00FD0DC5"/>
    <w:rsid w:val="00FD7FD1"/>
    <w:rsid w:val="00FE215D"/>
    <w:rsid w:val="00FE41F1"/>
    <w:rsid w:val="00FE4375"/>
    <w:rsid w:val="00FF20B4"/>
    <w:rsid w:val="00FF6A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535EB4"/>
  <w15:chartTrackingRefBased/>
  <w15:docId w15:val="{F44FB5E3-8F3D-4DBF-9B0E-7782EE6A01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D608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D608A"/>
    <w:rPr>
      <w:sz w:val="20"/>
      <w:szCs w:val="20"/>
    </w:rPr>
  </w:style>
  <w:style w:type="character" w:styleId="FootnoteReference">
    <w:name w:val="footnote reference"/>
    <w:basedOn w:val="DefaultParagraphFont"/>
    <w:uiPriority w:val="99"/>
    <w:semiHidden/>
    <w:unhideWhenUsed/>
    <w:rsid w:val="006D608A"/>
    <w:rPr>
      <w:vertAlign w:val="superscript"/>
    </w:rPr>
  </w:style>
  <w:style w:type="character" w:styleId="CommentReference">
    <w:name w:val="annotation reference"/>
    <w:basedOn w:val="DefaultParagraphFont"/>
    <w:uiPriority w:val="99"/>
    <w:semiHidden/>
    <w:unhideWhenUsed/>
    <w:rsid w:val="00993082"/>
    <w:rPr>
      <w:sz w:val="16"/>
      <w:szCs w:val="16"/>
    </w:rPr>
  </w:style>
  <w:style w:type="paragraph" w:styleId="CommentText">
    <w:name w:val="annotation text"/>
    <w:basedOn w:val="Normal"/>
    <w:link w:val="CommentTextChar"/>
    <w:uiPriority w:val="99"/>
    <w:semiHidden/>
    <w:unhideWhenUsed/>
    <w:rsid w:val="00993082"/>
    <w:pPr>
      <w:spacing w:line="240" w:lineRule="auto"/>
    </w:pPr>
    <w:rPr>
      <w:sz w:val="20"/>
      <w:szCs w:val="20"/>
    </w:rPr>
  </w:style>
  <w:style w:type="character" w:customStyle="1" w:styleId="CommentTextChar">
    <w:name w:val="Comment Text Char"/>
    <w:basedOn w:val="DefaultParagraphFont"/>
    <w:link w:val="CommentText"/>
    <w:uiPriority w:val="99"/>
    <w:semiHidden/>
    <w:rsid w:val="00993082"/>
    <w:rPr>
      <w:sz w:val="20"/>
      <w:szCs w:val="20"/>
    </w:rPr>
  </w:style>
  <w:style w:type="paragraph" w:styleId="CommentSubject">
    <w:name w:val="annotation subject"/>
    <w:basedOn w:val="CommentText"/>
    <w:next w:val="CommentText"/>
    <w:link w:val="CommentSubjectChar"/>
    <w:uiPriority w:val="99"/>
    <w:semiHidden/>
    <w:unhideWhenUsed/>
    <w:rsid w:val="00993082"/>
    <w:rPr>
      <w:b/>
      <w:bCs/>
    </w:rPr>
  </w:style>
  <w:style w:type="character" w:customStyle="1" w:styleId="CommentSubjectChar">
    <w:name w:val="Comment Subject Char"/>
    <w:basedOn w:val="CommentTextChar"/>
    <w:link w:val="CommentSubject"/>
    <w:uiPriority w:val="99"/>
    <w:semiHidden/>
    <w:rsid w:val="00993082"/>
    <w:rPr>
      <w:b/>
      <w:bCs/>
      <w:sz w:val="20"/>
      <w:szCs w:val="20"/>
    </w:rPr>
  </w:style>
  <w:style w:type="paragraph" w:styleId="BalloonText">
    <w:name w:val="Balloon Text"/>
    <w:basedOn w:val="Normal"/>
    <w:link w:val="BalloonTextChar"/>
    <w:uiPriority w:val="99"/>
    <w:semiHidden/>
    <w:unhideWhenUsed/>
    <w:rsid w:val="0099308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93082"/>
    <w:rPr>
      <w:rFonts w:ascii="Segoe UI" w:hAnsi="Segoe UI" w:cs="Segoe UI"/>
      <w:sz w:val="18"/>
      <w:szCs w:val="18"/>
    </w:rPr>
  </w:style>
  <w:style w:type="paragraph" w:styleId="ListParagraph">
    <w:name w:val="List Paragraph"/>
    <w:basedOn w:val="Normal"/>
    <w:uiPriority w:val="34"/>
    <w:qFormat/>
    <w:rsid w:val="00B42642"/>
    <w:pPr>
      <w:ind w:left="720"/>
      <w:contextualSpacing/>
    </w:pPr>
  </w:style>
  <w:style w:type="character" w:styleId="Hyperlink">
    <w:name w:val="Hyperlink"/>
    <w:basedOn w:val="DefaultParagraphFont"/>
    <w:uiPriority w:val="99"/>
    <w:unhideWhenUsed/>
    <w:rsid w:val="0079546B"/>
    <w:rPr>
      <w:color w:val="0563C1" w:themeColor="hyperlink"/>
      <w:u w:val="single"/>
    </w:rPr>
  </w:style>
  <w:style w:type="character" w:styleId="UnresolvedMention">
    <w:name w:val="Unresolved Mention"/>
    <w:basedOn w:val="DefaultParagraphFont"/>
    <w:uiPriority w:val="99"/>
    <w:semiHidden/>
    <w:unhideWhenUsed/>
    <w:rsid w:val="0079546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ncient.eu/article/939/the-plague-at-athens-430-427-bce/"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nhs.uk/conditions/post-traumatic-stress-disorder-pts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5B2B9B5-B74F-4FF8-BB1B-06A6D4427B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2702</TotalTime>
  <Pages>15</Pages>
  <Words>3852</Words>
  <Characters>21958</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Diamond</dc:creator>
  <cp:keywords/>
  <dc:description/>
  <cp:lastModifiedBy>Rebecca Diamond</cp:lastModifiedBy>
  <cp:revision>83</cp:revision>
  <dcterms:created xsi:type="dcterms:W3CDTF">2018-04-29T16:18:00Z</dcterms:created>
  <dcterms:modified xsi:type="dcterms:W3CDTF">2018-05-11T17:59:00Z</dcterms:modified>
</cp:coreProperties>
</file>