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4739F8" w14:textId="3404B2C9" w:rsidR="006F09E7" w:rsidRDefault="006F09E7" w:rsidP="00041874">
      <w:pPr>
        <w:pStyle w:val="Title"/>
        <w:jc w:val="center"/>
        <w:rPr>
          <w:rFonts w:ascii="Times New Roman" w:hAnsi="Times New Roman" w:cs="Times New Roman"/>
          <w:b/>
          <w:bCs/>
        </w:rPr>
      </w:pPr>
      <w:r w:rsidRPr="006F09E7">
        <w:rPr>
          <w:rFonts w:ascii="Times New Roman" w:hAnsi="Times New Roman" w:cs="Times New Roman"/>
          <w:b/>
          <w:bCs/>
        </w:rPr>
        <w:t>Accounting Fundamentals</w:t>
      </w:r>
    </w:p>
    <w:p w14:paraId="334BA81B" w14:textId="77777777" w:rsidR="006F09E7" w:rsidRPr="006F09E7" w:rsidRDefault="006F09E7" w:rsidP="006F09E7"/>
    <w:p w14:paraId="6F35A52D" w14:textId="2D9F4C84" w:rsidR="00C17322" w:rsidRPr="006F09E7" w:rsidRDefault="00C17322" w:rsidP="00041874">
      <w:pPr>
        <w:pStyle w:val="Title"/>
        <w:jc w:val="center"/>
        <w:rPr>
          <w:rFonts w:ascii="Times New Roman" w:hAnsi="Times New Roman" w:cs="Times New Roman"/>
          <w:b/>
          <w:bCs/>
          <w:sz w:val="48"/>
          <w:szCs w:val="48"/>
        </w:rPr>
      </w:pPr>
      <w:r w:rsidRPr="006F09E7">
        <w:rPr>
          <w:rFonts w:ascii="Times New Roman" w:hAnsi="Times New Roman" w:cs="Times New Roman"/>
          <w:b/>
          <w:bCs/>
          <w:sz w:val="48"/>
          <w:szCs w:val="48"/>
        </w:rPr>
        <w:t>Assignment- A1</w:t>
      </w:r>
    </w:p>
    <w:p w14:paraId="0656593B" w14:textId="77777777" w:rsidR="00C17322" w:rsidRPr="009D5510" w:rsidRDefault="00C17322" w:rsidP="00C1732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D5510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27189904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FB09D75" w14:textId="7F8C6313" w:rsidR="00041874" w:rsidRPr="009D5510" w:rsidRDefault="00041874" w:rsidP="009D5510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b/>
              <w:bCs/>
            </w:rPr>
          </w:pPr>
          <w:r w:rsidRPr="009D5510">
            <w:rPr>
              <w:rFonts w:ascii="Times New Roman" w:hAnsi="Times New Roman" w:cs="Times New Roman"/>
              <w:b/>
              <w:bCs/>
            </w:rPr>
            <w:t>Table of Contents</w:t>
          </w:r>
        </w:p>
        <w:p w14:paraId="70BAC438" w14:textId="0297CE07" w:rsidR="009D5510" w:rsidRPr="009D5510" w:rsidRDefault="00041874" w:rsidP="009D5510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9D551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9D5510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9D551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77347925" w:history="1">
            <w:r w:rsidR="009D5510" w:rsidRPr="009D5510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sz w:val="24"/>
                <w:szCs w:val="24"/>
              </w:rPr>
              <w:t>Introduction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_Toc77347925 \h </w:instrTex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47FB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068FC7" w14:textId="6BCA145F" w:rsidR="009D5510" w:rsidRPr="009D5510" w:rsidRDefault="00BF39CD" w:rsidP="009D5510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7347926" w:history="1">
            <w:r w:rsidR="009D5510" w:rsidRPr="009D5510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Question 1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_Toc77347926 \h </w:instrTex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47FB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EC6B3D0" w14:textId="3DB6E9A1" w:rsidR="009D5510" w:rsidRPr="009D5510" w:rsidRDefault="00BF39CD" w:rsidP="009D5510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7347927" w:history="1">
            <w:r w:rsidR="009D5510" w:rsidRPr="009D5510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a) Profit and Loss statement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_Toc77347927 \h </w:instrTex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47FB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ED0954" w14:textId="39CF172D" w:rsidR="009D5510" w:rsidRPr="009D5510" w:rsidRDefault="00BF39CD" w:rsidP="009D5510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7347928" w:history="1">
            <w:r w:rsidR="009D5510" w:rsidRPr="009D5510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Statement of financial position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_Toc77347928 \h </w:instrTex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47FB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8BC265" w14:textId="36392B3C" w:rsidR="009D5510" w:rsidRPr="009D5510" w:rsidRDefault="00BF39CD" w:rsidP="009D5510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7347929" w:history="1">
            <w:r w:rsidR="009D5510" w:rsidRPr="009D5510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b) Why does the statement of financial position balance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_Toc77347929 \h </w:instrTex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47FB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AD5F3B" w14:textId="26FF212A" w:rsidR="009D5510" w:rsidRPr="009D5510" w:rsidRDefault="00BF39CD" w:rsidP="009D5510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7347930" w:history="1">
            <w:r w:rsidR="009D5510" w:rsidRPr="009D5510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sz w:val="24"/>
                <w:szCs w:val="24"/>
              </w:rPr>
              <w:t>Question 2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_Toc77347930 \h </w:instrTex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47FB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52B194D" w14:textId="6C52E701" w:rsidR="009D5510" w:rsidRPr="009D5510" w:rsidRDefault="00BF39CD" w:rsidP="009D5510">
          <w:pPr>
            <w:pStyle w:val="TOC2"/>
            <w:tabs>
              <w:tab w:val="left" w:pos="660"/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7347931" w:history="1">
            <w:r w:rsidR="009D5510" w:rsidRPr="009D5510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sz w:val="24"/>
                <w:szCs w:val="24"/>
              </w:rPr>
              <w:t>a)</w:t>
            </w:r>
            <w:r w:rsidR="009D5510" w:rsidRPr="009D5510">
              <w:rPr>
                <w:rFonts w:ascii="Times New Roman" w:eastAsiaTheme="minorEastAsia" w:hAnsi="Times New Roman" w:cs="Times New Roman"/>
                <w:noProof/>
                <w:sz w:val="24"/>
                <w:szCs w:val="24"/>
              </w:rPr>
              <w:tab/>
            </w:r>
            <w:r w:rsidR="009D5510" w:rsidRPr="009D5510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sz w:val="24"/>
                <w:szCs w:val="24"/>
              </w:rPr>
              <w:t>Ratio Analysis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_Toc77347931 \h </w:instrTex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47FB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7661A9" w14:textId="4B0B1D1C" w:rsidR="009D5510" w:rsidRPr="009D5510" w:rsidRDefault="00BF39CD" w:rsidP="009D5510">
          <w:pPr>
            <w:pStyle w:val="TOC2"/>
            <w:tabs>
              <w:tab w:val="left" w:pos="660"/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7347932" w:history="1">
            <w:r w:rsidR="009D5510" w:rsidRPr="009D5510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b)</w:t>
            </w:r>
            <w:r w:rsidR="009D5510" w:rsidRPr="009D5510">
              <w:rPr>
                <w:rFonts w:ascii="Times New Roman" w:eastAsiaTheme="minorEastAsia" w:hAnsi="Times New Roman" w:cs="Times New Roman"/>
                <w:noProof/>
                <w:sz w:val="24"/>
                <w:szCs w:val="24"/>
              </w:rPr>
              <w:tab/>
            </w:r>
            <w:r w:rsidR="009D5510" w:rsidRPr="009D5510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Commenting on the financial performance and position of Chocco plc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_Toc77347932 \h </w:instrTex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47FB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58D5D33" w14:textId="1C6740DD" w:rsidR="009D5510" w:rsidRPr="009D5510" w:rsidRDefault="00BF39CD" w:rsidP="009D5510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7347933" w:history="1">
            <w:r w:rsidR="009D5510" w:rsidRPr="009D5510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sz w:val="24"/>
                <w:szCs w:val="24"/>
              </w:rPr>
              <w:t>Conclusion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_Toc77347933 \h </w:instrTex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47FB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3D27F9" w14:textId="4DC20510" w:rsidR="009D5510" w:rsidRPr="009D5510" w:rsidRDefault="00BF39CD" w:rsidP="009D5510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77347934" w:history="1">
            <w:r w:rsidR="009D5510" w:rsidRPr="009D5510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References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_Toc77347934 \h </w:instrTex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47FB4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9D5510" w:rsidRPr="009D55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958B2F" w14:textId="34334902" w:rsidR="00041874" w:rsidRPr="009D5510" w:rsidRDefault="00041874" w:rsidP="009D5510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9D5510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52690E4" w14:textId="77777777" w:rsidR="00C17322" w:rsidRPr="009D5510" w:rsidRDefault="00C17322" w:rsidP="009D55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E76097" w14:textId="77777777" w:rsidR="00C17322" w:rsidRPr="009D5510" w:rsidRDefault="00C17322" w:rsidP="009D55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D5510">
        <w:rPr>
          <w:rFonts w:ascii="Times New Roman" w:hAnsi="Times New Roman" w:cs="Times New Roman"/>
          <w:sz w:val="24"/>
          <w:szCs w:val="24"/>
        </w:rPr>
        <w:br w:type="page"/>
      </w:r>
    </w:p>
    <w:p w14:paraId="664323EC" w14:textId="77777777" w:rsidR="002723FF" w:rsidRPr="009D5510" w:rsidRDefault="002723FF" w:rsidP="009D5510">
      <w:pPr>
        <w:pStyle w:val="Heading1"/>
        <w:spacing w:line="360" w:lineRule="auto"/>
        <w:jc w:val="both"/>
        <w:rPr>
          <w:rFonts w:ascii="Times New Roman" w:eastAsia="Times New Roman" w:hAnsi="Times New Roman" w:cs="Times New Roman"/>
          <w:b/>
          <w:bCs/>
        </w:rPr>
      </w:pPr>
      <w:bookmarkStart w:id="0" w:name="_Toc77347925"/>
      <w:r w:rsidRPr="009D5510">
        <w:rPr>
          <w:rFonts w:ascii="Times New Roman" w:eastAsia="Times New Roman" w:hAnsi="Times New Roman" w:cs="Times New Roman"/>
          <w:b/>
          <w:bCs/>
        </w:rPr>
        <w:lastRenderedPageBreak/>
        <w:t>Introduction</w:t>
      </w:r>
      <w:bookmarkEnd w:id="0"/>
    </w:p>
    <w:p w14:paraId="38C5FFA8" w14:textId="365B3229" w:rsidR="002723FF" w:rsidRPr="002723FF" w:rsidRDefault="002723FF" w:rsidP="009D5510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Accounting is a very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mandatory task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of any </w:t>
      </w:r>
      <w:proofErr w:type="spellStart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Accounting mainly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organise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proofErr w:type="spellEnd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financial ac</w:t>
      </w:r>
      <w:r w:rsidR="00224884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tivities of the </w:t>
      </w:r>
      <w:proofErr w:type="spellStart"/>
      <w:r w:rsidR="00224884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="00224884">
        <w:rPr>
          <w:rFonts w:ascii="Times New Roman" w:eastAsia="Times New Roman" w:hAnsi="Times New Roman" w:cs="Times New Roman"/>
          <w:color w:val="000000"/>
          <w:sz w:val="24"/>
          <w:szCs w:val="24"/>
        </w:rPr>
        <w:t>.  I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n a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n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various types of assets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liabilities owner's equity and transactions occu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r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each day. 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o run a business well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generate profit and avoid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upcoming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loss and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also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ake steps to avoid all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vulnerabilities various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statements are made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through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accounting. 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ccounting paves the way for creating profit and loss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statements, financial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position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statements, ratio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analysis, cash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flow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statements and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so on. 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ll these statements reflect the positions in every per</w:t>
      </w:r>
      <w:r w:rsidR="00224884">
        <w:rPr>
          <w:rFonts w:ascii="Times New Roman" w:eastAsia="Times New Roman" w:hAnsi="Times New Roman" w:cs="Times New Roman"/>
          <w:color w:val="000000"/>
          <w:sz w:val="24"/>
          <w:szCs w:val="24"/>
        </w:rPr>
        <w:t>spective of business operation like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224884">
        <w:rPr>
          <w:rFonts w:ascii="Times New Roman" w:eastAsia="Times New Roman" w:hAnsi="Times New Roman" w:cs="Times New Roman"/>
          <w:color w:val="000000"/>
          <w:sz w:val="24"/>
          <w:szCs w:val="24"/>
        </w:rPr>
        <w:t>h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ow w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el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l the </w:t>
      </w:r>
      <w:proofErr w:type="spellStart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doing with all its financial activities such as purchasing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selling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sset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m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anagement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liability management and creating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owners’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equity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can easily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be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read by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making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these statements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 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here is a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u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niversal rule for accounting is that all the transactions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it can be of selling and purchasing or something asset or liability related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but there must be two sides 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w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here one will go for debit and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other will go for credit. 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B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y following this rule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both sides of any statement in accounting always balance. 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V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arious ratio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analysis gives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notion that how the </w:t>
      </w:r>
      <w:proofErr w:type="spellStart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making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 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profit using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its 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stocks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shares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capital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ssets and other related segments. 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N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 critical analysis is needed to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do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this ratio analysis for this reason the concurrent situation can be easily be understood.</w:t>
      </w:r>
    </w:p>
    <w:p w14:paraId="139622E9" w14:textId="77777777" w:rsidR="002723FF" w:rsidRPr="009D5510" w:rsidRDefault="002723FF" w:rsidP="009D5510">
      <w:pPr>
        <w:spacing w:line="360" w:lineRule="auto"/>
        <w:jc w:val="both"/>
        <w:rPr>
          <w:rFonts w:ascii="Times New Roman" w:hAnsi="Times New Roman" w:cs="Times New Roman"/>
        </w:rPr>
      </w:pPr>
      <w:r w:rsidRPr="009D5510">
        <w:rPr>
          <w:rFonts w:ascii="Times New Roman" w:hAnsi="Times New Roman" w:cs="Times New Roman"/>
        </w:rPr>
        <w:br w:type="page"/>
      </w:r>
    </w:p>
    <w:p w14:paraId="33072DA6" w14:textId="7898A8F1" w:rsidR="00581332" w:rsidRPr="009D5510" w:rsidRDefault="00581332" w:rsidP="009D5510">
      <w:pPr>
        <w:pStyle w:val="Heading1"/>
        <w:rPr>
          <w:rFonts w:ascii="Times New Roman" w:hAnsi="Times New Roman" w:cs="Times New Roman"/>
          <w:b/>
          <w:bCs/>
        </w:rPr>
      </w:pPr>
      <w:bookmarkStart w:id="1" w:name="_Toc77347926"/>
      <w:r w:rsidRPr="009D5510">
        <w:rPr>
          <w:rFonts w:ascii="Times New Roman" w:hAnsi="Times New Roman" w:cs="Times New Roman"/>
          <w:b/>
          <w:bCs/>
        </w:rPr>
        <w:lastRenderedPageBreak/>
        <w:t>Question 1</w:t>
      </w:r>
      <w:bookmarkEnd w:id="1"/>
    </w:p>
    <w:p w14:paraId="485EAA09" w14:textId="356F122C" w:rsidR="003A724F" w:rsidRPr="009D5510" w:rsidRDefault="009D75D7" w:rsidP="009D5510">
      <w:pPr>
        <w:pStyle w:val="Heading2"/>
        <w:rPr>
          <w:rFonts w:ascii="Times New Roman" w:hAnsi="Times New Roman" w:cs="Times New Roman"/>
          <w:b/>
          <w:bCs/>
        </w:rPr>
      </w:pPr>
      <w:bookmarkStart w:id="2" w:name="_Toc77347927"/>
      <w:r w:rsidRPr="009D5510">
        <w:rPr>
          <w:rFonts w:ascii="Times New Roman" w:hAnsi="Times New Roman" w:cs="Times New Roman"/>
          <w:b/>
          <w:bCs/>
        </w:rPr>
        <w:t>a</w:t>
      </w:r>
      <w:r w:rsidR="00581332" w:rsidRPr="009D5510">
        <w:rPr>
          <w:rFonts w:ascii="Times New Roman" w:hAnsi="Times New Roman" w:cs="Times New Roman"/>
          <w:b/>
          <w:bCs/>
        </w:rPr>
        <w:t>)</w:t>
      </w:r>
      <w:r w:rsidR="00E71D2B" w:rsidRPr="009D5510">
        <w:rPr>
          <w:rFonts w:ascii="Times New Roman" w:hAnsi="Times New Roman" w:cs="Times New Roman"/>
          <w:b/>
          <w:bCs/>
        </w:rPr>
        <w:t xml:space="preserve"> Profit and Loss statement</w:t>
      </w:r>
      <w:bookmarkEnd w:id="2"/>
    </w:p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7465"/>
        <w:gridCol w:w="1890"/>
      </w:tblGrid>
      <w:tr w:rsidR="003A724F" w:rsidRPr="009D5510" w14:paraId="7E036EA0" w14:textId="77777777" w:rsidTr="003A724F">
        <w:trPr>
          <w:trHeight w:val="300"/>
        </w:trPr>
        <w:tc>
          <w:tcPr>
            <w:tcW w:w="9355" w:type="dxa"/>
            <w:gridSpan w:val="2"/>
            <w:noWrap/>
            <w:hideMark/>
          </w:tcPr>
          <w:p w14:paraId="2E968597" w14:textId="75F6C15A" w:rsidR="003A724F" w:rsidRPr="009D5510" w:rsidRDefault="003A724F" w:rsidP="00C1732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proofErr w:type="spellStart"/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Kedison</w:t>
            </w:r>
            <w:proofErr w:type="spellEnd"/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 PLC</w:t>
            </w:r>
          </w:p>
          <w:p w14:paraId="1357B423" w14:textId="1664A18B" w:rsidR="003A724F" w:rsidRPr="009D5510" w:rsidRDefault="003A724F" w:rsidP="00C1732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Profit and Loss statement</w:t>
            </w:r>
          </w:p>
          <w:p w14:paraId="025E7D8E" w14:textId="2D96111D" w:rsidR="003A724F" w:rsidRPr="009D5510" w:rsidRDefault="003A724F" w:rsidP="00C1732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for the year ended 31st December 2020</w:t>
            </w:r>
          </w:p>
        </w:tc>
      </w:tr>
      <w:tr w:rsidR="003A724F" w:rsidRPr="009D5510" w14:paraId="001554CE" w14:textId="77777777" w:rsidTr="003A724F">
        <w:trPr>
          <w:trHeight w:val="431"/>
        </w:trPr>
        <w:tc>
          <w:tcPr>
            <w:tcW w:w="7465" w:type="dxa"/>
            <w:noWrap/>
            <w:hideMark/>
          </w:tcPr>
          <w:p w14:paraId="64B7D940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890" w:type="dxa"/>
            <w:noWrap/>
            <w:hideMark/>
          </w:tcPr>
          <w:p w14:paraId="7C165705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Amount</w:t>
            </w:r>
          </w:p>
        </w:tc>
      </w:tr>
      <w:tr w:rsidR="003A724F" w:rsidRPr="009D5510" w14:paraId="3514F782" w14:textId="77777777" w:rsidTr="003A724F">
        <w:trPr>
          <w:trHeight w:val="539"/>
        </w:trPr>
        <w:tc>
          <w:tcPr>
            <w:tcW w:w="7465" w:type="dxa"/>
            <w:noWrap/>
            <w:hideMark/>
          </w:tcPr>
          <w:p w14:paraId="07DE354C" w14:textId="12EB3EC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  <w:p w14:paraId="4D630B39" w14:textId="46C17CD1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Sales </w:t>
            </w:r>
          </w:p>
        </w:tc>
        <w:tc>
          <w:tcPr>
            <w:tcW w:w="1890" w:type="dxa"/>
            <w:noWrap/>
            <w:hideMark/>
          </w:tcPr>
          <w:p w14:paraId="6BB25FE0" w14:textId="064F1613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                                                                     </w:t>
            </w:r>
            <w:r w:rsidR="00E71D2B"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£</w:t>
            </w: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826,650.00 </w:t>
            </w:r>
          </w:p>
        </w:tc>
      </w:tr>
      <w:tr w:rsidR="003A724F" w:rsidRPr="009D5510" w14:paraId="2C431DB6" w14:textId="77777777" w:rsidTr="003A724F">
        <w:trPr>
          <w:trHeight w:val="512"/>
        </w:trPr>
        <w:tc>
          <w:tcPr>
            <w:tcW w:w="7465" w:type="dxa"/>
            <w:noWrap/>
            <w:hideMark/>
          </w:tcPr>
          <w:p w14:paraId="0067F5B2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  <w:u w:val="single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Total revenue</w:t>
            </w:r>
          </w:p>
        </w:tc>
        <w:tc>
          <w:tcPr>
            <w:tcW w:w="1890" w:type="dxa"/>
            <w:noWrap/>
            <w:hideMark/>
          </w:tcPr>
          <w:p w14:paraId="2F495B5F" w14:textId="676A7358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  826,650.00                                                               </w:t>
            </w:r>
          </w:p>
        </w:tc>
      </w:tr>
      <w:tr w:rsidR="00E71D2B" w:rsidRPr="009D5510" w14:paraId="0E40BCB0" w14:textId="77777777" w:rsidTr="0079380B">
        <w:trPr>
          <w:trHeight w:val="683"/>
        </w:trPr>
        <w:tc>
          <w:tcPr>
            <w:tcW w:w="9355" w:type="dxa"/>
            <w:gridSpan w:val="2"/>
            <w:noWrap/>
            <w:hideMark/>
          </w:tcPr>
          <w:p w14:paraId="5B6008DC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3A724F" w:rsidRPr="009D5510" w14:paraId="6EEA6C50" w14:textId="77777777" w:rsidTr="003A724F">
        <w:trPr>
          <w:trHeight w:val="251"/>
        </w:trPr>
        <w:tc>
          <w:tcPr>
            <w:tcW w:w="7465" w:type="dxa"/>
            <w:noWrap/>
            <w:hideMark/>
          </w:tcPr>
          <w:p w14:paraId="64935A77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Cost of sales </w:t>
            </w:r>
          </w:p>
        </w:tc>
        <w:tc>
          <w:tcPr>
            <w:tcW w:w="1890" w:type="dxa"/>
            <w:noWrap/>
            <w:hideMark/>
          </w:tcPr>
          <w:p w14:paraId="04027FB8" w14:textId="3C90490C" w:rsidR="003A724F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£578,650.00 </w:t>
            </w:r>
            <w:r w:rsidR="003A724F"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                                                        </w:t>
            </w:r>
          </w:p>
        </w:tc>
      </w:tr>
      <w:tr w:rsidR="003A724F" w:rsidRPr="009D5510" w14:paraId="4D91A20E" w14:textId="77777777" w:rsidTr="003A724F">
        <w:trPr>
          <w:trHeight w:val="300"/>
        </w:trPr>
        <w:tc>
          <w:tcPr>
            <w:tcW w:w="7465" w:type="dxa"/>
            <w:noWrap/>
            <w:hideMark/>
          </w:tcPr>
          <w:p w14:paraId="324A3B4A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Administrative expenses </w:t>
            </w:r>
          </w:p>
        </w:tc>
        <w:tc>
          <w:tcPr>
            <w:tcW w:w="1890" w:type="dxa"/>
            <w:noWrap/>
            <w:hideMark/>
          </w:tcPr>
          <w:p w14:paraId="64D15408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30,000</w:t>
            </w:r>
          </w:p>
        </w:tc>
      </w:tr>
      <w:tr w:rsidR="003A724F" w:rsidRPr="009D5510" w14:paraId="4E63A62B" w14:textId="77777777" w:rsidTr="003A724F">
        <w:trPr>
          <w:trHeight w:val="300"/>
        </w:trPr>
        <w:tc>
          <w:tcPr>
            <w:tcW w:w="7465" w:type="dxa"/>
            <w:noWrap/>
            <w:hideMark/>
          </w:tcPr>
          <w:p w14:paraId="6702C32F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Interest paid </w:t>
            </w:r>
          </w:p>
        </w:tc>
        <w:tc>
          <w:tcPr>
            <w:tcW w:w="1890" w:type="dxa"/>
            <w:noWrap/>
            <w:hideMark/>
          </w:tcPr>
          <w:p w14:paraId="7006C294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2,000</w:t>
            </w:r>
          </w:p>
        </w:tc>
      </w:tr>
      <w:tr w:rsidR="003A724F" w:rsidRPr="009D5510" w14:paraId="69E02877" w14:textId="77777777" w:rsidTr="003A724F">
        <w:trPr>
          <w:trHeight w:val="300"/>
        </w:trPr>
        <w:tc>
          <w:tcPr>
            <w:tcW w:w="7465" w:type="dxa"/>
            <w:noWrap/>
            <w:hideMark/>
          </w:tcPr>
          <w:p w14:paraId="5FEAA9F1" w14:textId="4CD82A44" w:rsidR="003A724F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Directors’</w:t>
            </w:r>
            <w:r w:rsidR="003A724F"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 remuneration </w:t>
            </w:r>
          </w:p>
        </w:tc>
        <w:tc>
          <w:tcPr>
            <w:tcW w:w="1890" w:type="dxa"/>
            <w:noWrap/>
            <w:hideMark/>
          </w:tcPr>
          <w:p w14:paraId="48867916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5,000</w:t>
            </w:r>
          </w:p>
        </w:tc>
      </w:tr>
      <w:tr w:rsidR="003A724F" w:rsidRPr="009D5510" w14:paraId="6E542EA9" w14:textId="77777777" w:rsidTr="003A724F">
        <w:trPr>
          <w:trHeight w:val="300"/>
        </w:trPr>
        <w:tc>
          <w:tcPr>
            <w:tcW w:w="7465" w:type="dxa"/>
            <w:noWrap/>
            <w:hideMark/>
          </w:tcPr>
          <w:p w14:paraId="577D5783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Distribution costs</w:t>
            </w:r>
          </w:p>
        </w:tc>
        <w:tc>
          <w:tcPr>
            <w:tcW w:w="1890" w:type="dxa"/>
            <w:noWrap/>
            <w:hideMark/>
          </w:tcPr>
          <w:p w14:paraId="7E932736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28,000</w:t>
            </w:r>
          </w:p>
        </w:tc>
      </w:tr>
      <w:tr w:rsidR="003A724F" w:rsidRPr="009D5510" w14:paraId="227C06D0" w14:textId="77777777" w:rsidTr="003A724F">
        <w:trPr>
          <w:trHeight w:val="300"/>
        </w:trPr>
        <w:tc>
          <w:tcPr>
            <w:tcW w:w="7465" w:type="dxa"/>
            <w:noWrap/>
            <w:hideMark/>
          </w:tcPr>
          <w:p w14:paraId="2E8F06E7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Total Expense</w:t>
            </w:r>
          </w:p>
        </w:tc>
        <w:tc>
          <w:tcPr>
            <w:tcW w:w="1890" w:type="dxa"/>
            <w:noWrap/>
            <w:hideMark/>
          </w:tcPr>
          <w:p w14:paraId="400888FC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643,650</w:t>
            </w:r>
          </w:p>
        </w:tc>
      </w:tr>
      <w:tr w:rsidR="003A724F" w:rsidRPr="009D5510" w14:paraId="31CB7E65" w14:textId="77777777" w:rsidTr="003A724F">
        <w:trPr>
          <w:trHeight w:val="300"/>
        </w:trPr>
        <w:tc>
          <w:tcPr>
            <w:tcW w:w="7465" w:type="dxa"/>
            <w:noWrap/>
            <w:hideMark/>
          </w:tcPr>
          <w:p w14:paraId="1B3614A3" w14:textId="77777777" w:rsidR="003A724F" w:rsidRPr="009D5510" w:rsidRDefault="003A724F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Net Income</w:t>
            </w:r>
          </w:p>
        </w:tc>
        <w:tc>
          <w:tcPr>
            <w:tcW w:w="1890" w:type="dxa"/>
            <w:noWrap/>
            <w:hideMark/>
          </w:tcPr>
          <w:p w14:paraId="04C26C90" w14:textId="304DAD37" w:rsidR="003A724F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£183,000.00 </w:t>
            </w:r>
            <w:r w:rsidR="003A724F"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                                                                   </w:t>
            </w:r>
          </w:p>
        </w:tc>
      </w:tr>
    </w:tbl>
    <w:p w14:paraId="17088031" w14:textId="69786B26" w:rsidR="003A724F" w:rsidRPr="009D5510" w:rsidRDefault="003A724F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4BB37A27" w14:textId="3F6212D8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3079B8CB" w14:textId="48B312CC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18E4E7CA" w14:textId="209CF565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407EE255" w14:textId="5EBDAB06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2D56DE59" w14:textId="789CB5A6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2EF19FC9" w14:textId="068BACE0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3773D276" w14:textId="715DBE79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34611E58" w14:textId="0CD5EF83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06522A64" w14:textId="193101D7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082061D6" w14:textId="5D560237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479FF004" w14:textId="5DC7A2D7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096CD5B5" w14:textId="77777777" w:rsidR="00041874" w:rsidRPr="009D5510" w:rsidRDefault="00041874" w:rsidP="00C1732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E5EC30" w14:textId="53E16858" w:rsidR="003A724F" w:rsidRPr="009D5510" w:rsidRDefault="00E71D2B" w:rsidP="00041874">
      <w:pPr>
        <w:pStyle w:val="Heading2"/>
        <w:rPr>
          <w:rFonts w:ascii="Times New Roman" w:hAnsi="Times New Roman" w:cs="Times New Roman"/>
          <w:b/>
          <w:bCs/>
          <w:color w:val="auto"/>
        </w:rPr>
      </w:pPr>
      <w:bookmarkStart w:id="3" w:name="_Toc77347928"/>
      <w:r w:rsidRPr="009D5510">
        <w:rPr>
          <w:rFonts w:ascii="Times New Roman" w:hAnsi="Times New Roman" w:cs="Times New Roman"/>
          <w:b/>
          <w:bCs/>
        </w:rPr>
        <w:lastRenderedPageBreak/>
        <w:t>Statement of financial position</w:t>
      </w:r>
      <w:bookmarkEnd w:id="3"/>
    </w:p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4765"/>
        <w:gridCol w:w="2610"/>
        <w:gridCol w:w="1980"/>
      </w:tblGrid>
      <w:tr w:rsidR="00E71D2B" w:rsidRPr="009D5510" w14:paraId="7F23C529" w14:textId="77777777" w:rsidTr="00BA5A08">
        <w:trPr>
          <w:trHeight w:val="300"/>
        </w:trPr>
        <w:tc>
          <w:tcPr>
            <w:tcW w:w="9355" w:type="dxa"/>
            <w:gridSpan w:val="3"/>
            <w:noWrap/>
            <w:hideMark/>
          </w:tcPr>
          <w:p w14:paraId="34950070" w14:textId="77777777" w:rsidR="00E71D2B" w:rsidRPr="009D5510" w:rsidRDefault="00E71D2B" w:rsidP="00C1732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proofErr w:type="spellStart"/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Kedison</w:t>
            </w:r>
            <w:proofErr w:type="spellEnd"/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 PLC</w:t>
            </w:r>
          </w:p>
          <w:p w14:paraId="533EA047" w14:textId="77777777" w:rsidR="00E71D2B" w:rsidRPr="009D5510" w:rsidRDefault="00E71D2B" w:rsidP="00C1732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bookmarkStart w:id="4" w:name="_Hlk77258160"/>
            <w:r w:rsidRPr="009D5510">
              <w:rPr>
                <w:rFonts w:ascii="Times New Roman" w:hAnsi="Times New Roman" w:cs="Times New Roman"/>
                <w:sz w:val="24"/>
                <w:szCs w:val="24"/>
              </w:rPr>
              <w:t>Statement of financial position</w:t>
            </w:r>
          </w:p>
          <w:bookmarkEnd w:id="4"/>
          <w:p w14:paraId="16741A5B" w14:textId="2497AA99" w:rsidR="00E71D2B" w:rsidRPr="009D5510" w:rsidRDefault="00E71D2B" w:rsidP="00C17322">
            <w:pPr>
              <w:spacing w:line="360" w:lineRule="auto"/>
              <w:jc w:val="center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for the year ended 31st December 2020</w:t>
            </w:r>
          </w:p>
        </w:tc>
      </w:tr>
      <w:tr w:rsidR="00E71D2B" w:rsidRPr="009D5510" w14:paraId="43DAB3D5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1A4FA743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10" w:type="dxa"/>
            <w:noWrap/>
            <w:hideMark/>
          </w:tcPr>
          <w:p w14:paraId="7CD0886F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  <w:noWrap/>
            <w:hideMark/>
          </w:tcPr>
          <w:p w14:paraId="670EF505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1620D5D7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3831C540" w14:textId="7E35D751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Assets</w:t>
            </w:r>
          </w:p>
        </w:tc>
        <w:tc>
          <w:tcPr>
            <w:tcW w:w="2610" w:type="dxa"/>
            <w:noWrap/>
            <w:hideMark/>
          </w:tcPr>
          <w:p w14:paraId="6868FE0A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 xml:space="preserve"> Amount </w:t>
            </w:r>
          </w:p>
        </w:tc>
        <w:tc>
          <w:tcPr>
            <w:tcW w:w="1980" w:type="dxa"/>
            <w:noWrap/>
            <w:hideMark/>
          </w:tcPr>
          <w:p w14:paraId="1EE6C503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Total</w:t>
            </w:r>
          </w:p>
        </w:tc>
      </w:tr>
      <w:tr w:rsidR="00E71D2B" w:rsidRPr="009D5510" w14:paraId="23596427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04B8531B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Plant and equipment</w:t>
            </w:r>
          </w:p>
        </w:tc>
        <w:tc>
          <w:tcPr>
            <w:tcW w:w="2610" w:type="dxa"/>
            <w:noWrap/>
            <w:hideMark/>
          </w:tcPr>
          <w:p w14:paraId="2E58D68D" w14:textId="5B45B705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£632,730.00 </w:t>
            </w:r>
          </w:p>
        </w:tc>
        <w:tc>
          <w:tcPr>
            <w:tcW w:w="1980" w:type="dxa"/>
            <w:noWrap/>
            <w:hideMark/>
          </w:tcPr>
          <w:p w14:paraId="212BAB5A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468434F0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3763F872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Stock at 31st December 2020</w:t>
            </w:r>
          </w:p>
        </w:tc>
        <w:tc>
          <w:tcPr>
            <w:tcW w:w="2610" w:type="dxa"/>
            <w:noWrap/>
            <w:hideMark/>
          </w:tcPr>
          <w:p w14:paraId="113F03CF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330600</w:t>
            </w:r>
          </w:p>
        </w:tc>
        <w:tc>
          <w:tcPr>
            <w:tcW w:w="1980" w:type="dxa"/>
            <w:noWrap/>
            <w:hideMark/>
          </w:tcPr>
          <w:p w14:paraId="3981E03C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03EA067E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58EFBE8B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Debtors</w:t>
            </w:r>
          </w:p>
        </w:tc>
        <w:tc>
          <w:tcPr>
            <w:tcW w:w="2610" w:type="dxa"/>
            <w:noWrap/>
            <w:hideMark/>
          </w:tcPr>
          <w:p w14:paraId="006DAECB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170125</w:t>
            </w:r>
          </w:p>
        </w:tc>
        <w:tc>
          <w:tcPr>
            <w:tcW w:w="1980" w:type="dxa"/>
            <w:noWrap/>
            <w:hideMark/>
          </w:tcPr>
          <w:p w14:paraId="0AD7627D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3801806D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4407CDC7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Cash and bank</w:t>
            </w:r>
          </w:p>
        </w:tc>
        <w:tc>
          <w:tcPr>
            <w:tcW w:w="2610" w:type="dxa"/>
            <w:noWrap/>
            <w:hideMark/>
          </w:tcPr>
          <w:p w14:paraId="7A6E1DC0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12900</w:t>
            </w:r>
          </w:p>
        </w:tc>
        <w:tc>
          <w:tcPr>
            <w:tcW w:w="1980" w:type="dxa"/>
            <w:noWrap/>
            <w:hideMark/>
          </w:tcPr>
          <w:p w14:paraId="6D7837CC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5AAF79BF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2CA89E0E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Account receivable</w:t>
            </w:r>
          </w:p>
        </w:tc>
        <w:tc>
          <w:tcPr>
            <w:tcW w:w="2610" w:type="dxa"/>
            <w:noWrap/>
            <w:hideMark/>
          </w:tcPr>
          <w:p w14:paraId="5BC44B5D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980</w:t>
            </w:r>
          </w:p>
        </w:tc>
        <w:tc>
          <w:tcPr>
            <w:tcW w:w="1980" w:type="dxa"/>
            <w:noWrap/>
            <w:hideMark/>
          </w:tcPr>
          <w:p w14:paraId="148C052E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33B56B6F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18DE6B88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10" w:type="dxa"/>
            <w:noWrap/>
            <w:hideMark/>
          </w:tcPr>
          <w:p w14:paraId="27CFFD66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  <w:noWrap/>
            <w:hideMark/>
          </w:tcPr>
          <w:p w14:paraId="71390659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 £    1,147,335.00 </w:t>
            </w:r>
          </w:p>
        </w:tc>
      </w:tr>
      <w:tr w:rsidR="00E71D2B" w:rsidRPr="009D5510" w14:paraId="60FECCEE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51E758C4" w14:textId="5E3AABAC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Uncertain account</w:t>
            </w:r>
          </w:p>
        </w:tc>
        <w:tc>
          <w:tcPr>
            <w:tcW w:w="2610" w:type="dxa"/>
            <w:noWrap/>
            <w:hideMark/>
          </w:tcPr>
          <w:p w14:paraId="33453012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  <w:noWrap/>
            <w:hideMark/>
          </w:tcPr>
          <w:p w14:paraId="0051E65A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2020</w:t>
            </w:r>
          </w:p>
        </w:tc>
      </w:tr>
      <w:tr w:rsidR="00E71D2B" w:rsidRPr="009D5510" w14:paraId="18E66B52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2A08B62F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Total Asset</w:t>
            </w:r>
          </w:p>
        </w:tc>
        <w:tc>
          <w:tcPr>
            <w:tcW w:w="2610" w:type="dxa"/>
            <w:noWrap/>
            <w:hideMark/>
          </w:tcPr>
          <w:p w14:paraId="2B41E445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  <w:noWrap/>
            <w:hideMark/>
          </w:tcPr>
          <w:p w14:paraId="19DEF194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1149355</w:t>
            </w:r>
          </w:p>
        </w:tc>
      </w:tr>
      <w:tr w:rsidR="00E71D2B" w:rsidRPr="009D5510" w14:paraId="5F0E71EC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5AAFF73D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2610" w:type="dxa"/>
            <w:noWrap/>
            <w:hideMark/>
          </w:tcPr>
          <w:p w14:paraId="2BACBFD2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  <w:noWrap/>
            <w:hideMark/>
          </w:tcPr>
          <w:p w14:paraId="1D479AE8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2361674E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48355B0D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Liabilities and Equities</w:t>
            </w:r>
          </w:p>
        </w:tc>
        <w:tc>
          <w:tcPr>
            <w:tcW w:w="2610" w:type="dxa"/>
            <w:noWrap/>
            <w:hideMark/>
          </w:tcPr>
          <w:p w14:paraId="41F2E647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  <w:noWrap/>
            <w:hideMark/>
          </w:tcPr>
          <w:p w14:paraId="1E79027E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015C8F24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6AC4D268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£1 ordinary shares</w:t>
            </w:r>
          </w:p>
        </w:tc>
        <w:tc>
          <w:tcPr>
            <w:tcW w:w="2610" w:type="dxa"/>
            <w:noWrap/>
            <w:hideMark/>
          </w:tcPr>
          <w:p w14:paraId="1BC8CD07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310000</w:t>
            </w:r>
          </w:p>
        </w:tc>
        <w:tc>
          <w:tcPr>
            <w:tcW w:w="1980" w:type="dxa"/>
            <w:noWrap/>
            <w:hideMark/>
          </w:tcPr>
          <w:p w14:paraId="016E5918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4F6BBC72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56EC0C01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10% £1 preference shares</w:t>
            </w:r>
          </w:p>
        </w:tc>
        <w:tc>
          <w:tcPr>
            <w:tcW w:w="2610" w:type="dxa"/>
            <w:noWrap/>
            <w:hideMark/>
          </w:tcPr>
          <w:p w14:paraId="389562FB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300000</w:t>
            </w:r>
          </w:p>
        </w:tc>
        <w:tc>
          <w:tcPr>
            <w:tcW w:w="1980" w:type="dxa"/>
            <w:noWrap/>
            <w:hideMark/>
          </w:tcPr>
          <w:p w14:paraId="560315E4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38C0FC59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73293B7A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4% Debentures</w:t>
            </w:r>
          </w:p>
        </w:tc>
        <w:tc>
          <w:tcPr>
            <w:tcW w:w="2610" w:type="dxa"/>
            <w:noWrap/>
            <w:hideMark/>
          </w:tcPr>
          <w:p w14:paraId="0FDB9DE7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100000</w:t>
            </w:r>
          </w:p>
        </w:tc>
        <w:tc>
          <w:tcPr>
            <w:tcW w:w="1980" w:type="dxa"/>
            <w:noWrap/>
            <w:hideMark/>
          </w:tcPr>
          <w:p w14:paraId="77454DA7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38B0626A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5E9DC5C3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Net Income</w:t>
            </w:r>
          </w:p>
        </w:tc>
        <w:tc>
          <w:tcPr>
            <w:tcW w:w="2610" w:type="dxa"/>
            <w:noWrap/>
            <w:hideMark/>
          </w:tcPr>
          <w:p w14:paraId="65B8A51A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183000</w:t>
            </w:r>
          </w:p>
        </w:tc>
        <w:tc>
          <w:tcPr>
            <w:tcW w:w="1980" w:type="dxa"/>
            <w:noWrap/>
            <w:hideMark/>
          </w:tcPr>
          <w:p w14:paraId="77A2B96C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73C8A72B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61BC51D9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Total Equity</w:t>
            </w:r>
          </w:p>
        </w:tc>
        <w:tc>
          <w:tcPr>
            <w:tcW w:w="2610" w:type="dxa"/>
            <w:noWrap/>
            <w:hideMark/>
          </w:tcPr>
          <w:p w14:paraId="109CEDC4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  <w:noWrap/>
            <w:hideMark/>
          </w:tcPr>
          <w:p w14:paraId="6F5A3C4F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893000</w:t>
            </w:r>
          </w:p>
        </w:tc>
      </w:tr>
      <w:tr w:rsidR="00E71D2B" w:rsidRPr="009D5510" w14:paraId="41257C28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73C22237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Trade creditors</w:t>
            </w:r>
          </w:p>
        </w:tc>
        <w:tc>
          <w:tcPr>
            <w:tcW w:w="2610" w:type="dxa"/>
            <w:noWrap/>
            <w:hideMark/>
          </w:tcPr>
          <w:p w14:paraId="79A79316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171355</w:t>
            </w:r>
          </w:p>
        </w:tc>
        <w:tc>
          <w:tcPr>
            <w:tcW w:w="1980" w:type="dxa"/>
            <w:noWrap/>
            <w:hideMark/>
          </w:tcPr>
          <w:p w14:paraId="2CC29D9E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5AC6249B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5618E87E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Retained profits at 1st January 2020</w:t>
            </w:r>
          </w:p>
        </w:tc>
        <w:tc>
          <w:tcPr>
            <w:tcW w:w="2610" w:type="dxa"/>
            <w:noWrap/>
            <w:hideMark/>
          </w:tcPr>
          <w:p w14:paraId="149BFB13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132000</w:t>
            </w:r>
          </w:p>
        </w:tc>
        <w:tc>
          <w:tcPr>
            <w:tcW w:w="1980" w:type="dxa"/>
            <w:noWrap/>
            <w:hideMark/>
          </w:tcPr>
          <w:p w14:paraId="3EFBBE73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1F5540D8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7E773E8C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Ordinary dividend paid</w:t>
            </w:r>
          </w:p>
        </w:tc>
        <w:tc>
          <w:tcPr>
            <w:tcW w:w="2610" w:type="dxa"/>
            <w:noWrap/>
            <w:hideMark/>
          </w:tcPr>
          <w:p w14:paraId="3FA784CF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-20000</w:t>
            </w:r>
          </w:p>
        </w:tc>
        <w:tc>
          <w:tcPr>
            <w:tcW w:w="1980" w:type="dxa"/>
            <w:noWrap/>
            <w:hideMark/>
          </w:tcPr>
          <w:p w14:paraId="189ECE19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1BCF6D84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24A554F2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Preference dividend paid</w:t>
            </w:r>
          </w:p>
        </w:tc>
        <w:tc>
          <w:tcPr>
            <w:tcW w:w="2610" w:type="dxa"/>
            <w:noWrap/>
            <w:hideMark/>
          </w:tcPr>
          <w:p w14:paraId="75B87D69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-30000</w:t>
            </w:r>
          </w:p>
        </w:tc>
        <w:tc>
          <w:tcPr>
            <w:tcW w:w="1980" w:type="dxa"/>
            <w:noWrap/>
            <w:hideMark/>
          </w:tcPr>
          <w:p w14:paraId="41B01982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5BE0506B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7FA919E5" w14:textId="72922C31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Co</w:t>
            </w:r>
            <w:r w:rsidR="002723FF"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m</w:t>
            </w: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mission payable</w:t>
            </w:r>
          </w:p>
        </w:tc>
        <w:tc>
          <w:tcPr>
            <w:tcW w:w="2610" w:type="dxa"/>
            <w:noWrap/>
            <w:hideMark/>
          </w:tcPr>
          <w:p w14:paraId="15536832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3000</w:t>
            </w:r>
          </w:p>
        </w:tc>
        <w:tc>
          <w:tcPr>
            <w:tcW w:w="1980" w:type="dxa"/>
            <w:noWrap/>
            <w:hideMark/>
          </w:tcPr>
          <w:p w14:paraId="3BD0FF56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04FB5EBA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477A1254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Total liabilities</w:t>
            </w:r>
          </w:p>
        </w:tc>
        <w:tc>
          <w:tcPr>
            <w:tcW w:w="2610" w:type="dxa"/>
            <w:noWrap/>
            <w:hideMark/>
          </w:tcPr>
          <w:p w14:paraId="311E0B37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  <w:noWrap/>
            <w:hideMark/>
          </w:tcPr>
          <w:p w14:paraId="68A109A1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color w:val="000000"/>
                <w:sz w:val="24"/>
                <w:szCs w:val="24"/>
              </w:rPr>
              <w:t>256355</w:t>
            </w:r>
          </w:p>
        </w:tc>
      </w:tr>
      <w:tr w:rsidR="00E71D2B" w:rsidRPr="009D5510" w14:paraId="15AE4DE3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3A6DB500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10" w:type="dxa"/>
            <w:noWrap/>
            <w:hideMark/>
          </w:tcPr>
          <w:p w14:paraId="1DC59A04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  <w:noWrap/>
            <w:hideMark/>
          </w:tcPr>
          <w:p w14:paraId="40B25D33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1DBC958C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5AEEC791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610" w:type="dxa"/>
            <w:noWrap/>
            <w:hideMark/>
          </w:tcPr>
          <w:p w14:paraId="156AF82B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  <w:noWrap/>
            <w:hideMark/>
          </w:tcPr>
          <w:p w14:paraId="43BF5214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E71D2B" w:rsidRPr="009D5510" w14:paraId="161D0EF5" w14:textId="77777777" w:rsidTr="00E71D2B">
        <w:trPr>
          <w:trHeight w:val="300"/>
        </w:trPr>
        <w:tc>
          <w:tcPr>
            <w:tcW w:w="4765" w:type="dxa"/>
            <w:noWrap/>
            <w:hideMark/>
          </w:tcPr>
          <w:p w14:paraId="66C1CBE3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Total liabilities and equity</w:t>
            </w:r>
          </w:p>
        </w:tc>
        <w:tc>
          <w:tcPr>
            <w:tcW w:w="2610" w:type="dxa"/>
            <w:noWrap/>
            <w:hideMark/>
          </w:tcPr>
          <w:p w14:paraId="33B7ADDD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1980" w:type="dxa"/>
            <w:noWrap/>
            <w:hideMark/>
          </w:tcPr>
          <w:p w14:paraId="2895CE6E" w14:textId="77777777" w:rsidR="00E71D2B" w:rsidRPr="009D5510" w:rsidRDefault="00E71D2B" w:rsidP="00C17322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</w:rPr>
              <w:t>1149355</w:t>
            </w:r>
          </w:p>
        </w:tc>
      </w:tr>
    </w:tbl>
    <w:p w14:paraId="59A3B9E2" w14:textId="77777777" w:rsidR="00E71D2B" w:rsidRPr="009D5510" w:rsidRDefault="00E71D2B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0DE99DB8" w14:textId="77777777" w:rsidR="00041874" w:rsidRPr="009D5510" w:rsidRDefault="00041874" w:rsidP="00C17322">
      <w:pPr>
        <w:spacing w:after="0"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</w:p>
    <w:p w14:paraId="721EBFB6" w14:textId="2F4F3D26" w:rsidR="00E71D2B" w:rsidRPr="009D5510" w:rsidRDefault="00E71D2B" w:rsidP="00041874">
      <w:pPr>
        <w:pStyle w:val="Heading2"/>
        <w:rPr>
          <w:rFonts w:ascii="Times New Roman" w:hAnsi="Times New Roman" w:cs="Times New Roman"/>
          <w:b/>
          <w:bCs/>
        </w:rPr>
      </w:pPr>
      <w:bookmarkStart w:id="5" w:name="_Toc77347929"/>
      <w:r w:rsidRPr="009D5510">
        <w:rPr>
          <w:rFonts w:ascii="Times New Roman" w:hAnsi="Times New Roman" w:cs="Times New Roman"/>
          <w:b/>
          <w:bCs/>
        </w:rPr>
        <w:lastRenderedPageBreak/>
        <w:t>b) Why does the statement of financial position balance</w:t>
      </w:r>
      <w:bookmarkEnd w:id="5"/>
    </w:p>
    <w:p w14:paraId="2AC0C259" w14:textId="6CB6580C" w:rsidR="00BB6ACA" w:rsidRPr="009D5510" w:rsidRDefault="00BB6ACA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In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financial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statement, assets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and liabilities are listed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accordingly and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both sides are to be</w:t>
      </w:r>
      <w:r w:rsidR="004F6F06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equal to be e correct in answering. 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A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sset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>s and celebrities equal to each other mail leave for one reason that is the principle of double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>entry</w:t>
      </w:r>
      <w:r w:rsidR="00174488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(</w:t>
      </w:r>
      <w:r w:rsidR="00174488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Habib et al., 2020).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n accounting when a transaction is recorded it generally consists of two parts.  one goes for debit and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>other for credit</w:t>
      </w:r>
      <w:r w:rsidR="00174488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174488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r w:rsidR="00174488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Robinson, 2020). 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174488" w:rsidRPr="009D5510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he universal accounting equation is A= L+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E which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means the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amount of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asset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will be equal to laboratory and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owners’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equity. 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n every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transaction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every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payment is made to gain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something with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also indicate that getting something causes cost.  for this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reason, whenever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any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asset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is acquired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>same amount of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expense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occurs</w:t>
      </w:r>
      <w:r w:rsidR="00174488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(Dhole et al., 2021).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t is not only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financial statement but also the income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statement, cash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flow statement and all other accounting-related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statement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that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reflect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the same. Even if the earning or payment is not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instant,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they are also recorded as accrued income or expense. </w:t>
      </w:r>
      <w:r w:rsidR="00174488" w:rsidRPr="009D5510">
        <w:rPr>
          <w:rFonts w:ascii="Times New Roman" w:hAnsi="Times New Roman" w:cs="Times New Roman"/>
          <w:color w:val="000000"/>
          <w:sz w:val="24"/>
          <w:szCs w:val="24"/>
        </w:rPr>
        <w:t>According to Habib et al. (2020),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174488" w:rsidRPr="009D5510">
        <w:rPr>
          <w:rFonts w:ascii="Times New Roman" w:hAnsi="Times New Roman" w:cs="Times New Roman"/>
          <w:color w:val="000000"/>
          <w:sz w:val="24"/>
          <w:szCs w:val="24"/>
        </w:rPr>
        <w:t>a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>ll that accounting principle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lead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to 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is the occurrence of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transaction. 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t may be in cash or accrued but denotes income or expense.  in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a 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financial statement whenever any asset is acquired the same amount of owner's equity is increased. Another very important issue in this financial statement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is 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that no </w:t>
      </w:r>
      <w:proofErr w:type="spellStart"/>
      <w:r w:rsidRPr="009D5510">
        <w:rPr>
          <w:rFonts w:ascii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can invest or purchase or spend more than its ability.</w:t>
      </w:r>
      <w:r w:rsidR="00174488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According to Dharmapala (2020),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174488" w:rsidRPr="009D5510">
        <w:rPr>
          <w:rFonts w:ascii="Times New Roman" w:hAnsi="Times New Roman" w:cs="Times New Roman"/>
          <w:color w:val="000000"/>
          <w:sz w:val="24"/>
          <w:szCs w:val="24"/>
        </w:rPr>
        <w:t>o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rganisation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s</w:t>
      </w:r>
      <w:proofErr w:type="spellEnd"/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neither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can borrow money incessantly nor lend money unconsciously. If an asset is acquired then the quantity or amount of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asset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increased generally. 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he asset is acquired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through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cash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or on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credit. 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o here we can see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that at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the time of increasing and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asset, the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amount of liability is increasing in case of credit purchase or the amount of owner's equity is increasing in case of cash purchase.  </w:t>
      </w:r>
      <w:r w:rsidR="00D1618E" w:rsidRPr="009D5510">
        <w:rPr>
          <w:rFonts w:ascii="Times New Roman" w:hAnsi="Times New Roman" w:cs="Times New Roman"/>
          <w:color w:val="000000"/>
          <w:sz w:val="24"/>
          <w:szCs w:val="24"/>
        </w:rPr>
        <w:t>A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ll the other transactions or entries in financial statements follow this rule with is made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by Generally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Accepted Accounting Principles (GAAP). For all </w:t>
      </w:r>
      <w:r w:rsidR="00812AF2" w:rsidRPr="009D5510">
        <w:rPr>
          <w:rFonts w:ascii="Times New Roman" w:hAnsi="Times New Roman" w:cs="Times New Roman"/>
          <w:color w:val="000000"/>
          <w:sz w:val="24"/>
          <w:szCs w:val="24"/>
        </w:rPr>
        <w:t>these reasons</w:t>
      </w:r>
      <w:r w:rsidRPr="009D5510">
        <w:rPr>
          <w:rFonts w:ascii="Times New Roman" w:hAnsi="Times New Roman" w:cs="Times New Roman"/>
          <w:color w:val="000000"/>
          <w:sz w:val="24"/>
          <w:szCs w:val="24"/>
        </w:rPr>
        <w:t xml:space="preserve"> both sides of financial statements are always equal.</w:t>
      </w:r>
    </w:p>
    <w:p w14:paraId="3FEC9AD0" w14:textId="77777777" w:rsidR="00BB6ACA" w:rsidRPr="009D5510" w:rsidRDefault="00BB6ACA" w:rsidP="00C17322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EB14F6E" w14:textId="77777777" w:rsidR="00021C39" w:rsidRPr="009D5510" w:rsidRDefault="00021C39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3FDCF90" w14:textId="77777777" w:rsidR="00021C39" w:rsidRPr="009D5510" w:rsidRDefault="00021C39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473EFD7" w14:textId="77777777" w:rsidR="00021C39" w:rsidRPr="009D5510" w:rsidRDefault="00021C39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D0C8916" w14:textId="77777777" w:rsidR="00021C39" w:rsidRPr="009D5510" w:rsidRDefault="00021C39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AFAF0C5" w14:textId="77777777" w:rsidR="00021C39" w:rsidRPr="009D5510" w:rsidRDefault="00021C39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441F4DFB" w14:textId="77777777" w:rsidR="00021C39" w:rsidRPr="009D5510" w:rsidRDefault="00021C39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6ACFA04" w14:textId="77777777" w:rsidR="00021C39" w:rsidRPr="009D5510" w:rsidRDefault="00021C39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2747CDA9" w14:textId="77777777" w:rsidR="00041874" w:rsidRPr="009D5510" w:rsidRDefault="00041874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  <w:sectPr w:rsidR="00041874" w:rsidRPr="009D5510" w:rsidSect="00041874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633959C0" w14:textId="2A7A0CBF" w:rsidR="00021C39" w:rsidRPr="009D5510" w:rsidRDefault="00581332" w:rsidP="00041874">
      <w:pPr>
        <w:pStyle w:val="Heading1"/>
        <w:rPr>
          <w:rFonts w:ascii="Times New Roman" w:eastAsia="Times New Roman" w:hAnsi="Times New Roman" w:cs="Times New Roman"/>
          <w:b/>
          <w:bCs/>
        </w:rPr>
      </w:pPr>
      <w:bookmarkStart w:id="6" w:name="_Toc77347930"/>
      <w:r w:rsidRPr="009D5510">
        <w:rPr>
          <w:rFonts w:ascii="Times New Roman" w:eastAsia="Times New Roman" w:hAnsi="Times New Roman" w:cs="Times New Roman"/>
          <w:b/>
          <w:bCs/>
        </w:rPr>
        <w:lastRenderedPageBreak/>
        <w:t>Question 2</w:t>
      </w:r>
      <w:bookmarkEnd w:id="6"/>
    </w:p>
    <w:p w14:paraId="4E69C193" w14:textId="55317C80" w:rsidR="00021C39" w:rsidRPr="009D5510" w:rsidRDefault="00581332" w:rsidP="00041874">
      <w:pPr>
        <w:pStyle w:val="Heading2"/>
        <w:numPr>
          <w:ilvl w:val="0"/>
          <w:numId w:val="3"/>
        </w:numPr>
        <w:rPr>
          <w:rFonts w:ascii="Times New Roman" w:eastAsia="Times New Roman" w:hAnsi="Times New Roman" w:cs="Times New Roman"/>
          <w:b/>
          <w:bCs/>
        </w:rPr>
      </w:pPr>
      <w:bookmarkStart w:id="7" w:name="_Toc77347931"/>
      <w:r w:rsidRPr="009D5510">
        <w:rPr>
          <w:rFonts w:ascii="Times New Roman" w:eastAsia="Times New Roman" w:hAnsi="Times New Roman" w:cs="Times New Roman"/>
          <w:b/>
          <w:bCs/>
        </w:rPr>
        <w:t>Ratio Analysis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55"/>
        <w:gridCol w:w="3701"/>
        <w:gridCol w:w="2256"/>
        <w:gridCol w:w="1476"/>
        <w:gridCol w:w="1778"/>
        <w:gridCol w:w="1584"/>
      </w:tblGrid>
      <w:tr w:rsidR="00581332" w:rsidRPr="009D5510" w14:paraId="7417C3BC" w14:textId="77777777" w:rsidTr="00581332">
        <w:trPr>
          <w:trHeight w:val="300"/>
        </w:trPr>
        <w:tc>
          <w:tcPr>
            <w:tcW w:w="2155" w:type="dxa"/>
            <w:vMerge w:val="restart"/>
            <w:noWrap/>
            <w:hideMark/>
          </w:tcPr>
          <w:p w14:paraId="7378071A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701" w:type="dxa"/>
            <w:noWrap/>
            <w:hideMark/>
          </w:tcPr>
          <w:p w14:paraId="5EB56CC0" w14:textId="510D26C0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Pre-Calculation</w:t>
            </w:r>
          </w:p>
        </w:tc>
        <w:tc>
          <w:tcPr>
            <w:tcW w:w="2256" w:type="dxa"/>
            <w:noWrap/>
            <w:hideMark/>
          </w:tcPr>
          <w:p w14:paraId="7119E8C6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2020</w:t>
            </w:r>
          </w:p>
        </w:tc>
        <w:tc>
          <w:tcPr>
            <w:tcW w:w="1476" w:type="dxa"/>
            <w:noWrap/>
            <w:hideMark/>
          </w:tcPr>
          <w:p w14:paraId="0A03EAC5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1778" w:type="dxa"/>
            <w:noWrap/>
            <w:hideMark/>
          </w:tcPr>
          <w:p w14:paraId="53523E57" w14:textId="0CA5CD79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2019</w:t>
            </w:r>
          </w:p>
        </w:tc>
        <w:tc>
          <w:tcPr>
            <w:tcW w:w="1584" w:type="dxa"/>
            <w:noWrap/>
            <w:hideMark/>
          </w:tcPr>
          <w:p w14:paraId="152E60FB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581332" w:rsidRPr="009D5510" w14:paraId="61DE370E" w14:textId="77777777" w:rsidTr="00581332">
        <w:trPr>
          <w:trHeight w:val="300"/>
        </w:trPr>
        <w:tc>
          <w:tcPr>
            <w:tcW w:w="2155" w:type="dxa"/>
            <w:vMerge/>
            <w:noWrap/>
            <w:hideMark/>
          </w:tcPr>
          <w:p w14:paraId="4EBCF3EA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3701" w:type="dxa"/>
            <w:noWrap/>
            <w:hideMark/>
          </w:tcPr>
          <w:p w14:paraId="41E63226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2256" w:type="dxa"/>
            <w:noWrap/>
            <w:hideMark/>
          </w:tcPr>
          <w:p w14:paraId="371EA2FD" w14:textId="6491193B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Amount £</w:t>
            </w:r>
          </w:p>
        </w:tc>
        <w:tc>
          <w:tcPr>
            <w:tcW w:w="1476" w:type="dxa"/>
            <w:noWrap/>
            <w:hideMark/>
          </w:tcPr>
          <w:p w14:paraId="2D5F8CD1" w14:textId="0470DEDB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Total Amount £</w:t>
            </w:r>
          </w:p>
        </w:tc>
        <w:tc>
          <w:tcPr>
            <w:tcW w:w="1778" w:type="dxa"/>
            <w:noWrap/>
            <w:hideMark/>
          </w:tcPr>
          <w:p w14:paraId="45A9FDA6" w14:textId="6AD06CDC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Amount £</w:t>
            </w:r>
          </w:p>
        </w:tc>
        <w:tc>
          <w:tcPr>
            <w:tcW w:w="1584" w:type="dxa"/>
            <w:noWrap/>
            <w:hideMark/>
          </w:tcPr>
          <w:p w14:paraId="2574AD56" w14:textId="652C9D00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Total Amount £</w:t>
            </w:r>
          </w:p>
        </w:tc>
      </w:tr>
      <w:tr w:rsidR="00581332" w:rsidRPr="009D5510" w14:paraId="17E1ED0E" w14:textId="77777777" w:rsidTr="00581332">
        <w:trPr>
          <w:trHeight w:val="300"/>
        </w:trPr>
        <w:tc>
          <w:tcPr>
            <w:tcW w:w="2155" w:type="dxa"/>
            <w:vMerge/>
            <w:noWrap/>
            <w:hideMark/>
          </w:tcPr>
          <w:p w14:paraId="24F2EEE7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3701" w:type="dxa"/>
            <w:noWrap/>
            <w:hideMark/>
          </w:tcPr>
          <w:p w14:paraId="16C3CD17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retained earning</w:t>
            </w:r>
          </w:p>
        </w:tc>
        <w:tc>
          <w:tcPr>
            <w:tcW w:w="2256" w:type="dxa"/>
            <w:noWrap/>
            <w:hideMark/>
          </w:tcPr>
          <w:p w14:paraId="709FB588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1462</w:t>
            </w:r>
          </w:p>
        </w:tc>
        <w:tc>
          <w:tcPr>
            <w:tcW w:w="1476" w:type="dxa"/>
            <w:noWrap/>
            <w:hideMark/>
          </w:tcPr>
          <w:p w14:paraId="3A041BDE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778" w:type="dxa"/>
            <w:noWrap/>
            <w:hideMark/>
          </w:tcPr>
          <w:p w14:paraId="4AADD80F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1299</w:t>
            </w:r>
          </w:p>
        </w:tc>
        <w:tc>
          <w:tcPr>
            <w:tcW w:w="1584" w:type="dxa"/>
            <w:noWrap/>
            <w:hideMark/>
          </w:tcPr>
          <w:p w14:paraId="0A468B13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581332" w:rsidRPr="009D5510" w14:paraId="7C6433B3" w14:textId="77777777" w:rsidTr="00581332">
        <w:trPr>
          <w:trHeight w:val="300"/>
        </w:trPr>
        <w:tc>
          <w:tcPr>
            <w:tcW w:w="2155" w:type="dxa"/>
            <w:vMerge/>
            <w:noWrap/>
            <w:hideMark/>
          </w:tcPr>
          <w:p w14:paraId="514FE137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3701" w:type="dxa"/>
            <w:noWrap/>
            <w:hideMark/>
          </w:tcPr>
          <w:p w14:paraId="007FDE7D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share capital</w:t>
            </w:r>
          </w:p>
        </w:tc>
        <w:tc>
          <w:tcPr>
            <w:tcW w:w="2256" w:type="dxa"/>
            <w:noWrap/>
            <w:hideMark/>
          </w:tcPr>
          <w:p w14:paraId="44871D47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256</w:t>
            </w:r>
          </w:p>
        </w:tc>
        <w:tc>
          <w:tcPr>
            <w:tcW w:w="1476" w:type="dxa"/>
            <w:noWrap/>
            <w:hideMark/>
          </w:tcPr>
          <w:p w14:paraId="0E7B0BA8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778" w:type="dxa"/>
            <w:noWrap/>
            <w:hideMark/>
          </w:tcPr>
          <w:p w14:paraId="217AE953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200</w:t>
            </w:r>
          </w:p>
        </w:tc>
        <w:tc>
          <w:tcPr>
            <w:tcW w:w="1584" w:type="dxa"/>
            <w:noWrap/>
            <w:hideMark/>
          </w:tcPr>
          <w:p w14:paraId="0355DEF6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581332" w:rsidRPr="009D5510" w14:paraId="7A16D436" w14:textId="77777777" w:rsidTr="00581332">
        <w:trPr>
          <w:trHeight w:val="300"/>
        </w:trPr>
        <w:tc>
          <w:tcPr>
            <w:tcW w:w="2155" w:type="dxa"/>
            <w:vMerge/>
            <w:noWrap/>
            <w:hideMark/>
          </w:tcPr>
          <w:p w14:paraId="2B204B2C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3701" w:type="dxa"/>
            <w:noWrap/>
            <w:hideMark/>
          </w:tcPr>
          <w:p w14:paraId="10F09541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share premium</w:t>
            </w:r>
          </w:p>
        </w:tc>
        <w:tc>
          <w:tcPr>
            <w:tcW w:w="2256" w:type="dxa"/>
            <w:noWrap/>
            <w:hideMark/>
          </w:tcPr>
          <w:p w14:paraId="789A8FEA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1071</w:t>
            </w:r>
          </w:p>
        </w:tc>
        <w:tc>
          <w:tcPr>
            <w:tcW w:w="1476" w:type="dxa"/>
            <w:noWrap/>
            <w:hideMark/>
          </w:tcPr>
          <w:p w14:paraId="5C8FF1C7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778" w:type="dxa"/>
            <w:noWrap/>
            <w:hideMark/>
          </w:tcPr>
          <w:p w14:paraId="193B3D2E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1071</w:t>
            </w:r>
          </w:p>
        </w:tc>
        <w:tc>
          <w:tcPr>
            <w:tcW w:w="1584" w:type="dxa"/>
            <w:noWrap/>
            <w:hideMark/>
          </w:tcPr>
          <w:p w14:paraId="10A6D80B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581332" w:rsidRPr="009D5510" w14:paraId="2E1B9ECA" w14:textId="77777777" w:rsidTr="00581332">
        <w:trPr>
          <w:trHeight w:val="300"/>
        </w:trPr>
        <w:tc>
          <w:tcPr>
            <w:tcW w:w="2155" w:type="dxa"/>
            <w:vMerge/>
            <w:noWrap/>
            <w:hideMark/>
          </w:tcPr>
          <w:p w14:paraId="58D80F88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3701" w:type="dxa"/>
            <w:noWrap/>
            <w:hideMark/>
          </w:tcPr>
          <w:p w14:paraId="73D8AE3E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Total equity</w:t>
            </w:r>
          </w:p>
        </w:tc>
        <w:tc>
          <w:tcPr>
            <w:tcW w:w="2256" w:type="dxa"/>
            <w:noWrap/>
            <w:hideMark/>
          </w:tcPr>
          <w:p w14:paraId="5AA1788F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1476" w:type="dxa"/>
            <w:noWrap/>
            <w:hideMark/>
          </w:tcPr>
          <w:p w14:paraId="7F9ADF7C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2789</w:t>
            </w:r>
          </w:p>
        </w:tc>
        <w:tc>
          <w:tcPr>
            <w:tcW w:w="1778" w:type="dxa"/>
            <w:noWrap/>
            <w:hideMark/>
          </w:tcPr>
          <w:p w14:paraId="737C9A92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1584" w:type="dxa"/>
            <w:noWrap/>
            <w:hideMark/>
          </w:tcPr>
          <w:p w14:paraId="0E42BD11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2570</w:t>
            </w:r>
          </w:p>
        </w:tc>
      </w:tr>
      <w:tr w:rsidR="00581332" w:rsidRPr="009D5510" w14:paraId="222315D1" w14:textId="77777777" w:rsidTr="00581332">
        <w:trPr>
          <w:trHeight w:val="300"/>
        </w:trPr>
        <w:tc>
          <w:tcPr>
            <w:tcW w:w="2155" w:type="dxa"/>
            <w:vMerge/>
            <w:noWrap/>
            <w:hideMark/>
          </w:tcPr>
          <w:p w14:paraId="74A779AE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3701" w:type="dxa"/>
            <w:noWrap/>
            <w:hideMark/>
          </w:tcPr>
          <w:p w14:paraId="57F4014B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Average assets</w:t>
            </w:r>
          </w:p>
        </w:tc>
        <w:tc>
          <w:tcPr>
            <w:tcW w:w="2256" w:type="dxa"/>
            <w:noWrap/>
            <w:hideMark/>
          </w:tcPr>
          <w:p w14:paraId="46E28877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(9736+10087)/2</w:t>
            </w:r>
          </w:p>
        </w:tc>
        <w:tc>
          <w:tcPr>
            <w:tcW w:w="1476" w:type="dxa"/>
            <w:noWrap/>
            <w:hideMark/>
          </w:tcPr>
          <w:p w14:paraId="7B9A1E7C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9911.5</w:t>
            </w:r>
          </w:p>
        </w:tc>
        <w:tc>
          <w:tcPr>
            <w:tcW w:w="1778" w:type="dxa"/>
            <w:noWrap/>
            <w:hideMark/>
          </w:tcPr>
          <w:p w14:paraId="62907268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1584" w:type="dxa"/>
            <w:noWrap/>
            <w:hideMark/>
          </w:tcPr>
          <w:p w14:paraId="5A81E742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581332" w:rsidRPr="009D5510" w14:paraId="7B63A109" w14:textId="77777777" w:rsidTr="00581332">
        <w:trPr>
          <w:trHeight w:val="300"/>
        </w:trPr>
        <w:tc>
          <w:tcPr>
            <w:tcW w:w="2155" w:type="dxa"/>
            <w:vMerge/>
            <w:noWrap/>
            <w:hideMark/>
          </w:tcPr>
          <w:p w14:paraId="3708B89C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  <w:tc>
          <w:tcPr>
            <w:tcW w:w="3701" w:type="dxa"/>
            <w:noWrap/>
            <w:hideMark/>
          </w:tcPr>
          <w:p w14:paraId="649F0FA9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Average Inventory</w:t>
            </w:r>
          </w:p>
        </w:tc>
        <w:tc>
          <w:tcPr>
            <w:tcW w:w="2256" w:type="dxa"/>
            <w:noWrap/>
            <w:hideMark/>
          </w:tcPr>
          <w:p w14:paraId="4528C22D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(708+659)/2</w:t>
            </w:r>
          </w:p>
        </w:tc>
        <w:tc>
          <w:tcPr>
            <w:tcW w:w="1476" w:type="dxa"/>
            <w:noWrap/>
            <w:hideMark/>
          </w:tcPr>
          <w:p w14:paraId="47AE14E2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683.5</w:t>
            </w:r>
          </w:p>
        </w:tc>
        <w:tc>
          <w:tcPr>
            <w:tcW w:w="1778" w:type="dxa"/>
            <w:noWrap/>
            <w:hideMark/>
          </w:tcPr>
          <w:p w14:paraId="7C640873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1584" w:type="dxa"/>
            <w:noWrap/>
            <w:hideMark/>
          </w:tcPr>
          <w:p w14:paraId="24A528A1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581332" w:rsidRPr="009D5510" w14:paraId="4A3844D1" w14:textId="77777777" w:rsidTr="00581332">
        <w:trPr>
          <w:trHeight w:val="593"/>
        </w:trPr>
        <w:tc>
          <w:tcPr>
            <w:tcW w:w="12950" w:type="dxa"/>
            <w:gridSpan w:val="6"/>
            <w:noWrap/>
            <w:hideMark/>
          </w:tcPr>
          <w:p w14:paraId="1165F042" w14:textId="77777777" w:rsidR="00581332" w:rsidRPr="009D5510" w:rsidRDefault="00581332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021C39" w:rsidRPr="009D5510" w14:paraId="02EED0AD" w14:textId="77777777" w:rsidTr="00581332">
        <w:trPr>
          <w:trHeight w:val="300"/>
        </w:trPr>
        <w:tc>
          <w:tcPr>
            <w:tcW w:w="2155" w:type="dxa"/>
            <w:noWrap/>
            <w:hideMark/>
          </w:tcPr>
          <w:p w14:paraId="6BB4EEF9" w14:textId="06851D10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  <w:t>Name</w:t>
            </w:r>
          </w:p>
        </w:tc>
        <w:tc>
          <w:tcPr>
            <w:tcW w:w="3701" w:type="dxa"/>
            <w:noWrap/>
            <w:hideMark/>
          </w:tcPr>
          <w:p w14:paraId="1740B9A0" w14:textId="7E0F5696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  <w:t>Formulas</w:t>
            </w:r>
          </w:p>
        </w:tc>
        <w:tc>
          <w:tcPr>
            <w:tcW w:w="2256" w:type="dxa"/>
            <w:noWrap/>
            <w:hideMark/>
          </w:tcPr>
          <w:p w14:paraId="291DE9A5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  <w:t>2020</w:t>
            </w:r>
          </w:p>
        </w:tc>
        <w:tc>
          <w:tcPr>
            <w:tcW w:w="1476" w:type="dxa"/>
            <w:noWrap/>
            <w:hideMark/>
          </w:tcPr>
          <w:p w14:paraId="7B993375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  <w:t>2020</w:t>
            </w:r>
          </w:p>
        </w:tc>
        <w:tc>
          <w:tcPr>
            <w:tcW w:w="1778" w:type="dxa"/>
            <w:noWrap/>
            <w:hideMark/>
          </w:tcPr>
          <w:p w14:paraId="3F580B83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  <w:t>2019</w:t>
            </w:r>
          </w:p>
        </w:tc>
        <w:tc>
          <w:tcPr>
            <w:tcW w:w="1584" w:type="dxa"/>
            <w:noWrap/>
            <w:hideMark/>
          </w:tcPr>
          <w:p w14:paraId="2FBE6BBF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  <w:t>2019</w:t>
            </w:r>
          </w:p>
        </w:tc>
      </w:tr>
      <w:tr w:rsidR="00021C39" w:rsidRPr="009D5510" w14:paraId="7898BCFC" w14:textId="77777777" w:rsidTr="00581332">
        <w:trPr>
          <w:trHeight w:val="300"/>
        </w:trPr>
        <w:tc>
          <w:tcPr>
            <w:tcW w:w="2155" w:type="dxa"/>
            <w:noWrap/>
          </w:tcPr>
          <w:p w14:paraId="4D5CE922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70C0"/>
                <w:sz w:val="24"/>
                <w:szCs w:val="24"/>
              </w:rPr>
            </w:pPr>
          </w:p>
        </w:tc>
        <w:tc>
          <w:tcPr>
            <w:tcW w:w="3701" w:type="dxa"/>
            <w:noWrap/>
          </w:tcPr>
          <w:p w14:paraId="0068946C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70C0"/>
                <w:sz w:val="24"/>
                <w:szCs w:val="24"/>
              </w:rPr>
            </w:pPr>
          </w:p>
        </w:tc>
        <w:tc>
          <w:tcPr>
            <w:tcW w:w="2256" w:type="dxa"/>
            <w:noWrap/>
          </w:tcPr>
          <w:p w14:paraId="4712A942" w14:textId="393D32A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  <w:t>Calculation</w:t>
            </w:r>
          </w:p>
        </w:tc>
        <w:tc>
          <w:tcPr>
            <w:tcW w:w="1476" w:type="dxa"/>
            <w:noWrap/>
          </w:tcPr>
          <w:p w14:paraId="31F42165" w14:textId="161C10E4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  <w:t>Ratio</w:t>
            </w:r>
          </w:p>
        </w:tc>
        <w:tc>
          <w:tcPr>
            <w:tcW w:w="1778" w:type="dxa"/>
            <w:noWrap/>
          </w:tcPr>
          <w:p w14:paraId="7DB1EE70" w14:textId="0FB31E7E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  <w:t>Calculation</w:t>
            </w:r>
          </w:p>
        </w:tc>
        <w:tc>
          <w:tcPr>
            <w:tcW w:w="1584" w:type="dxa"/>
            <w:noWrap/>
          </w:tcPr>
          <w:p w14:paraId="2E153B38" w14:textId="5EDD1B6C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70C0"/>
                <w:sz w:val="24"/>
                <w:szCs w:val="24"/>
              </w:rPr>
              <w:t>Ratio</w:t>
            </w:r>
          </w:p>
        </w:tc>
      </w:tr>
      <w:tr w:rsidR="00021C39" w:rsidRPr="009D5510" w14:paraId="693CDA65" w14:textId="77777777" w:rsidTr="00581332">
        <w:trPr>
          <w:trHeight w:val="300"/>
        </w:trPr>
        <w:tc>
          <w:tcPr>
            <w:tcW w:w="2155" w:type="dxa"/>
            <w:noWrap/>
            <w:hideMark/>
          </w:tcPr>
          <w:p w14:paraId="1EC82802" w14:textId="70ED2D4F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Return on capital</w:t>
            </w:r>
          </w:p>
        </w:tc>
        <w:tc>
          <w:tcPr>
            <w:tcW w:w="3701" w:type="dxa"/>
            <w:noWrap/>
            <w:hideMark/>
          </w:tcPr>
          <w:p w14:paraId="7FB3A02E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Net operating income/Capital employed</w:t>
            </w:r>
          </w:p>
        </w:tc>
        <w:tc>
          <w:tcPr>
            <w:tcW w:w="2256" w:type="dxa"/>
            <w:noWrap/>
            <w:hideMark/>
          </w:tcPr>
          <w:p w14:paraId="2914F22F" w14:textId="38383E5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805/ (50*5.12)</w:t>
            </w:r>
          </w:p>
        </w:tc>
        <w:tc>
          <w:tcPr>
            <w:tcW w:w="1476" w:type="dxa"/>
            <w:noWrap/>
            <w:hideMark/>
          </w:tcPr>
          <w:p w14:paraId="239BB717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3.14453125</w:t>
            </w:r>
          </w:p>
        </w:tc>
        <w:tc>
          <w:tcPr>
            <w:tcW w:w="1778" w:type="dxa"/>
            <w:noWrap/>
            <w:hideMark/>
          </w:tcPr>
          <w:p w14:paraId="27CBA1CF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699/200</w:t>
            </w:r>
          </w:p>
        </w:tc>
        <w:tc>
          <w:tcPr>
            <w:tcW w:w="1584" w:type="dxa"/>
            <w:noWrap/>
            <w:hideMark/>
          </w:tcPr>
          <w:p w14:paraId="4A0B3B5F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3.495</w:t>
            </w:r>
          </w:p>
        </w:tc>
      </w:tr>
      <w:tr w:rsidR="00021C39" w:rsidRPr="009D5510" w14:paraId="0C25F244" w14:textId="77777777" w:rsidTr="00581332">
        <w:trPr>
          <w:trHeight w:val="300"/>
        </w:trPr>
        <w:tc>
          <w:tcPr>
            <w:tcW w:w="2155" w:type="dxa"/>
            <w:noWrap/>
            <w:hideMark/>
          </w:tcPr>
          <w:p w14:paraId="5E933F63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Return on Earning</w:t>
            </w:r>
          </w:p>
        </w:tc>
        <w:tc>
          <w:tcPr>
            <w:tcW w:w="3701" w:type="dxa"/>
            <w:noWrap/>
            <w:hideMark/>
          </w:tcPr>
          <w:p w14:paraId="51F3ABFB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Net Income/Total equity</w:t>
            </w:r>
          </w:p>
        </w:tc>
        <w:tc>
          <w:tcPr>
            <w:tcW w:w="2256" w:type="dxa"/>
            <w:noWrap/>
            <w:hideMark/>
          </w:tcPr>
          <w:p w14:paraId="0C198F0F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431/2789</w:t>
            </w:r>
          </w:p>
        </w:tc>
        <w:tc>
          <w:tcPr>
            <w:tcW w:w="1476" w:type="dxa"/>
            <w:noWrap/>
            <w:hideMark/>
          </w:tcPr>
          <w:p w14:paraId="4B91E1E1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0.154535676</w:t>
            </w:r>
          </w:p>
        </w:tc>
        <w:tc>
          <w:tcPr>
            <w:tcW w:w="1778" w:type="dxa"/>
            <w:noWrap/>
            <w:hideMark/>
          </w:tcPr>
          <w:p w14:paraId="36934DC1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366/2570</w:t>
            </w:r>
          </w:p>
        </w:tc>
        <w:tc>
          <w:tcPr>
            <w:tcW w:w="1584" w:type="dxa"/>
            <w:noWrap/>
            <w:hideMark/>
          </w:tcPr>
          <w:p w14:paraId="4C1AB6DC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0.142412</w:t>
            </w:r>
          </w:p>
        </w:tc>
      </w:tr>
      <w:tr w:rsidR="00021C39" w:rsidRPr="009D5510" w14:paraId="47555AFD" w14:textId="77777777" w:rsidTr="00581332">
        <w:trPr>
          <w:trHeight w:val="300"/>
        </w:trPr>
        <w:tc>
          <w:tcPr>
            <w:tcW w:w="2155" w:type="dxa"/>
            <w:noWrap/>
            <w:hideMark/>
          </w:tcPr>
          <w:p w14:paraId="26CBC078" w14:textId="63A0088B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Earnings Per Share</w:t>
            </w:r>
          </w:p>
        </w:tc>
        <w:tc>
          <w:tcPr>
            <w:tcW w:w="3701" w:type="dxa"/>
            <w:noWrap/>
            <w:hideMark/>
          </w:tcPr>
          <w:p w14:paraId="71A3840C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Net Income-Preferred Dividends/Average outstanding common</w:t>
            </w:r>
          </w:p>
        </w:tc>
        <w:tc>
          <w:tcPr>
            <w:tcW w:w="2256" w:type="dxa"/>
            <w:noWrap/>
            <w:hideMark/>
          </w:tcPr>
          <w:p w14:paraId="290DB300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431/256</w:t>
            </w:r>
          </w:p>
        </w:tc>
        <w:tc>
          <w:tcPr>
            <w:tcW w:w="1476" w:type="dxa"/>
            <w:noWrap/>
            <w:hideMark/>
          </w:tcPr>
          <w:p w14:paraId="0D98DD8C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1.68359375</w:t>
            </w:r>
          </w:p>
        </w:tc>
        <w:tc>
          <w:tcPr>
            <w:tcW w:w="1778" w:type="dxa"/>
            <w:noWrap/>
            <w:hideMark/>
          </w:tcPr>
          <w:p w14:paraId="3C77EF78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366/200</w:t>
            </w:r>
          </w:p>
        </w:tc>
        <w:tc>
          <w:tcPr>
            <w:tcW w:w="1584" w:type="dxa"/>
            <w:noWrap/>
            <w:hideMark/>
          </w:tcPr>
          <w:p w14:paraId="602A9D7E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1.83</w:t>
            </w:r>
          </w:p>
        </w:tc>
      </w:tr>
      <w:tr w:rsidR="00021C39" w:rsidRPr="009D5510" w14:paraId="282FCE40" w14:textId="77777777" w:rsidTr="00581332">
        <w:trPr>
          <w:trHeight w:val="300"/>
        </w:trPr>
        <w:tc>
          <w:tcPr>
            <w:tcW w:w="2155" w:type="dxa"/>
            <w:noWrap/>
            <w:hideMark/>
          </w:tcPr>
          <w:p w14:paraId="3090802A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lastRenderedPageBreak/>
              <w:t>Net Profit Margin</w:t>
            </w:r>
          </w:p>
        </w:tc>
        <w:tc>
          <w:tcPr>
            <w:tcW w:w="3701" w:type="dxa"/>
            <w:noWrap/>
            <w:hideMark/>
          </w:tcPr>
          <w:p w14:paraId="3291A672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Net Profit/Total revenue</w:t>
            </w:r>
          </w:p>
        </w:tc>
        <w:tc>
          <w:tcPr>
            <w:tcW w:w="2256" w:type="dxa"/>
            <w:noWrap/>
            <w:hideMark/>
          </w:tcPr>
          <w:p w14:paraId="18AB3F6E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431/6738</w:t>
            </w:r>
          </w:p>
        </w:tc>
        <w:tc>
          <w:tcPr>
            <w:tcW w:w="1476" w:type="dxa"/>
            <w:noWrap/>
            <w:hideMark/>
          </w:tcPr>
          <w:p w14:paraId="7CAD1488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6.396556842</w:t>
            </w:r>
          </w:p>
        </w:tc>
        <w:tc>
          <w:tcPr>
            <w:tcW w:w="1778" w:type="dxa"/>
            <w:noWrap/>
            <w:hideMark/>
          </w:tcPr>
          <w:p w14:paraId="16F9A0BE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366/6441</w:t>
            </w:r>
          </w:p>
        </w:tc>
        <w:tc>
          <w:tcPr>
            <w:tcW w:w="1584" w:type="dxa"/>
            <w:noWrap/>
            <w:hideMark/>
          </w:tcPr>
          <w:p w14:paraId="01984BE7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5.682347</w:t>
            </w:r>
          </w:p>
        </w:tc>
      </w:tr>
      <w:tr w:rsidR="00021C39" w:rsidRPr="009D5510" w14:paraId="11C2266B" w14:textId="77777777" w:rsidTr="00581332">
        <w:trPr>
          <w:trHeight w:val="300"/>
        </w:trPr>
        <w:tc>
          <w:tcPr>
            <w:tcW w:w="2155" w:type="dxa"/>
            <w:noWrap/>
            <w:hideMark/>
          </w:tcPr>
          <w:p w14:paraId="4D0843F1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Inventory Coverage Ratio</w:t>
            </w:r>
          </w:p>
        </w:tc>
        <w:tc>
          <w:tcPr>
            <w:tcW w:w="3701" w:type="dxa"/>
            <w:noWrap/>
            <w:hideMark/>
          </w:tcPr>
          <w:p w14:paraId="51235475" w14:textId="4D08AF4B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(Working Capital Short Term Liabilities)/ inventories</w:t>
            </w:r>
          </w:p>
        </w:tc>
        <w:tc>
          <w:tcPr>
            <w:tcW w:w="2256" w:type="dxa"/>
            <w:noWrap/>
            <w:hideMark/>
          </w:tcPr>
          <w:p w14:paraId="536BF986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(256+2511)/708</w:t>
            </w:r>
          </w:p>
        </w:tc>
        <w:tc>
          <w:tcPr>
            <w:tcW w:w="1476" w:type="dxa"/>
            <w:noWrap/>
            <w:hideMark/>
          </w:tcPr>
          <w:p w14:paraId="70506E88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3.90819209</w:t>
            </w:r>
          </w:p>
        </w:tc>
        <w:tc>
          <w:tcPr>
            <w:tcW w:w="1778" w:type="dxa"/>
            <w:noWrap/>
            <w:hideMark/>
          </w:tcPr>
          <w:p w14:paraId="58AD43FA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(200+3046)/656</w:t>
            </w:r>
          </w:p>
        </w:tc>
        <w:tc>
          <w:tcPr>
            <w:tcW w:w="1584" w:type="dxa"/>
            <w:noWrap/>
            <w:hideMark/>
          </w:tcPr>
          <w:p w14:paraId="0A15AF4E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4.948171</w:t>
            </w:r>
          </w:p>
        </w:tc>
      </w:tr>
      <w:tr w:rsidR="00021C39" w:rsidRPr="009D5510" w14:paraId="52879DB4" w14:textId="77777777" w:rsidTr="00581332">
        <w:trPr>
          <w:trHeight w:val="300"/>
        </w:trPr>
        <w:tc>
          <w:tcPr>
            <w:tcW w:w="2155" w:type="dxa"/>
            <w:noWrap/>
            <w:hideMark/>
          </w:tcPr>
          <w:p w14:paraId="60487EA8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Asset Turnover</w:t>
            </w:r>
          </w:p>
        </w:tc>
        <w:tc>
          <w:tcPr>
            <w:tcW w:w="3701" w:type="dxa"/>
            <w:noWrap/>
            <w:hideMark/>
          </w:tcPr>
          <w:p w14:paraId="582FDE2D" w14:textId="7F64FDA4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Total Sales/ (Beginning Assets Ending Assets)/2</w:t>
            </w:r>
          </w:p>
        </w:tc>
        <w:tc>
          <w:tcPr>
            <w:tcW w:w="2256" w:type="dxa"/>
            <w:noWrap/>
            <w:hideMark/>
          </w:tcPr>
          <w:p w14:paraId="3F6B5ACF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6738/9911.5</w:t>
            </w:r>
          </w:p>
        </w:tc>
        <w:tc>
          <w:tcPr>
            <w:tcW w:w="1476" w:type="dxa"/>
            <w:noWrap/>
            <w:hideMark/>
          </w:tcPr>
          <w:p w14:paraId="148797B6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0.679816375</w:t>
            </w:r>
          </w:p>
        </w:tc>
        <w:tc>
          <w:tcPr>
            <w:tcW w:w="1778" w:type="dxa"/>
            <w:noWrap/>
            <w:hideMark/>
          </w:tcPr>
          <w:p w14:paraId="30D3D2CC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6441/10087</w:t>
            </w:r>
          </w:p>
        </w:tc>
        <w:tc>
          <w:tcPr>
            <w:tcW w:w="1584" w:type="dxa"/>
            <w:noWrap/>
            <w:hideMark/>
          </w:tcPr>
          <w:p w14:paraId="494A9FFF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0.638545</w:t>
            </w:r>
          </w:p>
        </w:tc>
      </w:tr>
      <w:tr w:rsidR="00021C39" w:rsidRPr="009D5510" w14:paraId="3D218D13" w14:textId="77777777" w:rsidTr="00581332">
        <w:trPr>
          <w:trHeight w:val="300"/>
        </w:trPr>
        <w:tc>
          <w:tcPr>
            <w:tcW w:w="2155" w:type="dxa"/>
            <w:noWrap/>
            <w:hideMark/>
          </w:tcPr>
          <w:p w14:paraId="37B9D5F0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Debtor Collection Period</w:t>
            </w:r>
          </w:p>
        </w:tc>
        <w:tc>
          <w:tcPr>
            <w:tcW w:w="3701" w:type="dxa"/>
            <w:noWrap/>
            <w:hideMark/>
          </w:tcPr>
          <w:p w14:paraId="6F511FF7" w14:textId="30114C11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(Debts/sales) *365</w:t>
            </w:r>
          </w:p>
        </w:tc>
        <w:tc>
          <w:tcPr>
            <w:tcW w:w="2256" w:type="dxa"/>
            <w:noWrap/>
            <w:hideMark/>
          </w:tcPr>
          <w:p w14:paraId="16444763" w14:textId="6CAE7142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(1249/6734) *365</w:t>
            </w:r>
          </w:p>
        </w:tc>
        <w:tc>
          <w:tcPr>
            <w:tcW w:w="1476" w:type="dxa"/>
            <w:noWrap/>
            <w:hideMark/>
          </w:tcPr>
          <w:p w14:paraId="54734FCB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67.6989902</w:t>
            </w:r>
          </w:p>
        </w:tc>
        <w:tc>
          <w:tcPr>
            <w:tcW w:w="1778" w:type="dxa"/>
            <w:noWrap/>
            <w:hideMark/>
          </w:tcPr>
          <w:p w14:paraId="66C90CBD" w14:textId="07FFA2B8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(1287/6441) *365</w:t>
            </w:r>
          </w:p>
        </w:tc>
        <w:tc>
          <w:tcPr>
            <w:tcW w:w="1584" w:type="dxa"/>
            <w:noWrap/>
            <w:hideMark/>
          </w:tcPr>
          <w:p w14:paraId="49FAA160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72.932</w:t>
            </w:r>
          </w:p>
        </w:tc>
      </w:tr>
      <w:tr w:rsidR="00021C39" w:rsidRPr="009D5510" w14:paraId="13459BB4" w14:textId="77777777" w:rsidTr="00581332">
        <w:trPr>
          <w:trHeight w:val="300"/>
        </w:trPr>
        <w:tc>
          <w:tcPr>
            <w:tcW w:w="2155" w:type="dxa"/>
            <w:noWrap/>
            <w:hideMark/>
          </w:tcPr>
          <w:p w14:paraId="4B2DE96B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Current ratio</w:t>
            </w:r>
          </w:p>
        </w:tc>
        <w:tc>
          <w:tcPr>
            <w:tcW w:w="3701" w:type="dxa"/>
            <w:noWrap/>
            <w:hideMark/>
          </w:tcPr>
          <w:p w14:paraId="3B608DB4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Current Assets/Current Liabilities</w:t>
            </w:r>
          </w:p>
        </w:tc>
        <w:tc>
          <w:tcPr>
            <w:tcW w:w="2256" w:type="dxa"/>
            <w:noWrap/>
            <w:hideMark/>
          </w:tcPr>
          <w:p w14:paraId="02291872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2303/2511</w:t>
            </w:r>
          </w:p>
        </w:tc>
        <w:tc>
          <w:tcPr>
            <w:tcW w:w="1476" w:type="dxa"/>
            <w:noWrap/>
            <w:hideMark/>
          </w:tcPr>
          <w:p w14:paraId="7D9B9006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0.917164476</w:t>
            </w:r>
          </w:p>
        </w:tc>
        <w:tc>
          <w:tcPr>
            <w:tcW w:w="1778" w:type="dxa"/>
            <w:noWrap/>
            <w:hideMark/>
          </w:tcPr>
          <w:p w14:paraId="53F12261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2355/3046</w:t>
            </w:r>
          </w:p>
        </w:tc>
        <w:tc>
          <w:tcPr>
            <w:tcW w:w="1584" w:type="dxa"/>
            <w:noWrap/>
            <w:hideMark/>
          </w:tcPr>
          <w:p w14:paraId="64C0B8E1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0.773145</w:t>
            </w:r>
          </w:p>
        </w:tc>
      </w:tr>
      <w:tr w:rsidR="00021C39" w:rsidRPr="009D5510" w14:paraId="6ECE3F01" w14:textId="77777777" w:rsidTr="00581332">
        <w:trPr>
          <w:trHeight w:val="300"/>
        </w:trPr>
        <w:tc>
          <w:tcPr>
            <w:tcW w:w="2155" w:type="dxa"/>
            <w:noWrap/>
            <w:hideMark/>
          </w:tcPr>
          <w:p w14:paraId="707301A2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Gearing Ratio</w:t>
            </w:r>
          </w:p>
        </w:tc>
        <w:tc>
          <w:tcPr>
            <w:tcW w:w="3701" w:type="dxa"/>
            <w:noWrap/>
            <w:hideMark/>
          </w:tcPr>
          <w:p w14:paraId="07129B5E" w14:textId="7C2220F4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Long term debt Short Term Debt/Equity</w:t>
            </w:r>
          </w:p>
        </w:tc>
        <w:tc>
          <w:tcPr>
            <w:tcW w:w="2256" w:type="dxa"/>
            <w:noWrap/>
            <w:hideMark/>
          </w:tcPr>
          <w:p w14:paraId="6FDF0DD5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(1249/2833)</w:t>
            </w:r>
          </w:p>
        </w:tc>
        <w:tc>
          <w:tcPr>
            <w:tcW w:w="1476" w:type="dxa"/>
            <w:noWrap/>
            <w:hideMark/>
          </w:tcPr>
          <w:p w14:paraId="5B22966B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0.440875397</w:t>
            </w:r>
          </w:p>
        </w:tc>
        <w:tc>
          <w:tcPr>
            <w:tcW w:w="1778" w:type="dxa"/>
            <w:noWrap/>
            <w:hideMark/>
          </w:tcPr>
          <w:p w14:paraId="58F17264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1287/2570</w:t>
            </w:r>
          </w:p>
        </w:tc>
        <w:tc>
          <w:tcPr>
            <w:tcW w:w="1584" w:type="dxa"/>
            <w:noWrap/>
            <w:hideMark/>
          </w:tcPr>
          <w:p w14:paraId="41BE5945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0.500778</w:t>
            </w:r>
          </w:p>
        </w:tc>
      </w:tr>
      <w:tr w:rsidR="00021C39" w:rsidRPr="009D5510" w14:paraId="50C8E997" w14:textId="77777777" w:rsidTr="00581332">
        <w:trPr>
          <w:trHeight w:val="300"/>
        </w:trPr>
        <w:tc>
          <w:tcPr>
            <w:tcW w:w="2155" w:type="dxa"/>
            <w:noWrap/>
            <w:hideMark/>
          </w:tcPr>
          <w:p w14:paraId="7954085D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Stock holding Days</w:t>
            </w:r>
          </w:p>
        </w:tc>
        <w:tc>
          <w:tcPr>
            <w:tcW w:w="3701" w:type="dxa"/>
            <w:noWrap/>
            <w:hideMark/>
          </w:tcPr>
          <w:p w14:paraId="27D1D37E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Average Inventory/(Cost of sales/No. of Days)</w:t>
            </w:r>
          </w:p>
        </w:tc>
        <w:tc>
          <w:tcPr>
            <w:tcW w:w="2256" w:type="dxa"/>
            <w:noWrap/>
            <w:hideMark/>
          </w:tcPr>
          <w:p w14:paraId="37AB5E6B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683.5/(3235/365)</w:t>
            </w:r>
          </w:p>
        </w:tc>
        <w:tc>
          <w:tcPr>
            <w:tcW w:w="1476" w:type="dxa"/>
            <w:noWrap/>
            <w:hideMark/>
          </w:tcPr>
          <w:p w14:paraId="4451F9F3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77.11823802</w:t>
            </w:r>
          </w:p>
        </w:tc>
        <w:tc>
          <w:tcPr>
            <w:tcW w:w="1778" w:type="dxa"/>
            <w:noWrap/>
            <w:hideMark/>
          </w:tcPr>
          <w:p w14:paraId="17EEB945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659/(3096/365)</w:t>
            </w:r>
          </w:p>
        </w:tc>
        <w:tc>
          <w:tcPr>
            <w:tcW w:w="1584" w:type="dxa"/>
            <w:noWrap/>
            <w:hideMark/>
          </w:tcPr>
          <w:p w14:paraId="3C464550" w14:textId="77777777" w:rsidR="00021C39" w:rsidRPr="009D5510" w:rsidRDefault="00021C39" w:rsidP="00C1732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</w:pPr>
            <w:r w:rsidRPr="009D5510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</w:rPr>
              <w:t>77.69218</w:t>
            </w:r>
          </w:p>
        </w:tc>
      </w:tr>
    </w:tbl>
    <w:p w14:paraId="4B0BBB66" w14:textId="19FEA502" w:rsidR="009F0AE0" w:rsidRPr="009D5510" w:rsidRDefault="009F0AE0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ED845E9" w14:textId="621517F9" w:rsidR="00021C39" w:rsidRPr="009D5510" w:rsidRDefault="009F0AE0" w:rsidP="00C17322">
      <w:pPr>
        <w:spacing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br w:type="page"/>
      </w:r>
    </w:p>
    <w:p w14:paraId="2E452D32" w14:textId="77777777" w:rsidR="009F0AE0" w:rsidRPr="009D5510" w:rsidRDefault="009F0AE0" w:rsidP="00041874">
      <w:pPr>
        <w:pStyle w:val="ListParagraph"/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  <w:sectPr w:rsidR="009F0AE0" w:rsidRPr="009D5510" w:rsidSect="00041874">
          <w:pgSz w:w="15840" w:h="12240" w:orient="landscape"/>
          <w:pgMar w:top="1440" w:right="1440" w:bottom="1440" w:left="1440" w:header="720" w:footer="720" w:gutter="0"/>
          <w:cols w:space="720"/>
          <w:docGrid w:linePitch="360"/>
        </w:sectPr>
      </w:pPr>
    </w:p>
    <w:p w14:paraId="3A599FA4" w14:textId="775C8BF7" w:rsidR="00021C39" w:rsidRPr="009D5510" w:rsidRDefault="009F0AE0" w:rsidP="00041874">
      <w:pPr>
        <w:pStyle w:val="Heading2"/>
        <w:numPr>
          <w:ilvl w:val="0"/>
          <w:numId w:val="3"/>
        </w:numPr>
        <w:rPr>
          <w:rFonts w:ascii="Times New Roman" w:hAnsi="Times New Roman" w:cs="Times New Roman"/>
          <w:b/>
          <w:bCs/>
        </w:rPr>
      </w:pPr>
      <w:bookmarkStart w:id="8" w:name="_Toc77347932"/>
      <w:r w:rsidRPr="009D5510">
        <w:rPr>
          <w:rFonts w:ascii="Times New Roman" w:hAnsi="Times New Roman" w:cs="Times New Roman"/>
          <w:b/>
          <w:bCs/>
        </w:rPr>
        <w:lastRenderedPageBreak/>
        <w:t xml:space="preserve">Commenting on the financial performance and position of </w:t>
      </w:r>
      <w:proofErr w:type="spellStart"/>
      <w:r w:rsidRPr="009D5510">
        <w:rPr>
          <w:rFonts w:ascii="Times New Roman" w:hAnsi="Times New Roman" w:cs="Times New Roman"/>
          <w:b/>
          <w:bCs/>
        </w:rPr>
        <w:t>Chocco</w:t>
      </w:r>
      <w:proofErr w:type="spellEnd"/>
      <w:r w:rsidRPr="009D5510">
        <w:rPr>
          <w:rFonts w:ascii="Times New Roman" w:hAnsi="Times New Roman" w:cs="Times New Roman"/>
          <w:b/>
          <w:bCs/>
        </w:rPr>
        <w:t xml:space="preserve"> plc</w:t>
      </w:r>
      <w:bookmarkEnd w:id="8"/>
    </w:p>
    <w:p w14:paraId="32593B44" w14:textId="419D74B3" w:rsidR="00BB6ACA" w:rsidRPr="009D5510" w:rsidRDefault="00BB6ACA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Return on capital employed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(ROCE)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ratio means how efficiently capital is used to make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profit.</w:t>
      </w:r>
      <w:r w:rsidR="002723FF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The r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eturn on Equity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(ROE)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ratio reflects how an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generating profit using its shareholders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'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equity. This ratio must be higher than 1. If the ratio is less than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1, it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denotes profit is not been generated accordingly</w:t>
      </w:r>
      <w:r w:rsidR="00AF1D3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</w:t>
      </w:r>
      <w:proofErr w:type="spellStart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Baroth</w:t>
      </w:r>
      <w:proofErr w:type="spellEnd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(2021).</w:t>
      </w:r>
      <w:r w:rsidR="00812AF2" w:rsidRPr="009D551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The e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arnings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per share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(EPS)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ratio indicates the prophet wheat is grown from outstanding shares at the end of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fiscal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year. The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more the EPS ratio is, the better for 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 Net profit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margin indicates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how much profit or income is gained from sales</w:t>
      </w:r>
      <w:r w:rsidR="00174488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AF1D3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(</w:t>
      </w:r>
      <w:proofErr w:type="spellStart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Blancard</w:t>
      </w:r>
      <w:proofErr w:type="spellEnd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2020).</w:t>
      </w:r>
      <w:r w:rsidR="00AF1D30" w:rsidRPr="009D551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Asset turnover denotes that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h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ow efficiently 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using its assets to generate profit. 10% profit margin denotes that $1 generate   $0.10 profit. Stock holding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days tell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that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h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ow frequently the stock is sold to its shareholder.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The fewer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days, the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better for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. 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Debtors’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collection period means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he estimated time of collecting all account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receivables. The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fewer days means that it can be collected as soon as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possible and more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days do not that there will be more cost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ly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and 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will be out of money and the chances of default receivable amount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are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also higher</w:t>
      </w:r>
      <w:r w:rsidR="00AF1D3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</w:t>
      </w:r>
      <w:proofErr w:type="spellStart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Khasanah</w:t>
      </w:r>
      <w:proofErr w:type="spellEnd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 </w:t>
      </w:r>
      <w:proofErr w:type="spellStart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Suryarini</w:t>
      </w:r>
      <w:proofErr w:type="spellEnd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2020). </w:t>
      </w:r>
      <w:r w:rsidR="00812AF2" w:rsidRPr="009D551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The c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urrent ratio is calculated to measure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he liquidity of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short-term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debt by using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organisations'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asset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. 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The g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earing ratio depicts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he influence of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long- and short-term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debt on equity. 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he higher the ratio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mo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re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chances to occur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default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d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ept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that means these receivables cannot be received.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 mainly hinders 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organisations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’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growth.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The g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earing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ratio should be more than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4 otherwise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has to show extra guarantees of mortgages</w:t>
      </w:r>
      <w:r w:rsidR="00AF1D3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</w:t>
      </w:r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Al-</w:t>
      </w:r>
      <w:proofErr w:type="spellStart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Natsheh</w:t>
      </w:r>
      <w:proofErr w:type="spellEnd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 Al-</w:t>
      </w:r>
      <w:proofErr w:type="spellStart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Okdeh</w:t>
      </w:r>
      <w:proofErr w:type="spellEnd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2020).</w:t>
      </w:r>
      <w:r w:rsidR="002723FF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The i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nventory coverage Ratio mainly reflects that the company has the ability financially to produce more stock or shares for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customers or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shareholders. This ratio should be higher than 1. 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f the ratio is less than 1, it creates an adverse position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for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. It may create the possibility of bankruptcy for the company in near future</w:t>
      </w:r>
      <w:r w:rsidR="00AF1D3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</w:t>
      </w:r>
      <w:proofErr w:type="spellStart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Sukandani</w:t>
      </w:r>
      <w:proofErr w:type="spellEnd"/>
      <w:r w:rsidR="00AF1D30"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2021).</w:t>
      </w:r>
    </w:p>
    <w:p w14:paraId="4BB19A22" w14:textId="08A990CF" w:rsidR="00BB6ACA" w:rsidRPr="009D5510" w:rsidRDefault="00BB6ACA" w:rsidP="00C17322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 ROCE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ratios are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almost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same both in 2019 and 2020. 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n 2020 the ratio is decreased a little b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which means that capital is not widely used to increase equity.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ROE ratios of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both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years are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different. 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n 2020 the ratio increased 14% to 15%. 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being more efficient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n making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profit. EPS Ratios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re also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different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in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both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y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ears. 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got reduced in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2020 by standing 1.68 in 2020 which was 1.83 in 2019. Inventory coverage ratios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re in optimal positions in both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y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ears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 </w:t>
      </w:r>
      <w:r w:rsidR="00812AF2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got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reduced in 2020 from 4.94 to 3.90. As </w:t>
      </w:r>
      <w:r w:rsidR="00B34D6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h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igher than one reflects better condition for 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so 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doing very well in this segment.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The a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sset turnover ratio increased in 2020 from 2019.  </w:t>
      </w:r>
      <w:r w:rsidR="00B34D6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 means that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doing well in sales </w:t>
      </w:r>
      <w:r w:rsidR="00B34D6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revenue </w:t>
      </w:r>
      <w:r w:rsidR="00B34D6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gradually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. 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The c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ollection period has also decreased in 2028 it was around 67 days where it was 72 days in 2019.  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collecting debts frequently.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The c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urrent ratio has also increased from 2019 to 2020.  it means that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</w:t>
      </w:r>
      <w:proofErr w:type="spellStart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becoming more capable of liquidating its asset to meet its liability. Gearing ratio decrease in </w:t>
      </w:r>
      <w:r w:rsidR="00B34D6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2020 by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reaching 44% which was 50% in 2019. Both the ratios are more than 4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which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means they are optimal. The organization has improved in this section too. Stock Holding days remain almost </w:t>
      </w:r>
      <w:r w:rsidR="00D1618E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same </w:t>
      </w:r>
      <w:r w:rsidR="00B34D6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that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means stocks are not being sold accordingly.</w:t>
      </w:r>
    </w:p>
    <w:p w14:paraId="7772E922" w14:textId="4286D592" w:rsidR="00BB6ACA" w:rsidRPr="009D5510" w:rsidRDefault="00BB6ACA" w:rsidP="002723FF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overall scenario of ratio analysis denotes that the organization is not doing efficiently in many operations. Various vulnerabilities are being found. Though </w:t>
      </w:r>
      <w:r w:rsidR="00B34D6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any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="00B34D60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e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vere damage has not occurred, it is highly recommended to increase efficiency.</w:t>
      </w:r>
    </w:p>
    <w:p w14:paraId="45BE36D9" w14:textId="77777777" w:rsidR="002723FF" w:rsidRPr="009D5510" w:rsidRDefault="002723FF" w:rsidP="009D5510">
      <w:pPr>
        <w:pStyle w:val="Heading1"/>
        <w:rPr>
          <w:rFonts w:ascii="Times New Roman" w:eastAsia="Times New Roman" w:hAnsi="Times New Roman" w:cs="Times New Roman"/>
          <w:b/>
          <w:bCs/>
        </w:rPr>
      </w:pPr>
      <w:bookmarkStart w:id="9" w:name="_Toc77347933"/>
      <w:r w:rsidRPr="009D5510">
        <w:rPr>
          <w:rFonts w:ascii="Times New Roman" w:eastAsia="Times New Roman" w:hAnsi="Times New Roman" w:cs="Times New Roman"/>
          <w:b/>
          <w:bCs/>
        </w:rPr>
        <w:t>Conclusion</w:t>
      </w:r>
      <w:bookmarkEnd w:id="9"/>
    </w:p>
    <w:p w14:paraId="2D4AF388" w14:textId="1C4B8DE7" w:rsidR="002723FF" w:rsidRPr="002723FF" w:rsidRDefault="002723FF" w:rsidP="002723FF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The purpose and necessity of financial statement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and ratio analysis can easily be perceived through the above discussion. </w:t>
      </w:r>
      <w:r w:rsidR="00822BC4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P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rofit</w:t>
      </w:r>
      <w:r w:rsidR="00822BC4"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-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loss statement gives the description that how the </w:t>
      </w:r>
      <w:proofErr w:type="spellStart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doing it creating profit day-to-day activities.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 also ensures that whether the </w:t>
      </w:r>
      <w:proofErr w:type="spellStart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expanding more th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n earning or not. 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I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 can easily be understood why both the side of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financial position statement always balance and how it help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</w:t>
      </w:r>
      <w:proofErr w:type="spellStart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to access it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a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ssets and liability and equity.  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T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he importance of ratio analysis has also been reflected here and the current positions in various segments can easily be gained through this process.  It help</w:t>
      </w:r>
      <w:r w:rsidRPr="009D5510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</w:t>
      </w:r>
      <w:proofErr w:type="spellStart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organisation</w:t>
      </w:r>
      <w:proofErr w:type="spellEnd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to </w:t>
      </w:r>
      <w:proofErr w:type="spellStart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>analyse</w:t>
      </w:r>
      <w:proofErr w:type="spellEnd"/>
      <w:r w:rsidRPr="002723F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the present condition in its operation which is not that complex or costly. </w:t>
      </w:r>
    </w:p>
    <w:p w14:paraId="36116D9D" w14:textId="6403FD95" w:rsidR="007E5828" w:rsidRPr="009D5510" w:rsidRDefault="007E5828" w:rsidP="002723FF">
      <w:pPr>
        <w:spacing w:line="360" w:lineRule="auto"/>
        <w:jc w:val="both"/>
        <w:rPr>
          <w:rFonts w:ascii="Times New Roman" w:hAnsi="Times New Roman" w:cs="Times New Roman"/>
          <w:color w:val="2B2C28"/>
          <w:sz w:val="24"/>
          <w:szCs w:val="24"/>
        </w:rPr>
      </w:pPr>
    </w:p>
    <w:p w14:paraId="08241792" w14:textId="6BA8F8BB" w:rsidR="00174488" w:rsidRPr="009D5510" w:rsidRDefault="00174488" w:rsidP="00C17322">
      <w:pPr>
        <w:spacing w:line="360" w:lineRule="auto"/>
        <w:jc w:val="both"/>
        <w:rPr>
          <w:rFonts w:ascii="Times New Roman" w:hAnsi="Times New Roman" w:cs="Times New Roman"/>
          <w:color w:val="2B2C28"/>
          <w:sz w:val="24"/>
          <w:szCs w:val="24"/>
        </w:rPr>
      </w:pPr>
    </w:p>
    <w:p w14:paraId="11201D0E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6AF1B7EC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1ECD5D01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0714825C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122DD408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4A607A05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18036734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33A40510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0EE2069B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5502B76A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0255DB82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5860041A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2E572F45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7CE05577" w14:textId="6C08992F" w:rsidR="00521887" w:rsidRPr="009D5510" w:rsidRDefault="00C566E1" w:rsidP="00041874">
      <w:pPr>
        <w:pStyle w:val="Heading1"/>
        <w:rPr>
          <w:rFonts w:ascii="Times New Roman" w:hAnsi="Times New Roman" w:cs="Times New Roman"/>
          <w:b/>
          <w:bCs/>
        </w:rPr>
      </w:pPr>
      <w:bookmarkStart w:id="10" w:name="_Toc77347934"/>
      <w:r w:rsidRPr="009D5510">
        <w:rPr>
          <w:rFonts w:ascii="Times New Roman" w:hAnsi="Times New Roman" w:cs="Times New Roman"/>
          <w:b/>
          <w:bCs/>
        </w:rPr>
        <w:t>References</w:t>
      </w:r>
      <w:bookmarkEnd w:id="10"/>
    </w:p>
    <w:p w14:paraId="453BA520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Al-</w:t>
      </w: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Natsheh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N., &amp; Al-</w:t>
      </w: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Okdeh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 (2020). The impact of creative accounting methods on earnings per share.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Management Science Letters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10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831-840.</w:t>
      </w:r>
    </w:p>
    <w:p w14:paraId="1C3A8FDF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Baroth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J., </w:t>
      </w: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Briffaut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Vu, D., </w:t>
      </w: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Malecot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Y., &amp; </w:t>
      </w: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Daudeville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L. (2021). Prediction of perforation into concrete accounting for saturation ratio influence at high confinement.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Impact Engineering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103923.</w:t>
      </w:r>
    </w:p>
    <w:p w14:paraId="0DAE3049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Blancard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S., </w:t>
      </w: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Boussemart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 P., &amp; Debruyne, M. (2020). Assessing managerial performance using non-parametric distance functions compared to technical and accounting ratio analysis: an application to French farms in Nord-Pas-de-Calais specialized in field crops.</w:t>
      </w:r>
    </w:p>
    <w:p w14:paraId="6E7F24ED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Dharmapala, D. (2020). The tax elasticity of financial statement income: Implications for current reform proposals.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National Tax Journal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73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1047-1064.</w:t>
      </w:r>
    </w:p>
    <w:p w14:paraId="1EB89215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Dhole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S., Liu, L., Lobo, G. J., &amp; Mishra, S. (2021). Economic policy uncertainty and financial statement comparability.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Accounting and Public Policy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40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106800.</w:t>
      </w:r>
    </w:p>
    <w:p w14:paraId="29C8FE61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Habib, A., Hasan, M. M., &amp; Al‐Hadi, A. (2020). Financial statement comparability and Idiosyncratic return volatility.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Review of Finance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383-413.</w:t>
      </w:r>
    </w:p>
    <w:p w14:paraId="1ED3A568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Habib, A., Hasan, M. M., Mollah, S., &amp; Molyneux, P. (2020). Financial statement comparability, earnings smoothing and loan-loss provisioning in banking.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Earnings Smoothing and Loan-Loss Provisioning in Banking (June 9, 2020)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87D5C46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Khasanah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U., &amp; </w:t>
      </w: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Suryarini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T. (2020). The Role of Prudence in Moderating the Effect of Bonus Mechanism, Intangible Assets, and Inventory Intensity Ratio on Transfer Pricing.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Accounting and Strategic Finance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154-168.</w:t>
      </w:r>
    </w:p>
    <w:p w14:paraId="3C49CCEF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Robinson, T. R. (2020).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financial statement analysis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John Wiley &amp; Sons.</w:t>
      </w:r>
    </w:p>
    <w:p w14:paraId="7647CF0D" w14:textId="77777777" w:rsidR="00521887" w:rsidRPr="009D5510" w:rsidRDefault="00521887" w:rsidP="00C1732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Sukandani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Y., </w:t>
      </w:r>
      <w:proofErr w:type="spellStart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Istikhoroh</w:t>
      </w:r>
      <w:proofErr w:type="spellEnd"/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S., &amp; Widodo, U. P. W. (2021). THE ROLE OF ACCOUNTING CONSERVATISM AS A MODERATE OF DEBT RATIO EFFECT ON FINANCIAL DISTRESS.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Economics, Business and Accounting Research (IJEBAR)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D551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</w:t>
      </w:r>
      <w:r w:rsidRPr="009D551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(2).</w:t>
      </w:r>
    </w:p>
    <w:sectPr w:rsidR="00521887" w:rsidRPr="009D5510" w:rsidSect="0004187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3C9328" w14:textId="77777777" w:rsidR="00BF39CD" w:rsidRDefault="00BF39CD" w:rsidP="00041874">
      <w:pPr>
        <w:spacing w:after="0" w:line="240" w:lineRule="auto"/>
      </w:pPr>
      <w:r>
        <w:separator/>
      </w:r>
    </w:p>
  </w:endnote>
  <w:endnote w:type="continuationSeparator" w:id="0">
    <w:p w14:paraId="6D09347D" w14:textId="77777777" w:rsidR="00BF39CD" w:rsidRDefault="00BF39CD" w:rsidP="000418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991040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4ACC60" w14:textId="2DFF48F2" w:rsidR="00041874" w:rsidRDefault="0004187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24884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14:paraId="22AB2A5C" w14:textId="77777777" w:rsidR="00041874" w:rsidRDefault="000418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508D71" w14:textId="77777777" w:rsidR="00BF39CD" w:rsidRDefault="00BF39CD" w:rsidP="00041874">
      <w:pPr>
        <w:spacing w:after="0" w:line="240" w:lineRule="auto"/>
      </w:pPr>
      <w:r>
        <w:separator/>
      </w:r>
    </w:p>
  </w:footnote>
  <w:footnote w:type="continuationSeparator" w:id="0">
    <w:p w14:paraId="0C622389" w14:textId="77777777" w:rsidR="00BF39CD" w:rsidRDefault="00BF39CD" w:rsidP="0004187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2C57F4"/>
    <w:multiLevelType w:val="hybridMultilevel"/>
    <w:tmpl w:val="4698BAF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9366A9"/>
    <w:multiLevelType w:val="hybridMultilevel"/>
    <w:tmpl w:val="0958D3F8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68128AE"/>
    <w:multiLevelType w:val="hybridMultilevel"/>
    <w:tmpl w:val="4E36DA5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C3NDO1NDAzMbM0M7JQ0lEKTi0uzszPAykwrwUA9lBwciwAAAA="/>
  </w:docVars>
  <w:rsids>
    <w:rsidRoot w:val="00D461FA"/>
    <w:rsid w:val="000078CD"/>
    <w:rsid w:val="00021C39"/>
    <w:rsid w:val="000229FD"/>
    <w:rsid w:val="00041874"/>
    <w:rsid w:val="000563AB"/>
    <w:rsid w:val="00174488"/>
    <w:rsid w:val="00224884"/>
    <w:rsid w:val="002723FF"/>
    <w:rsid w:val="00320B8E"/>
    <w:rsid w:val="003A724F"/>
    <w:rsid w:val="004B7CE7"/>
    <w:rsid w:val="004F6F06"/>
    <w:rsid w:val="00521887"/>
    <w:rsid w:val="00575A01"/>
    <w:rsid w:val="00581332"/>
    <w:rsid w:val="00671DCC"/>
    <w:rsid w:val="006F09E7"/>
    <w:rsid w:val="00760FE2"/>
    <w:rsid w:val="007E5828"/>
    <w:rsid w:val="00812AF2"/>
    <w:rsid w:val="00822BC4"/>
    <w:rsid w:val="008D58C2"/>
    <w:rsid w:val="009D5510"/>
    <w:rsid w:val="009D75D7"/>
    <w:rsid w:val="009E7EED"/>
    <w:rsid w:val="009F0AE0"/>
    <w:rsid w:val="00AF1D30"/>
    <w:rsid w:val="00B34D60"/>
    <w:rsid w:val="00B47FB4"/>
    <w:rsid w:val="00BB6ACA"/>
    <w:rsid w:val="00BF39CD"/>
    <w:rsid w:val="00C17322"/>
    <w:rsid w:val="00C566E1"/>
    <w:rsid w:val="00D1618E"/>
    <w:rsid w:val="00D42836"/>
    <w:rsid w:val="00D461FA"/>
    <w:rsid w:val="00DF4298"/>
    <w:rsid w:val="00E71D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EE1CAE"/>
  <w15:chartTrackingRefBased/>
  <w15:docId w15:val="{E9A9C590-397A-43EA-B632-85994A12AE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187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4187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61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7E5828"/>
    <w:rPr>
      <w:b/>
      <w:bCs/>
    </w:rPr>
  </w:style>
  <w:style w:type="character" w:customStyle="1" w:styleId="mord">
    <w:name w:val="mord"/>
    <w:basedOn w:val="DefaultParagraphFont"/>
    <w:rsid w:val="007E5828"/>
  </w:style>
  <w:style w:type="character" w:customStyle="1" w:styleId="mspace">
    <w:name w:val="mspace"/>
    <w:basedOn w:val="DefaultParagraphFont"/>
    <w:rsid w:val="007E5828"/>
  </w:style>
  <w:style w:type="character" w:customStyle="1" w:styleId="mopen">
    <w:name w:val="mopen"/>
    <w:basedOn w:val="DefaultParagraphFont"/>
    <w:rsid w:val="007E5828"/>
  </w:style>
  <w:style w:type="character" w:customStyle="1" w:styleId="mclose">
    <w:name w:val="mclose"/>
    <w:basedOn w:val="DefaultParagraphFont"/>
    <w:rsid w:val="007E5828"/>
  </w:style>
  <w:style w:type="character" w:customStyle="1" w:styleId="mrel">
    <w:name w:val="mrel"/>
    <w:basedOn w:val="DefaultParagraphFont"/>
    <w:rsid w:val="007E5828"/>
  </w:style>
  <w:style w:type="character" w:customStyle="1" w:styleId="vlist-s">
    <w:name w:val="vlist-s"/>
    <w:basedOn w:val="DefaultParagraphFont"/>
    <w:rsid w:val="007E5828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E582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E5828"/>
    <w:rPr>
      <w:rFonts w:ascii="Courier New" w:eastAsia="Times New Roman" w:hAnsi="Courier New" w:cs="Courier New"/>
      <w:sz w:val="20"/>
      <w:szCs w:val="20"/>
    </w:rPr>
  </w:style>
  <w:style w:type="paragraph" w:styleId="NormalWeb">
    <w:name w:val="Normal (Web)"/>
    <w:basedOn w:val="Normal"/>
    <w:uiPriority w:val="99"/>
    <w:unhideWhenUsed/>
    <w:rsid w:val="007E58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formula">
    <w:name w:val="formula"/>
    <w:basedOn w:val="DefaultParagraphFont"/>
    <w:rsid w:val="007E5828"/>
  </w:style>
  <w:style w:type="character" w:styleId="Emphasis">
    <w:name w:val="Emphasis"/>
    <w:basedOn w:val="DefaultParagraphFont"/>
    <w:uiPriority w:val="20"/>
    <w:qFormat/>
    <w:rsid w:val="00575A01"/>
    <w:rPr>
      <w:i/>
      <w:iCs/>
    </w:rPr>
  </w:style>
  <w:style w:type="paragraph" w:styleId="ListParagraph">
    <w:name w:val="List Paragraph"/>
    <w:basedOn w:val="Normal"/>
    <w:uiPriority w:val="34"/>
    <w:qFormat/>
    <w:rsid w:val="00E71D2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4187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4187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41874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04187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4187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4187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4187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1874"/>
  </w:style>
  <w:style w:type="paragraph" w:styleId="Footer">
    <w:name w:val="footer"/>
    <w:basedOn w:val="Normal"/>
    <w:link w:val="FooterChar"/>
    <w:uiPriority w:val="99"/>
    <w:unhideWhenUsed/>
    <w:rsid w:val="0004187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1874"/>
  </w:style>
  <w:style w:type="paragraph" w:styleId="Title">
    <w:name w:val="Title"/>
    <w:basedOn w:val="Normal"/>
    <w:next w:val="Normal"/>
    <w:link w:val="TitleChar"/>
    <w:uiPriority w:val="10"/>
    <w:qFormat/>
    <w:rsid w:val="0004187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1874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11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9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9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22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6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7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1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8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18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09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1465AA-FB43-4DD5-908D-2CB53CB7DB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203</TotalTime>
  <Pages>12</Pages>
  <Words>2080</Words>
  <Characters>11857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Fahim Khan</cp:lastModifiedBy>
  <cp:revision>4</cp:revision>
  <dcterms:created xsi:type="dcterms:W3CDTF">2021-07-15T04:23:00Z</dcterms:created>
  <dcterms:modified xsi:type="dcterms:W3CDTF">2021-07-16T19:30:00Z</dcterms:modified>
</cp:coreProperties>
</file>