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r>
              <w:rPr>
                <w:rFonts w:ascii="Arial" w:hAnsi="Arial" w:cs="Arial"/>
              </w:rPr>
              <w:t>Swasti Maheshkumar Sakariya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r>
              <w:rPr>
                <w:rFonts w:ascii="Arial" w:hAnsi="Arial" w:cs="Arial"/>
              </w:rPr>
              <w:t>2532368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5099AD" w:rsidR="005E6C44" w:rsidRPr="00193794" w:rsidRDefault="00193794" w:rsidP="003F6F7B">
            <w:pPr>
              <w:rPr>
                <w:rFonts w:ascii="Arial" w:hAnsi="Arial" w:cs="Arial"/>
              </w:rPr>
            </w:pPr>
            <w:r w:rsidRPr="00193794">
              <w:rPr>
                <w:rFonts w:ascii="Arial" w:hAnsi="Arial" w:cs="Arial"/>
              </w:rPr>
              <w:t>2532368</w:t>
            </w:r>
            <w:r>
              <w:rPr>
                <w:rFonts w:ascii="Arial" w:hAnsi="Arial" w:cs="Arial"/>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r>
              <w:rPr>
                <w:rFonts w:ascii="Arial" w:hAnsi="Arial" w:cs="Arial"/>
              </w:rPr>
              <w:t>MSc Cybersecurity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r>
              <w:rPr>
                <w:rFonts w:ascii="Arial" w:hAnsi="Arial" w:cs="Arial"/>
              </w:rPr>
              <w:t>Dr Suresh Shanmugasundaram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r>
              <w:rPr>
                <w:rFonts w:ascii="Arial" w:hAnsi="Arial" w:cs="Arial"/>
              </w:rPr>
              <w:t>Council of Professors and Heads of Computing (CPHC) - Guidelines on Handling Ethical Issues in the Research and Teaching of Malicious Software</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r>
              <w:rPr>
                <w:rFonts w:ascii="Arial" w:hAnsi="Arial" w:cs="Arial"/>
              </w:rPr>
              <w:t>NIST SP 800-88 Rev.1 - Guidelines for Media Sanitization</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r>
              <w:rPr>
                <w:rFonts w:ascii="Arial" w:hAnsi="Arial" w:cs="Arial"/>
              </w:rPr>
              <w:t>Evaluating Endpoint Detection and Response Solutions Against Advanced Trojan Malware Architectures: A Framework for Reducing Alert Fatigue Through Explainable AI</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r>
              <w:rPr>
                <w:rFonts w:ascii="Arial" w:hAnsi="Arial" w:cs="Arial"/>
              </w:rPr>
              <w:t>01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r>
              <w:rPr>
                <w:rFonts w:ascii="Arial" w:hAnsi="Arial" w:cs="Arial"/>
              </w:rPr>
              <w:t>28 February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r>
              <w:rPr>
                <w:rFonts w:ascii="Arial" w:hAnsi="Arial" w:cs="Arial"/>
              </w:rPr>
              <w:t>This research investigates why modern Endpoint Detection and Response (EDR) security software, used by organisations to catch cyberattacks on laptops and servers, still lets sophisticated Trojan malware through, while at the same time overwhelming security teams with false alarms. The study tests how well current detection tools identify credential-theft techniques such as BYOVD (using a legitimate but vulnerable driver to disable security software) and LSASS memory dumping (extracting stored passwords from a running Windows process). It also measures how many false alarms these tools generate during normal, everyday IT activity, and whether adding an explainable AI layer, which shows analysts why an alert was raised, helps security staff work through alerts faster. The purpose is to produce practical guidance that organisations can use to tune their EDR systems so that genuine threats are still caught while reducing the false alarms that contribute to analyst burnout.</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r>
              <w:rPr>
                <w:rFonts w:ascii="Arial" w:hAnsi="Arial" w:cs="Arial"/>
              </w:rPr>
              <w:t>RQ1: How can an EDR platform detect BYOVD and LSASS-based credential theft precisely enough to avoid flooding analysts with false positives?</w:t>
            </w:r>
            <w:r>
              <w:rPr>
                <w:rFonts w:ascii="Arial" w:hAnsi="Arial" w:cs="Arial"/>
              </w:rPr>
              <w:br/>
              <w:t>RQ2: What volume of false-positive alerts do current EDR heuristics generate under normal, benign administrative activity?</w:t>
            </w:r>
            <w:r>
              <w:rPr>
                <w:rFonts w:ascii="Arial" w:hAnsi="Arial" w:cs="Arial"/>
              </w:rPr>
              <w:br/>
              <w:t>RQ3: Can explainable AI techniques (SHAP and LIME) measurably reduce the time analysts spend triaging EDR alerts?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r>
              <w:rPr>
                <w:rFonts w:ascii="Arial" w:hAnsi="Arial" w:cs="Arial"/>
              </w:rPr>
              <w:t xml:space="preserve">The aim of this research is to examine how modern EDR platforms detect advanced Trojan behaviours and the operational pressure </w:t>
            </w:r>
            <w:proofErr w:type="gramStart"/>
            <w:r>
              <w:rPr>
                <w:rFonts w:ascii="Arial" w:hAnsi="Arial" w:cs="Arial"/>
              </w:rPr>
              <w:t>this places</w:t>
            </w:r>
            <w:proofErr w:type="gramEnd"/>
            <w:r>
              <w:rPr>
                <w:rFonts w:ascii="Arial" w:hAnsi="Arial" w:cs="Arial"/>
              </w:rPr>
              <w:t xml:space="preserve"> on security teams, and to use these findings to propose a deployment framework that keeps detection performance high while reducing unnecessary alert fatigue.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r>
              <w:rPr>
                <w:rFonts w:ascii="Arial" w:hAnsi="Arial" w:cs="Arial"/>
              </w:rPr>
              <w:t xml:space="preserve">1. Benchmark leading machine-learning detection algorithms (Random Forest, </w:t>
            </w:r>
            <w:proofErr w:type="spellStart"/>
            <w:r>
              <w:rPr>
                <w:rFonts w:ascii="Arial" w:hAnsi="Arial" w:cs="Arial"/>
              </w:rPr>
              <w:t>LightGBM</w:t>
            </w:r>
            <w:proofErr w:type="spellEnd"/>
            <w:r>
              <w:rPr>
                <w:rFonts w:ascii="Arial" w:hAnsi="Arial" w:cs="Arial"/>
              </w:rPr>
              <w:t>, CNN-LSTM) against the BODMAS and CIC-MalMem-2022 datasets, recording Precision, Recall and ROC-AUC (Month 2).</w:t>
            </w:r>
            <w:r>
              <w:rPr>
                <w:rFonts w:ascii="Arial" w:hAnsi="Arial" w:cs="Arial"/>
              </w:rPr>
              <w:br/>
              <w:t>2. Test EDR resilience against BYOVD and LSASS credential-dumping techniques via live, controlled emulation in an isolated hypervisor environment, recording True Positive Rate (Month 3).</w:t>
            </w:r>
            <w:r>
              <w:rPr>
                <w:rFonts w:ascii="Arial" w:hAnsi="Arial" w:cs="Arial"/>
              </w:rPr>
              <w:br/>
              <w:t>3. Measure the false-positive burden EDR heuristics generate during simulated benign administrative activity, recording False Positive Rate and Mean Time to Detect (Month 4).</w:t>
            </w:r>
            <w:r>
              <w:rPr>
                <w:rFonts w:ascii="Arial" w:hAnsi="Arial" w:cs="Arial"/>
              </w:rPr>
              <w:br/>
              <w:t>4. Apply SHAP and LIME interpretability techniques to EDR alerts and assess whether they speed up analyst triage (Month 5).</w:t>
            </w:r>
            <w:r>
              <w:rPr>
                <w:rFonts w:ascii="Arial" w:hAnsi="Arial" w:cs="Arial"/>
              </w:rPr>
              <w:br/>
              <w:t>5. Combine Objectives 1-4 into a low-noise, SOAR-integrated EDR deployment framework with tuning recommendations (Month 6).</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r>
              <w:rPr>
                <w:rFonts w:ascii="Arial" w:hAnsi="Arial" w:cs="Arial"/>
              </w:rPr>
              <w:lastRenderedPageBreak/>
              <w:t>Data will be collected in three ways, entirely within a fully isolated, air-gapped laboratory environment with no connection to external networks or real organisational systems:</w:t>
            </w:r>
            <w:r>
              <w:rPr>
                <w:rFonts w:ascii="Arial" w:hAnsi="Arial" w:cs="Arial"/>
              </w:rPr>
              <w:br/>
              <w:t>1. Offline benchmark testing - publicly available, non-personal malware datasets (BODMAS: over 133,800 labelled PE file samples; CIC-MalMem-2022: over 58,600 memory-dump records) will be used to train and cross-validate detection algorithms.</w:t>
            </w:r>
            <w:r>
              <w:rPr>
                <w:rFonts w:ascii="Arial" w:hAnsi="Arial" w:cs="Arial"/>
              </w:rPr>
              <w:br/>
              <w:t xml:space="preserve">2. Live adversarial emulation - MITRE Caldera, Atomic Red Team and Stratus Red Team will be used to safely detonate defanged Trojan payloads and credential-theft techniques (BYOVD, LSASS dumping) inside an air-gapped VMware </w:t>
            </w:r>
            <w:proofErr w:type="spellStart"/>
            <w:r>
              <w:rPr>
                <w:rFonts w:ascii="Arial" w:hAnsi="Arial" w:cs="Arial"/>
              </w:rPr>
              <w:t>ESXi</w:t>
            </w:r>
            <w:proofErr w:type="spellEnd"/>
            <w:r>
              <w:rPr>
                <w:rFonts w:ascii="Arial" w:hAnsi="Arial" w:cs="Arial"/>
              </w:rPr>
              <w:t xml:space="preserve"> hypervisor containing simulated Windows 11 endpoints, Windows Server 2022 domain controllers and isolated Linux database servers. Commercial EDR agents will run in detection-only mode, with telemetry captured to a Splunk Enterprise Security instance.</w:t>
            </w:r>
            <w:r>
              <w:rPr>
                <w:rFonts w:ascii="Arial" w:hAnsi="Arial" w:cs="Arial"/>
              </w:rPr>
              <w:br/>
              <w:t>3. Operational noise measurement - benign administrative activity will be simulated in the same environment to measure the false-positive rate generated by EDR heuristics, and SHAP/LIME interpretability outputs will be applied to a sample of alerts to evaluate analyst triage time.</w:t>
            </w:r>
            <w:r>
              <w:rPr>
                <w:rFonts w:ascii="Arial" w:hAnsi="Arial" w:cs="Arial"/>
              </w:rPr>
              <w:br/>
              <w:t>No real personal data, live production systems, or human participants are involved; all telemetry originates from simulated accounts and machines within the closed lab environment.</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r>
              <w:rPr>
                <w:rFonts w:ascii="Arial" w:hAnsi="Arial" w:cs="Arial"/>
              </w:rPr>
              <w:t>Automated capture of EDR/SIEM telemetry and system log files generated within an isolated, air-gapped simulated network environment during live malware emulation exercises. No live production systems or human participants are involved.</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r>
              <w:rPr>
                <w:rFonts w:ascii="Arial" w:hAnsi="Arial" w:cs="Arial"/>
              </w:rPr>
              <w:t>Not applicable - this research does not involve human participants. All test data originates from simulated systems, public malware datasets, and synthetic network telemetry generated within an isolated laboratory environment.</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r>
              <w:rPr>
                <w:rFonts w:ascii="Arial" w:hAnsi="Arial" w:cs="Arial"/>
              </w:rPr>
              <w:t>N/A - 0 participants. This research does not involve human participants.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r>
              <w:rPr>
                <w:rFonts w:ascii="Arial" w:hAnsi="Arial" w:cs="Arial"/>
              </w:rPr>
              <w:t>N/A - no human participants are involved.</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r>
              <w:rPr>
                <w:rFonts w:ascii="Arial" w:hAnsi="Arial" w:cs="Arial"/>
              </w:rPr>
              <w:t>N/A - not applicable.</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p w14:paraId="4DB084D8"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rPr>
              <w:t>Not applicable - this research does not involve human participants; all data comes from public datasets and simulated/synthetic lab telemetry (see Sections D and E).</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p w14:paraId="07E520FF"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rPr>
              <w:t>Not applicable - no human participants are involved and there are no financial or other interests arising from this study beyond normal academic supervision.</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r>
              <w:rPr>
                <w:rFonts w:ascii="Arial" w:hAnsi="Arial" w:cs="Arial"/>
              </w:rPr>
              <w:t>N/A - this research does not involve human participants.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r>
              <w:rPr>
                <w:rFonts w:ascii="Arial" w:hAnsi="Arial" w:cs="Arial"/>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r>
              <w:rPr>
                <w:rFonts w:ascii="Arial" w:hAnsi="Arial" w:cs="Arial"/>
              </w:rPr>
              <w:t>N/A - no human participants; the research involves controlled laboratory testing of malware detection systems only. Should any evidence of unrelated illegal activity be discovered incidentally during the project, this will be reported to the University in line with standard institutional procedures.</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r>
              <w:rPr>
                <w:rFonts w:ascii="Arial" w:hAnsi="Arial" w:cs="Arial"/>
              </w:rPr>
              <w:t>Exposure to live (though defanged) Trojan malware during controlled emulation exercises; potential for accidental escape or execution of malicious code outside the isolated test environment; risk of system compromise if isolation controls fail.</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r>
              <w:rPr>
                <w:rFonts w:ascii="Arial" w:hAnsi="Arial" w:cs="Arial"/>
              </w:rPr>
              <w:t xml:space="preserve">All malware handling and detonation will take place within a strictly air-gapped VMware </w:t>
            </w:r>
            <w:proofErr w:type="spellStart"/>
            <w:r>
              <w:rPr>
                <w:rFonts w:ascii="Arial" w:hAnsi="Arial" w:cs="Arial"/>
              </w:rPr>
              <w:t>ESXi</w:t>
            </w:r>
            <w:proofErr w:type="spellEnd"/>
            <w:r>
              <w:rPr>
                <w:rFonts w:ascii="Arial" w:hAnsi="Arial" w:cs="Arial"/>
              </w:rPr>
              <w:t xml:space="preserve"> hypervisor with no external network routing. Simulated command-and-control traffic will be redirected to a local DNS sinkhole. The research will follow the Council of Professors and Heads of Computing (CPHC) guidelines on the safe research and teaching of malicious software. All samples and environments will be securely wiped in accordance with NIST SP 800-88 Rev.1 on project completion.</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r>
              <w:rPr>
                <w:rFonts w:ascii="Arial" w:hAnsi="Arial" w:cs="Arial"/>
              </w:rPr>
              <w:t>Reputational or financial risk if live malware were to escape the isolated environment; potential licensing or contractual issues arising from use of commercial EDR software under academic/trial licence.</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r>
              <w:rPr>
                <w:rFonts w:ascii="Arial" w:hAnsi="Arial" w:cs="Arial"/>
              </w:rPr>
              <w:t>Strict air-gapping and network isolation of all live-malware testing; use of properly licensed academic/trial EDR software; secure destruction of all malware samples and test data at project completion; adherence to the UWTSD Research Ethics &amp; Integrity Code of Practice throughout.</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r>
              <w:rPr>
                <w:rFonts w:ascii="Arial" w:hAnsi="Arial" w:cs="Arial"/>
              </w:rPr>
              <w:t>N/A - this is a purely digital, laboratory-based research activity with no physical materials or ecological impact.</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r>
              <w:rPr>
                <w:rFonts w:ascii="Arial" w:hAnsi="Arial" w:cs="Arial"/>
              </w:rPr>
              <w:t>N/A</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r>
              <w:rPr>
                <w:rFonts w:ascii="Arial" w:hAnsi="Arial" w:cs="Arial"/>
              </w:rPr>
              <w:t>Not applicable - this research does not involve human participants (see Section D).</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r>
              <w:rPr>
                <w:rFonts w:ascii="Arial" w:hAnsi="Arial" w:cs="Arial"/>
              </w:rPr>
              <w:lastRenderedPageBreak/>
              <w:t>Not applicable - this research does not involve human participants (see Section 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r>
              <w:rPr>
                <w:rFonts w:ascii="Arial" w:hAnsi="Arial" w:cs="Arial"/>
              </w:rPr>
              <w:t>Not applicable - this research does not involve human participants (see Section D).</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p w14:paraId="7C2F97E5" w14:textId="77777777" w:rsidR="006930C2" w:rsidRDefault="006930C2" w:rsidP="00947984">
            <w:pPr>
              <w:pStyle w:val="NormalWeb"/>
              <w:autoSpaceDE w:val="0"/>
              <w:autoSpaceDN w:val="0"/>
              <w:adjustRightInd w:val="0"/>
            </w:pPr>
            <w:r>
              <w:rPr>
                <w:rFonts w:ascii="Arial" w:hAnsi="Arial" w:cs="Arial"/>
                <w:sz w:val="20"/>
                <w:szCs w:val="20"/>
              </w:rPr>
              <w:t>N/A - no personal data is collected. This research uses non-personal, publicly available malware datasets (BODMAS, CIC-MalMem-2022) and telemetry generated by simulated / synthetic accounts within an isolated laboratory environment.</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p w14:paraId="48E33469" w14:textId="77777777" w:rsidR="006930C2" w:rsidRDefault="006930C2" w:rsidP="00947984">
            <w:pPr>
              <w:pStyle w:val="NormalWeb"/>
              <w:autoSpaceDE w:val="0"/>
              <w:autoSpaceDN w:val="0"/>
              <w:adjustRightInd w:val="0"/>
            </w:pPr>
            <w:r>
              <w:rPr>
                <w:rFonts w:ascii="Arial" w:hAnsi="Arial" w:cs="Arial"/>
                <w:sz w:val="20"/>
                <w:szCs w:val="20"/>
              </w:rPr>
              <w:t>N/A - no special category data is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p w14:paraId="4F5E82AD" w14:textId="77777777" w:rsidR="004D0161" w:rsidRDefault="004D0161" w:rsidP="00204E14">
            <w:pPr>
              <w:autoSpaceDE w:val="0"/>
              <w:autoSpaceDN w:val="0"/>
              <w:adjustRightInd w:val="0"/>
              <w:rPr>
                <w:rFonts w:ascii="Arial" w:hAnsi="Arial" w:cs="Arial"/>
                <w:b/>
                <w:bCs/>
                <w:sz w:val="22"/>
                <w:szCs w:val="22"/>
              </w:rPr>
            </w:pPr>
            <w:r>
              <w:rPr>
                <w:rFonts w:ascii="Arial" w:hAnsi="Arial" w:cs="Arial"/>
              </w:rPr>
              <w:t xml:space="preserve">All data will be kept in password-protected cloud storage on the University Office 365 system, which will not be shared outside the research team. EDR/SIEM telemetry and experimental results will be stored on </w:t>
            </w:r>
            <w:proofErr w:type="gramStart"/>
            <w:r>
              <w:rPr>
                <w:rFonts w:ascii="Arial" w:hAnsi="Arial" w:cs="Arial"/>
              </w:rPr>
              <w:t>University</w:t>
            </w:r>
            <w:proofErr w:type="gramEnd"/>
            <w:r>
              <w:rPr>
                <w:rFonts w:ascii="Arial" w:hAnsi="Arial" w:cs="Arial"/>
              </w:rPr>
              <w:t>-managed computers within the isolated research environment. No personal data is involved, so no anonymisation of individuals is required. All malware samples and test artefacts will be securely deleted at the end of the project, and any storage media used for containment will be wiped in accordance with NIST SP 800-88 Rev.1.</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p w14:paraId="77C7FB37" w14:textId="77777777" w:rsidR="004D0161" w:rsidRPr="004C3A0B" w:rsidRDefault="004D0161" w:rsidP="00B65EC6">
            <w:pPr>
              <w:spacing w:before="120" w:after="120"/>
              <w:rPr>
                <w:rFonts w:ascii="Arial" w:hAnsi="Arial" w:cs="Arial"/>
                <w:bCs/>
                <w:sz w:val="22"/>
                <w:szCs w:val="22"/>
              </w:rPr>
            </w:pPr>
            <w:r>
              <w:rPr>
                <w:rFonts w:ascii="Arial" w:hAnsi="Arial" w:cs="Arial"/>
              </w:rPr>
              <w:t>Electronic transfer occurs only within the isolated research environment (e.g. EDR agents to the Splunk Enterprise Security instance and SOAR data lake). No data leaves the University's secure infrastructure, and no personal data is involved.</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 xml:space="preserve">confidentiality and this list will be kept securely in the password </w:t>
            </w:r>
            <w:r w:rsidRPr="006C06BB">
              <w:rPr>
                <w:rFonts w:ascii="Arial" w:hAnsi="Arial" w:cs="Arial"/>
                <w:i/>
                <w:color w:val="7030A0"/>
                <w:sz w:val="22"/>
                <w:szCs w:val="22"/>
                <w:lang w:eastAsia="en-GB"/>
              </w:rPr>
              <w:lastRenderedPageBreak/>
              <w:t>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p w14:paraId="4DFD5B0D" w14:textId="77777777" w:rsidR="004D0161" w:rsidRPr="004C3A0B" w:rsidRDefault="004D0161" w:rsidP="00947984">
            <w:pPr>
              <w:autoSpaceDE w:val="0"/>
              <w:autoSpaceDN w:val="0"/>
              <w:adjustRightInd w:val="0"/>
              <w:rPr>
                <w:rFonts w:ascii="Arial" w:hAnsi="Arial" w:cs="Arial"/>
                <w:sz w:val="22"/>
                <w:szCs w:val="22"/>
              </w:rPr>
            </w:pPr>
            <w:r>
              <w:rPr>
                <w:rFonts w:ascii="Arial" w:hAnsi="Arial" w:cs="Arial"/>
              </w:rPr>
              <w:t>The principal researcher (Swasti Maheshkumar Sakariya) and the project supervisor (Dr Suresh Shanmugasundaram).</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p w14:paraId="0B9AD51F" w14:textId="77777777" w:rsidR="004D0161" w:rsidRPr="004C3A0B" w:rsidRDefault="004D0161" w:rsidP="00947984">
            <w:pPr>
              <w:autoSpaceDE w:val="0"/>
              <w:autoSpaceDN w:val="0"/>
              <w:adjustRightInd w:val="0"/>
              <w:rPr>
                <w:rFonts w:ascii="Arial" w:hAnsi="Arial" w:cs="Arial"/>
                <w:sz w:val="22"/>
                <w:szCs w:val="22"/>
              </w:rPr>
            </w:pPr>
            <w:r>
              <w:rPr>
                <w:rFonts w:ascii="Arial" w:hAnsi="Arial" w:cs="Arial"/>
              </w:rPr>
              <w:t>The principal researcher, Swasti Maheshkumar Sakariya.</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p w14:paraId="4DEEC01B" w14:textId="77777777" w:rsidR="004D0161" w:rsidRPr="004C3A0B" w:rsidRDefault="004D0161" w:rsidP="00A121A0">
            <w:pPr>
              <w:autoSpaceDE w:val="0"/>
              <w:autoSpaceDN w:val="0"/>
              <w:adjustRightInd w:val="0"/>
              <w:rPr>
                <w:rFonts w:ascii="Arial" w:hAnsi="Arial" w:cs="Arial"/>
                <w:sz w:val="22"/>
                <w:szCs w:val="22"/>
              </w:rPr>
            </w:pPr>
            <w:r>
              <w:rPr>
                <w:rFonts w:ascii="Arial" w:hAnsi="Arial" w:cs="Arial"/>
              </w:rPr>
              <w:t>All data will be encrypted and stored in password-protected University Office 365 cloud storage, accessible only to the principal researcher and supervisor. Data will be retained until completion and formal assessment of the MSc project, after which it will be securely deleted; any physical storage media used for malware containment will be wiped in accordance with NIST SP 800-88 Rev.1.</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09AB06AD" w14:textId="657C7C22"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p w14:paraId="5B4CAE57"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rPr>
              <w:t xml:space="preserve">Machine-learning models (Random Forest, </w:t>
            </w:r>
            <w:proofErr w:type="spellStart"/>
            <w:r>
              <w:rPr>
                <w:rFonts w:ascii="Arial" w:hAnsi="Arial" w:cs="Arial"/>
              </w:rPr>
              <w:t>LightGBM</w:t>
            </w:r>
            <w:proofErr w:type="spellEnd"/>
            <w:r>
              <w:rPr>
                <w:rFonts w:ascii="Arial" w:hAnsi="Arial" w:cs="Arial"/>
              </w:rPr>
              <w:t>, CNN-LSTM) will be used to capture, analyse and classify malware telemetry and dataset samples as part of the core research methodology. This is necessary to answer the research questions on detection performance and alert-fatigue reduction.</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r>
              <w:rPr>
                <w:rFonts w:ascii="Arial" w:hAnsi="Arial" w:cs="Arial"/>
              </w:rPr>
              <w:t xml:space="preserve">Locally-run, open-source machine learning libraries (Scikit-learn, TensorFlow, </w:t>
            </w:r>
            <w:proofErr w:type="spellStart"/>
            <w:r>
              <w:rPr>
                <w:rFonts w:ascii="Arial" w:hAnsi="Arial" w:cs="Arial"/>
              </w:rPr>
              <w:t>PyTorch</w:t>
            </w:r>
            <w:proofErr w:type="spellEnd"/>
            <w:r>
              <w:rPr>
                <w:rFonts w:ascii="Arial" w:hAnsi="Arial" w:cs="Arial"/>
              </w:rPr>
              <w:t xml:space="preserve">) and explainability libraries (SHAP, LIME), executed on </w:t>
            </w:r>
            <w:proofErr w:type="gramStart"/>
            <w:r>
              <w:rPr>
                <w:rFonts w:ascii="Arial" w:hAnsi="Arial" w:cs="Arial"/>
              </w:rPr>
              <w:t>University</w:t>
            </w:r>
            <w:proofErr w:type="gramEnd"/>
            <w:r>
              <w:rPr>
                <w:rFonts w:ascii="Arial" w:hAnsi="Arial" w:cs="Arial"/>
              </w:rPr>
              <w:t>-approved infrastructure within the isolated research environment. No cloud-based or third-party generative AI service will be used to process research data, in line with current UWTSD guidance on the use of AI in research.</w:t>
            </w: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B210FC8" w:rsidR="004D0161" w:rsidRPr="004C3A0B" w:rsidRDefault="00193794" w:rsidP="00694EA8">
            <w:pPr>
              <w:spacing w:before="100" w:beforeAutospacing="1" w:after="100" w:afterAutospacing="1"/>
              <w:rPr>
                <w:rFonts w:ascii="Arial" w:hAnsi="Arial" w:cs="Arial"/>
                <w:sz w:val="22"/>
                <w:szCs w:val="22"/>
              </w:rPr>
            </w:pPr>
            <w:r>
              <w:rPr>
                <w:rFonts w:ascii="Arial" w:hAnsi="Arial" w:cs="Arial"/>
              </w:rPr>
              <w:t>Swasti Maheshkumar Sakariya</w:t>
            </w:r>
            <w:r w:rsidRPr="004C3A0B">
              <w:rPr>
                <w:rFonts w:ascii="Arial" w:hAnsi="Arial" w:cs="Arial"/>
                <w:sz w:val="22"/>
                <w:szCs w:val="22"/>
              </w:rPr>
              <w:t xml:space="preserve"> </w:t>
            </w:r>
          </w:p>
        </w:tc>
        <w:tc>
          <w:tcPr>
            <w:tcW w:w="2139" w:type="dxa"/>
            <w:gridSpan w:val="3"/>
            <w:vAlign w:val="center"/>
          </w:tcPr>
          <w:p w14:paraId="7C2D2CC9" w14:textId="0CA07A3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93794">
              <w:rPr>
                <w:rFonts w:ascii="Arial" w:hAnsi="Arial" w:cs="Arial"/>
                <w:b/>
                <w:bCs/>
                <w:sz w:val="22"/>
                <w:szCs w:val="22"/>
              </w:rPr>
              <w:t>10/08/2026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15347" w14:textId="77777777" w:rsidR="002232AE" w:rsidRDefault="002232AE" w:rsidP="00390251">
      <w:r>
        <w:separator/>
      </w:r>
    </w:p>
    <w:p w14:paraId="4BF4C201" w14:textId="77777777" w:rsidR="002232AE" w:rsidRDefault="002232AE"/>
  </w:endnote>
  <w:endnote w:type="continuationSeparator" w:id="0">
    <w:p w14:paraId="71286F14" w14:textId="77777777" w:rsidR="002232AE" w:rsidRDefault="002232AE" w:rsidP="00390251">
      <w:r>
        <w:continuationSeparator/>
      </w:r>
    </w:p>
    <w:p w14:paraId="373A3C24" w14:textId="77777777" w:rsidR="002232AE" w:rsidRDefault="002232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B5E6E" w14:textId="77777777" w:rsidR="002232AE" w:rsidRDefault="002232AE" w:rsidP="00390251">
      <w:r>
        <w:separator/>
      </w:r>
    </w:p>
    <w:p w14:paraId="46A2AD41" w14:textId="77777777" w:rsidR="002232AE" w:rsidRDefault="002232AE"/>
  </w:footnote>
  <w:footnote w:type="continuationSeparator" w:id="0">
    <w:p w14:paraId="6D4CF989" w14:textId="77777777" w:rsidR="002232AE" w:rsidRDefault="002232AE" w:rsidP="00390251">
      <w:r>
        <w:continuationSeparator/>
      </w:r>
    </w:p>
    <w:p w14:paraId="3D0DFE52" w14:textId="77777777" w:rsidR="002232AE" w:rsidRDefault="002232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3794"/>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32AE"/>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06D49"/>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4611</Words>
  <Characters>26289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30839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rajul gupta</cp:lastModifiedBy>
  <cp:revision>4</cp:revision>
  <cp:lastPrinted>2016-10-24T12:21:00Z</cp:lastPrinted>
  <dcterms:created xsi:type="dcterms:W3CDTF">2026-02-17T16:25:00Z</dcterms:created>
  <dcterms:modified xsi:type="dcterms:W3CDTF">2026-08-09T23:20:00Z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