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2AFB" w:rsidRPr="00632AFB" w:rsidRDefault="00632AFB" w:rsidP="009F3C28">
      <w:pPr>
        <w:spacing w:line="360" w:lineRule="auto"/>
        <w:rPr>
          <w:rFonts w:ascii="Arial" w:hAnsi="Arial" w:cs="Arial"/>
          <w:b/>
          <w:sz w:val="24"/>
          <w:szCs w:val="24"/>
        </w:rPr>
      </w:pPr>
      <w:r w:rsidRPr="00632AFB">
        <w:rPr>
          <w:rFonts w:ascii="Arial" w:hAnsi="Arial" w:cs="Arial"/>
          <w:b/>
          <w:sz w:val="24"/>
          <w:szCs w:val="24"/>
        </w:rPr>
        <w:t xml:space="preserve">NAME: JASMEEN KAUR </w:t>
      </w:r>
    </w:p>
    <w:p w:rsidR="007C7FEB" w:rsidRPr="00632AFB" w:rsidRDefault="00632AFB" w:rsidP="009F3C28">
      <w:pPr>
        <w:spacing w:line="360" w:lineRule="auto"/>
        <w:rPr>
          <w:rFonts w:ascii="Arial" w:hAnsi="Arial" w:cs="Arial"/>
          <w:b/>
          <w:sz w:val="24"/>
          <w:szCs w:val="24"/>
        </w:rPr>
      </w:pPr>
      <w:r w:rsidRPr="00632AFB">
        <w:rPr>
          <w:rFonts w:ascii="Arial" w:hAnsi="Arial" w:cs="Arial"/>
          <w:b/>
          <w:sz w:val="24"/>
          <w:szCs w:val="24"/>
        </w:rPr>
        <w:t>STUDENT ID: 2230817</w:t>
      </w:r>
    </w:p>
    <w:p w:rsidR="007C7FEB" w:rsidRPr="00632AFB" w:rsidRDefault="007C7FEB" w:rsidP="009F3C28">
      <w:pPr>
        <w:spacing w:line="360" w:lineRule="auto"/>
        <w:rPr>
          <w:rFonts w:ascii="Arial" w:hAnsi="Arial" w:cs="Arial"/>
          <w:b/>
          <w:sz w:val="24"/>
          <w:szCs w:val="24"/>
        </w:rPr>
      </w:pPr>
      <w:bookmarkStart w:id="0" w:name="_GoBack"/>
      <w:bookmarkEnd w:id="0"/>
    </w:p>
    <w:p w:rsidR="007C7FEB" w:rsidRPr="00803639" w:rsidRDefault="009F3C28" w:rsidP="009F3C28">
      <w:pPr>
        <w:spacing w:line="360" w:lineRule="auto"/>
        <w:rPr>
          <w:rFonts w:ascii="Arial" w:hAnsi="Arial" w:cs="Arial"/>
          <w:sz w:val="24"/>
          <w:szCs w:val="24"/>
        </w:rPr>
      </w:pPr>
      <w:r w:rsidRPr="00803639">
        <w:rPr>
          <w:rFonts w:ascii="Arial" w:hAnsi="Arial" w:cs="Arial"/>
          <w:b/>
          <w:sz w:val="24"/>
          <w:szCs w:val="24"/>
        </w:rPr>
        <w:t>INTRODUCTION</w:t>
      </w:r>
      <w:r w:rsidR="007C7FEB" w:rsidRPr="00803639">
        <w:rPr>
          <w:rFonts w:ascii="Arial" w:hAnsi="Arial" w:cs="Arial"/>
          <w:sz w:val="24"/>
          <w:szCs w:val="24"/>
        </w:rPr>
        <w:t xml:space="preserve">: </w:t>
      </w:r>
    </w:p>
    <w:p w:rsidR="007C7FEB" w:rsidRPr="00803639" w:rsidRDefault="007C7FEB" w:rsidP="009F3C28">
      <w:pPr>
        <w:spacing w:line="360" w:lineRule="auto"/>
        <w:rPr>
          <w:rFonts w:ascii="Arial" w:hAnsi="Arial" w:cs="Arial"/>
          <w:sz w:val="24"/>
          <w:szCs w:val="24"/>
        </w:rPr>
      </w:pPr>
      <w:r w:rsidRPr="00803639">
        <w:rPr>
          <w:rFonts w:ascii="Arial" w:hAnsi="Arial" w:cs="Arial"/>
          <w:sz w:val="24"/>
          <w:szCs w:val="24"/>
        </w:rPr>
        <w:t>East Coast County's (ECC) efforts to address the lack of strategic HR partnering the ability in the public sector are described in the case's executive summary. Five years ago, ECC became aware of the problem of a lack of applicants with business partnering expertise, which made it difficult to fill senior HR roles. As a result, ECC made the decision to take action and establish a talent pipeline to train people for these strategic HR positions.</w:t>
      </w:r>
    </w:p>
    <w:p w:rsidR="007C7FEB" w:rsidRPr="00803639" w:rsidRDefault="007C7FEB" w:rsidP="009F3C28">
      <w:pPr>
        <w:spacing w:line="360" w:lineRule="auto"/>
        <w:rPr>
          <w:rFonts w:ascii="Arial" w:hAnsi="Arial" w:cs="Arial"/>
          <w:sz w:val="24"/>
          <w:szCs w:val="24"/>
        </w:rPr>
      </w:pPr>
      <w:r w:rsidRPr="00803639">
        <w:rPr>
          <w:rFonts w:ascii="Arial" w:hAnsi="Arial" w:cs="Arial"/>
          <w:sz w:val="24"/>
          <w:szCs w:val="24"/>
        </w:rPr>
        <w:t>The main goals of ECC's initiative were to fill the Head of HR position openings and make sure the area had strong business partnering capabilities. By creating a talent pipeline, ECC sought to give people the chance to advance into critical strategic HR roles and close the skill gap in the public sector. Jill Paterson, the chief executive of ECC, acknowledged the organization's concern and emphasised the importance of fostering and supporting the growth of people with business partnering skills. By doing this, ECC hoped to improve regional HR and organisational development efforts overall and find a long-term solution to the lack of qualified cand</w:t>
      </w:r>
      <w:r w:rsidR="009F3C28">
        <w:rPr>
          <w:rFonts w:ascii="Arial" w:hAnsi="Arial" w:cs="Arial"/>
          <w:sz w:val="24"/>
          <w:szCs w:val="24"/>
        </w:rPr>
        <w:t>idates for senior HR positions.</w:t>
      </w:r>
    </w:p>
    <w:p w:rsidR="00683F7E" w:rsidRPr="00803639" w:rsidRDefault="007C7FEB" w:rsidP="009F3C28">
      <w:pPr>
        <w:spacing w:line="360" w:lineRule="auto"/>
        <w:rPr>
          <w:rFonts w:ascii="Arial" w:hAnsi="Arial" w:cs="Arial"/>
          <w:sz w:val="24"/>
          <w:szCs w:val="24"/>
        </w:rPr>
      </w:pPr>
      <w:r w:rsidRPr="00803639">
        <w:rPr>
          <w:rFonts w:ascii="Arial" w:hAnsi="Arial" w:cs="Arial"/>
          <w:sz w:val="24"/>
          <w:szCs w:val="24"/>
        </w:rPr>
        <w:t>The situation demonstrates ECC's dedication to resolving the identified problem by proactively building a talent pipeline. The growth and efficiency of regional public sector organisations as a whole are boosted by the development of strategic HR capabilities within the public sector, which is advantageous to ECC.</w:t>
      </w:r>
    </w:p>
    <w:p w:rsidR="007C7FEB" w:rsidRPr="00803639" w:rsidRDefault="007C7FEB" w:rsidP="009F3C28">
      <w:pPr>
        <w:spacing w:line="360" w:lineRule="auto"/>
        <w:rPr>
          <w:rFonts w:ascii="Arial" w:hAnsi="Arial" w:cs="Arial"/>
          <w:sz w:val="24"/>
          <w:szCs w:val="24"/>
        </w:rPr>
      </w:pPr>
    </w:p>
    <w:p w:rsidR="007C7FEB" w:rsidRPr="00803639" w:rsidRDefault="009F3C28" w:rsidP="009F3C28">
      <w:pPr>
        <w:spacing w:line="360" w:lineRule="auto"/>
        <w:rPr>
          <w:rFonts w:ascii="Arial" w:hAnsi="Arial" w:cs="Arial"/>
          <w:b/>
          <w:sz w:val="24"/>
          <w:szCs w:val="24"/>
        </w:rPr>
      </w:pPr>
      <w:r w:rsidRPr="00803639">
        <w:rPr>
          <w:rFonts w:ascii="Arial" w:hAnsi="Arial" w:cs="Arial"/>
          <w:b/>
          <w:sz w:val="24"/>
          <w:szCs w:val="24"/>
        </w:rPr>
        <w:t>HOW DOES HR IN THE PRIVATE SECTOR DIFFER FROM HR IN THE PUBLIC SECTOR</w:t>
      </w:r>
    </w:p>
    <w:p w:rsidR="007C7FEB" w:rsidRPr="00803639" w:rsidRDefault="007C7FEB" w:rsidP="009F3C28">
      <w:pPr>
        <w:spacing w:line="360" w:lineRule="auto"/>
        <w:rPr>
          <w:rFonts w:ascii="Arial" w:hAnsi="Arial" w:cs="Arial"/>
          <w:sz w:val="24"/>
          <w:szCs w:val="24"/>
        </w:rPr>
      </w:pPr>
    </w:p>
    <w:p w:rsidR="007C7FEB" w:rsidRPr="00803639" w:rsidRDefault="007C7FEB" w:rsidP="009F3C28">
      <w:pPr>
        <w:spacing w:line="360" w:lineRule="auto"/>
        <w:rPr>
          <w:rFonts w:ascii="Arial" w:hAnsi="Arial" w:cs="Arial"/>
          <w:sz w:val="24"/>
          <w:szCs w:val="24"/>
        </w:rPr>
      </w:pPr>
      <w:r w:rsidRPr="00803639">
        <w:rPr>
          <w:rFonts w:ascii="Arial" w:hAnsi="Arial" w:cs="Arial"/>
          <w:sz w:val="24"/>
          <w:szCs w:val="24"/>
        </w:rPr>
        <w:t>There are several differences between HR in the public and private sectors, both in terms of their goals and the environment in which they operate. Here are some significant variations:</w:t>
      </w:r>
    </w:p>
    <w:p w:rsidR="007C7FEB" w:rsidRPr="00803639" w:rsidRDefault="007C7FEB" w:rsidP="009F3C28">
      <w:pPr>
        <w:spacing w:line="360" w:lineRule="auto"/>
        <w:rPr>
          <w:rFonts w:ascii="Arial" w:hAnsi="Arial" w:cs="Arial"/>
          <w:sz w:val="24"/>
          <w:szCs w:val="24"/>
        </w:rPr>
      </w:pPr>
    </w:p>
    <w:p w:rsidR="007C7FEB" w:rsidRPr="00803639" w:rsidRDefault="007C7FEB" w:rsidP="009F3C28">
      <w:pPr>
        <w:spacing w:line="360" w:lineRule="auto"/>
        <w:rPr>
          <w:rFonts w:ascii="Arial" w:hAnsi="Arial" w:cs="Arial"/>
          <w:sz w:val="24"/>
          <w:szCs w:val="24"/>
        </w:rPr>
      </w:pPr>
      <w:r w:rsidRPr="00803639">
        <w:rPr>
          <w:rFonts w:ascii="Arial" w:hAnsi="Arial" w:cs="Arial"/>
          <w:sz w:val="24"/>
          <w:szCs w:val="24"/>
        </w:rPr>
        <w:t>In the private sector, maximising profitability and shareholder value is frequently HR's top priority. Private sector HR departments are in charge of ensuring organisational performance, increasing employee productivity, and ensuring that the workforce is in line with business objectives. However, the goal of HR in the broader community sector is to advance the common good. Providing services to the public, assisting with policies and programmes of the government, and ensuring that employees are treated fairly and equally are the main goals of public sector HR.</w:t>
      </w:r>
    </w:p>
    <w:p w:rsidR="007C7FEB" w:rsidRPr="00803639" w:rsidRDefault="007C7FEB" w:rsidP="009F3C28">
      <w:pPr>
        <w:spacing w:line="360" w:lineRule="auto"/>
        <w:rPr>
          <w:rFonts w:ascii="Arial" w:hAnsi="Arial" w:cs="Arial"/>
          <w:sz w:val="24"/>
          <w:szCs w:val="24"/>
        </w:rPr>
      </w:pPr>
    </w:p>
    <w:p w:rsidR="007C7FEB" w:rsidRPr="00803639" w:rsidRDefault="007C7FEB" w:rsidP="009F3C28">
      <w:pPr>
        <w:spacing w:line="360" w:lineRule="auto"/>
        <w:rPr>
          <w:rFonts w:ascii="Arial" w:hAnsi="Arial" w:cs="Arial"/>
          <w:sz w:val="24"/>
          <w:szCs w:val="24"/>
        </w:rPr>
      </w:pPr>
      <w:r w:rsidRPr="00803639">
        <w:rPr>
          <w:rFonts w:ascii="Arial" w:hAnsi="Arial" w:cs="Arial"/>
          <w:sz w:val="24"/>
          <w:szCs w:val="24"/>
        </w:rPr>
        <w:t xml:space="preserve">According to research , </w:t>
      </w:r>
      <w:sdt>
        <w:sdtPr>
          <w:rPr>
            <w:rFonts w:ascii="Arial" w:hAnsi="Arial" w:cs="Arial"/>
            <w:sz w:val="24"/>
            <w:szCs w:val="24"/>
          </w:rPr>
          <w:id w:val="-1124616787"/>
          <w:citation/>
        </w:sdtPr>
        <w:sdtEndPr/>
        <w:sdtContent>
          <w:r w:rsidRPr="00803639">
            <w:rPr>
              <w:rFonts w:ascii="Arial" w:hAnsi="Arial" w:cs="Arial"/>
              <w:sz w:val="24"/>
              <w:szCs w:val="24"/>
            </w:rPr>
            <w:fldChar w:fldCharType="begin"/>
          </w:r>
          <w:r w:rsidRPr="00803639">
            <w:rPr>
              <w:rFonts w:ascii="Arial" w:hAnsi="Arial" w:cs="Arial"/>
              <w:sz w:val="24"/>
              <w:szCs w:val="24"/>
              <w:lang w:val="en-US"/>
            </w:rPr>
            <w:instrText xml:space="preserve"> CITATION Geo02 \l 1033 </w:instrText>
          </w:r>
          <w:r w:rsidRPr="00803639">
            <w:rPr>
              <w:rFonts w:ascii="Arial" w:hAnsi="Arial" w:cs="Arial"/>
              <w:sz w:val="24"/>
              <w:szCs w:val="24"/>
            </w:rPr>
            <w:fldChar w:fldCharType="separate"/>
          </w:r>
          <w:r w:rsidRPr="00803639">
            <w:rPr>
              <w:rFonts w:ascii="Arial" w:hAnsi="Arial" w:cs="Arial"/>
              <w:noProof/>
              <w:sz w:val="24"/>
              <w:szCs w:val="24"/>
              <w:lang w:val="en-US"/>
            </w:rPr>
            <w:t>(George A. Boyn, 2002)</w:t>
          </w:r>
          <w:r w:rsidRPr="00803639">
            <w:rPr>
              <w:rFonts w:ascii="Arial" w:hAnsi="Arial" w:cs="Arial"/>
              <w:sz w:val="24"/>
              <w:szCs w:val="24"/>
            </w:rPr>
            <w:fldChar w:fldCharType="end"/>
          </w:r>
        </w:sdtContent>
      </w:sdt>
      <w:r w:rsidRPr="00803639">
        <w:rPr>
          <w:rFonts w:ascii="Arial" w:hAnsi="Arial" w:cs="Arial"/>
          <w:sz w:val="24"/>
          <w:szCs w:val="24"/>
        </w:rPr>
        <w:t xml:space="preserve"> non-profit managers and boards are not allowed to lead their organisation in a way that maximises financial gains. Ownership can also lead to management differences. Private sector management practises are likely to place a greater emphasis on fostering efficiency, productivity, and innovation to outperform competing businesses in the market, even though public and </w:t>
      </w:r>
      <w:r w:rsidR="00803639" w:rsidRPr="00803639">
        <w:rPr>
          <w:rFonts w:ascii="Arial" w:hAnsi="Arial" w:cs="Arial"/>
          <w:sz w:val="24"/>
          <w:szCs w:val="24"/>
        </w:rPr>
        <w:t>non-profit</w:t>
      </w:r>
      <w:r w:rsidRPr="00803639">
        <w:rPr>
          <w:rFonts w:ascii="Arial" w:hAnsi="Arial" w:cs="Arial"/>
          <w:sz w:val="24"/>
          <w:szCs w:val="24"/>
        </w:rPr>
        <w:t xml:space="preserve"> management is likely to focus on fostering social values in line with their organisational mission and vision. </w:t>
      </w:r>
    </w:p>
    <w:p w:rsidR="007C7FEB" w:rsidRPr="00803639" w:rsidRDefault="007C7FEB" w:rsidP="009F3C28">
      <w:pPr>
        <w:spacing w:line="360" w:lineRule="auto"/>
        <w:rPr>
          <w:rFonts w:ascii="Arial" w:hAnsi="Arial" w:cs="Arial"/>
          <w:sz w:val="24"/>
          <w:szCs w:val="24"/>
        </w:rPr>
      </w:pPr>
      <w:r w:rsidRPr="00803639">
        <w:rPr>
          <w:rFonts w:ascii="Arial" w:hAnsi="Arial" w:cs="Arial"/>
          <w:b/>
          <w:sz w:val="24"/>
          <w:szCs w:val="24"/>
        </w:rPr>
        <w:t>Regulations and Compliance</w:t>
      </w:r>
      <w:r w:rsidRPr="00803639">
        <w:rPr>
          <w:rFonts w:ascii="Arial" w:hAnsi="Arial" w:cs="Arial"/>
          <w:sz w:val="24"/>
          <w:szCs w:val="24"/>
        </w:rPr>
        <w:t>:</w:t>
      </w:r>
    </w:p>
    <w:p w:rsidR="007C7FEB" w:rsidRPr="00803639" w:rsidRDefault="007C7FEB" w:rsidP="009F3C28">
      <w:pPr>
        <w:spacing w:line="360" w:lineRule="auto"/>
        <w:rPr>
          <w:rFonts w:ascii="Arial" w:hAnsi="Arial" w:cs="Arial"/>
          <w:sz w:val="24"/>
          <w:szCs w:val="24"/>
        </w:rPr>
      </w:pPr>
      <w:r w:rsidRPr="00803639">
        <w:rPr>
          <w:rFonts w:ascii="Arial" w:hAnsi="Arial" w:cs="Arial"/>
          <w:sz w:val="24"/>
          <w:szCs w:val="24"/>
        </w:rPr>
        <w:t xml:space="preserve"> The public sector is a highly regulated environment in which HR operates. Various facets of public sector employment are frequently governed by specific laws, rules, and policies, such as civil service regulations, requirements for equal employment opportunities, and laws governing public sector labour relations. Regulations also apply to HR in the private sector, but their scope and complexity are typically different. HR in business places more of an emphasis on industry-specific rules, labour relations, and labour regulations pertaining to non-discrimination and labour relations.</w:t>
      </w:r>
    </w:p>
    <w:p w:rsidR="007C7FEB" w:rsidRPr="00803639" w:rsidRDefault="007C7FEB" w:rsidP="009F3C28">
      <w:pPr>
        <w:spacing w:line="360" w:lineRule="auto"/>
        <w:rPr>
          <w:rFonts w:ascii="Arial" w:hAnsi="Arial" w:cs="Arial"/>
          <w:sz w:val="24"/>
          <w:szCs w:val="24"/>
        </w:rPr>
      </w:pPr>
      <w:r w:rsidRPr="00803639">
        <w:rPr>
          <w:rFonts w:ascii="Arial" w:hAnsi="Arial" w:cs="Arial"/>
          <w:sz w:val="24"/>
          <w:szCs w:val="24"/>
        </w:rPr>
        <w:t>Due to their reliance on government funding, public sector organisations frequently experience budgetary restrictions. HR in the public sector is responsible for managing resources effectively and within budgetary constraints. When allocating resources, HR departments in the private sector frequently have more leeway to consider business requirements and financial outcomes.</w:t>
      </w:r>
    </w:p>
    <w:p w:rsidR="00DB2B48" w:rsidRPr="00803639" w:rsidRDefault="00DB2B48" w:rsidP="009F3C28">
      <w:pPr>
        <w:spacing w:line="360" w:lineRule="auto"/>
        <w:rPr>
          <w:rFonts w:ascii="Arial" w:hAnsi="Arial" w:cs="Arial"/>
          <w:sz w:val="24"/>
          <w:szCs w:val="24"/>
        </w:rPr>
      </w:pPr>
      <w:r w:rsidRPr="00803639">
        <w:rPr>
          <w:rFonts w:ascii="Arial" w:hAnsi="Arial" w:cs="Arial"/>
          <w:sz w:val="24"/>
          <w:szCs w:val="24"/>
        </w:rPr>
        <w:lastRenderedPageBreak/>
        <w:t>The workforce of the government has two very obvious problems. Few younger workers have an interest in working for the government, and many seasoned employees are retiring.  According to a recent headline, "more than 60% of recent federal employee hires left within two years," which is emphasised in a new Government Accountability Office report. That costs money because it takes time to find, hire, and train a new employee.</w:t>
      </w:r>
      <w:sdt>
        <w:sdtPr>
          <w:rPr>
            <w:rFonts w:ascii="Arial" w:hAnsi="Arial" w:cs="Arial"/>
            <w:sz w:val="24"/>
            <w:szCs w:val="24"/>
          </w:rPr>
          <w:id w:val="109790895"/>
          <w:citation/>
        </w:sdtPr>
        <w:sdtEndPr/>
        <w:sdtContent>
          <w:r w:rsidRPr="00803639">
            <w:rPr>
              <w:rFonts w:ascii="Arial" w:hAnsi="Arial" w:cs="Arial"/>
              <w:sz w:val="24"/>
              <w:szCs w:val="24"/>
            </w:rPr>
            <w:fldChar w:fldCharType="begin"/>
          </w:r>
          <w:r w:rsidRPr="00803639">
            <w:rPr>
              <w:rFonts w:ascii="Arial" w:hAnsi="Arial" w:cs="Arial"/>
              <w:sz w:val="24"/>
              <w:szCs w:val="24"/>
              <w:lang w:val="en-US"/>
            </w:rPr>
            <w:instrText xml:space="preserve"> CITATION HOW20 \l 1033 </w:instrText>
          </w:r>
          <w:r w:rsidRPr="00803639">
            <w:rPr>
              <w:rFonts w:ascii="Arial" w:hAnsi="Arial" w:cs="Arial"/>
              <w:sz w:val="24"/>
              <w:szCs w:val="24"/>
            </w:rPr>
            <w:fldChar w:fldCharType="separate"/>
          </w:r>
          <w:r w:rsidRPr="00803639">
            <w:rPr>
              <w:rFonts w:ascii="Arial" w:hAnsi="Arial" w:cs="Arial"/>
              <w:noProof/>
              <w:sz w:val="24"/>
              <w:szCs w:val="24"/>
              <w:lang w:val="en-US"/>
            </w:rPr>
            <w:t xml:space="preserve"> (RISHER, 2020)</w:t>
          </w:r>
          <w:r w:rsidRPr="00803639">
            <w:rPr>
              <w:rFonts w:ascii="Arial" w:hAnsi="Arial" w:cs="Arial"/>
              <w:sz w:val="24"/>
              <w:szCs w:val="24"/>
            </w:rPr>
            <w:fldChar w:fldCharType="end"/>
          </w:r>
        </w:sdtContent>
      </w:sdt>
    </w:p>
    <w:p w:rsidR="00DB2B48" w:rsidRPr="00803639" w:rsidRDefault="00DB2B48" w:rsidP="009F3C28">
      <w:pPr>
        <w:spacing w:line="360" w:lineRule="auto"/>
        <w:rPr>
          <w:rFonts w:ascii="Arial" w:hAnsi="Arial" w:cs="Arial"/>
          <w:sz w:val="24"/>
          <w:szCs w:val="24"/>
        </w:rPr>
      </w:pPr>
      <w:r w:rsidRPr="00803639">
        <w:rPr>
          <w:rFonts w:ascii="Arial" w:hAnsi="Arial" w:cs="Arial"/>
          <w:sz w:val="24"/>
          <w:szCs w:val="24"/>
        </w:rPr>
        <w:t>There is evidence that the number and types of diversity programmes implemented by public and private sector organisations vary, which may be an indication of internal motivations for investing in diversity initiatives. For instance, it was discovered that in the United Kingdom, public sector organisations used equal opportunity promotion initiatives more frequently than private sector organisations. based on an analysis of 8,283 Dutch organisations' annual reports, it was discovered that public sector organisations were more likely than private sector organisations to have diversity policies in place that aimed to increase the inflow of minority employees.</w:t>
      </w:r>
      <w:sdt>
        <w:sdtPr>
          <w:rPr>
            <w:rFonts w:ascii="Arial" w:hAnsi="Arial" w:cs="Arial"/>
            <w:sz w:val="24"/>
            <w:szCs w:val="24"/>
          </w:rPr>
          <w:id w:val="-1975049575"/>
          <w:citation/>
        </w:sdtPr>
        <w:sdtEndPr/>
        <w:sdtContent>
          <w:r w:rsidRPr="00803639">
            <w:rPr>
              <w:rFonts w:ascii="Arial" w:hAnsi="Arial" w:cs="Arial"/>
              <w:sz w:val="24"/>
              <w:szCs w:val="24"/>
            </w:rPr>
            <w:fldChar w:fldCharType="begin"/>
          </w:r>
          <w:r w:rsidRPr="00803639">
            <w:rPr>
              <w:rFonts w:ascii="Arial" w:hAnsi="Arial" w:cs="Arial"/>
              <w:sz w:val="24"/>
              <w:szCs w:val="24"/>
              <w:lang w:val="en-US"/>
            </w:rPr>
            <w:instrText xml:space="preserve"> CITATION Mik20 \l 1033 </w:instrText>
          </w:r>
          <w:r w:rsidRPr="00803639">
            <w:rPr>
              <w:rFonts w:ascii="Arial" w:hAnsi="Arial" w:cs="Arial"/>
              <w:sz w:val="24"/>
              <w:szCs w:val="24"/>
            </w:rPr>
            <w:fldChar w:fldCharType="separate"/>
          </w:r>
          <w:r w:rsidRPr="00803639">
            <w:rPr>
              <w:rFonts w:ascii="Arial" w:hAnsi="Arial" w:cs="Arial"/>
              <w:noProof/>
              <w:sz w:val="24"/>
              <w:szCs w:val="24"/>
              <w:lang w:val="en-US"/>
            </w:rPr>
            <w:t xml:space="preserve"> (Ramsey, 2020)</w:t>
          </w:r>
          <w:r w:rsidRPr="00803639">
            <w:rPr>
              <w:rFonts w:ascii="Arial" w:hAnsi="Arial" w:cs="Arial"/>
              <w:sz w:val="24"/>
              <w:szCs w:val="24"/>
            </w:rPr>
            <w:fldChar w:fldCharType="end"/>
          </w:r>
        </w:sdtContent>
      </w:sdt>
    </w:p>
    <w:p w:rsidR="005B7CD0" w:rsidRPr="00803639" w:rsidRDefault="005B7CD0" w:rsidP="009F3C28">
      <w:pPr>
        <w:spacing w:line="360" w:lineRule="auto"/>
        <w:rPr>
          <w:rFonts w:ascii="Arial" w:hAnsi="Arial" w:cs="Arial"/>
          <w:sz w:val="24"/>
          <w:szCs w:val="24"/>
        </w:rPr>
      </w:pPr>
      <w:r w:rsidRPr="00803639">
        <w:rPr>
          <w:rFonts w:ascii="Arial" w:hAnsi="Arial" w:cs="Arial"/>
          <w:sz w:val="24"/>
          <w:szCs w:val="24"/>
        </w:rPr>
        <w:t>Make sure employers know you have the attitude necessary to work in the other industry. Traditional presumptions frequently discourage people from attempting to change. The majority of the time when I meet with candidates from the public sector, they inform me that they "know" it is challenging to transition into the private sector. I always provide the same response. Yes, it is more difficult than what is already there, but it is not insurmountable.</w:t>
      </w:r>
    </w:p>
    <w:p w:rsidR="005B7CD0" w:rsidRPr="00803639" w:rsidRDefault="005B7CD0" w:rsidP="009F3C28">
      <w:pPr>
        <w:spacing w:line="360" w:lineRule="auto"/>
        <w:rPr>
          <w:rFonts w:ascii="Arial" w:hAnsi="Arial" w:cs="Arial"/>
          <w:sz w:val="24"/>
          <w:szCs w:val="24"/>
        </w:rPr>
      </w:pPr>
    </w:p>
    <w:p w:rsidR="00DB2B48" w:rsidRDefault="005B7CD0" w:rsidP="009F3C28">
      <w:pPr>
        <w:spacing w:line="360" w:lineRule="auto"/>
        <w:rPr>
          <w:rFonts w:ascii="Arial" w:hAnsi="Arial" w:cs="Arial"/>
          <w:sz w:val="24"/>
          <w:szCs w:val="24"/>
        </w:rPr>
      </w:pPr>
      <w:r w:rsidRPr="00803639">
        <w:rPr>
          <w:rFonts w:ascii="Arial" w:hAnsi="Arial" w:cs="Arial"/>
          <w:sz w:val="24"/>
          <w:szCs w:val="24"/>
        </w:rPr>
        <w:t>One of the most significant distinctions between the two industries is how leaders are developed. This is demonstrated by the growing trend of managers from the private sector joining organisations in the public sector. They are typically driven by company objectives and can provide a fresh perspective on the industry.</w:t>
      </w:r>
      <w:sdt>
        <w:sdtPr>
          <w:rPr>
            <w:rFonts w:ascii="Arial" w:hAnsi="Arial" w:cs="Arial"/>
            <w:sz w:val="24"/>
            <w:szCs w:val="24"/>
          </w:rPr>
          <w:id w:val="-1735852190"/>
          <w:citation/>
        </w:sdtPr>
        <w:sdtEndPr/>
        <w:sdtContent>
          <w:r w:rsidRPr="00803639">
            <w:rPr>
              <w:rFonts w:ascii="Arial" w:hAnsi="Arial" w:cs="Arial"/>
              <w:sz w:val="24"/>
              <w:szCs w:val="24"/>
            </w:rPr>
            <w:fldChar w:fldCharType="begin"/>
          </w:r>
          <w:r w:rsidRPr="00803639">
            <w:rPr>
              <w:rFonts w:ascii="Arial" w:hAnsi="Arial" w:cs="Arial"/>
              <w:sz w:val="24"/>
              <w:szCs w:val="24"/>
              <w:lang w:val="en-US"/>
            </w:rPr>
            <w:instrText xml:space="preserve">CITATION oak \l 1033 </w:instrText>
          </w:r>
          <w:r w:rsidRPr="00803639">
            <w:rPr>
              <w:rFonts w:ascii="Arial" w:hAnsi="Arial" w:cs="Arial"/>
              <w:sz w:val="24"/>
              <w:szCs w:val="24"/>
            </w:rPr>
            <w:fldChar w:fldCharType="separate"/>
          </w:r>
          <w:r w:rsidRPr="00803639">
            <w:rPr>
              <w:rFonts w:ascii="Arial" w:hAnsi="Arial" w:cs="Arial"/>
              <w:noProof/>
              <w:sz w:val="24"/>
              <w:szCs w:val="24"/>
              <w:lang w:val="en-US"/>
            </w:rPr>
            <w:t xml:space="preserve"> (oakleafpartnership, 2022)</w:t>
          </w:r>
          <w:r w:rsidRPr="00803639">
            <w:rPr>
              <w:rFonts w:ascii="Arial" w:hAnsi="Arial" w:cs="Arial"/>
              <w:sz w:val="24"/>
              <w:szCs w:val="24"/>
            </w:rPr>
            <w:fldChar w:fldCharType="end"/>
          </w:r>
        </w:sdtContent>
      </w:sdt>
    </w:p>
    <w:p w:rsidR="00803639" w:rsidRPr="00803639" w:rsidRDefault="00803639" w:rsidP="009F3C28">
      <w:pPr>
        <w:spacing w:line="360" w:lineRule="auto"/>
        <w:rPr>
          <w:rFonts w:ascii="Arial" w:hAnsi="Arial" w:cs="Arial"/>
          <w:sz w:val="24"/>
          <w:szCs w:val="24"/>
        </w:rPr>
      </w:pPr>
    </w:p>
    <w:p w:rsidR="005B7CD0" w:rsidRPr="00803639" w:rsidRDefault="005B7CD0" w:rsidP="009F3C28">
      <w:pPr>
        <w:spacing w:line="360" w:lineRule="auto"/>
        <w:rPr>
          <w:rFonts w:ascii="Arial" w:hAnsi="Arial" w:cs="Arial"/>
          <w:b/>
          <w:sz w:val="24"/>
          <w:szCs w:val="24"/>
        </w:rPr>
      </w:pPr>
      <w:r w:rsidRPr="00803639">
        <w:rPr>
          <w:rFonts w:ascii="Arial" w:hAnsi="Arial" w:cs="Arial"/>
          <w:sz w:val="24"/>
          <w:szCs w:val="24"/>
        </w:rPr>
        <w:t>•</w:t>
      </w:r>
      <w:r w:rsidRPr="00803639">
        <w:rPr>
          <w:rFonts w:ascii="Arial" w:hAnsi="Arial" w:cs="Arial"/>
          <w:sz w:val="24"/>
          <w:szCs w:val="24"/>
        </w:rPr>
        <w:tab/>
      </w:r>
      <w:r w:rsidR="00803639" w:rsidRPr="00803639">
        <w:rPr>
          <w:rFonts w:ascii="Arial" w:hAnsi="Arial" w:cs="Arial"/>
          <w:b/>
          <w:sz w:val="24"/>
          <w:szCs w:val="24"/>
        </w:rPr>
        <w:t>HOW DOES SECTOR DETERMINE THE EFFECTIVENESS OF HR STRATEGY</w:t>
      </w:r>
    </w:p>
    <w:p w:rsidR="005B7CD0" w:rsidRPr="00803639" w:rsidRDefault="005B7CD0" w:rsidP="009F3C28">
      <w:pPr>
        <w:spacing w:line="360" w:lineRule="auto"/>
        <w:rPr>
          <w:rFonts w:ascii="Arial" w:hAnsi="Arial" w:cs="Arial"/>
          <w:sz w:val="24"/>
          <w:szCs w:val="24"/>
        </w:rPr>
      </w:pPr>
      <w:r w:rsidRPr="00803639">
        <w:rPr>
          <w:rFonts w:ascii="Arial" w:hAnsi="Arial" w:cs="Arial"/>
          <w:sz w:val="24"/>
          <w:szCs w:val="24"/>
        </w:rPr>
        <w:lastRenderedPageBreak/>
        <w:t>According to the case, the sector evaluates the capability of HR professionals to function as strategic partners within the organisation to determine the efficacy of HR strategy. It was acknowledged that there was a problem with the incapacity of strategic HR partnering and that senior HR positions were challenging to fill due to a dearth of candidates with business partnering expertise. The degree to which the HR strategy addresses this issue and aids people in gaining the skills needed to become strategic HR partners, then, is what determines the strategy's effectiveness.</w:t>
      </w:r>
    </w:p>
    <w:p w:rsidR="005B7CD0" w:rsidRPr="00803639" w:rsidRDefault="005B7CD0" w:rsidP="009F3C28">
      <w:pPr>
        <w:spacing w:line="360" w:lineRule="auto"/>
        <w:rPr>
          <w:rFonts w:ascii="Arial" w:hAnsi="Arial" w:cs="Arial"/>
          <w:sz w:val="24"/>
          <w:szCs w:val="24"/>
        </w:rPr>
      </w:pPr>
    </w:p>
    <w:p w:rsidR="005B7CD0" w:rsidRPr="00803639" w:rsidRDefault="00803639" w:rsidP="009F3C28">
      <w:pPr>
        <w:spacing w:line="360" w:lineRule="auto"/>
        <w:rPr>
          <w:rFonts w:ascii="Arial" w:hAnsi="Arial" w:cs="Arial"/>
          <w:sz w:val="24"/>
          <w:szCs w:val="24"/>
        </w:rPr>
      </w:pPr>
      <w:r w:rsidRPr="00803639">
        <w:rPr>
          <w:rFonts w:ascii="Arial" w:hAnsi="Arial" w:cs="Arial"/>
          <w:sz w:val="24"/>
          <w:szCs w:val="24"/>
        </w:rPr>
        <w:t>Reconsider HR</w:t>
      </w:r>
      <w:r w:rsidR="005B7CD0" w:rsidRPr="00803639">
        <w:rPr>
          <w:rFonts w:ascii="Arial" w:hAnsi="Arial" w:cs="Arial"/>
          <w:sz w:val="24"/>
          <w:szCs w:val="24"/>
        </w:rPr>
        <w:t xml:space="preserve"> strategy to boost employee </w:t>
      </w:r>
      <w:r w:rsidRPr="00803639">
        <w:rPr>
          <w:rFonts w:ascii="Arial" w:hAnsi="Arial" w:cs="Arial"/>
          <w:sz w:val="24"/>
          <w:szCs w:val="24"/>
        </w:rPr>
        <w:t>engagement, intersection</w:t>
      </w:r>
      <w:r w:rsidR="005B7CD0" w:rsidRPr="00803639">
        <w:rPr>
          <w:rFonts w:ascii="Arial" w:hAnsi="Arial" w:cs="Arial"/>
          <w:sz w:val="24"/>
          <w:szCs w:val="24"/>
        </w:rPr>
        <w:t xml:space="preserve"> of big data and technology, HR teams are slicing and dicing their achievement metrics more than ever before. Reframing HR strategy based on the results of your employee net promoter score (eNPS) is one step you can take to improve employee engagement in today's hybrid workforce. One single inquiry can be used to establish more elaborate metrics, and it is extremely straightforward to get started with it. </w:t>
      </w:r>
      <w:sdt>
        <w:sdtPr>
          <w:rPr>
            <w:rFonts w:ascii="Arial" w:hAnsi="Arial" w:cs="Arial"/>
            <w:sz w:val="24"/>
            <w:szCs w:val="24"/>
          </w:rPr>
          <w:id w:val="1128288065"/>
          <w:citation/>
        </w:sdtPr>
        <w:sdtEndPr/>
        <w:sdtContent>
          <w:r w:rsidR="005B7CD0" w:rsidRPr="00803639">
            <w:rPr>
              <w:rFonts w:ascii="Arial" w:hAnsi="Arial" w:cs="Arial"/>
              <w:sz w:val="24"/>
              <w:szCs w:val="24"/>
            </w:rPr>
            <w:fldChar w:fldCharType="begin"/>
          </w:r>
          <w:r w:rsidR="005B7CD0" w:rsidRPr="00803639">
            <w:rPr>
              <w:rFonts w:ascii="Arial" w:hAnsi="Arial" w:cs="Arial"/>
              <w:sz w:val="24"/>
              <w:szCs w:val="24"/>
              <w:lang w:val="en-US"/>
            </w:rPr>
            <w:instrText xml:space="preserve"> CITATION Exp21 \l 1033 </w:instrText>
          </w:r>
          <w:r w:rsidR="005B7CD0" w:rsidRPr="00803639">
            <w:rPr>
              <w:rFonts w:ascii="Arial" w:hAnsi="Arial" w:cs="Arial"/>
              <w:sz w:val="24"/>
              <w:szCs w:val="24"/>
            </w:rPr>
            <w:fldChar w:fldCharType="separate"/>
          </w:r>
          <w:r w:rsidR="005B7CD0" w:rsidRPr="00803639">
            <w:rPr>
              <w:rFonts w:ascii="Arial" w:hAnsi="Arial" w:cs="Arial"/>
              <w:noProof/>
              <w:sz w:val="24"/>
              <w:szCs w:val="24"/>
              <w:lang w:val="en-US"/>
            </w:rPr>
            <w:t>(Panel, 2021)</w:t>
          </w:r>
          <w:r w:rsidR="005B7CD0" w:rsidRPr="00803639">
            <w:rPr>
              <w:rFonts w:ascii="Arial" w:hAnsi="Arial" w:cs="Arial"/>
              <w:sz w:val="24"/>
              <w:szCs w:val="24"/>
            </w:rPr>
            <w:fldChar w:fldCharType="end"/>
          </w:r>
        </w:sdtContent>
      </w:sdt>
    </w:p>
    <w:p w:rsidR="005B7CD0" w:rsidRPr="00803639" w:rsidRDefault="005B7CD0" w:rsidP="009F3C28">
      <w:pPr>
        <w:spacing w:line="360" w:lineRule="auto"/>
        <w:rPr>
          <w:rFonts w:ascii="Arial" w:hAnsi="Arial" w:cs="Arial"/>
          <w:b/>
          <w:sz w:val="24"/>
          <w:szCs w:val="24"/>
        </w:rPr>
      </w:pPr>
      <w:r w:rsidRPr="00803639">
        <w:rPr>
          <w:rFonts w:ascii="Arial" w:hAnsi="Arial" w:cs="Arial"/>
          <w:b/>
          <w:sz w:val="24"/>
          <w:szCs w:val="24"/>
        </w:rPr>
        <w:t>Several factors affect how well an HR strategy works in the public sector, including:</w:t>
      </w:r>
    </w:p>
    <w:p w:rsidR="005B7CD0" w:rsidRPr="00803639" w:rsidRDefault="005B7CD0" w:rsidP="009F3C28">
      <w:pPr>
        <w:spacing w:line="360" w:lineRule="auto"/>
        <w:rPr>
          <w:rFonts w:ascii="Arial" w:hAnsi="Arial" w:cs="Arial"/>
          <w:sz w:val="24"/>
          <w:szCs w:val="24"/>
        </w:rPr>
      </w:pPr>
    </w:p>
    <w:p w:rsidR="005B7CD0" w:rsidRPr="00803639" w:rsidRDefault="005B7CD0" w:rsidP="009F3C28">
      <w:pPr>
        <w:spacing w:line="360" w:lineRule="auto"/>
        <w:rPr>
          <w:rFonts w:ascii="Arial" w:hAnsi="Arial" w:cs="Arial"/>
          <w:sz w:val="24"/>
          <w:szCs w:val="24"/>
        </w:rPr>
      </w:pPr>
      <w:r w:rsidRPr="00803639">
        <w:rPr>
          <w:rFonts w:ascii="Arial" w:hAnsi="Arial" w:cs="Arial"/>
          <w:b/>
          <w:sz w:val="24"/>
          <w:szCs w:val="24"/>
        </w:rPr>
        <w:t>Vacancies at the Head of HR level</w:t>
      </w:r>
      <w:r w:rsidRPr="00803639">
        <w:rPr>
          <w:rFonts w:ascii="Arial" w:hAnsi="Arial" w:cs="Arial"/>
          <w:sz w:val="24"/>
          <w:szCs w:val="24"/>
        </w:rPr>
        <w:t>: ECC encountered a sizable number of vacancies at this level, pointing to a dearth of succession planning and a talent pipeline in the industry. The effectiveness of HR strategy is influenced by the sector's capacity to cultivate and keep talented HR professionals in important leadership positions.</w:t>
      </w:r>
    </w:p>
    <w:p w:rsidR="00E23E49" w:rsidRPr="00803639" w:rsidRDefault="00E23E49" w:rsidP="009F3C28">
      <w:pPr>
        <w:spacing w:line="360" w:lineRule="auto"/>
        <w:rPr>
          <w:rFonts w:ascii="Arial" w:hAnsi="Arial" w:cs="Arial"/>
          <w:b/>
          <w:sz w:val="24"/>
          <w:szCs w:val="24"/>
        </w:rPr>
      </w:pPr>
    </w:p>
    <w:p w:rsidR="005B7CD0" w:rsidRPr="00803639" w:rsidRDefault="00E23E49" w:rsidP="009F3C28">
      <w:pPr>
        <w:spacing w:line="360" w:lineRule="auto"/>
        <w:rPr>
          <w:rFonts w:ascii="Arial" w:hAnsi="Arial" w:cs="Arial"/>
          <w:sz w:val="24"/>
          <w:szCs w:val="24"/>
        </w:rPr>
      </w:pPr>
      <w:r w:rsidRPr="00803639">
        <w:rPr>
          <w:rFonts w:ascii="Arial" w:hAnsi="Arial" w:cs="Arial"/>
          <w:b/>
          <w:sz w:val="24"/>
          <w:szCs w:val="24"/>
        </w:rPr>
        <w:t>Initiatives for organisational development</w:t>
      </w:r>
      <w:r w:rsidRPr="00803639">
        <w:rPr>
          <w:rFonts w:ascii="Arial" w:hAnsi="Arial" w:cs="Arial"/>
          <w:sz w:val="24"/>
          <w:szCs w:val="24"/>
        </w:rPr>
        <w:t>: In the case ECC provides HR and organisational development support to its clientele in the public sector. The industry's willingness to fund these projects shows its dedication to enhancing HR capabilities and coordinating them with organisational objectives. The sector's support and prioritisation of these initiatives are essential to the success of HR strategy.</w:t>
      </w:r>
    </w:p>
    <w:p w:rsidR="00E23E49" w:rsidRPr="00803639" w:rsidRDefault="00E23E49" w:rsidP="009F3C28">
      <w:pPr>
        <w:spacing w:line="360" w:lineRule="auto"/>
        <w:rPr>
          <w:rFonts w:ascii="Arial" w:hAnsi="Arial" w:cs="Arial"/>
          <w:sz w:val="24"/>
          <w:szCs w:val="24"/>
        </w:rPr>
      </w:pPr>
      <w:r w:rsidRPr="00803639">
        <w:rPr>
          <w:rFonts w:ascii="Arial" w:hAnsi="Arial" w:cs="Arial"/>
          <w:sz w:val="24"/>
          <w:szCs w:val="24"/>
        </w:rPr>
        <w:lastRenderedPageBreak/>
        <w:t>The effectiveness of the welfare state, as well as the country's health and well-being, depends on how well public sector workers perform. To meet the expectations of service users, public organisations must demonstrate accountability and improve service quality while also dealing with resource constraints in many countries. The study of HRM as well as public sector performance is now a highly pertinent subject as a result of all these developments. Initial research from the public sector indicates that strategic HRM has favourable effects on motivation among workers and organisational performance, which is favourable.</w:t>
      </w:r>
      <w:sdt>
        <w:sdtPr>
          <w:rPr>
            <w:rFonts w:ascii="Arial" w:hAnsi="Arial" w:cs="Arial"/>
            <w:sz w:val="24"/>
            <w:szCs w:val="24"/>
          </w:rPr>
          <w:id w:val="-1407996867"/>
          <w:citation/>
        </w:sdtPr>
        <w:sdtEndPr/>
        <w:sdtContent>
          <w:r w:rsidRPr="00803639">
            <w:rPr>
              <w:rFonts w:ascii="Arial" w:hAnsi="Arial" w:cs="Arial"/>
              <w:sz w:val="24"/>
              <w:szCs w:val="24"/>
            </w:rPr>
            <w:fldChar w:fldCharType="begin"/>
          </w:r>
          <w:r w:rsidRPr="00803639">
            <w:rPr>
              <w:rFonts w:ascii="Arial" w:hAnsi="Arial" w:cs="Arial"/>
              <w:sz w:val="24"/>
              <w:szCs w:val="24"/>
              <w:lang w:val="en-US"/>
            </w:rPr>
            <w:instrText xml:space="preserve"> CITATION Eva18 \l 1033 </w:instrText>
          </w:r>
          <w:r w:rsidRPr="00803639">
            <w:rPr>
              <w:rFonts w:ascii="Arial" w:hAnsi="Arial" w:cs="Arial"/>
              <w:sz w:val="24"/>
              <w:szCs w:val="24"/>
            </w:rPr>
            <w:fldChar w:fldCharType="separate"/>
          </w:r>
          <w:r w:rsidRPr="00803639">
            <w:rPr>
              <w:rFonts w:ascii="Arial" w:hAnsi="Arial" w:cs="Arial"/>
              <w:noProof/>
              <w:sz w:val="24"/>
              <w:szCs w:val="24"/>
              <w:lang w:val="en-US"/>
            </w:rPr>
            <w:t xml:space="preserve"> (Eva Knies, Paul Boselie, Julian Gould-Williams &amp; Wouter Vandenabeele, 2018)</w:t>
          </w:r>
          <w:r w:rsidRPr="00803639">
            <w:rPr>
              <w:rFonts w:ascii="Arial" w:hAnsi="Arial" w:cs="Arial"/>
              <w:sz w:val="24"/>
              <w:szCs w:val="24"/>
            </w:rPr>
            <w:fldChar w:fldCharType="end"/>
          </w:r>
        </w:sdtContent>
      </w:sdt>
    </w:p>
    <w:p w:rsidR="00E23E49" w:rsidRPr="00803639" w:rsidRDefault="00E23E49" w:rsidP="009F3C28">
      <w:pPr>
        <w:spacing w:line="360" w:lineRule="auto"/>
        <w:rPr>
          <w:rFonts w:ascii="Arial" w:hAnsi="Arial" w:cs="Arial"/>
          <w:sz w:val="24"/>
          <w:szCs w:val="24"/>
        </w:rPr>
      </w:pPr>
    </w:p>
    <w:p w:rsidR="00E23E49" w:rsidRPr="00803639" w:rsidRDefault="00E23E49" w:rsidP="009F3C28">
      <w:pPr>
        <w:spacing w:line="360" w:lineRule="auto"/>
        <w:rPr>
          <w:rFonts w:ascii="Arial" w:hAnsi="Arial" w:cs="Arial"/>
          <w:sz w:val="24"/>
          <w:szCs w:val="24"/>
        </w:rPr>
      </w:pPr>
      <w:r w:rsidRPr="00803639">
        <w:rPr>
          <w:rFonts w:ascii="Arial" w:hAnsi="Arial" w:cs="Arial"/>
          <w:b/>
          <w:sz w:val="24"/>
          <w:szCs w:val="24"/>
        </w:rPr>
        <w:t xml:space="preserve">Business partnering abilities: </w:t>
      </w:r>
      <w:r w:rsidRPr="00803639">
        <w:rPr>
          <w:rFonts w:ascii="Arial" w:hAnsi="Arial" w:cs="Arial"/>
          <w:sz w:val="24"/>
          <w:szCs w:val="24"/>
        </w:rPr>
        <w:t>The dearth of candidates with these abilities suggests that the industry's demands and expectations of HR professionals have an impact on the efficacy of HR strategy. The sector acknowledges the significance of HR professionals' ability to align HR practises with the larger organisational strategy by recognising the need for strategic HR partnering capabilities. The effectiveness of the HR strategy in ECC is determined by the public sector's actions, such as talent employment, succession planning, investment in organisational growth initiatives, and the acknowledgment for the skills that are required.</w:t>
      </w:r>
      <w:sdt>
        <w:sdtPr>
          <w:rPr>
            <w:rFonts w:ascii="Arial" w:hAnsi="Arial" w:cs="Arial"/>
            <w:sz w:val="24"/>
            <w:szCs w:val="24"/>
          </w:rPr>
          <w:id w:val="1727105970"/>
          <w:citation/>
        </w:sdtPr>
        <w:sdtEndPr/>
        <w:sdtContent>
          <w:r w:rsidRPr="00803639">
            <w:rPr>
              <w:rFonts w:ascii="Arial" w:hAnsi="Arial" w:cs="Arial"/>
              <w:sz w:val="24"/>
              <w:szCs w:val="24"/>
            </w:rPr>
            <w:fldChar w:fldCharType="begin"/>
          </w:r>
          <w:r w:rsidRPr="00803639">
            <w:rPr>
              <w:rFonts w:ascii="Arial" w:hAnsi="Arial" w:cs="Arial"/>
              <w:sz w:val="24"/>
              <w:szCs w:val="24"/>
              <w:lang w:val="en-US"/>
            </w:rPr>
            <w:instrText xml:space="preserve"> CITATION Pre23 \l 1033 </w:instrText>
          </w:r>
          <w:r w:rsidRPr="00803639">
            <w:rPr>
              <w:rFonts w:ascii="Arial" w:hAnsi="Arial" w:cs="Arial"/>
              <w:sz w:val="24"/>
              <w:szCs w:val="24"/>
            </w:rPr>
            <w:fldChar w:fldCharType="separate"/>
          </w:r>
          <w:r w:rsidRPr="00803639">
            <w:rPr>
              <w:rFonts w:ascii="Arial" w:hAnsi="Arial" w:cs="Arial"/>
              <w:noProof/>
              <w:sz w:val="24"/>
              <w:szCs w:val="24"/>
              <w:lang w:val="en-US"/>
            </w:rPr>
            <w:t xml:space="preserve"> (GT, 2023)</w:t>
          </w:r>
          <w:r w:rsidRPr="00803639">
            <w:rPr>
              <w:rFonts w:ascii="Arial" w:hAnsi="Arial" w:cs="Arial"/>
              <w:sz w:val="24"/>
              <w:szCs w:val="24"/>
            </w:rPr>
            <w:fldChar w:fldCharType="end"/>
          </w:r>
        </w:sdtContent>
      </w:sdt>
    </w:p>
    <w:p w:rsidR="00E23E49" w:rsidRPr="00803639" w:rsidRDefault="00E23E49" w:rsidP="009F3C28">
      <w:pPr>
        <w:spacing w:line="360" w:lineRule="auto"/>
        <w:rPr>
          <w:rFonts w:ascii="Arial" w:hAnsi="Arial" w:cs="Arial"/>
          <w:sz w:val="24"/>
          <w:szCs w:val="24"/>
        </w:rPr>
      </w:pPr>
    </w:p>
    <w:p w:rsidR="00E23E49" w:rsidRPr="00803639" w:rsidRDefault="00803639" w:rsidP="009F3C28">
      <w:pPr>
        <w:spacing w:line="360" w:lineRule="auto"/>
        <w:rPr>
          <w:rFonts w:ascii="Arial" w:hAnsi="Arial" w:cs="Arial"/>
          <w:b/>
          <w:sz w:val="24"/>
          <w:szCs w:val="24"/>
        </w:rPr>
      </w:pPr>
      <w:r w:rsidRPr="00803639">
        <w:rPr>
          <w:rFonts w:ascii="Arial" w:hAnsi="Arial" w:cs="Arial"/>
          <w:b/>
          <w:sz w:val="24"/>
          <w:szCs w:val="24"/>
        </w:rPr>
        <w:t>•</w:t>
      </w:r>
      <w:r w:rsidRPr="00803639">
        <w:rPr>
          <w:rFonts w:ascii="Arial" w:hAnsi="Arial" w:cs="Arial"/>
          <w:b/>
          <w:sz w:val="24"/>
          <w:szCs w:val="24"/>
        </w:rPr>
        <w:tab/>
        <w:t>HOW CAN HR DEVELOP EMPLOYEES TO ACHIEVE STRATEGY GOALS</w:t>
      </w:r>
    </w:p>
    <w:p w:rsidR="00E23E49" w:rsidRPr="00803639" w:rsidRDefault="00E23E49" w:rsidP="009F3C28">
      <w:pPr>
        <w:spacing w:line="360" w:lineRule="auto"/>
        <w:rPr>
          <w:rFonts w:ascii="Arial" w:hAnsi="Arial" w:cs="Arial"/>
          <w:sz w:val="24"/>
          <w:szCs w:val="24"/>
        </w:rPr>
      </w:pPr>
    </w:p>
    <w:p w:rsidR="00E23E49" w:rsidRPr="00803639" w:rsidRDefault="00E23E49" w:rsidP="009F3C28">
      <w:pPr>
        <w:spacing w:line="360" w:lineRule="auto"/>
        <w:rPr>
          <w:rFonts w:ascii="Arial" w:hAnsi="Arial" w:cs="Arial"/>
          <w:sz w:val="24"/>
          <w:szCs w:val="24"/>
        </w:rPr>
      </w:pPr>
      <w:r w:rsidRPr="00803639">
        <w:rPr>
          <w:rFonts w:ascii="Arial" w:hAnsi="Arial" w:cs="Arial"/>
          <w:b/>
          <w:sz w:val="24"/>
          <w:szCs w:val="24"/>
        </w:rPr>
        <w:t>Performance management:</w:t>
      </w:r>
      <w:r w:rsidRPr="00803639">
        <w:rPr>
          <w:rFonts w:ascii="Arial" w:hAnsi="Arial" w:cs="Arial"/>
          <w:sz w:val="24"/>
          <w:szCs w:val="24"/>
        </w:rPr>
        <w:t xml:space="preserve"> HR can set up a strong system for coordinating individual goals with corporate objectives. HR can assist staff members in understanding their roles in achieving strategic goals and directing them towards improvement by setting clear expectations, offering regular feedback, and conducting performance evaluations.</w:t>
      </w:r>
    </w:p>
    <w:p w:rsidR="00E23E49" w:rsidRPr="00803639" w:rsidRDefault="00E23E49" w:rsidP="009F3C28">
      <w:pPr>
        <w:spacing w:line="360" w:lineRule="auto"/>
        <w:rPr>
          <w:rFonts w:ascii="Arial" w:hAnsi="Arial" w:cs="Arial"/>
          <w:sz w:val="24"/>
          <w:szCs w:val="24"/>
        </w:rPr>
      </w:pPr>
    </w:p>
    <w:p w:rsidR="005B7CD0" w:rsidRPr="00803639" w:rsidRDefault="00E23E49" w:rsidP="009F3C28">
      <w:pPr>
        <w:spacing w:line="360" w:lineRule="auto"/>
        <w:rPr>
          <w:rFonts w:ascii="Arial" w:hAnsi="Arial" w:cs="Arial"/>
          <w:sz w:val="24"/>
          <w:szCs w:val="24"/>
        </w:rPr>
      </w:pPr>
      <w:r w:rsidRPr="00803639">
        <w:rPr>
          <w:rFonts w:ascii="Arial" w:hAnsi="Arial" w:cs="Arial"/>
          <w:b/>
          <w:sz w:val="24"/>
          <w:szCs w:val="24"/>
        </w:rPr>
        <w:t xml:space="preserve">Training and development: </w:t>
      </w:r>
      <w:r w:rsidRPr="00803639">
        <w:rPr>
          <w:rFonts w:ascii="Arial" w:hAnsi="Arial" w:cs="Arial"/>
          <w:sz w:val="24"/>
          <w:szCs w:val="24"/>
        </w:rPr>
        <w:t xml:space="preserve">HR can determine the knowledge, abilities, and capabilities needed to support an organization's strategy and can then design development and training programmes in line with those needs. Training in both hard </w:t>
      </w:r>
      <w:r w:rsidRPr="00803639">
        <w:rPr>
          <w:rFonts w:ascii="Arial" w:hAnsi="Arial" w:cs="Arial"/>
          <w:sz w:val="24"/>
          <w:szCs w:val="24"/>
        </w:rPr>
        <w:lastRenderedPageBreak/>
        <w:t>and soft skills, leadership development initiatives, and chances for lifelong learning can all fall under this category. HR can assist staff members in gaining access to outside training materials and certifications.</w:t>
      </w:r>
    </w:p>
    <w:p w:rsidR="00E23E49" w:rsidRPr="00803639" w:rsidRDefault="00E23E49" w:rsidP="009F3C28">
      <w:pPr>
        <w:spacing w:line="360" w:lineRule="auto"/>
        <w:rPr>
          <w:rFonts w:ascii="Arial" w:hAnsi="Arial" w:cs="Arial"/>
          <w:sz w:val="24"/>
          <w:szCs w:val="24"/>
        </w:rPr>
      </w:pPr>
      <w:r w:rsidRPr="00803639">
        <w:rPr>
          <w:rFonts w:ascii="Arial" w:hAnsi="Arial" w:cs="Arial"/>
          <w:b/>
          <w:sz w:val="24"/>
          <w:szCs w:val="24"/>
        </w:rPr>
        <w:t>Planning for succession:</w:t>
      </w:r>
      <w:r w:rsidRPr="00803639">
        <w:rPr>
          <w:rFonts w:ascii="Arial" w:hAnsi="Arial" w:cs="Arial"/>
          <w:sz w:val="24"/>
          <w:szCs w:val="24"/>
        </w:rPr>
        <w:t xml:space="preserve"> HR can identify high-potential employees and create succession plans to ensure a talent pipeline for important positions. By providing career paths and development opportunities to employees, HR can help people develop within the company and get ready for upcoming leadership roles that support the achievement of strategic goals.</w:t>
      </w:r>
    </w:p>
    <w:p w:rsidR="00E23E49" w:rsidRPr="00803639" w:rsidRDefault="00E23E49" w:rsidP="009F3C28">
      <w:pPr>
        <w:spacing w:line="360" w:lineRule="auto"/>
        <w:rPr>
          <w:rFonts w:ascii="Arial" w:hAnsi="Arial" w:cs="Arial"/>
          <w:sz w:val="24"/>
          <w:szCs w:val="24"/>
        </w:rPr>
      </w:pPr>
    </w:p>
    <w:p w:rsidR="00E23E49" w:rsidRPr="00803639" w:rsidRDefault="002F3312" w:rsidP="009F3C28">
      <w:pPr>
        <w:spacing w:line="360" w:lineRule="auto"/>
        <w:rPr>
          <w:rFonts w:ascii="Arial" w:hAnsi="Arial" w:cs="Arial"/>
          <w:sz w:val="24"/>
          <w:szCs w:val="24"/>
        </w:rPr>
      </w:pPr>
      <w:r w:rsidRPr="00803639">
        <w:rPr>
          <w:rFonts w:ascii="Arial" w:hAnsi="Arial" w:cs="Arial"/>
          <w:sz w:val="24"/>
          <w:szCs w:val="24"/>
        </w:rPr>
        <w:t>B</w:t>
      </w:r>
      <w:r w:rsidRPr="00803639">
        <w:rPr>
          <w:rFonts w:ascii="Arial" w:hAnsi="Arial" w:cs="Arial"/>
          <w:b/>
          <w:sz w:val="24"/>
          <w:szCs w:val="24"/>
        </w:rPr>
        <w:t>y encouraging transparency, encouraging feedback</w:t>
      </w:r>
      <w:r w:rsidRPr="00803639">
        <w:rPr>
          <w:rFonts w:ascii="Arial" w:hAnsi="Arial" w:cs="Arial"/>
          <w:sz w:val="24"/>
          <w:szCs w:val="24"/>
        </w:rPr>
        <w:t xml:space="preserve">, and establishing frequent communication channels, </w:t>
      </w:r>
      <w:r w:rsidR="00E23E49" w:rsidRPr="00803639">
        <w:rPr>
          <w:rFonts w:ascii="Arial" w:hAnsi="Arial" w:cs="Arial"/>
          <w:sz w:val="24"/>
          <w:szCs w:val="24"/>
        </w:rPr>
        <w:t>HR plays a crucial role in fostering an environment that encourages open communication and employee engagement. HR can make sure that employees are aware of the strategic goals of the company and understand how their contributions are essential to achieving those goals. This can be achieved through employee surveys, town hall meetings, regular team meetings, and other engagement initiatives.</w:t>
      </w:r>
    </w:p>
    <w:p w:rsidR="00E23E49" w:rsidRPr="00803639" w:rsidRDefault="00E23E49" w:rsidP="009F3C28">
      <w:pPr>
        <w:spacing w:line="360" w:lineRule="auto"/>
        <w:rPr>
          <w:rFonts w:ascii="Arial" w:hAnsi="Arial" w:cs="Arial"/>
          <w:sz w:val="24"/>
          <w:szCs w:val="24"/>
        </w:rPr>
      </w:pPr>
      <w:r w:rsidRPr="00803639">
        <w:rPr>
          <w:rFonts w:ascii="Arial" w:hAnsi="Arial" w:cs="Arial"/>
          <w:sz w:val="24"/>
          <w:szCs w:val="24"/>
        </w:rPr>
        <w:t>the tools that employees use affect their capacity to carry out their roles. For instance, a hardware and software audit can be carried out in conjunction with the IT department to find any gaps in the resources that will help to organise the labour force.</w:t>
      </w:r>
    </w:p>
    <w:p w:rsidR="00E23E49" w:rsidRPr="00803639" w:rsidRDefault="00E23E49" w:rsidP="009F3C28">
      <w:pPr>
        <w:spacing w:line="360" w:lineRule="auto"/>
        <w:rPr>
          <w:rFonts w:ascii="Arial" w:hAnsi="Arial" w:cs="Arial"/>
          <w:sz w:val="24"/>
          <w:szCs w:val="24"/>
        </w:rPr>
      </w:pPr>
    </w:p>
    <w:p w:rsidR="002F3312" w:rsidRPr="00803639" w:rsidRDefault="00E23E49" w:rsidP="009F3C28">
      <w:pPr>
        <w:spacing w:line="360" w:lineRule="auto"/>
        <w:rPr>
          <w:rFonts w:ascii="Arial" w:hAnsi="Arial" w:cs="Arial"/>
          <w:sz w:val="24"/>
          <w:szCs w:val="24"/>
        </w:rPr>
      </w:pPr>
      <w:r w:rsidRPr="00803639">
        <w:rPr>
          <w:rFonts w:ascii="Arial" w:hAnsi="Arial" w:cs="Arial"/>
          <w:sz w:val="24"/>
          <w:szCs w:val="24"/>
        </w:rPr>
        <w:t>For instance, it's essential to use workforce management software when a company uses hourly employees. Important HR functions like scheduling, holiday being entitled, and sick time administration are managed by this software.</w:t>
      </w:r>
      <w:r w:rsidR="002F3312" w:rsidRPr="00803639">
        <w:rPr>
          <w:rFonts w:ascii="Arial" w:hAnsi="Arial" w:cs="Arial"/>
          <w:sz w:val="24"/>
          <w:szCs w:val="24"/>
        </w:rPr>
        <w:t xml:space="preserve"> To makes investments in its staff members' ongoing training and education in order to achieve operational success. In order to foster better teamwork, the retailer also aims to give its staff members the freedom to own their work.</w:t>
      </w:r>
    </w:p>
    <w:p w:rsidR="002F3312" w:rsidRPr="00803639" w:rsidRDefault="002F3312" w:rsidP="009F3C28">
      <w:pPr>
        <w:spacing w:line="360" w:lineRule="auto"/>
        <w:rPr>
          <w:rFonts w:ascii="Arial" w:hAnsi="Arial" w:cs="Arial"/>
          <w:sz w:val="24"/>
          <w:szCs w:val="24"/>
        </w:rPr>
      </w:pPr>
    </w:p>
    <w:p w:rsidR="002F3312" w:rsidRPr="00803639" w:rsidRDefault="002F3312" w:rsidP="009F3C28">
      <w:pPr>
        <w:spacing w:line="360" w:lineRule="auto"/>
        <w:rPr>
          <w:rFonts w:ascii="Arial" w:hAnsi="Arial" w:cs="Arial"/>
          <w:sz w:val="24"/>
          <w:szCs w:val="24"/>
        </w:rPr>
      </w:pPr>
      <w:r w:rsidRPr="00803639">
        <w:rPr>
          <w:rFonts w:ascii="Arial" w:hAnsi="Arial" w:cs="Arial"/>
          <w:b/>
          <w:sz w:val="24"/>
          <w:szCs w:val="24"/>
        </w:rPr>
        <w:t>Reward and recognition programmes</w:t>
      </w:r>
      <w:r w:rsidRPr="00803639">
        <w:rPr>
          <w:rFonts w:ascii="Arial" w:hAnsi="Arial" w:cs="Arial"/>
          <w:sz w:val="24"/>
          <w:szCs w:val="24"/>
        </w:rPr>
        <w:t xml:space="preserve">: HR can create a programme that fits in with strategic goals. HR can inspire workers to pursue excellence and contribute to the </w:t>
      </w:r>
      <w:r w:rsidRPr="00803639">
        <w:rPr>
          <w:rFonts w:ascii="Arial" w:hAnsi="Arial" w:cs="Arial"/>
          <w:sz w:val="24"/>
          <w:szCs w:val="24"/>
        </w:rPr>
        <w:lastRenderedPageBreak/>
        <w:t>organisational success by tying performance incentives, bonuses, promotions, and recognition programmes to the accomplishment of strategic goals.</w:t>
      </w:r>
    </w:p>
    <w:p w:rsidR="002F3312" w:rsidRPr="00803639" w:rsidRDefault="002F3312" w:rsidP="009F3C28">
      <w:pPr>
        <w:spacing w:line="360" w:lineRule="auto"/>
        <w:rPr>
          <w:rFonts w:ascii="Arial" w:hAnsi="Arial" w:cs="Arial"/>
          <w:sz w:val="24"/>
          <w:szCs w:val="24"/>
        </w:rPr>
      </w:pPr>
    </w:p>
    <w:p w:rsidR="00E23E49" w:rsidRPr="00803639" w:rsidRDefault="002F3312" w:rsidP="009F3C28">
      <w:pPr>
        <w:spacing w:line="360" w:lineRule="auto"/>
        <w:rPr>
          <w:rFonts w:ascii="Arial" w:hAnsi="Arial" w:cs="Arial"/>
          <w:sz w:val="24"/>
          <w:szCs w:val="24"/>
        </w:rPr>
      </w:pPr>
      <w:r w:rsidRPr="00803639">
        <w:rPr>
          <w:rFonts w:ascii="Arial" w:hAnsi="Arial" w:cs="Arial"/>
          <w:sz w:val="24"/>
          <w:szCs w:val="24"/>
        </w:rPr>
        <w:t>Change management: HR is essential to the organization's ability to manage change. HR can assist employees in adjusting to new procedures, technologies, and working styles that are required to meet strategic goals by fostering effective communication, offering support during transitions, and putting methods for change management into place.</w:t>
      </w:r>
      <w:sdt>
        <w:sdtPr>
          <w:rPr>
            <w:rFonts w:ascii="Arial" w:hAnsi="Arial" w:cs="Arial"/>
            <w:sz w:val="24"/>
            <w:szCs w:val="24"/>
          </w:rPr>
          <w:id w:val="774059326"/>
          <w:citation/>
        </w:sdtPr>
        <w:sdtEndPr/>
        <w:sdtContent>
          <w:r w:rsidRPr="00803639">
            <w:rPr>
              <w:rFonts w:ascii="Arial" w:hAnsi="Arial" w:cs="Arial"/>
              <w:sz w:val="24"/>
              <w:szCs w:val="24"/>
            </w:rPr>
            <w:fldChar w:fldCharType="begin"/>
          </w:r>
          <w:r w:rsidRPr="00803639">
            <w:rPr>
              <w:rFonts w:ascii="Arial" w:hAnsi="Arial" w:cs="Arial"/>
              <w:sz w:val="24"/>
              <w:szCs w:val="24"/>
              <w:lang w:val="en-US"/>
            </w:rPr>
            <w:instrText xml:space="preserve"> CITATION Kat191 \l 1033 </w:instrText>
          </w:r>
          <w:r w:rsidRPr="00803639">
            <w:rPr>
              <w:rFonts w:ascii="Arial" w:hAnsi="Arial" w:cs="Arial"/>
              <w:sz w:val="24"/>
              <w:szCs w:val="24"/>
            </w:rPr>
            <w:fldChar w:fldCharType="separate"/>
          </w:r>
          <w:r w:rsidRPr="00803639">
            <w:rPr>
              <w:rFonts w:ascii="Arial" w:hAnsi="Arial" w:cs="Arial"/>
              <w:noProof/>
              <w:sz w:val="24"/>
              <w:szCs w:val="24"/>
              <w:lang w:val="en-US"/>
            </w:rPr>
            <w:t xml:space="preserve"> (Sawyer, 2019)</w:t>
          </w:r>
          <w:r w:rsidRPr="00803639">
            <w:rPr>
              <w:rFonts w:ascii="Arial" w:hAnsi="Arial" w:cs="Arial"/>
              <w:sz w:val="24"/>
              <w:szCs w:val="24"/>
            </w:rPr>
            <w:fldChar w:fldCharType="end"/>
          </w:r>
        </w:sdtContent>
      </w:sdt>
    </w:p>
    <w:p w:rsidR="002F3312" w:rsidRPr="00803639" w:rsidRDefault="002F3312" w:rsidP="009F3C28">
      <w:pPr>
        <w:spacing w:line="360" w:lineRule="auto"/>
        <w:rPr>
          <w:rFonts w:ascii="Arial" w:hAnsi="Arial" w:cs="Arial"/>
          <w:sz w:val="24"/>
          <w:szCs w:val="24"/>
        </w:rPr>
      </w:pPr>
    </w:p>
    <w:p w:rsidR="002F3312" w:rsidRPr="00803639" w:rsidRDefault="002F3312" w:rsidP="009F3C28">
      <w:pPr>
        <w:spacing w:line="360" w:lineRule="auto"/>
        <w:rPr>
          <w:rFonts w:ascii="Arial" w:hAnsi="Arial" w:cs="Arial"/>
          <w:sz w:val="24"/>
          <w:szCs w:val="24"/>
        </w:rPr>
      </w:pPr>
    </w:p>
    <w:p w:rsidR="002F3312" w:rsidRPr="00803639" w:rsidRDefault="009F3C28" w:rsidP="009F3C28">
      <w:pPr>
        <w:spacing w:line="360" w:lineRule="auto"/>
        <w:rPr>
          <w:rFonts w:ascii="Arial" w:hAnsi="Arial" w:cs="Arial"/>
          <w:b/>
          <w:sz w:val="24"/>
          <w:szCs w:val="24"/>
        </w:rPr>
      </w:pPr>
      <w:r>
        <w:rPr>
          <w:rFonts w:ascii="Arial" w:hAnsi="Arial" w:cs="Arial"/>
          <w:b/>
          <w:sz w:val="24"/>
          <w:szCs w:val="24"/>
        </w:rPr>
        <w:t>•</w:t>
      </w:r>
      <w:r w:rsidRPr="00803639">
        <w:rPr>
          <w:rFonts w:ascii="Arial" w:hAnsi="Arial" w:cs="Arial"/>
          <w:b/>
          <w:sz w:val="24"/>
          <w:szCs w:val="24"/>
        </w:rPr>
        <w:t>WHAT ORGANISATIONAL CLIMATE FACTORS AFFECT THE EFFECTIVENESS OF HR STRATEGY</w:t>
      </w:r>
    </w:p>
    <w:p w:rsidR="00803639" w:rsidRPr="00803639" w:rsidRDefault="00803639" w:rsidP="009F3C28">
      <w:pPr>
        <w:spacing w:line="360" w:lineRule="auto"/>
        <w:rPr>
          <w:rFonts w:ascii="Arial" w:hAnsi="Arial" w:cs="Arial"/>
          <w:b/>
          <w:sz w:val="24"/>
          <w:szCs w:val="24"/>
        </w:rPr>
      </w:pPr>
    </w:p>
    <w:p w:rsidR="00803639" w:rsidRPr="00803639" w:rsidRDefault="00803639" w:rsidP="009F3C28">
      <w:pPr>
        <w:spacing w:line="360" w:lineRule="auto"/>
        <w:rPr>
          <w:rFonts w:ascii="Arial" w:hAnsi="Arial" w:cs="Arial"/>
          <w:b/>
          <w:sz w:val="24"/>
          <w:szCs w:val="24"/>
        </w:rPr>
      </w:pPr>
      <w:r w:rsidRPr="00803639">
        <w:rPr>
          <w:rFonts w:ascii="Arial" w:hAnsi="Arial" w:cs="Arial"/>
          <w:b/>
          <w:sz w:val="24"/>
          <w:szCs w:val="24"/>
        </w:rPr>
        <w:t xml:space="preserve">In this case: </w:t>
      </w:r>
    </w:p>
    <w:p w:rsidR="00803639" w:rsidRPr="00803639" w:rsidRDefault="00803639" w:rsidP="009F3C28">
      <w:pPr>
        <w:spacing w:line="360" w:lineRule="auto"/>
        <w:rPr>
          <w:rFonts w:ascii="Arial" w:hAnsi="Arial" w:cs="Arial"/>
          <w:sz w:val="24"/>
          <w:szCs w:val="24"/>
        </w:rPr>
      </w:pPr>
      <w:r w:rsidRPr="00803639">
        <w:rPr>
          <w:rFonts w:ascii="Arial" w:hAnsi="Arial" w:cs="Arial"/>
          <w:sz w:val="24"/>
          <w:szCs w:val="24"/>
        </w:rPr>
        <w:t>Lack of strategic HR partnering capability: The case demonstrates that ECC identified a problem with the public sector's lack of strategic HR partnering capability. This factor suggests that implementing an effective HR strategy may not have been possible given the organisational climate at the time. It's possible that the HR initiatives wouldn't have been in line with the organization's overall goals and objectives in the absence of skilled HR professionals capable of strategic partnering.</w:t>
      </w:r>
    </w:p>
    <w:p w:rsidR="00803639" w:rsidRPr="00803639" w:rsidRDefault="00803639" w:rsidP="009F3C28">
      <w:pPr>
        <w:spacing w:line="360" w:lineRule="auto"/>
        <w:rPr>
          <w:rFonts w:ascii="Arial" w:hAnsi="Arial" w:cs="Arial"/>
          <w:sz w:val="24"/>
          <w:szCs w:val="24"/>
        </w:rPr>
      </w:pPr>
    </w:p>
    <w:p w:rsidR="00803639" w:rsidRPr="00803639" w:rsidRDefault="00803639" w:rsidP="009F3C28">
      <w:pPr>
        <w:spacing w:line="360" w:lineRule="auto"/>
        <w:rPr>
          <w:rFonts w:ascii="Arial" w:hAnsi="Arial" w:cs="Arial"/>
          <w:sz w:val="24"/>
          <w:szCs w:val="24"/>
        </w:rPr>
      </w:pPr>
      <w:r w:rsidRPr="00803639">
        <w:rPr>
          <w:rFonts w:ascii="Arial" w:hAnsi="Arial" w:cs="Arial"/>
          <w:sz w:val="24"/>
          <w:szCs w:val="24"/>
        </w:rPr>
        <w:t>candidates with business partnering expertise: ECC discovered a dearth of candidates with this expertise to fill senior HR roles. This factor raises the possibility that the region's supply of qualified professionals was constrained, which may have affected the organization's capacity to implement successful HR strategies. </w:t>
      </w:r>
    </w:p>
    <w:p w:rsidR="00803639" w:rsidRPr="00803639" w:rsidRDefault="00803639" w:rsidP="009F3C28">
      <w:pPr>
        <w:spacing w:line="360" w:lineRule="auto"/>
        <w:rPr>
          <w:rFonts w:ascii="Arial" w:hAnsi="Arial" w:cs="Arial"/>
          <w:b/>
          <w:sz w:val="24"/>
          <w:szCs w:val="24"/>
        </w:rPr>
      </w:pPr>
    </w:p>
    <w:p w:rsidR="002F3312" w:rsidRPr="00803639" w:rsidRDefault="002F3312" w:rsidP="009F3C28">
      <w:pPr>
        <w:spacing w:line="360" w:lineRule="auto"/>
        <w:rPr>
          <w:rFonts w:ascii="Arial" w:hAnsi="Arial" w:cs="Arial"/>
          <w:sz w:val="24"/>
          <w:szCs w:val="24"/>
        </w:rPr>
      </w:pPr>
      <w:r w:rsidRPr="00803639">
        <w:rPr>
          <w:rFonts w:ascii="Arial" w:hAnsi="Arial" w:cs="Arial"/>
          <w:sz w:val="24"/>
          <w:szCs w:val="24"/>
        </w:rPr>
        <w:t xml:space="preserve">The importance of the organisational climate in a </w:t>
      </w:r>
      <w:r w:rsidR="00803639" w:rsidRPr="00803639">
        <w:rPr>
          <w:rFonts w:ascii="Arial" w:hAnsi="Arial" w:cs="Arial"/>
          <w:sz w:val="24"/>
          <w:szCs w:val="24"/>
        </w:rPr>
        <w:t>company</w:t>
      </w:r>
      <w:r w:rsidR="00803639">
        <w:rPr>
          <w:rFonts w:ascii="Arial" w:hAnsi="Arial" w:cs="Arial"/>
          <w:sz w:val="24"/>
          <w:szCs w:val="24"/>
        </w:rPr>
        <w:t>, we</w:t>
      </w:r>
      <w:r w:rsidRPr="00803639">
        <w:rPr>
          <w:rFonts w:ascii="Arial" w:hAnsi="Arial" w:cs="Arial"/>
          <w:sz w:val="24"/>
          <w:szCs w:val="24"/>
        </w:rPr>
        <w:t xml:space="preserve"> looked at the research on how workplace culture affects workers' engagement.</w:t>
      </w:r>
    </w:p>
    <w:p w:rsidR="002F3312" w:rsidRPr="00803639" w:rsidRDefault="002F3312" w:rsidP="009F3C28">
      <w:pPr>
        <w:spacing w:line="360" w:lineRule="auto"/>
        <w:rPr>
          <w:rFonts w:ascii="Arial" w:hAnsi="Arial" w:cs="Arial"/>
          <w:sz w:val="24"/>
          <w:szCs w:val="24"/>
        </w:rPr>
      </w:pPr>
      <w:r w:rsidRPr="00803639">
        <w:rPr>
          <w:rFonts w:ascii="Arial" w:hAnsi="Arial" w:cs="Arial"/>
          <w:sz w:val="24"/>
          <w:szCs w:val="24"/>
        </w:rPr>
        <w:lastRenderedPageBreak/>
        <w:t xml:space="preserve">The term "organisational climate" refers to the staff </w:t>
      </w:r>
      <w:r w:rsidR="00803639" w:rsidRPr="00803639">
        <w:rPr>
          <w:rFonts w:ascii="Arial" w:hAnsi="Arial" w:cs="Arial"/>
          <w:sz w:val="24"/>
          <w:szCs w:val="24"/>
        </w:rPr>
        <w:t>member’s</w:t>
      </w:r>
      <w:r w:rsidRPr="00803639">
        <w:rPr>
          <w:rFonts w:ascii="Arial" w:hAnsi="Arial" w:cs="Arial"/>
          <w:sz w:val="24"/>
          <w:szCs w:val="24"/>
        </w:rPr>
        <w:t xml:space="preserve"> collective perceptions as well as the meaning they give to the rules, practises, and procedures they come across at work as well as the behaviours they observe being promoted, supported, and envisioned with regard to the organization's human resources. The interactions employee behaviour, goals for achievement, and chances for growth are all part of the organisational climate. Additionally, the organisational climate has a big impact on people, groups, and organisations. </w:t>
      </w:r>
      <w:sdt>
        <w:sdtPr>
          <w:rPr>
            <w:rFonts w:ascii="Arial" w:hAnsi="Arial" w:cs="Arial"/>
            <w:sz w:val="24"/>
            <w:szCs w:val="24"/>
          </w:rPr>
          <w:id w:val="1039089964"/>
          <w:citation/>
        </w:sdtPr>
        <w:sdtEndPr/>
        <w:sdtContent>
          <w:r w:rsidRPr="00803639">
            <w:rPr>
              <w:rFonts w:ascii="Arial" w:hAnsi="Arial" w:cs="Arial"/>
              <w:sz w:val="24"/>
              <w:szCs w:val="24"/>
            </w:rPr>
            <w:fldChar w:fldCharType="begin"/>
          </w:r>
          <w:r w:rsidRPr="00803639">
            <w:rPr>
              <w:rFonts w:ascii="Arial" w:hAnsi="Arial" w:cs="Arial"/>
              <w:sz w:val="24"/>
              <w:szCs w:val="24"/>
              <w:lang w:val="en-US"/>
            </w:rPr>
            <w:instrText xml:space="preserve"> CITATION Maj21 \l 1033 </w:instrText>
          </w:r>
          <w:r w:rsidRPr="00803639">
            <w:rPr>
              <w:rFonts w:ascii="Arial" w:hAnsi="Arial" w:cs="Arial"/>
              <w:sz w:val="24"/>
              <w:szCs w:val="24"/>
            </w:rPr>
            <w:fldChar w:fldCharType="separate"/>
          </w:r>
          <w:r w:rsidRPr="00803639">
            <w:rPr>
              <w:rFonts w:ascii="Arial" w:hAnsi="Arial" w:cs="Arial"/>
              <w:noProof/>
              <w:sz w:val="24"/>
              <w:szCs w:val="24"/>
              <w:lang w:val="en-US"/>
            </w:rPr>
            <w:t>(Štrukelj, 2021)</w:t>
          </w:r>
          <w:r w:rsidRPr="00803639">
            <w:rPr>
              <w:rFonts w:ascii="Arial" w:hAnsi="Arial" w:cs="Arial"/>
              <w:sz w:val="24"/>
              <w:szCs w:val="24"/>
            </w:rPr>
            <w:fldChar w:fldCharType="end"/>
          </w:r>
        </w:sdtContent>
      </w:sdt>
    </w:p>
    <w:p w:rsidR="00803639" w:rsidRPr="00803639" w:rsidRDefault="00803639" w:rsidP="009F3C28">
      <w:pPr>
        <w:spacing w:line="360" w:lineRule="auto"/>
        <w:rPr>
          <w:rFonts w:ascii="Arial" w:hAnsi="Arial" w:cs="Arial"/>
          <w:sz w:val="24"/>
          <w:szCs w:val="24"/>
        </w:rPr>
      </w:pPr>
    </w:p>
    <w:p w:rsidR="00803639" w:rsidRPr="00803639" w:rsidRDefault="00803639" w:rsidP="009F3C28">
      <w:pPr>
        <w:spacing w:line="360" w:lineRule="auto"/>
        <w:rPr>
          <w:rFonts w:ascii="Arial" w:hAnsi="Arial" w:cs="Arial"/>
          <w:sz w:val="24"/>
          <w:szCs w:val="24"/>
        </w:rPr>
      </w:pPr>
      <w:r w:rsidRPr="00803639">
        <w:rPr>
          <w:rFonts w:ascii="Arial" w:hAnsi="Arial" w:cs="Arial"/>
          <w:b/>
          <w:sz w:val="24"/>
          <w:szCs w:val="24"/>
        </w:rPr>
        <w:t>Employee Participation and Involvement</w:t>
      </w:r>
      <w:r w:rsidRPr="00803639">
        <w:rPr>
          <w:rFonts w:ascii="Arial" w:hAnsi="Arial" w:cs="Arial"/>
          <w:sz w:val="24"/>
          <w:szCs w:val="24"/>
        </w:rPr>
        <w:t>: When employees are given opportunities for input and participation in decision-making processes, a positive environment is created that supports HR strategies. Increased effectiveness is the result of increased employee ownership, engagement, and commitment to HR initiatives.</w:t>
      </w:r>
    </w:p>
    <w:p w:rsidR="00803639" w:rsidRPr="00803639" w:rsidRDefault="00803639" w:rsidP="009F3C28">
      <w:pPr>
        <w:spacing w:line="360" w:lineRule="auto"/>
        <w:rPr>
          <w:rFonts w:ascii="Arial" w:hAnsi="Arial" w:cs="Arial"/>
          <w:sz w:val="24"/>
          <w:szCs w:val="24"/>
        </w:rPr>
      </w:pPr>
    </w:p>
    <w:p w:rsidR="00803639" w:rsidRPr="00803639" w:rsidRDefault="00803639" w:rsidP="009F3C28">
      <w:pPr>
        <w:spacing w:line="360" w:lineRule="auto"/>
        <w:rPr>
          <w:rFonts w:ascii="Arial" w:hAnsi="Arial" w:cs="Arial"/>
          <w:sz w:val="24"/>
          <w:szCs w:val="24"/>
        </w:rPr>
      </w:pPr>
    </w:p>
    <w:p w:rsidR="00803639" w:rsidRPr="00803639" w:rsidRDefault="00803639" w:rsidP="009F3C28">
      <w:pPr>
        <w:spacing w:line="360" w:lineRule="auto"/>
        <w:rPr>
          <w:rFonts w:ascii="Arial" w:hAnsi="Arial" w:cs="Arial"/>
          <w:sz w:val="24"/>
          <w:szCs w:val="24"/>
        </w:rPr>
      </w:pPr>
      <w:r w:rsidRPr="00803639">
        <w:rPr>
          <w:rFonts w:ascii="Arial" w:hAnsi="Arial" w:cs="Arial"/>
          <w:b/>
          <w:sz w:val="24"/>
          <w:szCs w:val="24"/>
        </w:rPr>
        <w:t>Organisational Culture:</w:t>
      </w:r>
      <w:r w:rsidRPr="00803639">
        <w:rPr>
          <w:rFonts w:ascii="Arial" w:hAnsi="Arial" w:cs="Arial"/>
          <w:sz w:val="24"/>
          <w:szCs w:val="24"/>
        </w:rPr>
        <w:t xml:space="preserve"> The prevailing culture within an organisation can either help or hurt the efficacy of HR strategies. A culture that places a high value on education, growth, teamwork, and innovation supports HR objectives and improves their efficacy. On the other hand, the effective implementation of HR initiatives can be hampered by a culture that is resistant to change or lacking in trust.</w:t>
      </w:r>
    </w:p>
    <w:p w:rsidR="00803639" w:rsidRPr="00803639" w:rsidRDefault="00803639" w:rsidP="009F3C28">
      <w:pPr>
        <w:spacing w:line="360" w:lineRule="auto"/>
        <w:rPr>
          <w:rFonts w:ascii="Arial" w:hAnsi="Arial" w:cs="Arial"/>
          <w:sz w:val="24"/>
          <w:szCs w:val="24"/>
        </w:rPr>
      </w:pPr>
    </w:p>
    <w:p w:rsidR="00803639" w:rsidRPr="00803639" w:rsidRDefault="00803639" w:rsidP="009F3C28">
      <w:pPr>
        <w:spacing w:line="360" w:lineRule="auto"/>
        <w:rPr>
          <w:rFonts w:ascii="Arial" w:hAnsi="Arial" w:cs="Arial"/>
          <w:sz w:val="24"/>
          <w:szCs w:val="24"/>
        </w:rPr>
      </w:pPr>
      <w:r w:rsidRPr="00803639">
        <w:rPr>
          <w:rFonts w:ascii="Arial" w:hAnsi="Arial" w:cs="Arial"/>
          <w:b/>
          <w:sz w:val="24"/>
          <w:szCs w:val="24"/>
        </w:rPr>
        <w:t>Performance Management and Recognition</w:t>
      </w:r>
      <w:r w:rsidRPr="00803639">
        <w:rPr>
          <w:rFonts w:ascii="Arial" w:hAnsi="Arial" w:cs="Arial"/>
          <w:sz w:val="24"/>
          <w:szCs w:val="24"/>
        </w:rPr>
        <w:t>: The success of HR strategies depends on the implementation of an efficient performance management system that offers consistent feedback, acknowledges and rewards employee contributions, and promotes career development. a favourable performance environment. </w:t>
      </w:r>
      <w:sdt>
        <w:sdtPr>
          <w:rPr>
            <w:rFonts w:ascii="Arial" w:hAnsi="Arial" w:cs="Arial"/>
            <w:sz w:val="24"/>
            <w:szCs w:val="24"/>
          </w:rPr>
          <w:id w:val="-827285845"/>
          <w:citation/>
        </w:sdtPr>
        <w:sdtEndPr/>
        <w:sdtContent>
          <w:r w:rsidRPr="00803639">
            <w:rPr>
              <w:rFonts w:ascii="Arial" w:hAnsi="Arial" w:cs="Arial"/>
              <w:sz w:val="24"/>
              <w:szCs w:val="24"/>
            </w:rPr>
            <w:fldChar w:fldCharType="begin"/>
          </w:r>
          <w:r w:rsidRPr="00803639">
            <w:rPr>
              <w:rFonts w:ascii="Arial" w:hAnsi="Arial" w:cs="Arial"/>
              <w:sz w:val="24"/>
              <w:szCs w:val="24"/>
              <w:lang w:val="en-US"/>
            </w:rPr>
            <w:instrText xml:space="preserve"> CITATION the27 \l 1033 </w:instrText>
          </w:r>
          <w:r w:rsidRPr="00803639">
            <w:rPr>
              <w:rFonts w:ascii="Arial" w:hAnsi="Arial" w:cs="Arial"/>
              <w:sz w:val="24"/>
              <w:szCs w:val="24"/>
            </w:rPr>
            <w:fldChar w:fldCharType="separate"/>
          </w:r>
          <w:r w:rsidRPr="00803639">
            <w:rPr>
              <w:rFonts w:ascii="Arial" w:hAnsi="Arial" w:cs="Arial"/>
              <w:noProof/>
              <w:sz w:val="24"/>
              <w:szCs w:val="24"/>
              <w:lang w:val="en-US"/>
            </w:rPr>
            <w:t>(thehartford, n.d.)</w:t>
          </w:r>
          <w:r w:rsidRPr="00803639">
            <w:rPr>
              <w:rFonts w:ascii="Arial" w:hAnsi="Arial" w:cs="Arial"/>
              <w:sz w:val="24"/>
              <w:szCs w:val="24"/>
            </w:rPr>
            <w:fldChar w:fldCharType="end"/>
          </w:r>
        </w:sdtContent>
      </w:sdt>
    </w:p>
    <w:p w:rsidR="00803639" w:rsidRPr="00803639" w:rsidRDefault="00803639" w:rsidP="009F3C28">
      <w:pPr>
        <w:spacing w:line="360" w:lineRule="auto"/>
        <w:rPr>
          <w:rFonts w:ascii="Arial" w:hAnsi="Arial" w:cs="Arial"/>
          <w:sz w:val="24"/>
          <w:szCs w:val="24"/>
        </w:rPr>
      </w:pPr>
    </w:p>
    <w:p w:rsidR="00803639" w:rsidRPr="00803639" w:rsidRDefault="00803639" w:rsidP="009F3C28">
      <w:pPr>
        <w:spacing w:line="360" w:lineRule="auto"/>
        <w:rPr>
          <w:rFonts w:ascii="Arial" w:hAnsi="Arial" w:cs="Arial"/>
          <w:b/>
          <w:sz w:val="24"/>
          <w:szCs w:val="24"/>
        </w:rPr>
      </w:pPr>
      <w:r w:rsidRPr="00803639">
        <w:rPr>
          <w:rFonts w:ascii="Arial" w:hAnsi="Arial" w:cs="Arial"/>
          <w:b/>
          <w:sz w:val="24"/>
          <w:szCs w:val="24"/>
        </w:rPr>
        <w:t>Conclusion:</w:t>
      </w:r>
    </w:p>
    <w:p w:rsidR="00803639" w:rsidRPr="00803639" w:rsidRDefault="00803639" w:rsidP="009F3C28">
      <w:pPr>
        <w:spacing w:line="360" w:lineRule="auto"/>
        <w:rPr>
          <w:rFonts w:ascii="Arial" w:hAnsi="Arial" w:cs="Arial"/>
          <w:sz w:val="24"/>
          <w:szCs w:val="24"/>
        </w:rPr>
      </w:pPr>
      <w:r w:rsidRPr="00803639">
        <w:rPr>
          <w:rFonts w:ascii="Arial" w:hAnsi="Arial" w:cs="Arial"/>
          <w:sz w:val="24"/>
          <w:szCs w:val="24"/>
        </w:rPr>
        <w:t xml:space="preserve">Positive organisational climate is influenced by elements that prioritise employee well-being and support work-life balance. HR tactics that encourage flexible work </w:t>
      </w:r>
      <w:r w:rsidRPr="00803639">
        <w:rPr>
          <w:rFonts w:ascii="Arial" w:hAnsi="Arial" w:cs="Arial"/>
          <w:sz w:val="24"/>
          <w:szCs w:val="24"/>
        </w:rPr>
        <w:lastRenderedPageBreak/>
        <w:t>schedules, wellness programmes, and combining work and life contribute to the development of a positive environment that improves the efficacy of HR initiatives. Diversity and inclusion and for HR strategies to be successful, there must be an environment that respects diversity and encourages inclusion. The success of HR initiatives is increased for companies that support diversity, guarantee equal opportunities, and foster inclusive environments. These companies are also more likely to draw in and keep top talent.</w:t>
      </w:r>
    </w:p>
    <w:p w:rsidR="00803639" w:rsidRPr="00803639" w:rsidRDefault="00803639" w:rsidP="009F3C28">
      <w:pPr>
        <w:spacing w:line="360" w:lineRule="auto"/>
        <w:rPr>
          <w:rFonts w:ascii="Arial" w:hAnsi="Arial" w:cs="Arial"/>
          <w:sz w:val="24"/>
          <w:szCs w:val="24"/>
        </w:rPr>
      </w:pPr>
    </w:p>
    <w:p w:rsidR="009F3C28" w:rsidRDefault="009F3C28" w:rsidP="009F3C28">
      <w:pPr>
        <w:spacing w:line="360" w:lineRule="auto"/>
        <w:rPr>
          <w:rFonts w:ascii="Arial" w:hAnsi="Arial" w:cs="Arial"/>
          <w:b/>
          <w:sz w:val="24"/>
          <w:szCs w:val="24"/>
        </w:rPr>
      </w:pPr>
    </w:p>
    <w:p w:rsidR="009F3C28" w:rsidRDefault="009F3C28" w:rsidP="009F3C28">
      <w:pPr>
        <w:spacing w:line="360" w:lineRule="auto"/>
        <w:rPr>
          <w:rFonts w:ascii="Arial" w:hAnsi="Arial" w:cs="Arial"/>
          <w:b/>
          <w:sz w:val="24"/>
          <w:szCs w:val="24"/>
        </w:rPr>
      </w:pPr>
    </w:p>
    <w:p w:rsidR="00803639" w:rsidRPr="009F3C28" w:rsidRDefault="009F3C28" w:rsidP="009F3C28">
      <w:pPr>
        <w:spacing w:line="360" w:lineRule="auto"/>
        <w:rPr>
          <w:rFonts w:ascii="Arial" w:hAnsi="Arial" w:cs="Arial"/>
          <w:b/>
          <w:sz w:val="24"/>
          <w:szCs w:val="24"/>
        </w:rPr>
      </w:pPr>
      <w:r w:rsidRPr="009F3C28">
        <w:rPr>
          <w:rFonts w:ascii="Arial" w:hAnsi="Arial" w:cs="Arial"/>
          <w:b/>
          <w:sz w:val="24"/>
          <w:szCs w:val="24"/>
        </w:rPr>
        <w:t xml:space="preserve">REFERENCES </w:t>
      </w:r>
    </w:p>
    <w:p w:rsidR="00803639" w:rsidRPr="00803639" w:rsidRDefault="00803639" w:rsidP="009F3C28">
      <w:pPr>
        <w:spacing w:line="360" w:lineRule="auto"/>
        <w:rPr>
          <w:rFonts w:ascii="Arial" w:hAnsi="Arial" w:cs="Arial"/>
          <w:sz w:val="24"/>
          <w:szCs w:val="24"/>
        </w:rPr>
      </w:pPr>
    </w:p>
    <w:p w:rsidR="009F3C28" w:rsidRPr="009F3C28" w:rsidRDefault="009F3C28" w:rsidP="009F3C28">
      <w:pPr>
        <w:spacing w:line="360" w:lineRule="auto"/>
        <w:rPr>
          <w:rFonts w:ascii="Arial" w:hAnsi="Arial" w:cs="Arial"/>
          <w:sz w:val="24"/>
          <w:szCs w:val="24"/>
          <w:lang w:val="en-US"/>
        </w:rPr>
      </w:pPr>
      <w:r w:rsidRPr="009F3C28">
        <w:rPr>
          <w:rFonts w:ascii="Arial" w:hAnsi="Arial" w:cs="Arial"/>
          <w:sz w:val="24"/>
          <w:szCs w:val="24"/>
          <w:lang w:val="en-US"/>
        </w:rPr>
        <w:t xml:space="preserve">Boyne, G., Poole, M. and Jenkins, G. (1999). Human Resource Management in the Public and Private Sectors: An Empirical Comparison. </w:t>
      </w:r>
      <w:r w:rsidRPr="009F3C28">
        <w:rPr>
          <w:rFonts w:ascii="Arial" w:hAnsi="Arial" w:cs="Arial"/>
          <w:i/>
          <w:iCs/>
          <w:sz w:val="24"/>
          <w:szCs w:val="24"/>
          <w:lang w:val="en-US"/>
        </w:rPr>
        <w:t>Public Administration</w:t>
      </w:r>
      <w:r w:rsidRPr="009F3C28">
        <w:rPr>
          <w:rFonts w:ascii="Arial" w:hAnsi="Arial" w:cs="Arial"/>
          <w:sz w:val="24"/>
          <w:szCs w:val="24"/>
          <w:lang w:val="en-US"/>
        </w:rPr>
        <w:t>, 77(2), pp.407–420. doi:</w:t>
      </w:r>
      <w:hyperlink r:id="rId5" w:history="1">
        <w:r w:rsidRPr="009F3C28">
          <w:rPr>
            <w:rStyle w:val="Hyperlink"/>
            <w:rFonts w:ascii="Arial" w:hAnsi="Arial" w:cs="Arial"/>
            <w:sz w:val="24"/>
            <w:szCs w:val="24"/>
            <w:lang w:val="en-US"/>
          </w:rPr>
          <w:t>https://doi.org/10.1111/1467-9299.00160</w:t>
        </w:r>
      </w:hyperlink>
      <w:r w:rsidRPr="009F3C28">
        <w:rPr>
          <w:rFonts w:ascii="Arial" w:hAnsi="Arial" w:cs="Arial"/>
          <w:sz w:val="24"/>
          <w:szCs w:val="24"/>
          <w:lang w:val="en-US"/>
        </w:rPr>
        <w:t xml:space="preserve"> </w:t>
      </w:r>
    </w:p>
    <w:p w:rsidR="009F3C28" w:rsidRPr="009F3C28" w:rsidRDefault="009F3C28" w:rsidP="009F3C28">
      <w:pPr>
        <w:spacing w:line="360" w:lineRule="auto"/>
        <w:rPr>
          <w:rFonts w:ascii="Arial" w:hAnsi="Arial" w:cs="Arial"/>
          <w:sz w:val="24"/>
          <w:szCs w:val="24"/>
          <w:lang w:val="en-US"/>
        </w:rPr>
      </w:pPr>
      <w:r w:rsidRPr="009F3C28">
        <w:rPr>
          <w:rFonts w:ascii="Arial" w:hAnsi="Arial" w:cs="Arial"/>
          <w:sz w:val="24"/>
          <w:szCs w:val="24"/>
          <w:lang w:val="en-US"/>
        </w:rPr>
        <w:t xml:space="preserve">Deputy. (n.d.). </w:t>
      </w:r>
      <w:r w:rsidRPr="009F3C28">
        <w:rPr>
          <w:rFonts w:ascii="Arial" w:hAnsi="Arial" w:cs="Arial"/>
          <w:i/>
          <w:iCs/>
          <w:sz w:val="24"/>
          <w:szCs w:val="24"/>
          <w:lang w:val="en-US"/>
        </w:rPr>
        <w:t>7 Key Steps: Strategic Human Resource Management</w:t>
      </w:r>
      <w:r w:rsidRPr="009F3C28">
        <w:rPr>
          <w:rFonts w:ascii="Arial" w:hAnsi="Arial" w:cs="Arial"/>
          <w:sz w:val="24"/>
          <w:szCs w:val="24"/>
          <w:lang w:val="en-US"/>
        </w:rPr>
        <w:t xml:space="preserve">. [online] Available at: </w:t>
      </w:r>
      <w:hyperlink r:id="rId6" w:anchor="estimate" w:history="1">
        <w:r w:rsidRPr="009F3C28">
          <w:rPr>
            <w:rStyle w:val="Hyperlink"/>
            <w:rFonts w:ascii="Arial" w:hAnsi="Arial" w:cs="Arial"/>
            <w:sz w:val="24"/>
            <w:szCs w:val="24"/>
            <w:lang w:val="en-US"/>
          </w:rPr>
          <w:t>https://www.deputy.com/blog/7-steps-to-strategic-human-resource-management#estimate</w:t>
        </w:r>
      </w:hyperlink>
      <w:r w:rsidRPr="009F3C28">
        <w:rPr>
          <w:rFonts w:ascii="Arial" w:hAnsi="Arial" w:cs="Arial"/>
          <w:sz w:val="24"/>
          <w:szCs w:val="24"/>
          <w:lang w:val="en-US"/>
        </w:rPr>
        <w:t>.</w:t>
      </w:r>
    </w:p>
    <w:p w:rsidR="009F3C28" w:rsidRPr="009F3C28" w:rsidRDefault="009F3C28" w:rsidP="009F3C28">
      <w:pPr>
        <w:spacing w:line="360" w:lineRule="auto"/>
        <w:rPr>
          <w:rFonts w:ascii="Arial" w:hAnsi="Arial" w:cs="Arial"/>
          <w:sz w:val="24"/>
          <w:szCs w:val="24"/>
          <w:lang w:val="en-US"/>
        </w:rPr>
      </w:pPr>
      <w:r w:rsidRPr="009F3C28">
        <w:rPr>
          <w:rFonts w:ascii="Arial" w:hAnsi="Arial" w:cs="Arial"/>
          <w:sz w:val="24"/>
          <w:szCs w:val="24"/>
          <w:lang w:val="en-US"/>
        </w:rPr>
        <w:t xml:space="preserve">Governing. (2021). </w:t>
      </w:r>
      <w:r w:rsidRPr="009F3C28">
        <w:rPr>
          <w:rFonts w:ascii="Arial" w:hAnsi="Arial" w:cs="Arial"/>
          <w:i/>
          <w:iCs/>
          <w:sz w:val="24"/>
          <w:szCs w:val="24"/>
          <w:lang w:val="en-US"/>
        </w:rPr>
        <w:t>Future of Work in the State and Local Arena</w:t>
      </w:r>
      <w:r w:rsidRPr="009F3C28">
        <w:rPr>
          <w:rFonts w:ascii="Arial" w:hAnsi="Arial" w:cs="Arial"/>
          <w:sz w:val="24"/>
          <w:szCs w:val="24"/>
          <w:lang w:val="en-US"/>
        </w:rPr>
        <w:t xml:space="preserve">. [online] Available at: </w:t>
      </w:r>
      <w:hyperlink r:id="rId7" w:history="1">
        <w:r w:rsidRPr="009F3C28">
          <w:rPr>
            <w:rStyle w:val="Hyperlink"/>
            <w:rFonts w:ascii="Arial" w:hAnsi="Arial" w:cs="Arial"/>
            <w:sz w:val="24"/>
            <w:szCs w:val="24"/>
            <w:lang w:val="en-US"/>
          </w:rPr>
          <w:t>https://www.governing.com/sponsored/future-of-work-in-the-state-and-local-arena.html</w:t>
        </w:r>
      </w:hyperlink>
      <w:r w:rsidRPr="009F3C28">
        <w:rPr>
          <w:rFonts w:ascii="Arial" w:hAnsi="Arial" w:cs="Arial"/>
          <w:sz w:val="24"/>
          <w:szCs w:val="24"/>
          <w:lang w:val="en-US"/>
        </w:rPr>
        <w:t xml:space="preserve"> [Accessed 12 Jun. 2023].</w:t>
      </w:r>
    </w:p>
    <w:p w:rsidR="009F3C28" w:rsidRPr="009F3C28" w:rsidRDefault="009F3C28" w:rsidP="009F3C28">
      <w:pPr>
        <w:spacing w:line="360" w:lineRule="auto"/>
        <w:rPr>
          <w:rFonts w:ascii="Arial" w:hAnsi="Arial" w:cs="Arial"/>
          <w:sz w:val="24"/>
          <w:szCs w:val="24"/>
          <w:lang w:val="en-US"/>
        </w:rPr>
      </w:pPr>
      <w:r w:rsidRPr="009F3C28">
        <w:rPr>
          <w:rFonts w:ascii="Arial" w:hAnsi="Arial" w:cs="Arial"/>
          <w:sz w:val="24"/>
          <w:szCs w:val="24"/>
          <w:lang w:val="en-US"/>
        </w:rPr>
        <w:t xml:space="preserve">GT, P. (2023). </w:t>
      </w:r>
      <w:r w:rsidRPr="009F3C28">
        <w:rPr>
          <w:rFonts w:ascii="Arial" w:hAnsi="Arial" w:cs="Arial"/>
          <w:i/>
          <w:iCs/>
          <w:sz w:val="24"/>
          <w:szCs w:val="24"/>
          <w:lang w:val="en-US"/>
        </w:rPr>
        <w:t>How to Boost, Measure and Improve HR Effectiveness</w:t>
      </w:r>
      <w:r w:rsidRPr="009F3C28">
        <w:rPr>
          <w:rFonts w:ascii="Arial" w:hAnsi="Arial" w:cs="Arial"/>
          <w:sz w:val="24"/>
          <w:szCs w:val="24"/>
          <w:lang w:val="en-US"/>
        </w:rPr>
        <w:t xml:space="preserve">. [online] blog.elblearning.com. Available at: </w:t>
      </w:r>
      <w:hyperlink r:id="rId8" w:history="1">
        <w:r w:rsidRPr="009F3C28">
          <w:rPr>
            <w:rStyle w:val="Hyperlink"/>
            <w:rFonts w:ascii="Arial" w:hAnsi="Arial" w:cs="Arial"/>
            <w:sz w:val="24"/>
            <w:szCs w:val="24"/>
            <w:lang w:val="en-US"/>
          </w:rPr>
          <w:t>https://blog.elblearning.com/how-to-boost-measure-and-improve-hr-effectiveness</w:t>
        </w:r>
      </w:hyperlink>
      <w:r w:rsidRPr="009F3C28">
        <w:rPr>
          <w:rFonts w:ascii="Arial" w:hAnsi="Arial" w:cs="Arial"/>
          <w:sz w:val="24"/>
          <w:szCs w:val="24"/>
          <w:lang w:val="en-US"/>
        </w:rPr>
        <w:t>.</w:t>
      </w:r>
    </w:p>
    <w:p w:rsidR="009F3C28" w:rsidRPr="009F3C28" w:rsidRDefault="009F3C28" w:rsidP="009F3C28">
      <w:pPr>
        <w:spacing w:line="360" w:lineRule="auto"/>
        <w:rPr>
          <w:rFonts w:ascii="Arial" w:hAnsi="Arial" w:cs="Arial"/>
          <w:sz w:val="24"/>
          <w:szCs w:val="24"/>
          <w:lang w:val="en-US"/>
        </w:rPr>
      </w:pPr>
      <w:r w:rsidRPr="009F3C28">
        <w:rPr>
          <w:rFonts w:ascii="Arial" w:hAnsi="Arial" w:cs="Arial"/>
          <w:sz w:val="24"/>
          <w:szCs w:val="24"/>
          <w:lang w:val="en-US"/>
        </w:rPr>
        <w:t xml:space="preserve">Knies, E., Boselie, P., Gould-Williams, J. and Vandenabeele, W. (2018). Strategic human resource management and public sector performance: context matters. </w:t>
      </w:r>
      <w:r w:rsidRPr="009F3C28">
        <w:rPr>
          <w:rFonts w:ascii="Arial" w:hAnsi="Arial" w:cs="Arial"/>
          <w:i/>
          <w:iCs/>
          <w:sz w:val="24"/>
          <w:szCs w:val="24"/>
          <w:lang w:val="en-US"/>
        </w:rPr>
        <w:t>The International Journal of Human Resource Management</w:t>
      </w:r>
      <w:r w:rsidRPr="009F3C28">
        <w:rPr>
          <w:rFonts w:ascii="Arial" w:hAnsi="Arial" w:cs="Arial"/>
          <w:sz w:val="24"/>
          <w:szCs w:val="24"/>
          <w:lang w:val="en-US"/>
        </w:rPr>
        <w:t>, pp.1–13. doi:</w:t>
      </w:r>
      <w:hyperlink r:id="rId9" w:history="1">
        <w:r w:rsidRPr="009F3C28">
          <w:rPr>
            <w:rStyle w:val="Hyperlink"/>
            <w:rFonts w:ascii="Arial" w:hAnsi="Arial" w:cs="Arial"/>
            <w:sz w:val="24"/>
            <w:szCs w:val="24"/>
            <w:lang w:val="en-US"/>
          </w:rPr>
          <w:t>https://doi.org/10.1080/09585192.2017.1407088</w:t>
        </w:r>
      </w:hyperlink>
      <w:r w:rsidRPr="009F3C28">
        <w:rPr>
          <w:rFonts w:ascii="Arial" w:hAnsi="Arial" w:cs="Arial"/>
          <w:sz w:val="24"/>
          <w:szCs w:val="24"/>
          <w:lang w:val="en-US"/>
        </w:rPr>
        <w:t>.</w:t>
      </w:r>
    </w:p>
    <w:p w:rsidR="009F3C28" w:rsidRPr="009F3C28" w:rsidRDefault="009F3C28" w:rsidP="009F3C28">
      <w:pPr>
        <w:spacing w:line="360" w:lineRule="auto"/>
        <w:rPr>
          <w:rFonts w:ascii="Arial" w:hAnsi="Arial" w:cs="Arial"/>
          <w:sz w:val="24"/>
          <w:szCs w:val="24"/>
          <w:lang w:val="en-US"/>
        </w:rPr>
      </w:pPr>
      <w:r w:rsidRPr="009F3C28">
        <w:rPr>
          <w:rFonts w:ascii="Arial" w:hAnsi="Arial" w:cs="Arial"/>
          <w:sz w:val="24"/>
          <w:szCs w:val="24"/>
          <w:lang w:val="en-US"/>
        </w:rPr>
        <w:lastRenderedPageBreak/>
        <w:t xml:space="preserve">Mayhew, R. (2011). </w:t>
      </w:r>
      <w:r w:rsidRPr="009F3C28">
        <w:rPr>
          <w:rFonts w:ascii="Arial" w:hAnsi="Arial" w:cs="Arial"/>
          <w:i/>
          <w:iCs/>
          <w:sz w:val="24"/>
          <w:szCs w:val="24"/>
          <w:lang w:val="en-US"/>
        </w:rPr>
        <w:t>The Three Types of Methods Used to Measure Performance</w:t>
      </w:r>
      <w:r w:rsidRPr="009F3C28">
        <w:rPr>
          <w:rFonts w:ascii="Arial" w:hAnsi="Arial" w:cs="Arial"/>
          <w:sz w:val="24"/>
          <w:szCs w:val="24"/>
          <w:lang w:val="en-US"/>
        </w:rPr>
        <w:t xml:space="preserve">. [online] Chron.com. Available at: </w:t>
      </w:r>
      <w:hyperlink r:id="rId10" w:history="1">
        <w:r w:rsidRPr="009F3C28">
          <w:rPr>
            <w:rStyle w:val="Hyperlink"/>
            <w:rFonts w:ascii="Arial" w:hAnsi="Arial" w:cs="Arial"/>
            <w:sz w:val="24"/>
            <w:szCs w:val="24"/>
            <w:lang w:val="en-US"/>
          </w:rPr>
          <w:t>https://smallbusiness.chron.com/three-types-methods-used-measure-performance-23612.html</w:t>
        </w:r>
      </w:hyperlink>
      <w:r w:rsidRPr="009F3C28">
        <w:rPr>
          <w:rFonts w:ascii="Arial" w:hAnsi="Arial" w:cs="Arial"/>
          <w:sz w:val="24"/>
          <w:szCs w:val="24"/>
          <w:lang w:val="en-US"/>
        </w:rPr>
        <w:t>.</w:t>
      </w:r>
    </w:p>
    <w:p w:rsidR="009F3C28" w:rsidRPr="009F3C28" w:rsidRDefault="009F3C28" w:rsidP="009F3C28">
      <w:pPr>
        <w:spacing w:line="360" w:lineRule="auto"/>
        <w:rPr>
          <w:rFonts w:ascii="Arial" w:hAnsi="Arial" w:cs="Arial"/>
          <w:sz w:val="24"/>
          <w:szCs w:val="24"/>
          <w:lang w:val="en-US"/>
        </w:rPr>
      </w:pPr>
      <w:r w:rsidRPr="009F3C28">
        <w:rPr>
          <w:rFonts w:ascii="Arial" w:hAnsi="Arial" w:cs="Arial"/>
          <w:sz w:val="24"/>
          <w:szCs w:val="24"/>
          <w:lang w:val="en-US"/>
        </w:rPr>
        <w:t xml:space="preserve">Oakleaf. (n.d.). </w:t>
      </w:r>
      <w:r w:rsidRPr="009F3C28">
        <w:rPr>
          <w:rFonts w:ascii="Arial" w:hAnsi="Arial" w:cs="Arial"/>
          <w:i/>
          <w:iCs/>
          <w:sz w:val="24"/>
          <w:szCs w:val="24"/>
          <w:lang w:val="en-US"/>
        </w:rPr>
        <w:t>Oakleaf | HR Recruitment Agency</w:t>
      </w:r>
      <w:r w:rsidRPr="009F3C28">
        <w:rPr>
          <w:rFonts w:ascii="Arial" w:hAnsi="Arial" w:cs="Arial"/>
          <w:sz w:val="24"/>
          <w:szCs w:val="24"/>
          <w:lang w:val="en-US"/>
        </w:rPr>
        <w:t xml:space="preserve">. [online] Available at: </w:t>
      </w:r>
      <w:hyperlink r:id="rId11" w:history="1">
        <w:r w:rsidRPr="009F3C28">
          <w:rPr>
            <w:rStyle w:val="Hyperlink"/>
            <w:rFonts w:ascii="Arial" w:hAnsi="Arial" w:cs="Arial"/>
            <w:sz w:val="24"/>
            <w:szCs w:val="24"/>
            <w:lang w:val="en-US"/>
          </w:rPr>
          <w:t>https://www.oakleafpartnership.com/</w:t>
        </w:r>
      </w:hyperlink>
      <w:r w:rsidRPr="009F3C28">
        <w:rPr>
          <w:rFonts w:ascii="Arial" w:hAnsi="Arial" w:cs="Arial"/>
          <w:sz w:val="24"/>
          <w:szCs w:val="24"/>
          <w:lang w:val="en-US"/>
        </w:rPr>
        <w:t xml:space="preserve"> [Accessed 12 Jun. 2023].</w:t>
      </w:r>
    </w:p>
    <w:p w:rsidR="009F3C28" w:rsidRPr="009F3C28" w:rsidRDefault="009F3C28" w:rsidP="009F3C28">
      <w:pPr>
        <w:spacing w:line="360" w:lineRule="auto"/>
        <w:rPr>
          <w:rFonts w:ascii="Arial" w:hAnsi="Arial" w:cs="Arial"/>
          <w:sz w:val="24"/>
          <w:szCs w:val="24"/>
          <w:lang w:val="en-US"/>
        </w:rPr>
      </w:pPr>
      <w:r w:rsidRPr="009F3C28">
        <w:rPr>
          <w:rFonts w:ascii="Arial" w:hAnsi="Arial" w:cs="Arial"/>
          <w:sz w:val="24"/>
          <w:szCs w:val="24"/>
          <w:lang w:val="en-US"/>
        </w:rPr>
        <w:t xml:space="preserve">Panel®, E. (n.d.). </w:t>
      </w:r>
      <w:r w:rsidRPr="009F3C28">
        <w:rPr>
          <w:rFonts w:ascii="Arial" w:hAnsi="Arial" w:cs="Arial"/>
          <w:i/>
          <w:iCs/>
          <w:sz w:val="24"/>
          <w:szCs w:val="24"/>
          <w:lang w:val="en-US"/>
        </w:rPr>
        <w:t>Council Post: 15 Smart Steps To Help Measure An HR Department’s Success</w:t>
      </w:r>
      <w:r w:rsidRPr="009F3C28">
        <w:rPr>
          <w:rFonts w:ascii="Arial" w:hAnsi="Arial" w:cs="Arial"/>
          <w:sz w:val="24"/>
          <w:szCs w:val="24"/>
          <w:lang w:val="en-US"/>
        </w:rPr>
        <w:t xml:space="preserve">. [online] Forbes. Available at: </w:t>
      </w:r>
      <w:hyperlink r:id="rId12" w:history="1">
        <w:r w:rsidRPr="009F3C28">
          <w:rPr>
            <w:rStyle w:val="Hyperlink"/>
            <w:rFonts w:ascii="Arial" w:hAnsi="Arial" w:cs="Arial"/>
            <w:sz w:val="24"/>
            <w:szCs w:val="24"/>
            <w:lang w:val="en-US"/>
          </w:rPr>
          <w:t>https://www.forbes.com/sites/forbeshumanresourcescouncil/2021/05/06/15-smart-steps-to-help-measure-the-hr-departments-success/?sh=7da1944e4e17</w:t>
        </w:r>
      </w:hyperlink>
      <w:r w:rsidRPr="009F3C28">
        <w:rPr>
          <w:rFonts w:ascii="Arial" w:hAnsi="Arial" w:cs="Arial"/>
          <w:sz w:val="24"/>
          <w:szCs w:val="24"/>
          <w:lang w:val="en-US"/>
        </w:rPr>
        <w:t xml:space="preserve"> [Accessed 12 Jun. 2023].</w:t>
      </w:r>
    </w:p>
    <w:p w:rsidR="009F3C28" w:rsidRPr="009F3C28" w:rsidRDefault="009F3C28" w:rsidP="009F3C28">
      <w:pPr>
        <w:spacing w:line="360" w:lineRule="auto"/>
        <w:rPr>
          <w:rFonts w:ascii="Arial" w:hAnsi="Arial" w:cs="Arial"/>
          <w:sz w:val="24"/>
          <w:szCs w:val="24"/>
          <w:lang w:val="en-US"/>
        </w:rPr>
      </w:pPr>
      <w:r w:rsidRPr="009F3C28">
        <w:rPr>
          <w:rFonts w:ascii="Arial" w:hAnsi="Arial" w:cs="Arial"/>
          <w:sz w:val="24"/>
          <w:szCs w:val="24"/>
          <w:lang w:val="en-US"/>
        </w:rPr>
        <w:t xml:space="preserve">Ramsey, M. (2020). </w:t>
      </w:r>
      <w:r w:rsidRPr="009F3C28">
        <w:rPr>
          <w:rFonts w:ascii="Arial" w:hAnsi="Arial" w:cs="Arial"/>
          <w:i/>
          <w:iCs/>
          <w:sz w:val="24"/>
          <w:szCs w:val="24"/>
          <w:lang w:val="en-US"/>
        </w:rPr>
        <w:t>Hiring Challenges Confront Public-Sector Employers</w:t>
      </w:r>
      <w:r w:rsidRPr="009F3C28">
        <w:rPr>
          <w:rFonts w:ascii="Arial" w:hAnsi="Arial" w:cs="Arial"/>
          <w:sz w:val="24"/>
          <w:szCs w:val="24"/>
          <w:lang w:val="en-US"/>
        </w:rPr>
        <w:t xml:space="preserve">. [online] SHRM. Available at: </w:t>
      </w:r>
      <w:hyperlink r:id="rId13" w:history="1">
        <w:r w:rsidRPr="009F3C28">
          <w:rPr>
            <w:rStyle w:val="Hyperlink"/>
            <w:rFonts w:ascii="Arial" w:hAnsi="Arial" w:cs="Arial"/>
            <w:sz w:val="24"/>
            <w:szCs w:val="24"/>
            <w:lang w:val="en-US"/>
          </w:rPr>
          <w:t>https://www.shrm.org/hr-today/news/all-things-work/pages/hiring-challenges-confront-public-sector-employers.aspx</w:t>
        </w:r>
      </w:hyperlink>
      <w:r w:rsidRPr="009F3C28">
        <w:rPr>
          <w:rFonts w:ascii="Arial" w:hAnsi="Arial" w:cs="Arial"/>
          <w:sz w:val="24"/>
          <w:szCs w:val="24"/>
          <w:lang w:val="en-US"/>
        </w:rPr>
        <w:t>.</w:t>
      </w:r>
    </w:p>
    <w:p w:rsidR="009F3C28" w:rsidRPr="009F3C28" w:rsidRDefault="009F3C28" w:rsidP="009F3C28">
      <w:pPr>
        <w:spacing w:line="360" w:lineRule="auto"/>
        <w:rPr>
          <w:rFonts w:ascii="Arial" w:hAnsi="Arial" w:cs="Arial"/>
          <w:sz w:val="24"/>
          <w:szCs w:val="24"/>
          <w:lang w:val="en-US"/>
        </w:rPr>
      </w:pPr>
      <w:r w:rsidRPr="009F3C28">
        <w:rPr>
          <w:rFonts w:ascii="Arial" w:hAnsi="Arial" w:cs="Arial"/>
          <w:sz w:val="24"/>
          <w:szCs w:val="24"/>
          <w:lang w:val="en-US"/>
        </w:rPr>
        <w:t xml:space="preserve">Rožman, M. and Štrukelj, T. (2020). Organisational climate components and their impact on work engagement of employees in medium-sized organisations. </w:t>
      </w:r>
      <w:r w:rsidRPr="009F3C28">
        <w:rPr>
          <w:rFonts w:ascii="Arial" w:hAnsi="Arial" w:cs="Arial"/>
          <w:i/>
          <w:iCs/>
          <w:sz w:val="24"/>
          <w:szCs w:val="24"/>
          <w:lang w:val="en-US"/>
        </w:rPr>
        <w:t>Economic Research-Ekonomska Istraživanja</w:t>
      </w:r>
      <w:r w:rsidRPr="009F3C28">
        <w:rPr>
          <w:rFonts w:ascii="Arial" w:hAnsi="Arial" w:cs="Arial"/>
          <w:sz w:val="24"/>
          <w:szCs w:val="24"/>
          <w:lang w:val="en-US"/>
        </w:rPr>
        <w:t>, 34(1), pp.1–32. doi:</w:t>
      </w:r>
      <w:hyperlink r:id="rId14" w:history="1">
        <w:r w:rsidRPr="009F3C28">
          <w:rPr>
            <w:rStyle w:val="Hyperlink"/>
            <w:rFonts w:ascii="Arial" w:hAnsi="Arial" w:cs="Arial"/>
            <w:sz w:val="24"/>
            <w:szCs w:val="24"/>
            <w:lang w:val="en-US"/>
          </w:rPr>
          <w:t>https://doi.org/10.1080/1331677x.2020.1804967</w:t>
        </w:r>
      </w:hyperlink>
      <w:r w:rsidRPr="009F3C28">
        <w:rPr>
          <w:rFonts w:ascii="Arial" w:hAnsi="Arial" w:cs="Arial"/>
          <w:sz w:val="24"/>
          <w:szCs w:val="24"/>
          <w:lang w:val="en-US"/>
        </w:rPr>
        <w:t>.</w:t>
      </w:r>
    </w:p>
    <w:p w:rsidR="009F3C28" w:rsidRPr="009F3C28" w:rsidRDefault="009F3C28" w:rsidP="009F3C28">
      <w:pPr>
        <w:spacing w:line="360" w:lineRule="auto"/>
        <w:rPr>
          <w:rFonts w:ascii="Arial" w:hAnsi="Arial" w:cs="Arial"/>
          <w:sz w:val="24"/>
          <w:szCs w:val="24"/>
          <w:lang w:val="en-US"/>
        </w:rPr>
      </w:pPr>
      <w:r w:rsidRPr="009F3C28">
        <w:rPr>
          <w:rFonts w:ascii="Arial" w:hAnsi="Arial" w:cs="Arial"/>
          <w:sz w:val="24"/>
          <w:szCs w:val="24"/>
          <w:lang w:val="en-US"/>
        </w:rPr>
        <w:t xml:space="preserve">The Hartford (2021). </w:t>
      </w:r>
      <w:r w:rsidRPr="009F3C28">
        <w:rPr>
          <w:rFonts w:ascii="Arial" w:hAnsi="Arial" w:cs="Arial"/>
          <w:i/>
          <w:iCs/>
          <w:sz w:val="24"/>
          <w:szCs w:val="24"/>
          <w:lang w:val="en-US"/>
        </w:rPr>
        <w:t>Human Resources &amp; Measuring Employee Performance | The Hartford</w:t>
      </w:r>
      <w:r w:rsidRPr="009F3C28">
        <w:rPr>
          <w:rFonts w:ascii="Arial" w:hAnsi="Arial" w:cs="Arial"/>
          <w:sz w:val="24"/>
          <w:szCs w:val="24"/>
          <w:lang w:val="en-US"/>
        </w:rPr>
        <w:t xml:space="preserve">. [online] www.thehartford.com. Available at: </w:t>
      </w:r>
      <w:hyperlink r:id="rId15" w:history="1">
        <w:r w:rsidRPr="009F3C28">
          <w:rPr>
            <w:rStyle w:val="Hyperlink"/>
            <w:rFonts w:ascii="Arial" w:hAnsi="Arial" w:cs="Arial"/>
            <w:sz w:val="24"/>
            <w:szCs w:val="24"/>
            <w:lang w:val="en-US"/>
          </w:rPr>
          <w:t>https://www.thehartford.com/business-insurance/strategy/employee-performance/measuring-data</w:t>
        </w:r>
      </w:hyperlink>
      <w:r w:rsidRPr="009F3C28">
        <w:rPr>
          <w:rFonts w:ascii="Arial" w:hAnsi="Arial" w:cs="Arial"/>
          <w:sz w:val="24"/>
          <w:szCs w:val="24"/>
          <w:lang w:val="en-US"/>
        </w:rPr>
        <w:t>.</w:t>
      </w:r>
    </w:p>
    <w:p w:rsidR="00803639" w:rsidRPr="00803639" w:rsidRDefault="00803639" w:rsidP="009F3C28">
      <w:pPr>
        <w:spacing w:line="360" w:lineRule="auto"/>
        <w:rPr>
          <w:rFonts w:ascii="Arial" w:hAnsi="Arial" w:cs="Arial"/>
          <w:sz w:val="24"/>
          <w:szCs w:val="24"/>
        </w:rPr>
      </w:pPr>
    </w:p>
    <w:p w:rsidR="002F3312" w:rsidRPr="00803639" w:rsidRDefault="002F3312" w:rsidP="009F3C28">
      <w:pPr>
        <w:spacing w:line="360" w:lineRule="auto"/>
        <w:rPr>
          <w:rFonts w:ascii="Arial" w:hAnsi="Arial" w:cs="Arial"/>
          <w:sz w:val="24"/>
          <w:szCs w:val="24"/>
        </w:rPr>
      </w:pPr>
    </w:p>
    <w:p w:rsidR="002F3312" w:rsidRPr="00803639" w:rsidRDefault="002F3312" w:rsidP="009F3C28">
      <w:pPr>
        <w:spacing w:line="360" w:lineRule="auto"/>
        <w:rPr>
          <w:rFonts w:ascii="Arial" w:hAnsi="Arial" w:cs="Arial"/>
          <w:sz w:val="24"/>
          <w:szCs w:val="24"/>
        </w:rPr>
      </w:pPr>
    </w:p>
    <w:p w:rsidR="002F3312" w:rsidRPr="00803639" w:rsidRDefault="002F3312" w:rsidP="009F3C28">
      <w:pPr>
        <w:spacing w:line="360" w:lineRule="auto"/>
        <w:rPr>
          <w:rFonts w:ascii="Arial" w:hAnsi="Arial" w:cs="Arial"/>
          <w:sz w:val="24"/>
          <w:szCs w:val="24"/>
        </w:rPr>
      </w:pPr>
    </w:p>
    <w:p w:rsidR="002F3312" w:rsidRPr="00803639" w:rsidRDefault="002F3312" w:rsidP="009F3C28">
      <w:pPr>
        <w:spacing w:line="360" w:lineRule="auto"/>
        <w:rPr>
          <w:rFonts w:ascii="Arial" w:hAnsi="Arial" w:cs="Arial"/>
          <w:sz w:val="24"/>
          <w:szCs w:val="24"/>
        </w:rPr>
      </w:pPr>
    </w:p>
    <w:p w:rsidR="007C7FEB" w:rsidRPr="00803639" w:rsidRDefault="007C7FEB" w:rsidP="009F3C28">
      <w:pPr>
        <w:spacing w:line="360" w:lineRule="auto"/>
        <w:rPr>
          <w:rFonts w:ascii="Arial" w:hAnsi="Arial" w:cs="Arial"/>
          <w:sz w:val="24"/>
          <w:szCs w:val="24"/>
        </w:rPr>
      </w:pPr>
    </w:p>
    <w:sectPr w:rsidR="007C7FEB" w:rsidRPr="008036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7FEB"/>
    <w:rsid w:val="002F3312"/>
    <w:rsid w:val="005B7CD0"/>
    <w:rsid w:val="00632AFB"/>
    <w:rsid w:val="00683F7E"/>
    <w:rsid w:val="007C7FEB"/>
    <w:rsid w:val="00803639"/>
    <w:rsid w:val="009F3C28"/>
    <w:rsid w:val="00DB2B48"/>
    <w:rsid w:val="00E23E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9B3C0"/>
  <w15:chartTrackingRefBased/>
  <w15:docId w15:val="{88B4DD72-D583-44B4-A81C-014042B12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3C2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770238">
      <w:bodyDiv w:val="1"/>
      <w:marLeft w:val="0"/>
      <w:marRight w:val="0"/>
      <w:marTop w:val="0"/>
      <w:marBottom w:val="0"/>
      <w:divBdr>
        <w:top w:val="none" w:sz="0" w:space="0" w:color="auto"/>
        <w:left w:val="none" w:sz="0" w:space="0" w:color="auto"/>
        <w:bottom w:val="none" w:sz="0" w:space="0" w:color="auto"/>
        <w:right w:val="none" w:sz="0" w:space="0" w:color="auto"/>
      </w:divBdr>
    </w:div>
    <w:div w:id="252401639">
      <w:bodyDiv w:val="1"/>
      <w:marLeft w:val="0"/>
      <w:marRight w:val="0"/>
      <w:marTop w:val="0"/>
      <w:marBottom w:val="0"/>
      <w:divBdr>
        <w:top w:val="none" w:sz="0" w:space="0" w:color="auto"/>
        <w:left w:val="none" w:sz="0" w:space="0" w:color="auto"/>
        <w:bottom w:val="none" w:sz="0" w:space="0" w:color="auto"/>
        <w:right w:val="none" w:sz="0" w:space="0" w:color="auto"/>
      </w:divBdr>
    </w:div>
    <w:div w:id="729577336">
      <w:bodyDiv w:val="1"/>
      <w:marLeft w:val="0"/>
      <w:marRight w:val="0"/>
      <w:marTop w:val="0"/>
      <w:marBottom w:val="0"/>
      <w:divBdr>
        <w:top w:val="none" w:sz="0" w:space="0" w:color="auto"/>
        <w:left w:val="none" w:sz="0" w:space="0" w:color="auto"/>
        <w:bottom w:val="none" w:sz="0" w:space="0" w:color="auto"/>
        <w:right w:val="none" w:sz="0" w:space="0" w:color="auto"/>
      </w:divBdr>
    </w:div>
    <w:div w:id="865558041">
      <w:bodyDiv w:val="1"/>
      <w:marLeft w:val="0"/>
      <w:marRight w:val="0"/>
      <w:marTop w:val="0"/>
      <w:marBottom w:val="0"/>
      <w:divBdr>
        <w:top w:val="none" w:sz="0" w:space="0" w:color="auto"/>
        <w:left w:val="none" w:sz="0" w:space="0" w:color="auto"/>
        <w:bottom w:val="none" w:sz="0" w:space="0" w:color="auto"/>
        <w:right w:val="none" w:sz="0" w:space="0" w:color="auto"/>
      </w:divBdr>
    </w:div>
    <w:div w:id="913852281">
      <w:bodyDiv w:val="1"/>
      <w:marLeft w:val="0"/>
      <w:marRight w:val="0"/>
      <w:marTop w:val="0"/>
      <w:marBottom w:val="0"/>
      <w:divBdr>
        <w:top w:val="none" w:sz="0" w:space="0" w:color="auto"/>
        <w:left w:val="none" w:sz="0" w:space="0" w:color="auto"/>
        <w:bottom w:val="none" w:sz="0" w:space="0" w:color="auto"/>
        <w:right w:val="none" w:sz="0" w:space="0" w:color="auto"/>
      </w:divBdr>
    </w:div>
    <w:div w:id="1145663203">
      <w:bodyDiv w:val="1"/>
      <w:marLeft w:val="0"/>
      <w:marRight w:val="0"/>
      <w:marTop w:val="0"/>
      <w:marBottom w:val="0"/>
      <w:divBdr>
        <w:top w:val="none" w:sz="0" w:space="0" w:color="auto"/>
        <w:left w:val="none" w:sz="0" w:space="0" w:color="auto"/>
        <w:bottom w:val="none" w:sz="0" w:space="0" w:color="auto"/>
        <w:right w:val="none" w:sz="0" w:space="0" w:color="auto"/>
      </w:divBdr>
    </w:div>
    <w:div w:id="1281108422">
      <w:bodyDiv w:val="1"/>
      <w:marLeft w:val="0"/>
      <w:marRight w:val="0"/>
      <w:marTop w:val="0"/>
      <w:marBottom w:val="0"/>
      <w:divBdr>
        <w:top w:val="none" w:sz="0" w:space="0" w:color="auto"/>
        <w:left w:val="none" w:sz="0" w:space="0" w:color="auto"/>
        <w:bottom w:val="none" w:sz="0" w:space="0" w:color="auto"/>
        <w:right w:val="none" w:sz="0" w:space="0" w:color="auto"/>
      </w:divBdr>
    </w:div>
    <w:div w:id="1294749202">
      <w:bodyDiv w:val="1"/>
      <w:marLeft w:val="0"/>
      <w:marRight w:val="0"/>
      <w:marTop w:val="0"/>
      <w:marBottom w:val="0"/>
      <w:divBdr>
        <w:top w:val="none" w:sz="0" w:space="0" w:color="auto"/>
        <w:left w:val="none" w:sz="0" w:space="0" w:color="auto"/>
        <w:bottom w:val="none" w:sz="0" w:space="0" w:color="auto"/>
        <w:right w:val="none" w:sz="0" w:space="0" w:color="auto"/>
      </w:divBdr>
    </w:div>
    <w:div w:id="1669752679">
      <w:bodyDiv w:val="1"/>
      <w:marLeft w:val="0"/>
      <w:marRight w:val="0"/>
      <w:marTop w:val="0"/>
      <w:marBottom w:val="0"/>
      <w:divBdr>
        <w:top w:val="none" w:sz="0" w:space="0" w:color="auto"/>
        <w:left w:val="none" w:sz="0" w:space="0" w:color="auto"/>
        <w:bottom w:val="none" w:sz="0" w:space="0" w:color="auto"/>
        <w:right w:val="none" w:sz="0" w:space="0" w:color="auto"/>
      </w:divBdr>
    </w:div>
    <w:div w:id="1720932174">
      <w:bodyDiv w:val="1"/>
      <w:marLeft w:val="0"/>
      <w:marRight w:val="0"/>
      <w:marTop w:val="0"/>
      <w:marBottom w:val="0"/>
      <w:divBdr>
        <w:top w:val="none" w:sz="0" w:space="0" w:color="auto"/>
        <w:left w:val="none" w:sz="0" w:space="0" w:color="auto"/>
        <w:bottom w:val="none" w:sz="0" w:space="0" w:color="auto"/>
        <w:right w:val="none" w:sz="0" w:space="0" w:color="auto"/>
      </w:divBdr>
    </w:div>
    <w:div w:id="1755778861">
      <w:bodyDiv w:val="1"/>
      <w:marLeft w:val="0"/>
      <w:marRight w:val="0"/>
      <w:marTop w:val="0"/>
      <w:marBottom w:val="0"/>
      <w:divBdr>
        <w:top w:val="none" w:sz="0" w:space="0" w:color="auto"/>
        <w:left w:val="none" w:sz="0" w:space="0" w:color="auto"/>
        <w:bottom w:val="none" w:sz="0" w:space="0" w:color="auto"/>
        <w:right w:val="none" w:sz="0" w:space="0" w:color="auto"/>
      </w:divBdr>
    </w:div>
    <w:div w:id="1977448149">
      <w:bodyDiv w:val="1"/>
      <w:marLeft w:val="0"/>
      <w:marRight w:val="0"/>
      <w:marTop w:val="0"/>
      <w:marBottom w:val="0"/>
      <w:divBdr>
        <w:top w:val="none" w:sz="0" w:space="0" w:color="auto"/>
        <w:left w:val="none" w:sz="0" w:space="0" w:color="auto"/>
        <w:bottom w:val="none" w:sz="0" w:space="0" w:color="auto"/>
        <w:right w:val="none" w:sz="0" w:space="0" w:color="auto"/>
      </w:divBdr>
    </w:div>
    <w:div w:id="20892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elblearning.com/how-to-boost-measure-and-improve-hr-effectiveness" TargetMode="External"/><Relationship Id="rId13" Type="http://schemas.openxmlformats.org/officeDocument/2006/relationships/hyperlink" Target="https://www.shrm.org/hr-today/news/all-things-work/pages/hiring-challenges-confront-public-sector-employers.aspx" TargetMode="External"/><Relationship Id="rId3" Type="http://schemas.openxmlformats.org/officeDocument/2006/relationships/settings" Target="settings.xml"/><Relationship Id="rId7" Type="http://schemas.openxmlformats.org/officeDocument/2006/relationships/hyperlink" Target="https://www.governing.com/sponsored/future-of-work-in-the-state-and-local-arena.html" TargetMode="External"/><Relationship Id="rId12" Type="http://schemas.openxmlformats.org/officeDocument/2006/relationships/hyperlink" Target="https://www.forbes.com/sites/forbeshumanresourcescouncil/2021/05/06/15-smart-steps-to-help-measure-the-hr-departments-success/?sh=7da1944e4e17"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deputy.com/blog/7-steps-to-strategic-human-resource-management" TargetMode="External"/><Relationship Id="rId11" Type="http://schemas.openxmlformats.org/officeDocument/2006/relationships/hyperlink" Target="https://www.oakleafpartnership.com/" TargetMode="External"/><Relationship Id="rId5" Type="http://schemas.openxmlformats.org/officeDocument/2006/relationships/hyperlink" Target="https://doi.org/10.1111/1467-9299.00160" TargetMode="External"/><Relationship Id="rId15" Type="http://schemas.openxmlformats.org/officeDocument/2006/relationships/hyperlink" Target="https://www.thehartford.com/business-insurance/strategy/employee-performance/measuring-data" TargetMode="External"/><Relationship Id="rId10" Type="http://schemas.openxmlformats.org/officeDocument/2006/relationships/hyperlink" Target="https://smallbusiness.chron.com/three-types-methods-used-measure-performance-23612.html" TargetMode="External"/><Relationship Id="rId4" Type="http://schemas.openxmlformats.org/officeDocument/2006/relationships/webSettings" Target="webSettings.xml"/><Relationship Id="rId9" Type="http://schemas.openxmlformats.org/officeDocument/2006/relationships/hyperlink" Target="https://doi.org/10.1080/09585192.2017.1407088" TargetMode="External"/><Relationship Id="rId14" Type="http://schemas.openxmlformats.org/officeDocument/2006/relationships/hyperlink" Target="https://doi.org/10.1080/1331677x.2020.18049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Geo02</b:Tag>
    <b:SourceType>JournalArticle</b:SourceType>
    <b:Guid>{88594B7E-DA1E-43E3-A098-666FFBE2D887}</b:Guid>
    <b:Title>Human Resource Management in the Public and Private Sectors: An Empirical Comparison</b:Title>
    <b:Year>2002</b:Year>
    <b:Author>
      <b:Author>
        <b:Corporate>George A. Boyn</b:Corporate>
      </b:Author>
    </b:Author>
    <b:JournalName>research gate </b:JournalName>
    <b:Pages>407 - 420</b:Pages>
    <b:RefOrder>1</b:RefOrder>
  </b:Source>
  <b:Source>
    <b:Tag>HOW20</b:Tag>
    <b:SourceType>InternetSite</b:SourceType>
    <b:Guid>{DE3B8073-226C-46AD-8C91-A73DE60450C7}</b:Guid>
    <b:Title>govexec</b:Title>
    <b:Year>2020</b:Year>
    <b:Author>
      <b:Author>
        <b:NameList>
          <b:Person>
            <b:Last>RISHER</b:Last>
            <b:First>HOWARD</b:First>
          </b:Person>
        </b:NameList>
      </b:Author>
    </b:Author>
    <b:MonthAccessed>june</b:MonthAccessed>
    <b:URL>https://www.govexec.com/management/2020/06/hr-holds-keys-revitalizing-public-service/166324/</b:URL>
    <b:RefOrder>2</b:RefOrder>
  </b:Source>
  <b:Source>
    <b:Tag>Mik20</b:Tag>
    <b:SourceType>JournalArticle</b:SourceType>
    <b:Guid>{72766493-5271-4C6D-806B-CC47BA87094F}</b:Guid>
    <b:Title>Hiring Challenges Confront Public-Sector Employers</b:Title>
    <b:Year>2020</b:Year>
    <b:Author>
      <b:Author>
        <b:NameList>
          <b:Person>
            <b:Last>Ramsey</b:Last>
            <b:First>Mike</b:First>
          </b:Person>
        </b:NameList>
      </b:Author>
    </b:Author>
    <b:JournalName>shrm.org</b:JournalName>
    <b:RefOrder>3</b:RefOrder>
  </b:Source>
  <b:Source>
    <b:Tag>oak</b:Tag>
    <b:SourceType>InternetSite</b:SourceType>
    <b:Guid>{1A923ACF-66FE-4379-8F9F-0B266B67D8E2}</b:Guid>
    <b:Title>oakleafpartnership</b:Title>
    <b:URL>https://www.oakleafpartnership.com/news/private-vs-public-sector-how-do-hr-professionals-make-the-transition/</b:URL>
    <b:Author>
      <b:Author>
        <b:NameList>
          <b:Person>
            <b:Last>oakleafpartnership</b:Last>
          </b:Person>
        </b:NameList>
      </b:Author>
    </b:Author>
    <b:Year>2022</b:Year>
    <b:RefOrder>4</b:RefOrder>
  </b:Source>
  <b:Source>
    <b:Tag>Exp21</b:Tag>
    <b:SourceType>InternetSite</b:SourceType>
    <b:Guid>{FDFEE05E-9AB4-4145-9349-F7A1992E7CC6}</b:Guid>
    <b:Author>
      <b:Author>
        <b:NameList>
          <b:Person>
            <b:Last>Panel</b:Last>
            <b:First>Expert</b:First>
          </b:Person>
        </b:NameList>
      </b:Author>
    </b:Author>
    <b:Title>forbes</b:Title>
    <b:Year>2021</b:Year>
    <b:URL>https://www.forbes.com/sites/forbeshumanresourcescouncil/2021/05/06/15-smart-steps-to-help-measure-the-hr-departments-success/?sh=7da1944e4e17</b:URL>
    <b:RefOrder>5</b:RefOrder>
  </b:Source>
  <b:Source>
    <b:Tag>Eva18</b:Tag>
    <b:SourceType>JournalArticle</b:SourceType>
    <b:Guid>{EE5DF6A2-1F2C-4F6E-9BE1-3999E80E6068}</b:Guid>
    <b:Title>Strategic human resource management and public sector performance: context matters</b:Title>
    <b:Year>2018</b:Year>
    <b:Author>
      <b:Author>
        <b:Corporate>Eva Knies, Paul Boselie, Julian Gould-Williams &amp; Wouter Vandenabeele</b:Corporate>
      </b:Author>
    </b:Author>
    <b:JournalName>The International Journal of Human Resource Management</b:JournalName>
    <b:RefOrder>6</b:RefOrder>
  </b:Source>
  <b:Source>
    <b:Tag>Pre23</b:Tag>
    <b:SourceType>InternetSite</b:SourceType>
    <b:Guid>{72D00513-7713-4FB6-B1B8-C409396F6CF0}</b:Guid>
    <b:Title>elblearning</b:Title>
    <b:Year>2023</b:Year>
    <b:Author>
      <b:Author>
        <b:NameList>
          <b:Person>
            <b:Last>GT</b:Last>
            <b:First>Preeti</b:First>
          </b:Person>
        </b:NameList>
      </b:Author>
    </b:Author>
    <b:URL>https://blog.elblearning.com/how-to-boost-measure-and-improve-hr-effectiveness</b:URL>
    <b:RefOrder>7</b:RefOrder>
  </b:Source>
  <b:Source>
    <b:Tag>Kat191</b:Tag>
    <b:SourceType>InternetSite</b:SourceType>
    <b:Guid>{4886BE98-A612-41FE-BF01-07833B76DDFA}</b:Guid>
    <b:Author>
      <b:Author>
        <b:NameList>
          <b:Person>
            <b:Last>Sawyer</b:Last>
            <b:First>Katie</b:First>
          </b:Person>
        </b:NameList>
      </b:Author>
    </b:Author>
    <b:Title>deputy.com </b:Title>
    <b:Year>2019</b:Year>
    <b:URL>https://www.deputy.com/blog/7-steps-to-strategic-human-resource-management#estimate</b:URL>
    <b:RefOrder>8</b:RefOrder>
  </b:Source>
  <b:Source>
    <b:Tag>Maj21</b:Tag>
    <b:SourceType>JournalArticle</b:SourceType>
    <b:Guid>{1C9A8F49-71F5-4DFD-99D4-AD8BE767DD3D}</b:Guid>
    <b:Title>Organisational climate components and their</b:Title>
    <b:Year>2021</b:Year>
    <b:Author>
      <b:Author>
        <b:NameList>
          <b:Person>
            <b:Last>Štrukelj</b:Last>
            <b:First>Maja</b:First>
            <b:Middle>Rožman &amp; Tjaša</b:Middle>
          </b:Person>
        </b:NameList>
      </b:Author>
    </b:Author>
    <b:JournalName>, Economic research Ekonomska Istraživanja</b:JournalName>
    <b:Pages>775-806</b:Pages>
    <b:RefOrder>9</b:RefOrder>
  </b:Source>
  <b:Source>
    <b:Tag>the27</b:Tag>
    <b:SourceType>InternetSite</b:SourceType>
    <b:Guid>{F20CFC7D-7F03-438C-B3F9-C0B9C561E521}</b:Guid>
    <b:Title>thehartford</b:Title>
    <b:Author>
      <b:Author>
        <b:NameList>
          <b:Person>
            <b:Last>thehartford</b:Last>
          </b:Person>
        </b:NameList>
      </b:Author>
    </b:Author>
    <b:URL>https://www.thehartford.com/business-insurance/strategy/employee-performance/measuring-data</b:URL>
    <b:RefOrder>10</b:RefOrder>
  </b:Source>
</b:Sources>
</file>

<file path=customXml/itemProps1.xml><?xml version="1.0" encoding="utf-8"?>
<ds:datastoreItem xmlns:ds="http://schemas.openxmlformats.org/officeDocument/2006/customXml" ds:itemID="{7CB6B57A-6C23-4D5C-95EB-83B6234CB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2877</Words>
  <Characters>16399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2</cp:revision>
  <dcterms:created xsi:type="dcterms:W3CDTF">2023-06-19T18:48:00Z</dcterms:created>
  <dcterms:modified xsi:type="dcterms:W3CDTF">2023-06-19T18:48:00Z</dcterms:modified>
</cp:coreProperties>
</file>