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jc w:val="both"/>
        <w:rPr>
          <w:rFonts w:eastAsia="Times New Roman"/>
          <w:b/>
          <w:bCs/>
        </w:rPr>
      </w:pPr>
      <w:r>
        <w:rPr>
          <w:rFonts w:eastAsia="Times New Roman"/>
          <w:b/>
          <w:bCs/>
          <w:noProof/>
        </w:rPr>
        <w:drawing>
          <wp:inline distL="0" distT="0" distB="0" distR="0">
            <wp:extent cx="2105025" cy="876300"/>
            <wp:effectExtent l="0" t="0" r="0" b="0"/>
            <wp:docPr id="1026"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a:blip r:embed="rId2" cstate="print"/>
                    <a:srcRect l="0" t="0" r="0" b="0"/>
                    <a:stretch/>
                  </pic:blipFill>
                  <pic:spPr>
                    <a:xfrm rot="0">
                      <a:off x="0" y="0"/>
                      <a:ext cx="2105025" cy="876300"/>
                    </a:xfrm>
                    <a:prstGeom prst="rect"/>
                    <a:ln cmpd="sng" cap="flat" w="9525">
                      <a:solidFill>
                        <a:srgbClr val="000000"/>
                      </a:solidFill>
                      <a:prstDash val="solid"/>
                      <a:round/>
                      <a:headEnd/>
                      <a:tailEnd/>
                    </a:ln>
                  </pic:spPr>
                </pic:pic>
              </a:graphicData>
            </a:graphic>
          </wp:inline>
        </w:drawing>
      </w:r>
    </w:p>
    <w:p>
      <w:pPr>
        <w:pStyle w:val="style0"/>
        <w:spacing w:lineRule="auto" w:line="360"/>
        <w:jc w:val="both"/>
        <w:rPr>
          <w:rFonts w:eastAsia="Times New Roman"/>
          <w:b/>
          <w:bCs/>
        </w:rPr>
      </w:pPr>
    </w:p>
    <w:p>
      <w:pPr>
        <w:pStyle w:val="style0"/>
        <w:spacing w:lineRule="auto" w:line="360"/>
        <w:jc w:val="both"/>
        <w:rPr>
          <w:rFonts w:eastAsia="Times New Roman"/>
          <w:b/>
          <w:bCs/>
        </w:rPr>
      </w:pPr>
    </w:p>
    <w:tbl>
      <w:tblPr>
        <w:tblStyle w:val="style4098"/>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90"/>
        <w:gridCol w:w="5970"/>
      </w:tblGrid>
      <w:tr>
        <w:trPr/>
        <w:tc>
          <w:tcPr>
            <w:tcW w:w="33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rPr>
              <w:t>Programme</w:t>
            </w:r>
          </w:p>
        </w:tc>
        <w:tc>
          <w:tcPr>
            <w:tcW w:w="597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rPr>
              <w:t>MSc Public Health and Social Care in Practice</w:t>
            </w:r>
          </w:p>
        </w:tc>
      </w:tr>
      <w:tr>
        <w:tblPrEx/>
        <w:trPr/>
        <w:tc>
          <w:tcPr>
            <w:tcW w:w="33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rPr>
              <w:t>Module</w:t>
            </w:r>
          </w:p>
        </w:tc>
        <w:tc>
          <w:tcPr>
            <w:tcW w:w="597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rPr>
              <w:t>Quality Assurance and Service Improvements</w:t>
            </w:r>
          </w:p>
        </w:tc>
      </w:tr>
      <w:tr>
        <w:tblPrEx/>
        <w:trPr/>
        <w:tc>
          <w:tcPr>
            <w:tcW w:w="33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rPr>
              <w:t>Module code</w:t>
            </w:r>
          </w:p>
        </w:tc>
        <w:tc>
          <w:tcPr>
            <w:tcW w:w="597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rPr>
              <w:t>LCHS7006</w:t>
            </w:r>
          </w:p>
        </w:tc>
      </w:tr>
      <w:tr>
        <w:tblPrEx/>
        <w:trPr/>
        <w:tc>
          <w:tcPr>
            <w:tcW w:w="33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rPr>
              <w:t>Lecturer</w:t>
            </w:r>
          </w:p>
        </w:tc>
        <w:tc>
          <w:tcPr>
            <w:tcW w:w="597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lang w:val="en-US"/>
              </w:rPr>
              <w:t>Oluwadamilola tayo</w:t>
            </w:r>
          </w:p>
        </w:tc>
      </w:tr>
      <w:tr>
        <w:tblPrEx/>
        <w:trPr/>
        <w:tc>
          <w:tcPr>
            <w:tcW w:w="33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rPr>
              <w:t>Assignment Title</w:t>
            </w:r>
          </w:p>
        </w:tc>
        <w:tc>
          <w:tcPr>
            <w:tcW w:w="597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rPr>
              <w:t xml:space="preserve"> Service Improvement Report</w:t>
            </w:r>
            <w:r>
              <w:rPr>
                <w:rFonts w:eastAsia="Times New Roman"/>
                <w:b/>
                <w:bCs/>
                <w:lang w:val="en-US"/>
              </w:rPr>
              <w:t xml:space="preserve"> on lucy letby case</w:t>
            </w:r>
          </w:p>
        </w:tc>
      </w:tr>
      <w:tr>
        <w:tblPrEx/>
        <w:trPr/>
        <w:tc>
          <w:tcPr>
            <w:tcW w:w="33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rPr>
              <w:t>Student Name</w:t>
            </w:r>
          </w:p>
        </w:tc>
        <w:tc>
          <w:tcPr>
            <w:tcW w:w="597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lang w:val="en-US"/>
              </w:rPr>
              <w:t>Pratham Ravindrakumar Luhar</w:t>
            </w:r>
          </w:p>
        </w:tc>
      </w:tr>
      <w:tr>
        <w:tblPrEx/>
        <w:trPr/>
        <w:tc>
          <w:tcPr>
            <w:tcW w:w="339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rPr>
              <w:t>Student ID</w:t>
            </w:r>
          </w:p>
        </w:tc>
        <w:tc>
          <w:tcPr>
            <w:tcW w:w="5970"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rPr>
            </w:pPr>
            <w:r>
              <w:rPr>
                <w:rFonts w:eastAsia="Times New Roman"/>
                <w:b/>
                <w:bCs/>
                <w:lang w:val="en-US"/>
              </w:rPr>
              <w:t>2426580</w:t>
            </w:r>
          </w:p>
        </w:tc>
      </w:tr>
    </w:tbl>
    <w:p>
      <w:pPr>
        <w:pStyle w:val="style0"/>
        <w:spacing w:lineRule="auto" w:line="360"/>
        <w:jc w:val="both"/>
        <w:rPr>
          <w:rFonts w:eastAsia="Times New Roman"/>
          <w:b/>
          <w:bCs/>
        </w:rPr>
      </w:pPr>
      <w:r>
        <w:br w:type="page"/>
      </w:r>
    </w:p>
    <w:p>
      <w:pPr>
        <w:pStyle w:val="style266"/>
        <w:spacing w:lineRule="auto" w:line="360"/>
        <w:jc w:val="center"/>
        <w:rPr>
          <w:rFonts w:ascii="Arial" w:cs="Arial" w:hAnsi="Arial"/>
          <w:b/>
          <w:color w:val="000000"/>
          <w:sz w:val="22"/>
          <w:szCs w:val="22"/>
        </w:rPr>
      </w:pPr>
      <w:r>
        <w:rPr>
          <w:rFonts w:ascii="Arial" w:cs="Arial" w:hAnsi="Arial"/>
          <w:b/>
          <w:color w:val="000000"/>
          <w:sz w:val="22"/>
          <w:szCs w:val="22"/>
        </w:rPr>
        <w:t>Table of Contents</w:t>
      </w:r>
    </w:p>
    <w:p>
      <w:pPr>
        <w:pStyle w:val="style19"/>
        <w:tabs>
          <w:tab w:val="right" w:leader="dot" w:pos="9350"/>
        </w:tabs>
        <w:spacing w:lineRule="auto" w:line="360"/>
        <w:jc w:val="both"/>
        <w:rPr>
          <w:noProof/>
        </w:rPr>
      </w:pPr>
      <w:r>
        <w:rPr/>
        <w:fldChar w:fldCharType="begin"/>
      </w:r>
      <w:r>
        <w:instrText xml:space="preserve"> TOC \o "1-3" \h \z \u </w:instrText>
      </w:r>
      <w:r>
        <w:rPr/>
        <w:fldChar w:fldCharType="separate"/>
      </w:r>
      <w:r>
        <w:rPr/>
        <w:fldChar w:fldCharType="begin"/>
      </w:r>
      <w:r>
        <w:instrText xml:space="preserve"> HYPERLINK \l "_Toc227256651"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_Toc227256651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spacing w:lineRule="auto" w:line="360"/>
        <w:jc w:val="both"/>
        <w:rPr>
          <w:noProof/>
        </w:rPr>
      </w:pPr>
      <w:r>
        <w:rPr/>
        <w:fldChar w:fldCharType="begin"/>
      </w:r>
      <w:r>
        <w:instrText xml:space="preserve"> HYPERLINK \l "_Toc227256652" </w:instrText>
      </w:r>
      <w:r>
        <w:rPr/>
        <w:fldChar w:fldCharType="separate"/>
      </w:r>
      <w:r>
        <w:rPr>
          <w:rStyle w:val="style85"/>
          <w:noProof/>
        </w:rPr>
        <w:t>Brief background of NHS, Countess of Chester Hospital and Lucy Letby Case</w:t>
      </w:r>
      <w:r>
        <w:rPr>
          <w:noProof/>
          <w:webHidden/>
        </w:rPr>
        <w:tab/>
      </w:r>
      <w:r>
        <w:rPr>
          <w:noProof/>
          <w:webHidden/>
        </w:rPr>
        <w:fldChar w:fldCharType="begin"/>
      </w:r>
      <w:r>
        <w:rPr>
          <w:noProof/>
          <w:webHidden/>
        </w:rPr>
        <w:instrText xml:space="preserve"> PAGEREF _Toc227256652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spacing w:lineRule="auto" w:line="360"/>
        <w:jc w:val="both"/>
        <w:rPr>
          <w:noProof/>
        </w:rPr>
      </w:pPr>
      <w:r>
        <w:rPr/>
        <w:fldChar w:fldCharType="begin"/>
      </w:r>
      <w:r>
        <w:instrText xml:space="preserve"> HYPERLINK \l "_Toc227256653" </w:instrText>
      </w:r>
      <w:r>
        <w:rPr/>
        <w:fldChar w:fldCharType="separate"/>
      </w:r>
      <w:r>
        <w:rPr>
          <w:rStyle w:val="style85"/>
          <w:noProof/>
        </w:rPr>
        <w:t>Define the Core Problem by relating to public health issue</w:t>
      </w:r>
      <w:r>
        <w:rPr>
          <w:noProof/>
          <w:webHidden/>
        </w:rPr>
        <w:tab/>
      </w:r>
      <w:r>
        <w:rPr>
          <w:noProof/>
          <w:webHidden/>
        </w:rPr>
        <w:fldChar w:fldCharType="begin"/>
      </w:r>
      <w:r>
        <w:rPr>
          <w:noProof/>
          <w:webHidden/>
        </w:rPr>
        <w:instrText xml:space="preserve"> PAGEREF _Toc227256653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dot" w:pos="9350"/>
        </w:tabs>
        <w:spacing w:lineRule="auto" w:line="360"/>
        <w:jc w:val="both"/>
        <w:rPr>
          <w:noProof/>
        </w:rPr>
      </w:pPr>
      <w:r>
        <w:rPr/>
        <w:fldChar w:fldCharType="begin"/>
      </w:r>
      <w:r>
        <w:instrText xml:space="preserve"> HYPERLINK \l "_Toc227256654" </w:instrText>
      </w:r>
      <w:r>
        <w:rPr/>
        <w:fldChar w:fldCharType="separate"/>
      </w:r>
      <w:r>
        <w:rPr>
          <w:rStyle w:val="style85"/>
          <w:noProof/>
        </w:rPr>
        <w:t>Report Aim and Structure</w:t>
      </w:r>
      <w:r>
        <w:rPr>
          <w:noProof/>
          <w:webHidden/>
        </w:rPr>
        <w:tab/>
      </w:r>
      <w:r>
        <w:rPr>
          <w:noProof/>
          <w:webHidden/>
        </w:rPr>
        <w:fldChar w:fldCharType="begin"/>
      </w:r>
      <w:r>
        <w:rPr>
          <w:noProof/>
          <w:webHidden/>
        </w:rPr>
        <w:instrText xml:space="preserve"> PAGEREF _Toc227256654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spacing w:lineRule="auto" w:line="360"/>
        <w:jc w:val="both"/>
        <w:rPr>
          <w:noProof/>
        </w:rPr>
      </w:pPr>
      <w:r>
        <w:rPr/>
        <w:fldChar w:fldCharType="begin"/>
      </w:r>
      <w:r>
        <w:instrText xml:space="preserve"> HYPERLINK \l "_Toc227256655" </w:instrText>
      </w:r>
      <w:r>
        <w:rPr/>
        <w:fldChar w:fldCharType="separate"/>
      </w:r>
      <w:r>
        <w:rPr>
          <w:rStyle w:val="style85"/>
          <w:noProof/>
        </w:rPr>
        <w:t>Main Body</w:t>
      </w:r>
      <w:r>
        <w:rPr>
          <w:noProof/>
          <w:webHidden/>
        </w:rPr>
        <w:tab/>
      </w:r>
      <w:r>
        <w:rPr>
          <w:noProof/>
          <w:webHidden/>
        </w:rPr>
        <w:fldChar w:fldCharType="begin"/>
      </w:r>
      <w:r>
        <w:rPr>
          <w:noProof/>
          <w:webHidden/>
        </w:rPr>
        <w:instrText xml:space="preserve"> PAGEREF _Toc227256655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spacing w:lineRule="auto" w:line="360"/>
        <w:jc w:val="both"/>
        <w:rPr>
          <w:noProof/>
        </w:rPr>
      </w:pPr>
      <w:r>
        <w:rPr/>
        <w:fldChar w:fldCharType="begin"/>
      </w:r>
      <w:r>
        <w:instrText xml:space="preserve"> HYPERLINK \l "_Toc227256656" </w:instrText>
      </w:r>
      <w:r>
        <w:rPr/>
        <w:fldChar w:fldCharType="separate"/>
      </w:r>
      <w:r>
        <w:rPr>
          <w:rStyle w:val="style85"/>
          <w:noProof/>
        </w:rPr>
        <w:t>Theoretical Frameworks for Root Cause Analysis</w:t>
      </w:r>
      <w:r>
        <w:rPr>
          <w:noProof/>
          <w:webHidden/>
        </w:rPr>
        <w:tab/>
      </w:r>
      <w:r>
        <w:rPr>
          <w:noProof/>
          <w:webHidden/>
        </w:rPr>
        <w:fldChar w:fldCharType="begin"/>
      </w:r>
      <w:r>
        <w:rPr>
          <w:noProof/>
          <w:webHidden/>
        </w:rPr>
        <w:instrText xml:space="preserve"> PAGEREF _Toc227256656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spacing w:lineRule="auto" w:line="360"/>
        <w:jc w:val="both"/>
        <w:rPr>
          <w:noProof/>
        </w:rPr>
      </w:pPr>
      <w:r>
        <w:rPr/>
        <w:fldChar w:fldCharType="begin"/>
      </w:r>
      <w:r>
        <w:instrText xml:space="preserve"> HYPERLINK \l "_Toc227256657" </w:instrText>
      </w:r>
      <w:r>
        <w:rPr/>
        <w:fldChar w:fldCharType="separate"/>
      </w:r>
      <w:r>
        <w:rPr>
          <w:rStyle w:val="style85"/>
          <w:noProof/>
        </w:rPr>
        <w:t>Swiss Cheese Model</w:t>
      </w:r>
      <w:r>
        <w:rPr>
          <w:noProof/>
          <w:webHidden/>
        </w:rPr>
        <w:tab/>
      </w:r>
      <w:r>
        <w:rPr>
          <w:noProof/>
          <w:webHidden/>
        </w:rPr>
        <w:fldChar w:fldCharType="begin"/>
      </w:r>
      <w:r>
        <w:rPr>
          <w:noProof/>
          <w:webHidden/>
        </w:rPr>
        <w:instrText xml:space="preserve"> PAGEREF _Toc227256657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dot" w:pos="9350"/>
        </w:tabs>
        <w:spacing w:lineRule="auto" w:line="360"/>
        <w:jc w:val="both"/>
        <w:rPr>
          <w:noProof/>
        </w:rPr>
      </w:pPr>
      <w:r>
        <w:rPr/>
        <w:fldChar w:fldCharType="begin"/>
      </w:r>
      <w:r>
        <w:instrText xml:space="preserve"> HYPERLINK \l "_Toc227256658" </w:instrText>
      </w:r>
      <w:r>
        <w:rPr/>
        <w:fldChar w:fldCharType="separate"/>
      </w:r>
      <w:r>
        <w:rPr>
          <w:rStyle w:val="style85"/>
          <w:noProof/>
        </w:rPr>
        <w:t>Donabedian Model</w:t>
      </w:r>
      <w:r>
        <w:rPr>
          <w:noProof/>
          <w:webHidden/>
        </w:rPr>
        <w:tab/>
      </w:r>
      <w:r>
        <w:rPr>
          <w:noProof/>
          <w:webHidden/>
        </w:rPr>
        <w:fldChar w:fldCharType="begin"/>
      </w:r>
      <w:r>
        <w:rPr>
          <w:noProof/>
          <w:webHidden/>
        </w:rPr>
        <w:instrText xml:space="preserve"> PAGEREF _Toc227256658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350"/>
        </w:tabs>
        <w:spacing w:lineRule="auto" w:line="360"/>
        <w:jc w:val="both"/>
        <w:rPr>
          <w:noProof/>
        </w:rPr>
      </w:pPr>
      <w:r>
        <w:rPr/>
        <w:fldChar w:fldCharType="begin"/>
      </w:r>
      <w:r>
        <w:instrText xml:space="preserve"> HYPERLINK \l "_Toc227256659" </w:instrText>
      </w:r>
      <w:r>
        <w:rPr/>
        <w:fldChar w:fldCharType="separate"/>
      </w:r>
      <w:r>
        <w:rPr>
          <w:rStyle w:val="style85"/>
          <w:noProof/>
        </w:rPr>
        <w:t>SWOT analysis</w:t>
      </w:r>
      <w:r>
        <w:rPr>
          <w:noProof/>
          <w:webHidden/>
        </w:rPr>
        <w:tab/>
      </w:r>
      <w:r>
        <w:rPr>
          <w:noProof/>
          <w:webHidden/>
        </w:rPr>
        <w:fldChar w:fldCharType="begin"/>
      </w:r>
      <w:r>
        <w:rPr>
          <w:noProof/>
          <w:webHidden/>
        </w:rPr>
        <w:instrText xml:space="preserve"> PAGEREF _Toc227256659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350"/>
        </w:tabs>
        <w:spacing w:lineRule="auto" w:line="360"/>
        <w:jc w:val="both"/>
        <w:rPr>
          <w:noProof/>
        </w:rPr>
      </w:pPr>
      <w:r>
        <w:rPr/>
        <w:fldChar w:fldCharType="begin"/>
      </w:r>
      <w:r>
        <w:instrText xml:space="preserve"> HYPERLINK \l "_Toc227256660" </w:instrText>
      </w:r>
      <w:r>
        <w:rPr/>
        <w:fldChar w:fldCharType="separate"/>
      </w:r>
      <w:r>
        <w:rPr>
          <w:rStyle w:val="style85"/>
          <w:noProof/>
        </w:rPr>
        <w:t>Lacking in Policy Integration</w:t>
      </w:r>
      <w:r>
        <w:rPr>
          <w:noProof/>
          <w:webHidden/>
        </w:rPr>
        <w:tab/>
      </w:r>
      <w:r>
        <w:rPr>
          <w:noProof/>
          <w:webHidden/>
        </w:rPr>
        <w:fldChar w:fldCharType="begin"/>
      </w:r>
      <w:r>
        <w:rPr>
          <w:noProof/>
          <w:webHidden/>
        </w:rPr>
        <w:instrText xml:space="preserve"> PAGEREF _Toc227256660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spacing w:lineRule="auto" w:line="360"/>
        <w:jc w:val="both"/>
        <w:rPr>
          <w:noProof/>
        </w:rPr>
      </w:pPr>
      <w:r>
        <w:rPr/>
        <w:fldChar w:fldCharType="begin"/>
      </w:r>
      <w:r>
        <w:instrText xml:space="preserve"> HYPERLINK \l "_Toc227256661" </w:instrText>
      </w:r>
      <w:r>
        <w:rPr/>
        <w:fldChar w:fldCharType="separate"/>
      </w:r>
      <w:r>
        <w:rPr>
          <w:rStyle w:val="style85"/>
          <w:noProof/>
        </w:rPr>
        <w:t>Recommendation</w:t>
      </w:r>
      <w:r>
        <w:rPr>
          <w:noProof/>
          <w:webHidden/>
        </w:rPr>
        <w:tab/>
      </w:r>
      <w:r>
        <w:rPr>
          <w:noProof/>
          <w:webHidden/>
        </w:rPr>
        <w:fldChar w:fldCharType="begin"/>
      </w:r>
      <w:r>
        <w:rPr>
          <w:noProof/>
          <w:webHidden/>
        </w:rPr>
        <w:instrText xml:space="preserve"> PAGEREF _Toc227256661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spacing w:lineRule="auto" w:line="360"/>
        <w:jc w:val="both"/>
        <w:rPr>
          <w:noProof/>
        </w:rPr>
      </w:pPr>
      <w:r>
        <w:rPr/>
        <w:fldChar w:fldCharType="begin"/>
      </w:r>
      <w:r>
        <w:instrText xml:space="preserve"> HYPERLINK \l "_Toc227256662" </w:instrText>
      </w:r>
      <w:r>
        <w:rPr/>
        <w:fldChar w:fldCharType="separate"/>
      </w:r>
      <w:r>
        <w:rPr>
          <w:rStyle w:val="style85"/>
          <w:noProof/>
        </w:rPr>
        <w:t>Recommendation 1</w:t>
      </w:r>
      <w:r>
        <w:rPr>
          <w:noProof/>
          <w:webHidden/>
        </w:rPr>
        <w:tab/>
      </w:r>
      <w:r>
        <w:rPr>
          <w:noProof/>
          <w:webHidden/>
        </w:rPr>
        <w:fldChar w:fldCharType="begin"/>
      </w:r>
      <w:r>
        <w:rPr>
          <w:noProof/>
          <w:webHidden/>
        </w:rPr>
        <w:instrText xml:space="preserve"> PAGEREF _Toc227256662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spacing w:lineRule="auto" w:line="360"/>
        <w:jc w:val="both"/>
        <w:rPr>
          <w:noProof/>
        </w:rPr>
      </w:pPr>
      <w:r>
        <w:rPr/>
        <w:fldChar w:fldCharType="begin"/>
      </w:r>
      <w:r>
        <w:instrText xml:space="preserve"> HYPERLINK \l "_Toc227256663" </w:instrText>
      </w:r>
      <w:r>
        <w:rPr/>
        <w:fldChar w:fldCharType="separate"/>
      </w:r>
      <w:r>
        <w:rPr>
          <w:rStyle w:val="style85"/>
          <w:noProof/>
        </w:rPr>
        <w:t>Recommendation 2</w:t>
      </w:r>
      <w:r>
        <w:rPr>
          <w:noProof/>
          <w:webHidden/>
        </w:rPr>
        <w:tab/>
      </w:r>
      <w:r>
        <w:rPr>
          <w:noProof/>
          <w:webHidden/>
        </w:rPr>
        <w:fldChar w:fldCharType="begin"/>
      </w:r>
      <w:r>
        <w:rPr>
          <w:noProof/>
          <w:webHidden/>
        </w:rPr>
        <w:instrText xml:space="preserve"> PAGEREF _Toc227256663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spacing w:lineRule="auto" w:line="360"/>
        <w:jc w:val="both"/>
        <w:rPr>
          <w:noProof/>
        </w:rPr>
      </w:pPr>
      <w:r>
        <w:rPr/>
        <w:fldChar w:fldCharType="begin"/>
      </w:r>
      <w:r>
        <w:instrText xml:space="preserve"> HYPERLINK \l "_Toc227256664" </w:instrText>
      </w:r>
      <w:r>
        <w:rPr/>
        <w:fldChar w:fldCharType="separate"/>
      </w:r>
      <w:r>
        <w:rPr>
          <w:rStyle w:val="style85"/>
          <w:noProof/>
        </w:rPr>
        <w:t>Recommendation 3</w:t>
      </w:r>
      <w:r>
        <w:rPr>
          <w:noProof/>
          <w:webHidden/>
        </w:rPr>
        <w:tab/>
      </w:r>
      <w:r>
        <w:rPr>
          <w:noProof/>
          <w:webHidden/>
        </w:rPr>
        <w:fldChar w:fldCharType="begin"/>
      </w:r>
      <w:r>
        <w:rPr>
          <w:noProof/>
          <w:webHidden/>
        </w:rPr>
        <w:instrText xml:space="preserve"> PAGEREF _Toc227256664 \h </w:instrText>
      </w:r>
      <w:r>
        <w:rPr>
          <w:noProof/>
          <w:webHidden/>
        </w:rPr>
        <w:fldChar w:fldCharType="separate"/>
      </w:r>
      <w:r>
        <w:rPr>
          <w:noProof/>
          <w:webHidden/>
        </w:rPr>
        <w:t>11</w:t>
      </w:r>
      <w:r>
        <w:rPr>
          <w:noProof/>
          <w:webHidden/>
        </w:rPr>
        <w:fldChar w:fldCharType="end"/>
      </w:r>
      <w:r>
        <w:rPr/>
        <w:fldChar w:fldCharType="end"/>
      </w:r>
    </w:p>
    <w:p>
      <w:pPr>
        <w:pStyle w:val="style19"/>
        <w:tabs>
          <w:tab w:val="right" w:leader="dot" w:pos="9350"/>
        </w:tabs>
        <w:spacing w:lineRule="auto" w:line="360"/>
        <w:jc w:val="both"/>
        <w:rPr>
          <w:noProof/>
        </w:rPr>
      </w:pPr>
      <w:r>
        <w:rPr/>
        <w:fldChar w:fldCharType="begin"/>
      </w:r>
      <w:r>
        <w:instrText xml:space="preserve"> HYPERLINK \l "_Toc227256665"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_Toc227256665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350"/>
        </w:tabs>
        <w:spacing w:lineRule="auto" w:line="360"/>
        <w:jc w:val="both"/>
        <w:rPr>
          <w:noProof/>
        </w:rPr>
      </w:pPr>
      <w:r>
        <w:rPr/>
        <w:fldChar w:fldCharType="begin"/>
      </w:r>
      <w:r>
        <w:instrText xml:space="preserve"> HYPERLINK \l "_Toc227256666"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_Toc227256666 \h </w:instrText>
      </w:r>
      <w:r>
        <w:rPr>
          <w:noProof/>
          <w:webHidden/>
        </w:rPr>
        <w:fldChar w:fldCharType="separate"/>
      </w:r>
      <w:r>
        <w:rPr>
          <w:noProof/>
          <w:webHidden/>
        </w:rPr>
        <w:t>13</w:t>
      </w:r>
      <w:r>
        <w:rPr>
          <w:noProof/>
          <w:webHidden/>
        </w:rPr>
        <w:fldChar w:fldCharType="end"/>
      </w:r>
      <w:r>
        <w:rPr/>
        <w:fldChar w:fldCharType="end"/>
      </w:r>
    </w:p>
    <w:p>
      <w:pPr>
        <w:pStyle w:val="style0"/>
        <w:spacing w:lineRule="auto" w:line="360"/>
        <w:jc w:val="both"/>
        <w:rPr/>
      </w:pPr>
      <w:r>
        <w:rPr>
          <w:b/>
          <w:bCs/>
          <w:noProof/>
        </w:rPr>
        <w:fldChar w:fldCharType="end"/>
      </w:r>
    </w:p>
    <w:p>
      <w:pPr>
        <w:pStyle w:val="style0"/>
        <w:spacing w:lineRule="auto" w:line="360"/>
        <w:rPr>
          <w:rFonts w:eastAsia="Times New Roman"/>
          <w:b/>
          <w:bCs/>
          <w:color w:val="660000"/>
        </w:rPr>
      </w:pPr>
      <w:r>
        <w:rPr>
          <w:rFonts w:eastAsia="Times New Roman"/>
          <w:b/>
          <w:bCs/>
          <w:color w:val="660000"/>
        </w:rPr>
        <w:br w:type="page"/>
      </w:r>
    </w:p>
    <w:bookmarkStart w:id="0" w:name="_Toc227256651"/>
    <w:p>
      <w:pPr>
        <w:pStyle w:val="style1"/>
        <w:rPr>
          <w:szCs w:val="22"/>
        </w:rPr>
      </w:pPr>
      <w:r>
        <w:rPr>
          <w:szCs w:val="22"/>
        </w:rPr>
        <w:t>Introduction</w:t>
      </w:r>
      <w:bookmarkEnd w:id="0"/>
      <w:r>
        <w:rPr>
          <w:szCs w:val="22"/>
        </w:rPr>
        <w:t xml:space="preserve"> </w:t>
      </w:r>
    </w:p>
    <w:bookmarkStart w:id="1" w:name="_Toc227256652"/>
    <w:p>
      <w:pPr>
        <w:pStyle w:val="style2"/>
        <w:rPr>
          <w:b w:val="false"/>
          <w:i w:val="false"/>
          <w:szCs w:val="22"/>
        </w:rPr>
      </w:pPr>
      <w:r>
        <w:rPr>
          <w:szCs w:val="22"/>
        </w:rPr>
        <w:t>Brief background of NHS, Countess of Chester Hospital and Lucy Letby Case</w:t>
      </w:r>
      <w:bookmarkEnd w:id="1"/>
      <w:r>
        <w:rPr>
          <w:szCs w:val="22"/>
        </w:rPr>
        <w:t xml:space="preserve"> </w:t>
      </w:r>
    </w:p>
    <w:p>
      <w:pPr>
        <w:pStyle w:val="style0"/>
        <w:spacing w:lineRule="auto" w:line="360"/>
        <w:jc w:val="both"/>
        <w:rPr>
          <w:rFonts w:eastAsia="Times New Roman"/>
          <w:color w:val="000000"/>
        </w:rPr>
      </w:pPr>
      <w:r>
        <w:rPr>
          <w:rFonts w:eastAsia="Times New Roman"/>
          <w:color w:val="000000"/>
        </w:rPr>
        <w:t xml:space="preserve">The Countess of Chester Hospital is a major NHS provider, which is </w:t>
      </w:r>
      <w:r>
        <w:rPr>
          <w:rFonts w:eastAsia="Times New Roman"/>
          <w:color w:val="000000"/>
        </w:rPr>
        <w:t>mainly known</w:t>
      </w:r>
      <w:r>
        <w:rPr>
          <w:rFonts w:eastAsia="Times New Roman"/>
          <w:color w:val="000000"/>
        </w:rPr>
        <w:t xml:space="preserve"> for offering emergency services, acute and neonatal care, and surgery across the UK (Countess of Chester Hospital, 2026). The hospital has around 5,964 staff, efficiently providing healthcare services to around 400,000+ people, who live in Chester and West Cheshire (Countess of Chester Hospital, 2026). However, the NHS hospital faced controversies due to a major patient safety scandal on Lucy Letby, where a neonatal nurse was convicted of murdering seven babies and tried to kill others (Lawrence and Conn, 2024). Exposing the Lucy Letby case reveals poor and ineffective clinical governance, poor safety concerns and leadership of the hospital, which triggered neonatal care standards and patient safety practices. Therefore, the case highlights the quick need for implementing robust quality assurance and effective healthcare frameworks for the hospital to mitigate the issue.             </w:t>
      </w:r>
    </w:p>
    <w:bookmarkStart w:id="2" w:name="_Toc227256653"/>
    <w:p>
      <w:pPr>
        <w:pStyle w:val="style2"/>
        <w:rPr>
          <w:szCs w:val="22"/>
        </w:rPr>
      </w:pPr>
      <w:r>
        <w:rPr>
          <w:szCs w:val="22"/>
        </w:rPr>
        <w:t>Define the Core Problem by relating to public health issue</w:t>
      </w:r>
      <w:bookmarkEnd w:id="2"/>
      <w:r>
        <w:rPr>
          <w:szCs w:val="22"/>
        </w:rPr>
        <w:t xml:space="preserve"> </w:t>
      </w:r>
    </w:p>
    <w:p>
      <w:pPr>
        <w:pStyle w:val="style0"/>
        <w:spacing w:lineRule="auto" w:line="360"/>
        <w:jc w:val="both"/>
        <w:rPr>
          <w:rFonts w:eastAsia="Times New Roman"/>
          <w:color w:val="000000"/>
        </w:rPr>
      </w:pPr>
      <w:r>
        <w:rPr>
          <w:rFonts w:eastAsia="Times New Roman"/>
          <w:color w:val="000000"/>
        </w:rPr>
        <w:t>The core problem in this case highlights significant public health concerns, which are related to quality of care, patient safety, and failure to provide systematic healthcare. As per the guidance of WHO (2023), maintaining patient safety is considered a core dimension of public healthcare services because it directly influences trust and morbidity in healthcare systems. In this regard, failure to address and respond to unusual neonatal deaths by the Countess of Chester Hospital signifies a critical breakdown for safeguarding newborn infants (Lawrence and Conn, 2024). Overall, the case showcases different interconnected issues, such as inadequate clinical supervision, a lack of communication, and chronic understaffing. These factors contributed to ineffective escalation of concerns and delayed harm recognition. Considering a public health perspective, such systemic weaknesses increase the risk of preventable deaths, which directly indicates a poor healthcare quality.</w:t>
      </w:r>
    </w:p>
    <w:p>
      <w:pPr>
        <w:pStyle w:val="style0"/>
        <w:spacing w:lineRule="auto" w:line="360"/>
        <w:jc w:val="both"/>
        <w:rPr>
          <w:rFonts w:eastAsia="Times New Roman"/>
          <w:color w:val="000000"/>
        </w:rPr>
      </w:pPr>
      <w:r>
        <w:rPr>
          <w:rFonts w:eastAsia="Times New Roman"/>
          <w:color w:val="000000"/>
        </w:rPr>
        <w:t xml:space="preserve">Furthermore, although the NHS (National Health Service) has a strong reputation because of providing effective healthcare services, the Lucy Letby case at the Chester Hospital undermined the confidence level of the public (BBC, 2026). Thus, it is essential for the organisation to ensure effective population health outcomes and healthcare utilisation. Moreover, decreasing trust among the public can lead to minimising their engagement with the healthcare organisation, which can ultimately contribute to damage its reputational image, along with financial losses (Griffith et al., 2021). Therefore, the core problem must be defined as a healthcare quality failure, which makes a critical public health issue that requires urgent improvement in providing services.            </w:t>
      </w:r>
    </w:p>
    <w:bookmarkStart w:id="3" w:name="_Toc227256654"/>
    <w:p>
      <w:pPr>
        <w:pStyle w:val="style2"/>
        <w:rPr>
          <w:szCs w:val="22"/>
        </w:rPr>
      </w:pPr>
      <w:r>
        <w:rPr>
          <w:szCs w:val="22"/>
        </w:rPr>
        <w:t>Report Aim and Structure</w:t>
      </w:r>
      <w:bookmarkEnd w:id="3"/>
      <w:r>
        <w:rPr>
          <w:szCs w:val="22"/>
        </w:rPr>
        <w:t xml:space="preserve"> </w:t>
      </w:r>
    </w:p>
    <w:p>
      <w:pPr>
        <w:pStyle w:val="style0"/>
        <w:spacing w:lineRule="auto" w:line="360"/>
        <w:jc w:val="both"/>
        <w:rPr>
          <w:rFonts w:eastAsia="Times New Roman"/>
          <w:color w:val="000000"/>
        </w:rPr>
      </w:pPr>
      <w:r>
        <w:rPr>
          <w:rFonts w:eastAsia="Times New Roman"/>
          <w:color w:val="000000"/>
        </w:rPr>
        <w:t xml:space="preserve">The following report aims to effectively and critically assess the patient safety and quality failures addressed in the Countess of Chester Hospital, with a focus on the Lucy Letby case. In this regard, the study will conduct a root cause analysis through the help of theoretical frameworks, such as Swiss Cheese Model and the Donabedian Model. Also, it will highlight strategic planning by the support of SWOT analysis. For better improvement, it will suggest evidence-based recommendations by using PDSA and Six Sigma.      </w:t>
      </w:r>
    </w:p>
    <w:bookmarkStart w:id="4" w:name="_Toc227256655"/>
    <w:p>
      <w:pPr>
        <w:pStyle w:val="style1"/>
        <w:rPr>
          <w:szCs w:val="22"/>
        </w:rPr>
      </w:pPr>
      <w:r>
        <w:rPr>
          <w:szCs w:val="22"/>
        </w:rPr>
        <w:t>Main Body</w:t>
      </w:r>
      <w:bookmarkEnd w:id="4"/>
      <w:r>
        <w:rPr>
          <w:szCs w:val="22"/>
        </w:rPr>
        <w:t xml:space="preserve"> </w:t>
      </w:r>
    </w:p>
    <w:bookmarkStart w:id="5" w:name="_Toc227256656"/>
    <w:p>
      <w:pPr>
        <w:pStyle w:val="style1"/>
        <w:rPr>
          <w:szCs w:val="22"/>
        </w:rPr>
      </w:pPr>
      <w:r>
        <w:rPr>
          <w:szCs w:val="22"/>
        </w:rPr>
        <w:t>Theoretical Frameworks for Root Cause Analysis</w:t>
      </w:r>
      <w:bookmarkEnd w:id="5"/>
    </w:p>
    <w:p>
      <w:pPr>
        <w:pStyle w:val="style0"/>
        <w:spacing w:lineRule="auto" w:line="360"/>
        <w:jc w:val="both"/>
        <w:rPr>
          <w:rFonts w:eastAsia="Times New Roman"/>
          <w:color w:val="000000"/>
        </w:rPr>
      </w:pPr>
      <w:r>
        <w:rPr>
          <w:rFonts w:eastAsia="Times New Roman"/>
          <w:color w:val="000000"/>
        </w:rPr>
        <w:t xml:space="preserve">The management of care quality and patient safety within the healthcare systems requires the application of structured theoretical frameworks, which help in preventing ongoing errors by identifying their root causes (Madine et al., 2025). In the context of the Countess of Chester hospital’s child murder cases, the integration of multiple academic frameworks such as the Swiss Cheese, Donabedian and the SWOT model will be useful. Applying these will help in identifying the root causes of the multifaceted problem and prevent it from further happening (Albreak et al., 2025). </w:t>
      </w:r>
    </w:p>
    <w:bookmarkStart w:id="6" w:name="_Toc227256657"/>
    <w:p>
      <w:pPr>
        <w:pStyle w:val="style2"/>
        <w:rPr>
          <w:szCs w:val="22"/>
        </w:rPr>
      </w:pPr>
      <w:r>
        <w:rPr>
          <w:szCs w:val="22"/>
        </w:rPr>
        <w:t>Swiss Cheese Model</w:t>
      </w:r>
      <w:bookmarkEnd w:id="6"/>
    </w:p>
    <w:p>
      <w:pPr>
        <w:pStyle w:val="style0"/>
        <w:spacing w:lineRule="auto" w:line="360"/>
        <w:jc w:val="both"/>
        <w:rPr>
          <w:rFonts w:eastAsia="Times New Roman"/>
          <w:color w:val="000000"/>
        </w:rPr>
      </w:pPr>
      <w:r>
        <w:rPr>
          <w:rFonts w:eastAsia="Times New Roman"/>
          <w:color w:val="000000"/>
        </w:rPr>
        <w:t xml:space="preserve">James Reason’s Swiss Cheese model is being applied to pinpoint the weaknesses within the Countess of Chester Hospital’s organisational defence layers that led to the murders of innocent children (Wiegmann et al., 2022). </w:t>
      </w:r>
    </w:p>
    <w:p>
      <w:pPr>
        <w:pStyle w:val="style0"/>
        <w:spacing w:lineRule="auto" w:line="360"/>
        <w:jc w:val="center"/>
        <w:rPr>
          <w:rFonts w:eastAsia="Times New Roman"/>
          <w:color w:val="000000"/>
        </w:rPr>
      </w:pPr>
      <w:r>
        <w:rPr>
          <w:rFonts w:eastAsia="Times New Roman"/>
          <w:noProof/>
          <w:color w:val="000000"/>
        </w:rPr>
        <w:drawing>
          <wp:inline distL="0" distT="0" distB="0" distR="0">
            <wp:extent cx="2995613" cy="2462393"/>
            <wp:effectExtent l="12700" t="12700" r="12700" b="12700"/>
            <wp:docPr id="1027"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3" cstate="print"/>
                    <a:srcRect l="0" t="0" r="0" b="0"/>
                    <a:stretch/>
                  </pic:blipFill>
                  <pic:spPr>
                    <a:xfrm rot="0">
                      <a:off x="0" y="0"/>
                      <a:ext cx="2995613" cy="2462393"/>
                    </a:xfrm>
                    <a:prstGeom prst="rect"/>
                    <a:ln cmpd="sng" cap="flat" w="12700">
                      <a:solidFill>
                        <a:srgbClr val="000000"/>
                      </a:solidFill>
                      <a:prstDash val="solid"/>
                      <a:round/>
                      <a:headEnd/>
                      <a:tailEnd/>
                    </a:ln>
                  </pic:spPr>
                </pic:pic>
              </a:graphicData>
            </a:graphic>
          </wp:inline>
        </w:drawing>
      </w:r>
    </w:p>
    <w:p>
      <w:pPr>
        <w:pStyle w:val="style0"/>
        <w:spacing w:lineRule="auto" w:line="360"/>
        <w:jc w:val="center"/>
        <w:rPr>
          <w:rFonts w:eastAsia="Times New Roman"/>
          <w:color w:val="000000"/>
        </w:rPr>
      </w:pPr>
      <w:r>
        <w:rPr>
          <w:rFonts w:eastAsia="Times New Roman"/>
          <w:color w:val="000000"/>
        </w:rPr>
        <w:t xml:space="preserve">Figure 1: Swiss Cheese Model </w:t>
      </w:r>
    </w:p>
    <w:p>
      <w:pPr>
        <w:pStyle w:val="style0"/>
        <w:spacing w:lineRule="auto" w:line="360"/>
        <w:jc w:val="center"/>
        <w:rPr>
          <w:rFonts w:eastAsia="Times New Roman"/>
          <w:color w:val="000000"/>
        </w:rPr>
      </w:pPr>
      <w:r>
        <w:rPr>
          <w:rFonts w:eastAsia="Times New Roman"/>
          <w:color w:val="000000"/>
        </w:rPr>
        <w:t>(Source: Wiegmann et al., 2022)</w:t>
      </w:r>
    </w:p>
    <w:p>
      <w:pPr>
        <w:pStyle w:val="style0"/>
        <w:spacing w:lineRule="auto" w:line="360"/>
        <w:jc w:val="both"/>
        <w:rPr>
          <w:rFonts w:eastAsia="Times New Roman"/>
          <w:color w:val="000000"/>
        </w:rPr>
      </w:pPr>
      <w:r>
        <w:rPr>
          <w:rFonts w:eastAsia="Times New Roman"/>
          <w:color w:val="000000"/>
        </w:rPr>
        <w:t xml:space="preserve">The model consists of four key layers, which will help indicate why failures have occurred by identifying the systematic weaknesses that jeopardised the patient safety at the NHS trust. </w:t>
      </w:r>
    </w:p>
    <w:p>
      <w:pPr>
        <w:pStyle w:val="style0"/>
        <w:spacing w:lineRule="auto" w:line="360"/>
        <w:jc w:val="both"/>
        <w:rPr>
          <w:rFonts w:eastAsia="Times New Roman"/>
          <w:b/>
          <w:bCs/>
          <w:color w:val="000000"/>
        </w:rPr>
      </w:pPr>
      <w:r>
        <w:rPr>
          <w:rFonts w:eastAsia="Times New Roman"/>
          <w:b/>
          <w:bCs/>
          <w:color w:val="000000"/>
        </w:rPr>
        <w:t>Organisational Influences</w:t>
      </w:r>
    </w:p>
    <w:p>
      <w:pPr>
        <w:pStyle w:val="style0"/>
        <w:spacing w:lineRule="auto" w:line="360"/>
        <w:jc w:val="both"/>
        <w:rPr>
          <w:rFonts w:eastAsia="Times New Roman"/>
          <w:color w:val="000000"/>
        </w:rPr>
      </w:pPr>
      <w:r>
        <w:rPr>
          <w:rFonts w:eastAsia="Times New Roman"/>
          <w:color w:val="000000"/>
        </w:rPr>
        <w:t xml:space="preserve">This is where the top-level decisions are made at CoC Hospital, which created deep-rooted systematic weaknesses across the healthcare system. This includes weak management at CoC hospital, following a lack of resources and ineffective leadership, which created an overall toxic organisational culture. According to Moritz, Coffey and Buchanan (2023), the senior-level bosses of the hospital deliberately failed to act upon the repeated warnings coming from medical staff members about the murders by delaying taking action. This indicates a clear lack of accountability and poor management of hospital leadership. Moreover, the leaders also created a “fear of speaking up” culture at the hospital, which prevented many consultants and doctors from speaking up about the incidents, which resulted in further murder attempts by Letby (Knapton, 2024). </w:t>
      </w:r>
    </w:p>
    <w:p>
      <w:pPr>
        <w:pStyle w:val="style0"/>
        <w:spacing w:lineRule="auto" w:line="360"/>
        <w:jc w:val="both"/>
        <w:rPr>
          <w:rFonts w:eastAsia="Times New Roman"/>
          <w:b/>
          <w:bCs/>
          <w:color w:val="000000"/>
        </w:rPr>
      </w:pPr>
      <w:r>
        <w:rPr>
          <w:rFonts w:eastAsia="Times New Roman"/>
          <w:color w:val="000000"/>
        </w:rPr>
        <w:t xml:space="preserve">Moreover, due to weak management, the hospital lacked critical resources such as an Electronic Patient Record system and safety assessment tools as confirmed by the Care Quality Commission (CQC, 2022). Thus, the inadequate resource infrastructure weakened the organisation’s ability to deliver safe care to infants, while increasing vulnerability.   </w:t>
      </w:r>
      <w:r>
        <w:rPr>
          <w:rFonts w:eastAsia="Times New Roman"/>
          <w:b/>
          <w:bCs/>
          <w:color w:val="000000"/>
        </w:rPr>
        <w:t xml:space="preserve"> </w:t>
      </w:r>
    </w:p>
    <w:p>
      <w:pPr>
        <w:pStyle w:val="style0"/>
        <w:spacing w:lineRule="auto" w:line="360"/>
        <w:jc w:val="both"/>
        <w:rPr>
          <w:rFonts w:eastAsia="Times New Roman"/>
          <w:b/>
          <w:bCs/>
          <w:color w:val="000000"/>
        </w:rPr>
      </w:pPr>
      <w:r>
        <w:rPr>
          <w:rFonts w:eastAsia="Times New Roman"/>
          <w:b/>
          <w:bCs/>
          <w:color w:val="000000"/>
        </w:rPr>
        <w:t>Supervisory Factors</w:t>
      </w:r>
    </w:p>
    <w:p>
      <w:pPr>
        <w:pStyle w:val="style0"/>
        <w:spacing w:lineRule="auto" w:line="360"/>
        <w:jc w:val="both"/>
        <w:rPr>
          <w:rFonts w:eastAsia="Times New Roman"/>
          <w:color w:val="000000"/>
        </w:rPr>
      </w:pPr>
      <w:r>
        <w:rPr>
          <w:rFonts w:eastAsia="Times New Roman"/>
          <w:color w:val="000000"/>
        </w:rPr>
        <w:t xml:space="preserve">This is the second layer of the Swiss Cheese model, suggesting failures in supervision at CoC hospital due to its insufficient medical oversight and workforce management, which worked as contributing factors to the murder cases. As per a news report, about 64% of neonatal units at the CoC hospital are significantly understaffed and nurses here lack proper training to offer care and safety to infants and premature babies (BBC, 2015). Consequently, a limited workforce support created pressure over existing workers, resulting in inadequate supervision, which further endangered the lives of infants. </w:t>
      </w:r>
    </w:p>
    <w:p>
      <w:pPr>
        <w:pStyle w:val="style0"/>
        <w:spacing w:lineRule="auto" w:line="360"/>
        <w:jc w:val="both"/>
        <w:rPr>
          <w:rFonts w:eastAsia="Times New Roman"/>
          <w:b/>
          <w:bCs/>
          <w:color w:val="000000"/>
        </w:rPr>
      </w:pPr>
      <w:r>
        <w:rPr>
          <w:rFonts w:eastAsia="Times New Roman"/>
          <w:b/>
          <w:bCs/>
          <w:color w:val="000000"/>
        </w:rPr>
        <w:t xml:space="preserve">Preconditions for Unsafe Acts </w:t>
      </w:r>
    </w:p>
    <w:p>
      <w:pPr>
        <w:pStyle w:val="style0"/>
        <w:spacing w:lineRule="auto" w:line="360"/>
        <w:jc w:val="both"/>
        <w:rPr>
          <w:rFonts w:eastAsia="Times New Roman"/>
          <w:color w:val="000000"/>
        </w:rPr>
      </w:pPr>
      <w:r>
        <w:rPr>
          <w:rFonts w:eastAsia="Times New Roman"/>
          <w:color w:val="000000"/>
        </w:rPr>
        <w:t xml:space="preserve">This layer indicates the conditions that affected and prevented the CoC hospital staff members from ensuring patient safety. Firstly, the nurse shortages and lack of training at the hospital increased workload, leading to workforce fatigue, which weakened care quality and created a high-risk environment (Lawrence and Conn, 2024). Secondly, the communication system among the hospital staff was chaotic during the murderous events, causing delays in safety risk assessment and overall coordination, which endangered infant safety (Bawden, 2023). These preconditions jointly weakened the system defences at CoC. </w:t>
      </w:r>
    </w:p>
    <w:p>
      <w:pPr>
        <w:pStyle w:val="style0"/>
        <w:spacing w:lineRule="auto" w:line="360"/>
        <w:jc w:val="both"/>
        <w:rPr>
          <w:rFonts w:eastAsia="Times New Roman"/>
          <w:b/>
          <w:bCs/>
          <w:color w:val="000000"/>
        </w:rPr>
      </w:pPr>
      <w:r>
        <w:rPr>
          <w:rFonts w:eastAsia="Times New Roman"/>
          <w:b/>
          <w:bCs/>
          <w:color w:val="000000"/>
        </w:rPr>
        <w:t>Unsafe Acts (Active Failure)</w:t>
      </w:r>
    </w:p>
    <w:p>
      <w:pPr>
        <w:pStyle w:val="style0"/>
        <w:spacing w:lineRule="auto" w:line="360"/>
        <w:jc w:val="both"/>
        <w:rPr>
          <w:rFonts w:eastAsia="Times New Roman"/>
          <w:color w:val="000000"/>
        </w:rPr>
      </w:pPr>
      <w:r>
        <w:rPr>
          <w:rFonts w:eastAsia="Times New Roman"/>
          <w:color w:val="000000"/>
        </w:rPr>
        <w:t xml:space="preserve">Finally, this layer highlighted the active failures committed by the front-line operators and doctors at CoC hospital, which caused the murder of seven infants. The senior doctors and consultants, for example, failed to raise concerns about the murders and patient safety due to the hospital leaders’ warnings of maintaining reputation (Knapton, 2024). This directly contributed to the criminal acts of Lucy Letby for an extended period of time. </w:t>
      </w:r>
    </w:p>
    <w:p>
      <w:pPr>
        <w:pStyle w:val="style0"/>
        <w:spacing w:lineRule="auto" w:line="360"/>
        <w:jc w:val="both"/>
        <w:rPr>
          <w:rFonts w:eastAsia="Times New Roman"/>
          <w:color w:val="000000"/>
        </w:rPr>
      </w:pPr>
      <w:r>
        <w:rPr>
          <w:rFonts w:eastAsia="Times New Roman"/>
          <w:color w:val="000000"/>
        </w:rPr>
        <w:t xml:space="preserve">Overall, the </w:t>
      </w:r>
      <w:r>
        <w:rPr>
          <w:rFonts w:eastAsia="Times New Roman"/>
          <w:color w:val="000000"/>
        </w:rPr>
        <w:t>swiss</w:t>
      </w:r>
      <w:r>
        <w:rPr>
          <w:rFonts w:eastAsia="Times New Roman"/>
          <w:color w:val="000000"/>
        </w:rPr>
        <w:t xml:space="preserve"> cheese model helped in identifying the systematic root causes of the problem at the NHS trust, yet it oversimplified the complex accidents, which made it ineffective to point out active resilience (Shabani, Jerie, and Shabani, 2024). This can be addressed by improving adaptability instead of adding more defence layers. </w:t>
      </w:r>
    </w:p>
    <w:bookmarkStart w:id="7" w:name="_Toc227256658"/>
    <w:p>
      <w:pPr>
        <w:pStyle w:val="style2"/>
        <w:rPr>
          <w:szCs w:val="22"/>
        </w:rPr>
      </w:pPr>
      <w:r>
        <w:rPr>
          <w:szCs w:val="22"/>
        </w:rPr>
        <w:t>Donabedian Model</w:t>
      </w:r>
      <w:bookmarkEnd w:id="7"/>
    </w:p>
    <w:p>
      <w:pPr>
        <w:pStyle w:val="style0"/>
        <w:spacing w:lineRule="auto" w:line="360"/>
        <w:jc w:val="both"/>
        <w:rPr>
          <w:rFonts w:eastAsia="Times New Roman"/>
          <w:color w:val="000000"/>
        </w:rPr>
      </w:pPr>
      <w:r>
        <w:rPr>
          <w:rFonts w:eastAsia="Times New Roman"/>
          <w:color w:val="000000"/>
        </w:rPr>
        <w:t>To conduct the root cause analysis of the Countess of Chester (CoC) Hospital, the application of the Donabedian Model is suitable, as this framework evaluates healthcare quality through the three dimensions (</w:t>
      </w:r>
      <w:r>
        <w:rPr>
          <w:rFonts w:eastAsia="Times New Roman"/>
          <w:color w:val="000000"/>
        </w:rPr>
        <w:t>Tossaint-Schoenmakers</w:t>
      </w:r>
      <w:r>
        <w:rPr>
          <w:rFonts w:eastAsia="Times New Roman"/>
          <w:color w:val="000000"/>
        </w:rPr>
        <w:t xml:space="preserve"> et al., 2021).</w:t>
      </w:r>
    </w:p>
    <w:p>
      <w:pPr>
        <w:pStyle w:val="style0"/>
        <w:spacing w:lineRule="auto" w:line="360"/>
        <w:jc w:val="center"/>
        <w:rPr>
          <w:rFonts w:eastAsia="Times New Roman"/>
          <w:color w:val="000000"/>
        </w:rPr>
      </w:pPr>
      <w:r>
        <w:rPr>
          <w:rFonts w:eastAsia="Times New Roman"/>
          <w:color w:val="000000"/>
        </w:rPr>
        <w:t xml:space="preserve"> </w:t>
      </w:r>
      <w:r>
        <w:rPr>
          <w:rFonts w:eastAsia="Times New Roman"/>
          <w:noProof/>
          <w:color w:val="000000"/>
        </w:rPr>
        <w:drawing>
          <wp:inline distL="0" distT="0" distB="0" distR="0">
            <wp:extent cx="4572000" cy="3257550"/>
            <wp:effectExtent l="12700" t="12700" r="12700" b="12700"/>
            <wp:docPr id="1028"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r:embed="rId4" cstate="print"/>
                    <a:srcRect l="0" t="0" r="0" b="0"/>
                    <a:stretch/>
                  </pic:blipFill>
                  <pic:spPr>
                    <a:xfrm rot="0">
                      <a:off x="0" y="0"/>
                      <a:ext cx="4572000" cy="3257550"/>
                    </a:xfrm>
                    <a:prstGeom prst="rect"/>
                    <a:ln cmpd="sng" cap="flat" w="12700">
                      <a:solidFill>
                        <a:srgbClr val="000000"/>
                      </a:solidFill>
                      <a:prstDash val="solid"/>
                      <a:round/>
                      <a:headEnd/>
                      <a:tailEnd/>
                    </a:ln>
                  </pic:spPr>
                </pic:pic>
              </a:graphicData>
            </a:graphic>
          </wp:inline>
        </w:drawing>
      </w:r>
    </w:p>
    <w:p>
      <w:pPr>
        <w:pStyle w:val="style0"/>
        <w:spacing w:lineRule="auto" w:line="360"/>
        <w:jc w:val="center"/>
        <w:rPr>
          <w:rFonts w:eastAsia="Times New Roman"/>
          <w:color w:val="000000"/>
        </w:rPr>
      </w:pPr>
      <w:r>
        <w:rPr>
          <w:rFonts w:eastAsia="Times New Roman"/>
          <w:color w:val="000000"/>
        </w:rPr>
        <w:t xml:space="preserve">Figure 2: Donabedian Model </w:t>
      </w:r>
    </w:p>
    <w:p>
      <w:pPr>
        <w:pStyle w:val="style0"/>
        <w:spacing w:lineRule="auto" w:line="360"/>
        <w:jc w:val="center"/>
        <w:rPr>
          <w:rFonts w:eastAsia="Times New Roman"/>
          <w:color w:val="000000"/>
        </w:rPr>
      </w:pPr>
      <w:r>
        <w:rPr>
          <w:rFonts w:eastAsia="Times New Roman"/>
          <w:color w:val="000000"/>
        </w:rPr>
        <w:t xml:space="preserve">(Source: </w:t>
      </w:r>
      <w:r>
        <w:rPr>
          <w:rFonts w:eastAsia="Times New Roman"/>
          <w:color w:val="000000"/>
        </w:rPr>
        <w:t>Tossaint-Schoenmakers</w:t>
      </w:r>
      <w:r>
        <w:rPr>
          <w:rFonts w:eastAsia="Times New Roman"/>
          <w:color w:val="000000"/>
        </w:rPr>
        <w:t xml:space="preserve"> et al., 2021)</w:t>
      </w:r>
    </w:p>
    <w:p>
      <w:pPr>
        <w:pStyle w:val="style0"/>
        <w:spacing w:lineRule="auto" w:line="360"/>
        <w:jc w:val="both"/>
        <w:rPr>
          <w:rFonts w:eastAsia="Times New Roman"/>
          <w:b/>
          <w:bCs/>
          <w:color w:val="000000"/>
        </w:rPr>
      </w:pPr>
      <w:r>
        <w:rPr>
          <w:rFonts w:eastAsia="Times New Roman"/>
          <w:b/>
          <w:bCs/>
          <w:color w:val="000000"/>
        </w:rPr>
        <w:t>Structure of care</w:t>
      </w:r>
    </w:p>
    <w:p>
      <w:pPr>
        <w:pStyle w:val="style0"/>
        <w:spacing w:lineRule="auto" w:line="360"/>
        <w:jc w:val="both"/>
        <w:rPr>
          <w:rFonts w:eastAsia="Times New Roman"/>
          <w:color w:val="000000"/>
        </w:rPr>
      </w:pPr>
      <w:r>
        <w:rPr>
          <w:rFonts w:eastAsia="Times New Roman"/>
          <w:color w:val="000000"/>
        </w:rPr>
        <w:t xml:space="preserve">Despite having a strong human resources and organisational structure, the neonatal system of CoC is fragile due to poor organisational governance that failed to take immediate action against the Lucy Letby case (BBC, 2017). Thus, it reveals that the organisation has a poor structure of care, especially in its neonatal unit, which led to delays in recognition of crimes. Besides this, the </w:t>
      </w:r>
      <w:r>
        <w:rPr>
          <w:rFonts w:eastAsia="Times New Roman"/>
          <w:color w:val="000000"/>
        </w:rPr>
        <w:t xml:space="preserve">Care Quality Commission confirmed that the hospital has a lack of  organisational management (CQC, 2022). Due to this, it suffers from a lack of critical resources, including an Electronic Patient Record (EPR) system and safety assessment tools, such as the Safety Attitudes Questionnaire (SAQ) (CQC, 2022). Therefore, the structural and governance shortcomings of the hospital significantly undermined the effectiveness and safety of care within the neonatal unit, which is one of the main reasons behind the case.            </w:t>
      </w:r>
    </w:p>
    <w:p>
      <w:pPr>
        <w:pStyle w:val="style0"/>
        <w:spacing w:lineRule="auto" w:line="360"/>
        <w:jc w:val="both"/>
        <w:rPr>
          <w:rFonts w:eastAsia="Times New Roman"/>
          <w:b/>
          <w:bCs/>
          <w:color w:val="000000"/>
        </w:rPr>
      </w:pPr>
      <w:r>
        <w:rPr>
          <w:rFonts w:eastAsia="Times New Roman"/>
          <w:b/>
          <w:bCs/>
          <w:color w:val="000000"/>
        </w:rPr>
        <w:t>Process of care</w:t>
      </w:r>
    </w:p>
    <w:p>
      <w:pPr>
        <w:pStyle w:val="style0"/>
        <w:spacing w:lineRule="auto" w:line="360"/>
        <w:jc w:val="both"/>
        <w:rPr>
          <w:rFonts w:eastAsia="Times New Roman"/>
          <w:color w:val="000000"/>
        </w:rPr>
      </w:pPr>
      <w:r>
        <w:rPr>
          <w:rFonts w:eastAsia="Times New Roman"/>
          <w:color w:val="000000"/>
        </w:rPr>
        <w:t xml:space="preserve">Initially, the organisation provides equal care to each patient. However, after facing the scandal on Lucy Letby, the organisation committed to empowering its overall process of healthcare to ensure better health outcomes (Countess of Chester Hospital, 2026). In this context, Halliday (2025) reflected that the CoC faces significant staff shortages, which negatively impact the healthcare services by creating excessive pressure on existing staff. Also, having understaffed and </w:t>
      </w:r>
      <w:r>
        <w:rPr>
          <w:rFonts w:eastAsia="Times New Roman"/>
          <w:color w:val="000000"/>
        </w:rPr>
        <w:t>underskilled</w:t>
      </w:r>
      <w:r>
        <w:rPr>
          <w:rFonts w:eastAsia="Times New Roman"/>
          <w:color w:val="000000"/>
        </w:rPr>
        <w:t xml:space="preserve"> staff, along with poor infection control, and inadequate beds significantly highlights a poor process of care that ultimately decreases the quality of care (Lawrence and Conn, 2024). Therefore, the workforce limitation and systematic inefficiencies lead to hinder the effectiveness of care processes of the organisation, which compromises the safety and quality of healthcare service.      </w:t>
      </w:r>
    </w:p>
    <w:p>
      <w:pPr>
        <w:pStyle w:val="style0"/>
        <w:spacing w:lineRule="auto" w:line="360"/>
        <w:jc w:val="both"/>
        <w:rPr>
          <w:rFonts w:eastAsia="Times New Roman"/>
          <w:b/>
          <w:bCs/>
          <w:color w:val="000000"/>
        </w:rPr>
      </w:pPr>
      <w:r>
        <w:rPr>
          <w:rFonts w:eastAsia="Times New Roman"/>
          <w:b/>
          <w:bCs/>
          <w:color w:val="000000"/>
        </w:rPr>
        <w:t xml:space="preserve">Health outcomes </w:t>
      </w:r>
    </w:p>
    <w:p>
      <w:pPr>
        <w:pStyle w:val="style0"/>
        <w:spacing w:lineRule="auto" w:line="360"/>
        <w:jc w:val="both"/>
        <w:rPr>
          <w:rFonts w:eastAsia="Times New Roman"/>
          <w:color w:val="000000"/>
        </w:rPr>
      </w:pPr>
      <w:r>
        <w:rPr>
          <w:rFonts w:eastAsia="Times New Roman"/>
          <w:color w:val="000000"/>
        </w:rPr>
        <w:t xml:space="preserve">As the structure and process of care of CoC is poor and ineffective, it drives weak health outcomes, as critical gaps in treatment still persist because of poor infection control and overcrowding, which </w:t>
      </w:r>
      <w:r>
        <w:rPr>
          <w:rFonts w:eastAsia="Times New Roman"/>
          <w:color w:val="000000"/>
        </w:rPr>
        <w:t>ultimately compromised</w:t>
      </w:r>
      <w:r>
        <w:rPr>
          <w:rFonts w:eastAsia="Times New Roman"/>
          <w:color w:val="000000"/>
        </w:rPr>
        <w:t xml:space="preserve"> patient safety and dignity (Halliday, 2025). Hence, to improve the healthcare outcomes of CoC, the organisation should empower its organisational governance by focusing on both the clinical governance (quality and patient safety) and corporate governance (accountability and transparency). For example, considering the CQC report, Cambridge University Hospitals NHS Foundation Trust has a robust organisational governance, which helps it to maintain high quality of care by fostering effective leadership and strengthening the healthcare system (CQC, 2022a). Therefore, the evidence signifies that CoC needs improvement in its overall management to offer better health outcomes while ensuring patient safety.            </w:t>
      </w:r>
    </w:p>
    <w:bookmarkStart w:id="8" w:name="_Toc227256659"/>
    <w:p>
      <w:pPr>
        <w:pStyle w:val="style2"/>
        <w:rPr>
          <w:szCs w:val="22"/>
        </w:rPr>
      </w:pPr>
      <w:r>
        <w:rPr>
          <w:szCs w:val="22"/>
        </w:rPr>
        <w:t>SWOT analysis</w:t>
      </w:r>
      <w:bookmarkEnd w:id="8"/>
    </w:p>
    <w:p>
      <w:pPr>
        <w:pStyle w:val="style0"/>
        <w:spacing w:lineRule="auto" w:line="360"/>
        <w:jc w:val="both"/>
        <w:rPr>
          <w:rFonts w:eastAsia="Times New Roman"/>
          <w:color w:val="000000"/>
        </w:rPr>
      </w:pPr>
      <w:r>
        <w:rPr>
          <w:rFonts w:eastAsia="Times New Roman"/>
          <w:color w:val="000000"/>
        </w:rPr>
        <w:t xml:space="preserve">Here, the SWOT framework is being applied to further justify the organisational weaknesses at Countess of Chester Hospital in the UK. </w:t>
      </w:r>
    </w:p>
    <w:p>
      <w:pPr>
        <w:pStyle w:val="style0"/>
        <w:spacing w:lineRule="auto" w:line="360"/>
        <w:jc w:val="both"/>
        <w:rPr>
          <w:rFonts w:eastAsia="Times New Roman"/>
          <w:b/>
          <w:bCs/>
          <w:color w:val="000000"/>
        </w:rPr>
      </w:pPr>
      <w:r>
        <w:rPr>
          <w:rFonts w:eastAsia="Times New Roman"/>
          <w:b/>
          <w:bCs/>
          <w:color w:val="000000"/>
        </w:rPr>
        <w:t xml:space="preserve">Strengths </w:t>
      </w:r>
    </w:p>
    <w:p>
      <w:pPr>
        <w:pStyle w:val="style0"/>
        <w:spacing w:lineRule="auto" w:line="360"/>
        <w:jc w:val="both"/>
        <w:rPr>
          <w:rFonts w:eastAsia="Times New Roman"/>
          <w:color w:val="000000"/>
        </w:rPr>
      </w:pPr>
      <w:r>
        <w:rPr>
          <w:rFonts w:eastAsia="Times New Roman"/>
          <w:color w:val="000000"/>
        </w:rPr>
        <w:t xml:space="preserve">Despite the systematic weaknesses, the CoC hospital has a strong quality improvement infrastructure, which involves digital clinical audits, incident reporting systems and performance monitoring tools, through which the workers can effectively prioritise emergency care (NHS CoC, 2024). </w:t>
      </w:r>
    </w:p>
    <w:p>
      <w:pPr>
        <w:pStyle w:val="style0"/>
        <w:spacing w:lineRule="auto" w:line="360"/>
        <w:jc w:val="both"/>
        <w:rPr>
          <w:rFonts w:eastAsia="Times New Roman"/>
          <w:color w:val="000000"/>
        </w:rPr>
      </w:pPr>
      <w:r>
        <w:rPr>
          <w:rFonts w:eastAsia="Times New Roman"/>
          <w:color w:val="000000"/>
        </w:rPr>
        <w:t xml:space="preserve">Additionally, the company has strong partnerships with the wider Cheshire and Merseyside Integrated Care System as well as Betsi Cadwaladr University Health Board, which can allow it to deliver safe and high-quality care services through adequate resource support (COCH NHS, 2024). </w:t>
      </w:r>
    </w:p>
    <w:p>
      <w:pPr>
        <w:pStyle w:val="style0"/>
        <w:spacing w:lineRule="auto" w:line="360"/>
        <w:jc w:val="both"/>
        <w:rPr>
          <w:rFonts w:eastAsia="Times New Roman"/>
          <w:color w:val="000000"/>
        </w:rPr>
      </w:pPr>
      <w:r>
        <w:rPr>
          <w:rFonts w:eastAsia="Times New Roman"/>
          <w:color w:val="000000"/>
        </w:rPr>
        <w:t xml:space="preserve">Overall, under proper supervision, these strengths have the potential to provide a structured approach for strategic planning, which can prevent the infant safety issue from further happening. </w:t>
      </w:r>
    </w:p>
    <w:p>
      <w:pPr>
        <w:pStyle w:val="style0"/>
        <w:spacing w:lineRule="auto" w:line="360"/>
        <w:jc w:val="both"/>
        <w:rPr>
          <w:rFonts w:eastAsia="Times New Roman"/>
          <w:b/>
          <w:bCs/>
          <w:color w:val="000000"/>
        </w:rPr>
      </w:pPr>
      <w:r>
        <w:rPr>
          <w:rFonts w:eastAsia="Times New Roman"/>
          <w:b/>
          <w:bCs/>
          <w:color w:val="000000"/>
        </w:rPr>
        <w:t xml:space="preserve">Weaknesses </w:t>
      </w:r>
    </w:p>
    <w:p>
      <w:pPr>
        <w:pStyle w:val="style0"/>
        <w:spacing w:lineRule="auto" w:line="360"/>
        <w:jc w:val="both"/>
        <w:rPr>
          <w:rFonts w:eastAsia="Times New Roman"/>
          <w:color w:val="000000"/>
        </w:rPr>
      </w:pPr>
      <w:r>
        <w:rPr>
          <w:rFonts w:eastAsia="Times New Roman"/>
          <w:color w:val="000000"/>
        </w:rPr>
        <w:t xml:space="preserve">The murder of seven infants clearly highlights key weaknesses, including ineffective leadership, and poor governance, which created staffing shortages and a negative organisational culture. The leaders’ inability to respond early to the staff warnings and offering inefficient infant care knowledge is suggesting failed management (Moritz, Coffey and Buchanan (2023). Moreover, the communication breakdown created a chaotic situation, which made the clinical processes inconsistent, thereby increasing the risk of patient harm (Bawden, 2023). </w:t>
      </w:r>
    </w:p>
    <w:p>
      <w:pPr>
        <w:pStyle w:val="style0"/>
        <w:spacing w:lineRule="auto" w:line="360"/>
        <w:jc w:val="both"/>
        <w:rPr>
          <w:rFonts w:eastAsia="Times New Roman"/>
          <w:b/>
          <w:bCs/>
          <w:color w:val="000000"/>
        </w:rPr>
      </w:pPr>
      <w:r>
        <w:rPr>
          <w:rFonts w:eastAsia="Times New Roman"/>
          <w:b/>
          <w:bCs/>
          <w:color w:val="000000"/>
        </w:rPr>
        <w:t xml:space="preserve">Opportunities </w:t>
      </w:r>
    </w:p>
    <w:p>
      <w:pPr>
        <w:pStyle w:val="style0"/>
        <w:spacing w:lineRule="auto" w:line="360"/>
        <w:jc w:val="both"/>
        <w:rPr>
          <w:rFonts w:eastAsia="Times New Roman"/>
          <w:color w:val="000000"/>
        </w:rPr>
      </w:pPr>
      <w:r>
        <w:rPr>
          <w:rFonts w:eastAsia="Times New Roman"/>
          <w:color w:val="000000"/>
        </w:rPr>
        <w:t xml:space="preserve">As a healthcare giant, the NHS implemented multiple healthcare frameworks to improve the quality of care and overall health outcomes, such as the Mental Health Core Skills Education and the Training Framework and Competence Framework for Nurses (NHS, 2026). Thus, as a part of the NHS, the CoC has the opportunity to mitigate the issue and improve its overall healthcare services by implementing these frameworks, which can lead to enhanced patient care quality and operational efficiency.    </w:t>
      </w:r>
    </w:p>
    <w:p>
      <w:pPr>
        <w:pStyle w:val="style0"/>
        <w:spacing w:lineRule="auto" w:line="360"/>
        <w:jc w:val="both"/>
        <w:rPr>
          <w:rFonts w:eastAsia="Times New Roman"/>
          <w:b/>
          <w:bCs/>
          <w:color w:val="000000"/>
        </w:rPr>
      </w:pPr>
      <w:r>
        <w:rPr>
          <w:rFonts w:eastAsia="Times New Roman"/>
          <w:b/>
          <w:bCs/>
          <w:color w:val="000000"/>
        </w:rPr>
        <w:t xml:space="preserve">Threats  </w:t>
      </w:r>
    </w:p>
    <w:p>
      <w:pPr>
        <w:pStyle w:val="style0"/>
        <w:spacing w:lineRule="auto" w:line="360"/>
        <w:jc w:val="both"/>
        <w:rPr>
          <w:rFonts w:eastAsia="Times New Roman"/>
          <w:color w:val="000000"/>
        </w:rPr>
      </w:pPr>
      <w:r>
        <w:rPr>
          <w:rFonts w:eastAsia="Times New Roman"/>
          <w:color w:val="000000"/>
        </w:rPr>
        <w:t xml:space="preserve">Due to the excessive negative impact of the Lucy Letby scandal, CoC faces several threats, including reputational damage and financial losses, where the organisation reported a £9.6 million deficit at the end of 2024-25 (Countess of Chester Hospital, 2023). It leads to damage to its overall market position in the UK healthcare service industry.      </w:t>
      </w:r>
    </w:p>
    <w:bookmarkStart w:id="9" w:name="_Toc227256660"/>
    <w:p>
      <w:pPr>
        <w:pStyle w:val="style2"/>
        <w:rPr>
          <w:szCs w:val="22"/>
        </w:rPr>
      </w:pPr>
      <w:r>
        <w:rPr>
          <w:szCs w:val="22"/>
        </w:rPr>
        <w:t>Lacking in Policy Integration</w:t>
      </w:r>
      <w:bookmarkEnd w:id="9"/>
    </w:p>
    <w:p>
      <w:pPr>
        <w:pStyle w:val="style0"/>
        <w:spacing w:lineRule="auto" w:line="360"/>
        <w:jc w:val="both"/>
        <w:rPr>
          <w:rFonts w:eastAsia="Times New Roman"/>
          <w:color w:val="000000"/>
        </w:rPr>
      </w:pPr>
      <w:r>
        <w:rPr>
          <w:rFonts w:eastAsia="Times New Roman"/>
          <w:color w:val="000000"/>
        </w:rPr>
        <w:t xml:space="preserve">NHS and Care Quality Commission both have enforced different care standards, including the NHS long-term workforce plan, the Equality Act and national career structure to ensure quality care and patient safety through responsible workforce development (NHS England, 2023; HACW, 2026). Yet, CoC hospital failed to properly adhere to these standards, since it lacked skilled </w:t>
      </w:r>
      <w:r>
        <w:rPr>
          <w:rFonts w:eastAsia="Times New Roman"/>
          <w:color w:val="000000"/>
        </w:rPr>
        <w:t xml:space="preserve">nurses and resource infrastructure, which created a gap between expected care quality and actual practices (Lawrence and Conn, 2024). Therefore, an unsafe care environment is being created, which compromises patient safety and led to neonatal deaths. </w:t>
      </w:r>
    </w:p>
    <w:bookmarkStart w:id="10" w:name="_Toc227256661"/>
    <w:p>
      <w:pPr>
        <w:pStyle w:val="style1"/>
        <w:rPr>
          <w:szCs w:val="22"/>
        </w:rPr>
      </w:pPr>
      <w:r>
        <w:rPr>
          <w:szCs w:val="22"/>
        </w:rPr>
        <w:t>Recommendation</w:t>
      </w:r>
      <w:bookmarkEnd w:id="10"/>
    </w:p>
    <w:p>
      <w:pPr>
        <w:pStyle w:val="style0"/>
        <w:spacing w:lineRule="auto" w:line="360"/>
        <w:jc w:val="both"/>
        <w:rPr>
          <w:rFonts w:eastAsia="Times New Roman"/>
          <w:color w:val="000000"/>
        </w:rPr>
      </w:pPr>
      <w:r>
        <w:rPr>
          <w:rFonts w:eastAsia="Times New Roman"/>
          <w:color w:val="000000"/>
        </w:rPr>
        <w:t xml:space="preserve">Considering the root causes, there are some recommendations provided below, which are suggested by the support of quality improvement tools and can allow CoC to take practical steps for sustaining improvement. </w:t>
      </w:r>
    </w:p>
    <w:bookmarkStart w:id="11" w:name="_Toc227256662"/>
    <w:p>
      <w:pPr>
        <w:pStyle w:val="style2"/>
        <w:rPr>
          <w:szCs w:val="22"/>
        </w:rPr>
      </w:pPr>
      <w:r>
        <w:rPr>
          <w:szCs w:val="22"/>
        </w:rPr>
        <w:t>Recommendation 1</w:t>
      </w:r>
      <w:bookmarkEnd w:id="11"/>
    </w:p>
    <w:p>
      <w:pPr>
        <w:pStyle w:val="style0"/>
        <w:spacing w:lineRule="auto" w:line="360"/>
        <w:jc w:val="both"/>
        <w:rPr>
          <w:rFonts w:eastAsia="Times New Roman"/>
          <w:color w:val="000000"/>
        </w:rPr>
      </w:pPr>
      <w:r>
        <w:rPr>
          <w:rFonts w:eastAsia="Times New Roman"/>
          <w:color w:val="000000"/>
        </w:rPr>
        <w:t xml:space="preserve">Strengthening the workforce competence by increasing staff skills through training and development. </w:t>
      </w:r>
    </w:p>
    <w:p>
      <w:pPr>
        <w:pStyle w:val="style0"/>
        <w:spacing w:lineRule="auto" w:line="360"/>
        <w:jc w:val="both"/>
        <w:rPr>
          <w:rFonts w:eastAsia="Times New Roman"/>
          <w:color w:val="000000"/>
        </w:rPr>
      </w:pPr>
      <w:r>
        <w:rPr>
          <w:rFonts w:eastAsia="Times New Roman"/>
          <w:color w:val="000000"/>
        </w:rPr>
        <w:t xml:space="preserve">The above recommendation can be implemented systematically through the PDSA tool.  </w:t>
      </w:r>
    </w:p>
    <w:tbl>
      <w:tblPr>
        <w:tblStyle w:val="style4099"/>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7845"/>
      </w:tblGrid>
      <w:tr>
        <w:trPr>
          <w:trHeight w:val="379" w:hRule="atLeast"/>
        </w:trPr>
        <w:tc>
          <w:tcPr>
            <w:tcW w:w="1515" w:type="dxa"/>
            <w:vMerge w:val="restart"/>
            <w:tcBorders/>
            <w:tcMar>
              <w:top w:w="100" w:type="dxa"/>
              <w:left w:w="100" w:type="dxa"/>
              <w:bottom w:w="100" w:type="dxa"/>
              <w:right w:w="100" w:type="dxa"/>
            </w:tcMar>
          </w:tcPr>
          <w:p>
            <w:pPr>
              <w:pStyle w:val="style0"/>
              <w:widowControl w:val="false"/>
              <w:spacing w:lineRule="auto" w:line="360"/>
              <w:rPr>
                <w:rFonts w:eastAsia="Times New Roman"/>
                <w:b/>
                <w:bCs/>
                <w:color w:val="000000"/>
              </w:rPr>
            </w:pPr>
            <w:r>
              <w:rPr>
                <w:rFonts w:eastAsia="Times New Roman"/>
                <w:b/>
                <w:bCs/>
                <w:color w:val="000000"/>
              </w:rPr>
              <w:t xml:space="preserve">PDSA </w:t>
            </w:r>
          </w:p>
        </w:tc>
        <w:tc>
          <w:tcPr>
            <w:tcW w:w="7845" w:type="dxa"/>
            <w:vMerge w:val="restart"/>
            <w:tcBorders/>
            <w:tcMar>
              <w:top w:w="100" w:type="dxa"/>
              <w:left w:w="100" w:type="dxa"/>
              <w:bottom w:w="100" w:type="dxa"/>
              <w:right w:w="100" w:type="dxa"/>
            </w:tcMar>
          </w:tcPr>
          <w:p>
            <w:pPr>
              <w:pStyle w:val="style0"/>
              <w:spacing w:lineRule="auto" w:line="360"/>
              <w:jc w:val="center"/>
              <w:rPr>
                <w:rFonts w:eastAsia="Times New Roman"/>
                <w:b/>
                <w:bCs/>
                <w:color w:val="000000"/>
              </w:rPr>
            </w:pPr>
            <w:r>
              <w:rPr>
                <w:rFonts w:eastAsia="Times New Roman"/>
                <w:b/>
                <w:bCs/>
                <w:color w:val="000000"/>
              </w:rPr>
              <w:t>Recommendation 1</w:t>
            </w:r>
          </w:p>
          <w:p>
            <w:pPr>
              <w:pStyle w:val="style0"/>
              <w:spacing w:lineRule="auto" w:line="360"/>
              <w:jc w:val="center"/>
              <w:rPr>
                <w:rFonts w:eastAsia="Times New Roman"/>
                <w:b/>
                <w:bCs/>
                <w:color w:val="000000"/>
              </w:rPr>
            </w:pPr>
            <w:r>
              <w:rPr>
                <w:rFonts w:eastAsia="Times New Roman"/>
                <w:b/>
                <w:bCs/>
                <w:color w:val="000000"/>
              </w:rPr>
              <w:t>Workforce improvement</w:t>
            </w:r>
          </w:p>
        </w:tc>
      </w:tr>
      <w:tr>
        <w:tblPrEx/>
        <w:trPr>
          <w:trHeight w:val="379" w:hRule="atLeast"/>
        </w:trPr>
        <w:tc>
          <w:tcPr>
            <w:tcW w:w="1515" w:type="dxa"/>
            <w:vMerge w:val="continue"/>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rPr>
                <w:rFonts w:eastAsia="Times New Roman"/>
                <w:color w:val="000000"/>
              </w:rPr>
            </w:pPr>
          </w:p>
        </w:tc>
        <w:tc>
          <w:tcPr>
            <w:tcW w:w="7845" w:type="dxa"/>
            <w:vMerge w:val="continue"/>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rPr>
                <w:rFonts w:eastAsia="Times New Roman"/>
                <w:color w:val="000000"/>
              </w:rPr>
            </w:pPr>
          </w:p>
        </w:tc>
      </w:tr>
      <w:tr>
        <w:tblPrEx/>
        <w:trPr/>
        <w:tc>
          <w:tcPr>
            <w:tcW w:w="1515" w:type="dxa"/>
            <w:tcBorders/>
            <w:tcMar>
              <w:top w:w="100" w:type="dxa"/>
              <w:left w:w="100" w:type="dxa"/>
              <w:bottom w:w="100" w:type="dxa"/>
              <w:right w:w="100" w:type="dxa"/>
            </w:tcMar>
          </w:tcPr>
          <w:p>
            <w:pPr>
              <w:pStyle w:val="style0"/>
              <w:widowControl w:val="false"/>
              <w:spacing w:lineRule="auto" w:line="360"/>
              <w:jc w:val="center"/>
              <w:rPr>
                <w:rFonts w:eastAsia="Times New Roman"/>
                <w:b/>
                <w:bCs/>
                <w:i/>
                <w:iCs/>
                <w:color w:val="000000"/>
              </w:rPr>
            </w:pPr>
            <w:r>
              <w:rPr>
                <w:rFonts w:eastAsia="Times New Roman"/>
                <w:b/>
                <w:bCs/>
                <w:i/>
                <w:iCs/>
                <w:color w:val="000000"/>
              </w:rPr>
              <w:t xml:space="preserve">Plan </w:t>
            </w:r>
          </w:p>
        </w:tc>
        <w:tc>
          <w:tcPr>
            <w:tcW w:w="7845" w:type="dxa"/>
            <w:tcBorders/>
            <w:tcMar>
              <w:top w:w="100" w:type="dxa"/>
              <w:left w:w="100" w:type="dxa"/>
              <w:bottom w:w="100" w:type="dxa"/>
              <w:right w:w="100" w:type="dxa"/>
            </w:tcMar>
          </w:tcPr>
          <w:p>
            <w:pPr>
              <w:pStyle w:val="style0"/>
              <w:widowControl w:val="false"/>
              <w:numPr>
                <w:ilvl w:val="0"/>
                <w:numId w:val="1"/>
              </w:numPr>
              <w:spacing w:lineRule="auto" w:line="360"/>
              <w:jc w:val="both"/>
              <w:rPr>
                <w:rFonts w:eastAsia="Times New Roman"/>
                <w:color w:val="000000"/>
              </w:rPr>
            </w:pPr>
            <w:r>
              <w:rPr>
                <w:rFonts w:eastAsia="Times New Roman"/>
                <w:color w:val="000000"/>
              </w:rPr>
              <w:t xml:space="preserve">Address staffing gaps in neonatal units through workforce audit and rotational analysis. </w:t>
            </w:r>
          </w:p>
          <w:p>
            <w:pPr>
              <w:pStyle w:val="style0"/>
              <w:widowControl w:val="false"/>
              <w:numPr>
                <w:ilvl w:val="0"/>
                <w:numId w:val="1"/>
              </w:numPr>
              <w:spacing w:lineRule="auto" w:line="360"/>
              <w:jc w:val="both"/>
              <w:rPr>
                <w:rFonts w:eastAsia="Times New Roman"/>
                <w:color w:val="000000"/>
              </w:rPr>
            </w:pPr>
            <w:r>
              <w:rPr>
                <w:rFonts w:eastAsia="Times New Roman"/>
                <w:color w:val="000000"/>
              </w:rPr>
              <w:t xml:space="preserve">Establish structured recruitment and selection strategies such as training programmes and incentives (Rosales, León and León-Fuentes, 2023). </w:t>
            </w:r>
          </w:p>
        </w:tc>
      </w:tr>
      <w:tr>
        <w:tblPrEx/>
        <w:trPr/>
        <w:tc>
          <w:tcPr>
            <w:tcW w:w="1515" w:type="dxa"/>
            <w:tcBorders/>
            <w:tcMar>
              <w:top w:w="100" w:type="dxa"/>
              <w:left w:w="100" w:type="dxa"/>
              <w:bottom w:w="100" w:type="dxa"/>
              <w:right w:w="100" w:type="dxa"/>
            </w:tcMar>
          </w:tcPr>
          <w:p>
            <w:pPr>
              <w:pStyle w:val="style0"/>
              <w:widowControl w:val="false"/>
              <w:spacing w:lineRule="auto" w:line="360"/>
              <w:jc w:val="center"/>
              <w:rPr>
                <w:rFonts w:eastAsia="Times New Roman"/>
                <w:b/>
                <w:bCs/>
                <w:i/>
                <w:iCs/>
                <w:color w:val="000000"/>
              </w:rPr>
            </w:pPr>
            <w:r>
              <w:rPr>
                <w:rFonts w:eastAsia="Times New Roman"/>
                <w:b/>
                <w:bCs/>
                <w:i/>
                <w:iCs/>
                <w:color w:val="000000"/>
              </w:rPr>
              <w:t>Do</w:t>
            </w:r>
          </w:p>
        </w:tc>
        <w:tc>
          <w:tcPr>
            <w:tcW w:w="7845" w:type="dxa"/>
            <w:tcBorders/>
            <w:tcMar>
              <w:top w:w="100" w:type="dxa"/>
              <w:left w:w="100" w:type="dxa"/>
              <w:bottom w:w="100" w:type="dxa"/>
              <w:right w:w="100" w:type="dxa"/>
            </w:tcMar>
          </w:tcPr>
          <w:p>
            <w:pPr>
              <w:pStyle w:val="style0"/>
              <w:widowControl w:val="false"/>
              <w:numPr>
                <w:ilvl w:val="0"/>
                <w:numId w:val="8"/>
              </w:numPr>
              <w:spacing w:lineRule="auto" w:line="360"/>
              <w:jc w:val="both"/>
              <w:rPr>
                <w:rFonts w:eastAsia="Times New Roman"/>
                <w:color w:val="000000"/>
              </w:rPr>
            </w:pPr>
            <w:r>
              <w:rPr>
                <w:rFonts w:eastAsia="Times New Roman"/>
                <w:color w:val="000000"/>
              </w:rPr>
              <w:t xml:space="preserve">Recruit skilled and qualified neonatal nurses and provide them training for upskilling and reskilling (Li, 2024). </w:t>
            </w:r>
          </w:p>
          <w:p>
            <w:pPr>
              <w:pStyle w:val="style0"/>
              <w:widowControl w:val="false"/>
              <w:numPr>
                <w:ilvl w:val="0"/>
                <w:numId w:val="8"/>
              </w:numPr>
              <w:spacing w:lineRule="auto" w:line="360"/>
              <w:jc w:val="both"/>
              <w:rPr>
                <w:rFonts w:eastAsia="Times New Roman"/>
                <w:color w:val="000000"/>
              </w:rPr>
            </w:pPr>
            <w:r>
              <w:rPr>
                <w:rFonts w:eastAsia="Times New Roman"/>
                <w:color w:val="000000"/>
              </w:rPr>
              <w:t xml:space="preserve">Implementing regular staff training initiatives.  </w:t>
            </w:r>
          </w:p>
        </w:tc>
      </w:tr>
      <w:tr>
        <w:tblPrEx/>
        <w:trPr/>
        <w:tc>
          <w:tcPr>
            <w:tcW w:w="1515" w:type="dxa"/>
            <w:tcBorders/>
            <w:tcMar>
              <w:top w:w="100" w:type="dxa"/>
              <w:left w:w="100" w:type="dxa"/>
              <w:bottom w:w="100" w:type="dxa"/>
              <w:right w:w="100" w:type="dxa"/>
            </w:tcMar>
          </w:tcPr>
          <w:p>
            <w:pPr>
              <w:pStyle w:val="style0"/>
              <w:widowControl w:val="false"/>
              <w:spacing w:lineRule="auto" w:line="360"/>
              <w:jc w:val="center"/>
              <w:rPr>
                <w:rFonts w:eastAsia="Times New Roman"/>
                <w:b/>
                <w:bCs/>
                <w:i/>
                <w:iCs/>
                <w:color w:val="000000"/>
              </w:rPr>
            </w:pPr>
            <w:r>
              <w:rPr>
                <w:rFonts w:eastAsia="Times New Roman"/>
                <w:b/>
                <w:bCs/>
                <w:i/>
                <w:iCs/>
                <w:color w:val="000000"/>
              </w:rPr>
              <w:t xml:space="preserve">Study </w:t>
            </w:r>
          </w:p>
        </w:tc>
        <w:tc>
          <w:tcPr>
            <w:tcW w:w="7845" w:type="dxa"/>
            <w:tcBorders/>
            <w:tcMar>
              <w:top w:w="100" w:type="dxa"/>
              <w:left w:w="100" w:type="dxa"/>
              <w:bottom w:w="100" w:type="dxa"/>
              <w:right w:w="100" w:type="dxa"/>
            </w:tcMar>
          </w:tcPr>
          <w:p>
            <w:pPr>
              <w:pStyle w:val="style0"/>
              <w:widowControl w:val="false"/>
              <w:numPr>
                <w:ilvl w:val="0"/>
                <w:numId w:val="7"/>
              </w:numPr>
              <w:spacing w:lineRule="auto" w:line="360"/>
              <w:jc w:val="both"/>
              <w:rPr>
                <w:rFonts w:eastAsia="Times New Roman"/>
                <w:color w:val="000000"/>
              </w:rPr>
            </w:pPr>
            <w:r>
              <w:rPr>
                <w:rFonts w:eastAsia="Times New Roman"/>
                <w:color w:val="000000"/>
              </w:rPr>
              <w:t xml:space="preserve">Leverage patient safety KPIs, such as neonatal mortality rates to monitor the progress. </w:t>
            </w:r>
          </w:p>
          <w:p>
            <w:pPr>
              <w:pStyle w:val="style0"/>
              <w:widowControl w:val="false"/>
              <w:numPr>
                <w:ilvl w:val="0"/>
                <w:numId w:val="7"/>
              </w:numPr>
              <w:spacing w:lineRule="auto" w:line="360"/>
              <w:jc w:val="both"/>
              <w:rPr>
                <w:rFonts w:eastAsia="Times New Roman"/>
                <w:color w:val="000000"/>
              </w:rPr>
            </w:pPr>
            <w:r>
              <w:rPr>
                <w:rFonts w:eastAsia="Times New Roman"/>
                <w:color w:val="000000"/>
              </w:rPr>
              <w:t>Assess staff performance and retention rates through surveys (</w:t>
            </w:r>
            <w:r>
              <w:rPr>
                <w:rFonts w:eastAsia="Times New Roman"/>
                <w:color w:val="000000"/>
              </w:rPr>
              <w:t>Zhenjing</w:t>
            </w:r>
            <w:r>
              <w:rPr>
                <w:rFonts w:eastAsia="Times New Roman"/>
                <w:color w:val="000000"/>
              </w:rPr>
              <w:t xml:space="preserve"> et al., 2022). </w:t>
            </w:r>
          </w:p>
        </w:tc>
      </w:tr>
      <w:tr>
        <w:tblPrEx/>
        <w:trPr/>
        <w:tc>
          <w:tcPr>
            <w:tcW w:w="1515" w:type="dxa"/>
            <w:tcBorders/>
            <w:tcMar>
              <w:top w:w="100" w:type="dxa"/>
              <w:left w:w="100" w:type="dxa"/>
              <w:bottom w:w="100" w:type="dxa"/>
              <w:right w:w="100" w:type="dxa"/>
            </w:tcMar>
          </w:tcPr>
          <w:p>
            <w:pPr>
              <w:pStyle w:val="style0"/>
              <w:widowControl w:val="false"/>
              <w:spacing w:lineRule="auto" w:line="360"/>
              <w:jc w:val="center"/>
              <w:rPr>
                <w:rFonts w:eastAsia="Times New Roman"/>
                <w:b/>
                <w:bCs/>
                <w:i/>
                <w:iCs/>
                <w:color w:val="000000"/>
              </w:rPr>
            </w:pPr>
            <w:r>
              <w:rPr>
                <w:rFonts w:eastAsia="Times New Roman"/>
                <w:b/>
                <w:bCs/>
                <w:i/>
                <w:iCs/>
                <w:color w:val="000000"/>
              </w:rPr>
              <w:t>Act</w:t>
            </w:r>
          </w:p>
        </w:tc>
        <w:tc>
          <w:tcPr>
            <w:tcW w:w="7845" w:type="dxa"/>
            <w:tcBorders/>
            <w:tcMar>
              <w:top w:w="100" w:type="dxa"/>
              <w:left w:w="100" w:type="dxa"/>
              <w:bottom w:w="100" w:type="dxa"/>
              <w:right w:w="100" w:type="dxa"/>
            </w:tcMar>
          </w:tcPr>
          <w:p>
            <w:pPr>
              <w:pStyle w:val="style0"/>
              <w:widowControl w:val="false"/>
              <w:numPr>
                <w:ilvl w:val="0"/>
                <w:numId w:val="2"/>
              </w:numPr>
              <w:spacing w:lineRule="auto" w:line="360"/>
              <w:jc w:val="both"/>
              <w:rPr>
                <w:rFonts w:eastAsia="Times New Roman"/>
                <w:color w:val="000000"/>
              </w:rPr>
            </w:pPr>
            <w:r>
              <w:rPr>
                <w:rFonts w:eastAsia="Times New Roman"/>
                <w:color w:val="000000"/>
              </w:rPr>
              <w:t xml:space="preserve">Adjust the implementation of staffing models based on performance data and feedback. </w:t>
            </w:r>
          </w:p>
          <w:p>
            <w:pPr>
              <w:pStyle w:val="style0"/>
              <w:widowControl w:val="false"/>
              <w:numPr>
                <w:ilvl w:val="0"/>
                <w:numId w:val="2"/>
              </w:numPr>
              <w:spacing w:lineRule="auto" w:line="360"/>
              <w:jc w:val="both"/>
              <w:rPr>
                <w:rFonts w:eastAsia="Times New Roman"/>
                <w:color w:val="000000"/>
              </w:rPr>
            </w:pPr>
            <w:r>
              <w:rPr>
                <w:rFonts w:eastAsia="Times New Roman"/>
                <w:color w:val="000000"/>
              </w:rPr>
              <w:t xml:space="preserve">Deploy continuous monitoring systems, such as Centralized &amp; AI-Based Monitoring System for sustained workforce improvement (Cunha, Dinis-Carvalho and Sousa, 2023).   </w:t>
            </w:r>
          </w:p>
        </w:tc>
      </w:tr>
    </w:tbl>
    <w:p>
      <w:pPr>
        <w:pStyle w:val="style0"/>
        <w:spacing w:lineRule="auto" w:line="360"/>
        <w:jc w:val="center"/>
        <w:rPr>
          <w:rFonts w:eastAsia="Times New Roman"/>
          <w:color w:val="000000"/>
        </w:rPr>
      </w:pPr>
      <w:r>
        <w:rPr>
          <w:rFonts w:eastAsia="Times New Roman"/>
          <w:color w:val="000000"/>
        </w:rPr>
        <w:t xml:space="preserve">Table 1: Recommendation 1 for CoC </w:t>
      </w:r>
    </w:p>
    <w:p>
      <w:pPr>
        <w:pStyle w:val="style0"/>
        <w:spacing w:lineRule="auto" w:line="360"/>
        <w:jc w:val="center"/>
        <w:rPr>
          <w:rFonts w:eastAsia="Times New Roman"/>
          <w:color w:val="000000"/>
        </w:rPr>
      </w:pPr>
      <w:r>
        <w:rPr>
          <w:rFonts w:eastAsia="Times New Roman"/>
          <w:color w:val="000000"/>
        </w:rPr>
        <w:t>(Source: Self-created)</w:t>
      </w:r>
    </w:p>
    <w:bookmarkStart w:id="12" w:name="_Toc227256663"/>
    <w:p>
      <w:pPr>
        <w:pStyle w:val="style2"/>
        <w:rPr>
          <w:szCs w:val="22"/>
        </w:rPr>
      </w:pPr>
      <w:r>
        <w:rPr>
          <w:szCs w:val="22"/>
        </w:rPr>
        <w:t>Recommendation 2</w:t>
      </w:r>
      <w:bookmarkEnd w:id="12"/>
    </w:p>
    <w:p>
      <w:pPr>
        <w:pStyle w:val="style0"/>
        <w:spacing w:lineRule="auto" w:line="360"/>
        <w:jc w:val="both"/>
        <w:rPr>
          <w:rFonts w:eastAsia="Times New Roman"/>
          <w:color w:val="000000"/>
        </w:rPr>
      </w:pPr>
      <w:r>
        <w:rPr>
          <w:rFonts w:eastAsia="Times New Roman"/>
          <w:color w:val="000000"/>
        </w:rPr>
        <w:t xml:space="preserve">Developing an open and accountable organisational culture through Just Culture and DIE framework. </w:t>
      </w:r>
    </w:p>
    <w:p>
      <w:pPr>
        <w:pStyle w:val="style0"/>
        <w:spacing w:lineRule="auto" w:line="360"/>
        <w:jc w:val="both"/>
        <w:rPr>
          <w:rFonts w:eastAsia="Times New Roman"/>
          <w:color w:val="000000"/>
        </w:rPr>
      </w:pPr>
      <w:r>
        <w:rPr>
          <w:rFonts w:eastAsia="Times New Roman"/>
          <w:color w:val="000000"/>
        </w:rPr>
        <w:t xml:space="preserve">This recommendation can also be implemented through the PDSA tool. </w:t>
      </w:r>
    </w:p>
    <w:tbl>
      <w:tblPr>
        <w:tblStyle w:val="style4100"/>
        <w:tblW w:w="92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85"/>
        <w:gridCol w:w="7800"/>
      </w:tblGrid>
      <w:tr>
        <w:trPr>
          <w:trHeight w:val="440" w:hRule="atLeast"/>
        </w:trPr>
        <w:tc>
          <w:tcPr>
            <w:tcW w:w="1485" w:type="dxa"/>
            <w:vMerge w:val="restart"/>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rPr>
                <w:rFonts w:eastAsia="Times New Roman"/>
                <w:b/>
                <w:bCs/>
                <w:color w:val="000000"/>
              </w:rPr>
            </w:pPr>
            <w:r>
              <w:rPr>
                <w:rFonts w:eastAsia="Times New Roman"/>
                <w:b/>
                <w:bCs/>
                <w:color w:val="000000"/>
              </w:rPr>
              <w:t xml:space="preserve">PDSA </w:t>
            </w:r>
          </w:p>
        </w:tc>
        <w:tc>
          <w:tcPr>
            <w:tcW w:w="7800" w:type="dxa"/>
            <w:vMerge w:val="restart"/>
            <w:tcBorders/>
            <w:tcMar>
              <w:top w:w="100" w:type="dxa"/>
              <w:left w:w="100" w:type="dxa"/>
              <w:bottom w:w="100" w:type="dxa"/>
              <w:right w:w="100" w:type="dxa"/>
            </w:tcMar>
          </w:tcPr>
          <w:p>
            <w:pPr>
              <w:pStyle w:val="style0"/>
              <w:spacing w:lineRule="auto" w:line="360"/>
              <w:jc w:val="center"/>
              <w:rPr>
                <w:rFonts w:eastAsia="Times New Roman"/>
                <w:b/>
                <w:bCs/>
                <w:color w:val="000000"/>
              </w:rPr>
            </w:pPr>
            <w:r>
              <w:rPr>
                <w:rFonts w:eastAsia="Times New Roman"/>
                <w:b/>
                <w:bCs/>
                <w:color w:val="000000"/>
              </w:rPr>
              <w:t>Recommendation 2</w:t>
            </w:r>
          </w:p>
          <w:p>
            <w:pPr>
              <w:pStyle w:val="style0"/>
              <w:spacing w:lineRule="auto" w:line="360"/>
              <w:jc w:val="center"/>
              <w:rPr>
                <w:rFonts w:eastAsia="Times New Roman"/>
                <w:b/>
                <w:bCs/>
                <w:color w:val="000000"/>
              </w:rPr>
            </w:pPr>
            <w:r>
              <w:rPr>
                <w:rFonts w:eastAsia="Times New Roman"/>
                <w:b/>
                <w:bCs/>
                <w:color w:val="000000"/>
              </w:rPr>
              <w:t>Culture change</w:t>
            </w:r>
          </w:p>
        </w:tc>
      </w:tr>
      <w:tr>
        <w:tblPrEx/>
        <w:trPr>
          <w:trHeight w:val="527" w:hRule="atLeast"/>
        </w:trPr>
        <w:tc>
          <w:tcPr>
            <w:tcW w:w="1485" w:type="dxa"/>
            <w:vMerge w:val="continue"/>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rPr>
                <w:rFonts w:eastAsia="Times New Roman"/>
                <w:color w:val="000000"/>
              </w:rPr>
            </w:pPr>
          </w:p>
        </w:tc>
        <w:tc>
          <w:tcPr>
            <w:tcW w:w="7800" w:type="dxa"/>
            <w:vMerge w:val="continue"/>
            <w:tcBorders/>
            <w:tcMar>
              <w:top w:w="100" w:type="dxa"/>
              <w:left w:w="100" w:type="dxa"/>
              <w:bottom w:w="100" w:type="dxa"/>
              <w:right w:w="100" w:type="dxa"/>
            </w:tcMar>
          </w:tcPr>
          <w:p>
            <w:pPr>
              <w:pStyle w:val="style0"/>
              <w:spacing w:lineRule="auto" w:line="360"/>
              <w:jc w:val="center"/>
              <w:rPr>
                <w:rFonts w:eastAsia="Times New Roman"/>
                <w:b/>
                <w:bCs/>
                <w:color w:val="000000"/>
              </w:rPr>
            </w:pPr>
          </w:p>
        </w:tc>
      </w:tr>
      <w:tr>
        <w:tblPrEx/>
        <w:trPr/>
        <w:tc>
          <w:tcPr>
            <w:tcW w:w="148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i/>
                <w:iCs/>
                <w:color w:val="000000"/>
              </w:rPr>
            </w:pPr>
            <w:r>
              <w:rPr>
                <w:rFonts w:eastAsia="Times New Roman"/>
                <w:b/>
                <w:bCs/>
                <w:i/>
                <w:iCs/>
                <w:color w:val="000000"/>
              </w:rPr>
              <w:t xml:space="preserve">Plan </w:t>
            </w:r>
          </w:p>
        </w:tc>
        <w:tc>
          <w:tcPr>
            <w:tcW w:w="7800" w:type="dxa"/>
            <w:tcBorders/>
            <w:tcMar>
              <w:top w:w="100" w:type="dxa"/>
              <w:left w:w="100" w:type="dxa"/>
              <w:bottom w:w="100" w:type="dxa"/>
              <w:right w:w="100" w:type="dxa"/>
            </w:tcMar>
          </w:tcPr>
          <w:p>
            <w:pPr>
              <w:pStyle w:val="style0"/>
              <w:widowControl w:val="false"/>
              <w:numPr>
                <w:ilvl w:val="0"/>
                <w:numId w:val="4"/>
              </w:numPr>
              <w:pBdr>
                <w:left w:val="nil"/>
                <w:right w:val="nil"/>
                <w:top w:val="nil"/>
                <w:bottom w:val="nil"/>
                <w:between w:val="nil"/>
              </w:pBdr>
              <w:spacing w:lineRule="auto" w:line="360"/>
              <w:jc w:val="both"/>
              <w:rPr>
                <w:rFonts w:eastAsia="Times New Roman"/>
                <w:color w:val="000000"/>
              </w:rPr>
            </w:pPr>
            <w:r>
              <w:rPr>
                <w:rFonts w:eastAsia="Times New Roman"/>
                <w:color w:val="000000"/>
              </w:rPr>
              <w:t xml:space="preserve">Recognise cultural issues, such as communication barriers and fear of speaking up. </w:t>
            </w:r>
          </w:p>
          <w:p>
            <w:pPr>
              <w:pStyle w:val="style0"/>
              <w:widowControl w:val="false"/>
              <w:numPr>
                <w:ilvl w:val="0"/>
                <w:numId w:val="4"/>
              </w:numPr>
              <w:pBdr>
                <w:left w:val="nil"/>
                <w:right w:val="nil"/>
                <w:top w:val="nil"/>
                <w:bottom w:val="nil"/>
                <w:between w:val="nil"/>
              </w:pBdr>
              <w:spacing w:lineRule="auto" w:line="360"/>
              <w:jc w:val="both"/>
              <w:rPr>
                <w:rFonts w:eastAsia="Times New Roman"/>
                <w:color w:val="000000"/>
              </w:rPr>
            </w:pPr>
            <w:r>
              <w:rPr>
                <w:rFonts w:eastAsia="Times New Roman"/>
                <w:color w:val="000000"/>
              </w:rPr>
              <w:t>Establish a “just culture” framework to promote accountability and openness (</w:t>
            </w:r>
            <w:r>
              <w:rPr>
                <w:rFonts w:eastAsia="Times New Roman"/>
                <w:color w:val="000000"/>
              </w:rPr>
              <w:t>Glarcher</w:t>
            </w:r>
            <w:r>
              <w:rPr>
                <w:rFonts w:eastAsia="Times New Roman"/>
                <w:color w:val="000000"/>
              </w:rPr>
              <w:t xml:space="preserve"> and Vaismoradi, 2025). </w:t>
            </w:r>
          </w:p>
        </w:tc>
      </w:tr>
      <w:tr>
        <w:tblPrEx/>
        <w:trPr/>
        <w:tc>
          <w:tcPr>
            <w:tcW w:w="148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i/>
                <w:iCs/>
                <w:color w:val="000000"/>
              </w:rPr>
            </w:pPr>
            <w:r>
              <w:rPr>
                <w:rFonts w:eastAsia="Times New Roman"/>
                <w:b/>
                <w:bCs/>
                <w:i/>
                <w:iCs/>
                <w:color w:val="000000"/>
              </w:rPr>
              <w:t>Do</w:t>
            </w:r>
          </w:p>
        </w:tc>
        <w:tc>
          <w:tcPr>
            <w:tcW w:w="7800" w:type="dxa"/>
            <w:tcBorders/>
            <w:tcMar>
              <w:top w:w="100" w:type="dxa"/>
              <w:left w:w="100" w:type="dxa"/>
              <w:bottom w:w="100" w:type="dxa"/>
              <w:right w:w="100" w:type="dxa"/>
            </w:tcMar>
          </w:tcPr>
          <w:p>
            <w:pPr>
              <w:pStyle w:val="style0"/>
              <w:widowControl w:val="false"/>
              <w:numPr>
                <w:ilvl w:val="0"/>
                <w:numId w:val="6"/>
              </w:numPr>
              <w:pBdr>
                <w:left w:val="nil"/>
                <w:right w:val="nil"/>
                <w:top w:val="nil"/>
                <w:bottom w:val="nil"/>
                <w:between w:val="nil"/>
              </w:pBdr>
              <w:spacing w:lineRule="auto" w:line="360"/>
              <w:jc w:val="both"/>
              <w:rPr>
                <w:rFonts w:eastAsia="Times New Roman"/>
                <w:color w:val="000000"/>
              </w:rPr>
            </w:pPr>
            <w:r>
              <w:rPr>
                <w:rFonts w:eastAsia="Times New Roman"/>
                <w:color w:val="000000"/>
              </w:rPr>
              <w:t xml:space="preserve">Implementing a staff feedback system to understand their cultural perspectives. </w:t>
            </w:r>
          </w:p>
          <w:p>
            <w:pPr>
              <w:pStyle w:val="style0"/>
              <w:widowControl w:val="false"/>
              <w:numPr>
                <w:ilvl w:val="0"/>
                <w:numId w:val="6"/>
              </w:numPr>
              <w:pBdr>
                <w:left w:val="nil"/>
                <w:right w:val="nil"/>
                <w:top w:val="nil"/>
                <w:bottom w:val="nil"/>
                <w:between w:val="nil"/>
              </w:pBdr>
              <w:spacing w:lineRule="auto" w:line="360"/>
              <w:jc w:val="both"/>
              <w:rPr>
                <w:rFonts w:eastAsia="Times New Roman"/>
                <w:color w:val="000000"/>
              </w:rPr>
            </w:pPr>
            <w:r>
              <w:rPr>
                <w:rFonts w:eastAsia="Times New Roman"/>
                <w:color w:val="000000"/>
              </w:rPr>
              <w:t xml:space="preserve">Encouraging multidisciplinary team meetings to empower collaboration (LaFrance et al., 2019). </w:t>
            </w:r>
          </w:p>
        </w:tc>
      </w:tr>
      <w:tr>
        <w:tblPrEx/>
        <w:trPr/>
        <w:tc>
          <w:tcPr>
            <w:tcW w:w="148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i/>
                <w:iCs/>
                <w:color w:val="000000"/>
              </w:rPr>
            </w:pPr>
            <w:r>
              <w:rPr>
                <w:rFonts w:eastAsia="Times New Roman"/>
                <w:b/>
                <w:bCs/>
                <w:i/>
                <w:iCs/>
                <w:color w:val="000000"/>
              </w:rPr>
              <w:t xml:space="preserve">Study </w:t>
            </w:r>
          </w:p>
        </w:tc>
        <w:tc>
          <w:tcPr>
            <w:tcW w:w="7800" w:type="dxa"/>
            <w:tcBorders/>
            <w:tcMar>
              <w:top w:w="100" w:type="dxa"/>
              <w:left w:w="100" w:type="dxa"/>
              <w:bottom w:w="100" w:type="dxa"/>
              <w:right w:w="100" w:type="dxa"/>
            </w:tcMar>
          </w:tcPr>
          <w:p>
            <w:pPr>
              <w:pStyle w:val="style0"/>
              <w:widowControl w:val="false"/>
              <w:numPr>
                <w:ilvl w:val="0"/>
                <w:numId w:val="3"/>
              </w:numPr>
              <w:pBdr>
                <w:left w:val="nil"/>
                <w:right w:val="nil"/>
                <w:top w:val="nil"/>
                <w:bottom w:val="nil"/>
                <w:between w:val="nil"/>
              </w:pBdr>
              <w:spacing w:lineRule="auto" w:line="360"/>
              <w:jc w:val="both"/>
              <w:rPr>
                <w:rFonts w:eastAsia="Times New Roman"/>
                <w:color w:val="000000"/>
              </w:rPr>
            </w:pPr>
            <w:r>
              <w:rPr>
                <w:rFonts w:eastAsia="Times New Roman"/>
                <w:color w:val="000000"/>
              </w:rPr>
              <w:t>Evaluate changes in staff engagement.</w:t>
            </w:r>
          </w:p>
          <w:p>
            <w:pPr>
              <w:pStyle w:val="style0"/>
              <w:widowControl w:val="false"/>
              <w:numPr>
                <w:ilvl w:val="0"/>
                <w:numId w:val="3"/>
              </w:numPr>
              <w:pBdr>
                <w:left w:val="nil"/>
                <w:right w:val="nil"/>
                <w:top w:val="nil"/>
                <w:bottom w:val="nil"/>
                <w:between w:val="nil"/>
              </w:pBdr>
              <w:spacing w:lineRule="auto" w:line="360"/>
              <w:jc w:val="both"/>
              <w:rPr>
                <w:rFonts w:eastAsia="Times New Roman"/>
                <w:color w:val="000000"/>
              </w:rPr>
            </w:pPr>
            <w:r>
              <w:rPr>
                <w:rFonts w:eastAsia="Times New Roman"/>
                <w:color w:val="000000"/>
              </w:rPr>
              <w:t xml:space="preserve">Evaluate leadership effectiveness through staff feedback (Crans et al., 2022).   </w:t>
            </w:r>
          </w:p>
        </w:tc>
      </w:tr>
      <w:tr>
        <w:tblPrEx/>
        <w:trPr/>
        <w:tc>
          <w:tcPr>
            <w:tcW w:w="1485" w:type="dxa"/>
            <w:tcBorders/>
            <w:tcMar>
              <w:top w:w="100" w:type="dxa"/>
              <w:left w:w="100" w:type="dxa"/>
              <w:bottom w:w="100" w:type="dxa"/>
              <w:right w:w="100" w:type="dxa"/>
            </w:tcMar>
          </w:tcPr>
          <w:p>
            <w:pPr>
              <w:pStyle w:val="style0"/>
              <w:widowControl w:val="false"/>
              <w:pBdr>
                <w:left w:val="nil"/>
                <w:right w:val="nil"/>
                <w:top w:val="nil"/>
                <w:bottom w:val="nil"/>
                <w:between w:val="nil"/>
              </w:pBdr>
              <w:spacing w:lineRule="auto" w:line="360"/>
              <w:jc w:val="center"/>
              <w:rPr>
                <w:rFonts w:eastAsia="Times New Roman"/>
                <w:b/>
                <w:bCs/>
                <w:i/>
                <w:iCs/>
                <w:color w:val="000000"/>
              </w:rPr>
            </w:pPr>
            <w:r>
              <w:rPr>
                <w:rFonts w:eastAsia="Times New Roman"/>
                <w:b/>
                <w:bCs/>
                <w:i/>
                <w:iCs/>
                <w:color w:val="000000"/>
              </w:rPr>
              <w:t>Act</w:t>
            </w:r>
          </w:p>
        </w:tc>
        <w:tc>
          <w:tcPr>
            <w:tcW w:w="7800" w:type="dxa"/>
            <w:tcBorders/>
            <w:tcMar>
              <w:top w:w="100" w:type="dxa"/>
              <w:left w:w="100" w:type="dxa"/>
              <w:bottom w:w="100" w:type="dxa"/>
              <w:right w:w="100" w:type="dxa"/>
            </w:tcMar>
          </w:tcPr>
          <w:p>
            <w:pPr>
              <w:pStyle w:val="style0"/>
              <w:widowControl w:val="false"/>
              <w:numPr>
                <w:ilvl w:val="0"/>
                <w:numId w:val="5"/>
              </w:numPr>
              <w:pBdr>
                <w:left w:val="nil"/>
                <w:right w:val="nil"/>
                <w:top w:val="nil"/>
                <w:bottom w:val="nil"/>
                <w:between w:val="nil"/>
              </w:pBdr>
              <w:spacing w:lineRule="auto" w:line="360"/>
              <w:jc w:val="both"/>
              <w:rPr>
                <w:rFonts w:eastAsia="Times New Roman"/>
                <w:color w:val="000000"/>
              </w:rPr>
            </w:pPr>
            <w:r>
              <w:rPr>
                <w:rFonts w:eastAsia="Times New Roman"/>
                <w:color w:val="000000"/>
              </w:rPr>
              <w:t xml:space="preserve">Introducing a reward system to increase staff engagement and motivation. </w:t>
            </w:r>
          </w:p>
          <w:p>
            <w:pPr>
              <w:pStyle w:val="style0"/>
              <w:widowControl w:val="false"/>
              <w:numPr>
                <w:ilvl w:val="0"/>
                <w:numId w:val="5"/>
              </w:numPr>
              <w:pBdr>
                <w:left w:val="nil"/>
                <w:right w:val="nil"/>
                <w:top w:val="nil"/>
                <w:bottom w:val="nil"/>
                <w:between w:val="nil"/>
              </w:pBdr>
              <w:spacing w:lineRule="auto" w:line="360"/>
              <w:jc w:val="both"/>
              <w:rPr>
                <w:rFonts w:eastAsia="Times New Roman"/>
                <w:color w:val="000000"/>
              </w:rPr>
            </w:pPr>
            <w:r>
              <w:rPr>
                <w:rFonts w:eastAsia="Times New Roman"/>
                <w:color w:val="000000"/>
              </w:rPr>
              <w:t xml:space="preserve">Implement Diversity, Equity, and Inclusion (DEI) Theory to foster well-organised culture (Platania, Maggio and </w:t>
            </w:r>
            <w:r>
              <w:rPr>
                <w:rFonts w:eastAsia="Times New Roman"/>
                <w:color w:val="000000"/>
              </w:rPr>
              <w:t>Boccadamo</w:t>
            </w:r>
            <w:r>
              <w:rPr>
                <w:rFonts w:eastAsia="Times New Roman"/>
                <w:color w:val="000000"/>
              </w:rPr>
              <w:t xml:space="preserve">, 2025).   </w:t>
            </w:r>
          </w:p>
        </w:tc>
      </w:tr>
    </w:tbl>
    <w:p>
      <w:pPr>
        <w:pStyle w:val="style0"/>
        <w:spacing w:lineRule="auto" w:line="360"/>
        <w:jc w:val="center"/>
        <w:rPr>
          <w:rFonts w:eastAsia="Times New Roman"/>
          <w:color w:val="000000"/>
        </w:rPr>
      </w:pPr>
      <w:r>
        <w:rPr>
          <w:rFonts w:eastAsia="Times New Roman"/>
          <w:color w:val="000000"/>
        </w:rPr>
        <w:t xml:space="preserve">Table 2: Recommendation 2 for CoC </w:t>
      </w:r>
    </w:p>
    <w:p>
      <w:pPr>
        <w:pStyle w:val="style0"/>
        <w:spacing w:lineRule="auto" w:line="360"/>
        <w:jc w:val="center"/>
        <w:rPr>
          <w:rFonts w:eastAsia="Times New Roman"/>
          <w:color w:val="000000"/>
        </w:rPr>
      </w:pPr>
      <w:r>
        <w:rPr>
          <w:rFonts w:eastAsia="Times New Roman"/>
          <w:color w:val="000000"/>
        </w:rPr>
        <w:t>(Source: Self-created)</w:t>
      </w:r>
    </w:p>
    <w:p>
      <w:pPr>
        <w:pStyle w:val="style0"/>
        <w:spacing w:lineRule="auto" w:line="360"/>
        <w:jc w:val="both"/>
        <w:rPr>
          <w:rFonts w:eastAsia="Times New Roman"/>
          <w:color w:val="000000"/>
        </w:rPr>
      </w:pPr>
      <w:r>
        <w:rPr>
          <w:rFonts w:eastAsia="Times New Roman"/>
          <w:color w:val="000000"/>
        </w:rPr>
        <w:t xml:space="preserve">Considering the PDSA tool, the CoC hospital should focus on workforce improvement and cultural change. Planning to address gaps among staff within the neonatal units and providing them with training for upskilling and reskilling can help to provide better and engaged care to patients (Li, 2024). Similarly, implementing a just culture framework can also allow for the development of an accountable, transparent workplace, where staff can share their diverse perspectives, which can </w:t>
      </w:r>
      <w:r>
        <w:rPr>
          <w:rFonts w:eastAsia="Times New Roman"/>
          <w:color w:val="000000"/>
        </w:rPr>
        <w:t xml:space="preserve">ensure high-quality healthcare services and patient safety by reducing medical error. However, implementing the PDSA tool sometimes underestimates complex problems, thus the CoC hospital needs to critically address its improvement areas and then implement the recommendations.        </w:t>
      </w:r>
    </w:p>
    <w:bookmarkStart w:id="13" w:name="_Toc227256664"/>
    <w:p>
      <w:pPr>
        <w:pStyle w:val="style2"/>
        <w:rPr>
          <w:szCs w:val="22"/>
        </w:rPr>
      </w:pPr>
      <w:r>
        <w:rPr>
          <w:szCs w:val="22"/>
        </w:rPr>
        <w:t>Recommendation 3</w:t>
      </w:r>
      <w:bookmarkEnd w:id="13"/>
      <w:r>
        <w:rPr>
          <w:szCs w:val="22"/>
        </w:rPr>
        <w:t xml:space="preserve"> </w:t>
      </w:r>
    </w:p>
    <w:p>
      <w:pPr>
        <w:pStyle w:val="style0"/>
        <w:spacing w:lineRule="auto" w:line="360"/>
        <w:jc w:val="both"/>
        <w:rPr>
          <w:rFonts w:eastAsia="Times New Roman"/>
          <w:color w:val="000000"/>
        </w:rPr>
      </w:pPr>
      <w:r>
        <w:rPr>
          <w:rFonts w:eastAsia="Times New Roman"/>
          <w:color w:val="000000"/>
        </w:rPr>
        <w:t xml:space="preserve">Improving clinical governance and care quality through Six Sigma methodology. </w:t>
      </w:r>
    </w:p>
    <w:p>
      <w:pPr>
        <w:pStyle w:val="style0"/>
        <w:spacing w:lineRule="auto" w:line="360"/>
        <w:jc w:val="both"/>
        <w:rPr>
          <w:rFonts w:eastAsia="Times New Roman"/>
          <w:b/>
          <w:bCs/>
          <w:i/>
          <w:iCs/>
          <w:color w:val="000000"/>
        </w:rPr>
      </w:pPr>
      <w:r>
        <w:rPr>
          <w:rFonts w:eastAsia="Times New Roman"/>
          <w:b/>
          <w:bCs/>
          <w:i/>
          <w:iCs/>
          <w:color w:val="000000"/>
        </w:rPr>
        <w:t>Application of Six Sigma</w:t>
      </w:r>
    </w:p>
    <w:p>
      <w:pPr>
        <w:pStyle w:val="style0"/>
        <w:spacing w:lineRule="auto" w:line="360"/>
        <w:jc w:val="both"/>
        <w:rPr>
          <w:rFonts w:eastAsia="Times New Roman"/>
          <w:color w:val="000000"/>
        </w:rPr>
      </w:pPr>
      <w:r>
        <w:rPr>
          <w:rFonts w:eastAsia="Times New Roman"/>
          <w:color w:val="000000"/>
        </w:rPr>
        <w:t xml:space="preserve">To help the CoC hospital take necessary steps in preventing patient safety-related issues from further happening by improving quality management, the six sigma methodology is being applied in this section (Ilin and Bohlen, 2023). Primarily, there are two types of methods of Six Sigma, including DMAIC and DMADV, one of which is used to improve existing processes and the other one to design a new one (Ilin and Bohlen, 2023). In the case of CoC hospital, the DMAIC will be appropriate, judging by their quality improvement infrastructure and the strategic partnerships, which can help it to actively address the problem. </w:t>
      </w:r>
    </w:p>
    <w:p>
      <w:pPr>
        <w:pStyle w:val="style0"/>
        <w:spacing w:lineRule="auto" w:line="360"/>
        <w:jc w:val="both"/>
        <w:rPr>
          <w:rFonts w:eastAsia="Times New Roman"/>
          <w:b/>
          <w:bCs/>
          <w:color w:val="000000"/>
        </w:rPr>
      </w:pPr>
      <w:r>
        <w:rPr>
          <w:rFonts w:eastAsia="Times New Roman"/>
          <w:b/>
          <w:bCs/>
          <w:color w:val="000000"/>
        </w:rPr>
        <w:t xml:space="preserve">Define </w:t>
      </w:r>
    </w:p>
    <w:p>
      <w:pPr>
        <w:pStyle w:val="style0"/>
        <w:spacing w:lineRule="auto" w:line="360"/>
        <w:jc w:val="both"/>
        <w:rPr>
          <w:rFonts w:eastAsia="Times New Roman"/>
          <w:color w:val="000000"/>
        </w:rPr>
      </w:pPr>
      <w:r>
        <w:rPr>
          <w:rFonts w:eastAsia="Times New Roman"/>
          <w:color w:val="000000"/>
        </w:rPr>
        <w:t xml:space="preserve">In this phase, the key issues will be clearly recognised, such as the poor clinical governance, lack of nurses in neonatal units, delayed escalation, through incident reports and audits, which contributed to the failure of patient safety. This will help in defining the clear objective of enhancing safety, improving response systems and aligning with CQC and NHS standards (Monday, 2022).    </w:t>
      </w:r>
    </w:p>
    <w:p>
      <w:pPr>
        <w:pStyle w:val="style0"/>
        <w:spacing w:lineRule="auto" w:line="360"/>
        <w:jc w:val="both"/>
        <w:rPr>
          <w:rFonts w:eastAsia="Times New Roman"/>
          <w:b/>
          <w:bCs/>
          <w:color w:val="000000"/>
        </w:rPr>
      </w:pPr>
      <w:r>
        <w:rPr>
          <w:rFonts w:eastAsia="Times New Roman"/>
          <w:b/>
          <w:bCs/>
          <w:color w:val="000000"/>
        </w:rPr>
        <w:t>Measure</w:t>
      </w:r>
    </w:p>
    <w:p>
      <w:pPr>
        <w:pStyle w:val="style0"/>
        <w:spacing w:lineRule="auto" w:line="360"/>
        <w:jc w:val="both"/>
        <w:rPr>
          <w:rFonts w:eastAsia="Times New Roman"/>
          <w:color w:val="000000"/>
        </w:rPr>
      </w:pPr>
      <w:r>
        <w:rPr>
          <w:rFonts w:eastAsia="Times New Roman"/>
          <w:color w:val="000000"/>
        </w:rPr>
        <w:t xml:space="preserve">Measurable information will be collected in this phase by using key performance indicators (KPIs) such as neonatal mortality rates, incident reports, staffing ratios, and communication effectiveness, which will serve as a safety and quality indicator (Monday, 2022). These KPIs can be sustained through regular communication. Existing tools such as digital audit platforms and reporting systems will help in collecting that information that will help in identifying areas of defects.  </w:t>
      </w:r>
    </w:p>
    <w:p>
      <w:pPr>
        <w:pStyle w:val="style0"/>
        <w:spacing w:lineRule="auto" w:line="360"/>
        <w:jc w:val="both"/>
        <w:rPr>
          <w:rFonts w:eastAsia="Times New Roman"/>
          <w:b/>
          <w:bCs/>
          <w:color w:val="000000"/>
        </w:rPr>
      </w:pPr>
      <w:r>
        <w:rPr>
          <w:rFonts w:eastAsia="Times New Roman"/>
          <w:b/>
          <w:bCs/>
          <w:color w:val="000000"/>
        </w:rPr>
        <w:t xml:space="preserve">Analyse </w:t>
      </w:r>
    </w:p>
    <w:p>
      <w:pPr>
        <w:pStyle w:val="style0"/>
        <w:spacing w:lineRule="auto" w:line="360"/>
        <w:jc w:val="both"/>
        <w:rPr>
          <w:rFonts w:eastAsia="Times New Roman"/>
          <w:color w:val="000000"/>
        </w:rPr>
      </w:pPr>
      <w:r>
        <w:rPr>
          <w:rFonts w:eastAsia="Times New Roman"/>
          <w:color w:val="000000"/>
        </w:rPr>
        <w:t xml:space="preserve">In this stage, the Swiss Cheese framework will be applied to examine the collected data and recognise if there are any root causes, such as systematic failures and remove those inefficiencies immediately (Ilin and Bohlen, 2023).  </w:t>
      </w:r>
    </w:p>
    <w:p>
      <w:pPr>
        <w:pStyle w:val="style0"/>
        <w:spacing w:lineRule="auto" w:line="360"/>
        <w:jc w:val="both"/>
        <w:rPr>
          <w:rFonts w:eastAsia="Times New Roman"/>
          <w:b/>
          <w:bCs/>
          <w:color w:val="000000"/>
        </w:rPr>
      </w:pPr>
      <w:r>
        <w:rPr>
          <w:rFonts w:eastAsia="Times New Roman"/>
          <w:b/>
          <w:bCs/>
          <w:color w:val="000000"/>
        </w:rPr>
        <w:t>Improve</w:t>
      </w:r>
    </w:p>
    <w:p>
      <w:pPr>
        <w:pStyle w:val="style0"/>
        <w:spacing w:lineRule="auto" w:line="360"/>
        <w:jc w:val="both"/>
        <w:rPr>
          <w:rFonts w:eastAsia="Times New Roman"/>
          <w:color w:val="000000"/>
        </w:rPr>
      </w:pPr>
      <w:r>
        <w:rPr>
          <w:rFonts w:eastAsia="Times New Roman"/>
          <w:color w:val="000000"/>
        </w:rPr>
        <w:t xml:space="preserve">After collecting and analysing critical organisational information, this stage will assist the CoC hospital to implement targeted interventions such as strengthening leadership accountability and staff allocation through the RACI matrix. Utilising the RACI (Responsible, Accountable, Consulted, Informed) matrix will help in aligning human resources to neonatal safety priorities, thereby </w:t>
      </w:r>
      <w:r>
        <w:rPr>
          <w:rFonts w:eastAsia="Times New Roman"/>
          <w:color w:val="000000"/>
        </w:rPr>
        <w:t xml:space="preserve">ensuring leadership accountability (Wijaya et al., 2025). Moreover, the partnerships with integrated care systems such as Cheshire and Merseyside can be further strengthened to ensure better safety governance. </w:t>
      </w:r>
    </w:p>
    <w:p>
      <w:pPr>
        <w:pStyle w:val="style0"/>
        <w:spacing w:lineRule="auto" w:line="360"/>
        <w:jc w:val="both"/>
        <w:rPr>
          <w:rFonts w:eastAsia="Times New Roman"/>
          <w:color w:val="000000"/>
        </w:rPr>
      </w:pPr>
      <w:r>
        <w:rPr>
          <w:rFonts w:eastAsia="Times New Roman"/>
          <w:color w:val="000000"/>
        </w:rPr>
        <w:t xml:space="preserve">However, the interventions might fail due to poor implementation through inadequate resources and staff engagement, which can be addressed through a phased implementation approach and a clear communication system (Ginsburg et al., 2020).  </w:t>
      </w:r>
    </w:p>
    <w:p>
      <w:pPr>
        <w:pStyle w:val="style0"/>
        <w:spacing w:lineRule="auto" w:line="360"/>
        <w:jc w:val="both"/>
        <w:rPr>
          <w:rFonts w:eastAsia="Times New Roman"/>
          <w:color w:val="000000"/>
        </w:rPr>
      </w:pPr>
      <w:r>
        <w:rPr>
          <w:rFonts w:eastAsia="Times New Roman"/>
          <w:b/>
          <w:bCs/>
          <w:color w:val="000000"/>
        </w:rPr>
        <w:t>Control</w:t>
      </w:r>
      <w:r>
        <w:rPr>
          <w:rFonts w:eastAsia="Times New Roman"/>
          <w:color w:val="000000"/>
        </w:rPr>
        <w:t xml:space="preserve">   </w:t>
      </w:r>
    </w:p>
    <w:p>
      <w:pPr>
        <w:pStyle w:val="style0"/>
        <w:spacing w:lineRule="auto" w:line="360"/>
        <w:jc w:val="both"/>
        <w:rPr>
          <w:rFonts w:eastAsia="Times New Roman"/>
          <w:color w:val="000000"/>
        </w:rPr>
      </w:pPr>
      <w:r>
        <w:rPr>
          <w:rFonts w:eastAsia="Times New Roman"/>
          <w:color w:val="000000"/>
        </w:rPr>
        <w:t>Finally, to ensure continuous improvements using the targeted interventions, the CoC hospital should establish continuous monitoring through regular performan</w:t>
      </w:r>
      <w:r>
        <w:rPr>
          <w:rFonts w:eastAsia="Times New Roman"/>
          <w:color w:val="000000"/>
        </w:rPr>
        <w:t xml:space="preserve">ce review, feedback collection </w:t>
      </w:r>
      <w:r>
        <w:rPr>
          <w:rFonts w:eastAsia="Times New Roman"/>
          <w:color w:val="000000"/>
        </w:rPr>
        <w:t>and compliance checks (</w:t>
      </w:r>
      <w:r>
        <w:rPr>
          <w:rFonts w:eastAsia="Times New Roman"/>
          <w:color w:val="000000"/>
        </w:rPr>
        <w:t>Eyinade</w:t>
      </w:r>
      <w:r>
        <w:rPr>
          <w:rFonts w:eastAsia="Times New Roman"/>
          <w:color w:val="000000"/>
        </w:rPr>
        <w:t xml:space="preserve">, Amini-Philips and Ibrahim, 2023). These processes will assist in maintaining a long-term safe and high-quality care environment for patients. </w:t>
      </w:r>
    </w:p>
    <w:p>
      <w:pPr>
        <w:pStyle w:val="style0"/>
        <w:spacing w:lineRule="auto" w:line="360"/>
        <w:jc w:val="both"/>
        <w:rPr>
          <w:rFonts w:eastAsia="Times New Roman"/>
          <w:color w:val="000000"/>
        </w:rPr>
      </w:pPr>
      <w:r>
        <w:rPr>
          <w:rFonts w:eastAsia="Times New Roman"/>
          <w:color w:val="000000"/>
        </w:rPr>
        <w:t>Yet, CoC hospital workers can resist to comply with these new protocols, creating inconsistent adherence, which can be mitigated through continuous training and feedback collection mechanisms (</w:t>
      </w:r>
      <w:r>
        <w:rPr>
          <w:rFonts w:eastAsia="Times New Roman"/>
          <w:color w:val="000000"/>
        </w:rPr>
        <w:t>Asniwati</w:t>
      </w:r>
      <w:r>
        <w:rPr>
          <w:rFonts w:eastAsia="Times New Roman"/>
          <w:color w:val="000000"/>
        </w:rPr>
        <w:t xml:space="preserve"> and Ramadhan, 2025).  </w:t>
      </w:r>
    </w:p>
    <w:bookmarkStart w:id="14" w:name="_Toc227256665"/>
    <w:p>
      <w:pPr>
        <w:pStyle w:val="style1"/>
        <w:rPr>
          <w:szCs w:val="22"/>
        </w:rPr>
      </w:pPr>
      <w:r>
        <w:rPr>
          <w:szCs w:val="22"/>
        </w:rPr>
        <w:t>Conclusion</w:t>
      </w:r>
      <w:bookmarkEnd w:id="14"/>
      <w:r>
        <w:rPr>
          <w:szCs w:val="22"/>
        </w:rPr>
        <w:t xml:space="preserve"> </w:t>
      </w:r>
    </w:p>
    <w:p>
      <w:pPr>
        <w:pStyle w:val="style0"/>
        <w:spacing w:lineRule="auto" w:line="360"/>
        <w:jc w:val="both"/>
        <w:rPr>
          <w:rFonts w:eastAsia="Times New Roman"/>
          <w:color w:val="000000"/>
        </w:rPr>
      </w:pPr>
      <w:r>
        <w:rPr>
          <w:rFonts w:eastAsia="Times New Roman"/>
          <w:color w:val="000000"/>
        </w:rPr>
        <w:t xml:space="preserve">From the above discussion, it can be considered that the Countess of Chester Hospital NHS Trust encountered significant patient safety failures a few years back, which was not just a result of an individual act but multiple underlying systematic weaknesses. By applying academic frameworks, such as Swiss Cheese, Donabedian and SWOT Models highlighted the root causes such as poor clinical governance, ineffective leadership, staffing shortages and communication breakdown. Together, these weaknesses offer the upper hand to Lucy Letby in conducting the neonatal murders and its further attempts. The issue also indicates that the trust is failing to meet the care standards enforced by CQC and NHS UK, creating risks of regulatory threats. </w:t>
      </w:r>
    </w:p>
    <w:p>
      <w:pPr>
        <w:pStyle w:val="style0"/>
        <w:spacing w:lineRule="auto" w:line="360"/>
        <w:jc w:val="both"/>
        <w:rPr>
          <w:rFonts w:eastAsia="Times New Roman"/>
          <w:color w:val="000000"/>
        </w:rPr>
      </w:pPr>
      <w:r>
        <w:rPr>
          <w:rFonts w:eastAsia="Times New Roman"/>
          <w:color w:val="000000"/>
        </w:rPr>
        <w:t xml:space="preserve">To address the systematic issues and the ultimate safety inefficiency, two strategic tools, such as PDSA and Six Sigma (DMAIC) are applied to help CoC hospitals take a structured quality improvement approach by taking necessary steps and implementing actionable interventions. In such a way, the trust can improve workforce management and resource allocation, which will enhance safety measures, and strengthen care quality in the long run, thereby preventing the recurrence of the failed safety problem.    </w:t>
      </w:r>
    </w:p>
    <w:p>
      <w:pPr>
        <w:pStyle w:val="style0"/>
        <w:spacing w:lineRule="auto" w:line="360"/>
        <w:jc w:val="both"/>
        <w:rPr>
          <w:rFonts w:eastAsia="Times New Roman"/>
        </w:rPr>
      </w:pPr>
      <w:r>
        <w:rPr>
          <w:rFonts w:eastAsia="Times New Roman"/>
        </w:rPr>
        <w:t xml:space="preserve"> </w:t>
      </w:r>
    </w:p>
    <w:p>
      <w:pPr>
        <w:pStyle w:val="style0"/>
        <w:spacing w:lineRule="auto" w:line="360"/>
        <w:jc w:val="both"/>
        <w:rPr>
          <w:rFonts w:eastAsia="Times New Roman"/>
          <w:b/>
          <w:bCs/>
        </w:rPr>
      </w:pPr>
      <w:r>
        <w:br w:type="page"/>
      </w:r>
    </w:p>
    <w:bookmarkStart w:id="15" w:name="_Toc227256666"/>
    <w:p>
      <w:pPr>
        <w:pStyle w:val="style1"/>
        <w:rPr>
          <w:szCs w:val="22"/>
        </w:rPr>
      </w:pPr>
      <w:r>
        <w:rPr>
          <w:szCs w:val="22"/>
        </w:rPr>
        <w:t>References</w:t>
      </w:r>
      <w:bookmarkEnd w:id="15"/>
      <w:r>
        <w:rPr>
          <w:szCs w:val="22"/>
        </w:rPr>
        <w:t xml:space="preserve"> </w:t>
      </w:r>
    </w:p>
    <w:p>
      <w:pPr>
        <w:pStyle w:val="style0"/>
        <w:spacing w:lineRule="auto" w:line="360"/>
        <w:jc w:val="both"/>
        <w:rPr>
          <w:rFonts w:eastAsia="Times New Roman"/>
        </w:rPr>
      </w:pPr>
      <w:r>
        <w:rPr>
          <w:rFonts w:eastAsia="Times New Roman"/>
          <w:color w:val="000000"/>
        </w:rPr>
        <w:t xml:space="preserve">Albreak, L. A., </w:t>
      </w:r>
      <w:r>
        <w:rPr>
          <w:rFonts w:eastAsia="Times New Roman"/>
          <w:color w:val="000000"/>
        </w:rPr>
        <w:t>Alrashidi</w:t>
      </w:r>
      <w:r>
        <w:rPr>
          <w:rFonts w:eastAsia="Times New Roman"/>
          <w:color w:val="000000"/>
        </w:rPr>
        <w:t xml:space="preserve">, K. S., AlSharif, Y. M. M., Alotaibi, M. A. S., </w:t>
      </w:r>
      <w:r>
        <w:rPr>
          <w:rFonts w:eastAsia="Times New Roman"/>
          <w:color w:val="000000"/>
        </w:rPr>
        <w:t>Alhelail</w:t>
      </w:r>
      <w:r>
        <w:rPr>
          <w:rFonts w:eastAsia="Times New Roman"/>
          <w:color w:val="000000"/>
        </w:rPr>
        <w:t xml:space="preserve">, N. N. H., </w:t>
      </w:r>
      <w:r>
        <w:rPr>
          <w:rFonts w:eastAsia="Times New Roman"/>
          <w:color w:val="000000"/>
        </w:rPr>
        <w:t>Aldossari</w:t>
      </w:r>
      <w:r>
        <w:rPr>
          <w:rFonts w:eastAsia="Times New Roman"/>
          <w:color w:val="000000"/>
        </w:rPr>
        <w:t xml:space="preserve">, F. S., ... and </w:t>
      </w:r>
      <w:r>
        <w:rPr>
          <w:rFonts w:eastAsia="Times New Roman"/>
          <w:color w:val="000000"/>
        </w:rPr>
        <w:t>Aldhafeeri</w:t>
      </w:r>
      <w:r>
        <w:rPr>
          <w:rFonts w:eastAsia="Times New Roman"/>
          <w:color w:val="000000"/>
        </w:rPr>
        <w:t xml:space="preserve">, H. Q. (2025) ‘The Role Of Quality In Modern Health Management: Trends, Challenges, And Opportunities’. </w:t>
      </w:r>
      <w:r>
        <w:rPr>
          <w:rFonts w:eastAsia="Times New Roman"/>
          <w:i/>
          <w:iCs/>
          <w:color w:val="000000"/>
        </w:rPr>
        <w:t>The Review of Diabetic Studies,</w:t>
      </w:r>
      <w:r>
        <w:rPr>
          <w:rFonts w:eastAsia="Times New Roman"/>
          <w:color w:val="000000"/>
        </w:rPr>
        <w:t xml:space="preserve"> 299-316. Available at: </w:t>
      </w:r>
      <w:r>
        <w:rPr/>
        <w:fldChar w:fldCharType="begin"/>
      </w:r>
      <w:r>
        <w:instrText xml:space="preserve"> HYPERLINK "https://www.diabeticstudies.org/index.php/RDS/article/view/844/707" </w:instrText>
      </w:r>
      <w:r>
        <w:rPr/>
        <w:fldChar w:fldCharType="separate"/>
      </w:r>
      <w:r>
        <w:rPr>
          <w:rFonts w:eastAsia="Times New Roman"/>
          <w:color w:val="1155cc"/>
          <w:u w:val="single"/>
        </w:rPr>
        <w:t>https://www.diabeticstudies.org/index.php/RDS/article/view/844/707</w:t>
      </w:r>
      <w:r>
        <w:rPr/>
        <w:fldChar w:fldCharType="end"/>
      </w:r>
      <w:r>
        <w:rPr>
          <w:rFonts w:eastAsia="Times New Roman"/>
          <w:color w:val="000000"/>
        </w:rPr>
        <w:t> </w:t>
      </w:r>
    </w:p>
    <w:p>
      <w:pPr>
        <w:pStyle w:val="style0"/>
        <w:spacing w:lineRule="auto" w:line="360"/>
        <w:jc w:val="both"/>
        <w:rPr>
          <w:rFonts w:eastAsia="Times New Roman"/>
        </w:rPr>
      </w:pPr>
      <w:r>
        <w:rPr>
          <w:rFonts w:eastAsia="Times New Roman"/>
          <w:color w:val="000000"/>
        </w:rPr>
        <w:t>Asniwati</w:t>
      </w:r>
      <w:r>
        <w:rPr>
          <w:rFonts w:eastAsia="Times New Roman"/>
          <w:color w:val="000000"/>
        </w:rPr>
        <w:t xml:space="preserve">, A., and Ramadhan, A. N. J. (2025) ‘Employee Management During Times of Organizational Change: Strategies for Overcoming Resistance and Work Stress’. </w:t>
      </w:r>
      <w:r>
        <w:rPr>
          <w:rFonts w:eastAsia="Times New Roman"/>
          <w:i/>
          <w:iCs/>
          <w:color w:val="000000"/>
        </w:rPr>
        <w:t>Economics and Digital Business Review,</w:t>
      </w:r>
      <w:r>
        <w:rPr>
          <w:rFonts w:eastAsia="Times New Roman"/>
          <w:color w:val="000000"/>
        </w:rPr>
        <w:t xml:space="preserve"> 6(1), 997-1014. Available at: </w:t>
      </w:r>
      <w:r>
        <w:rPr/>
        <w:fldChar w:fldCharType="begin"/>
      </w:r>
      <w:r>
        <w:instrText xml:space="preserve"> HYPERLINK "https://ojs.stieamkop.ac.id/index.php/ecotal/article/download/2235/1467" </w:instrText>
      </w:r>
      <w:r>
        <w:rPr/>
        <w:fldChar w:fldCharType="separate"/>
      </w:r>
      <w:r>
        <w:rPr>
          <w:rFonts w:eastAsia="Times New Roman"/>
          <w:color w:val="1155cc"/>
          <w:u w:val="single"/>
        </w:rPr>
        <w:t>https://ojs.stieamkop.ac.id/index.php/ecotal/article/download/2235/1467</w:t>
      </w:r>
      <w:r>
        <w:rPr/>
        <w:fldChar w:fldCharType="end"/>
      </w:r>
      <w:r>
        <w:rPr>
          <w:rFonts w:eastAsia="Times New Roman"/>
          <w:color w:val="000000"/>
        </w:rPr>
        <w:t xml:space="preserve"> (Accessed: 11 April 2026).</w:t>
      </w:r>
    </w:p>
    <w:p>
      <w:pPr>
        <w:pStyle w:val="style0"/>
        <w:spacing w:lineRule="auto" w:line="360"/>
        <w:jc w:val="both"/>
        <w:rPr>
          <w:rFonts w:eastAsia="Times New Roman"/>
        </w:rPr>
      </w:pPr>
      <w:r>
        <w:rPr>
          <w:rFonts w:eastAsia="Times New Roman"/>
          <w:color w:val="000000"/>
        </w:rPr>
        <w:t xml:space="preserve">Bawden, A. (2023). </w:t>
      </w:r>
      <w:r>
        <w:rPr>
          <w:rFonts w:eastAsia="Times New Roman"/>
          <w:i/>
          <w:iCs/>
          <w:color w:val="000000"/>
        </w:rPr>
        <w:t>Chaotic communication by NHS in England ‘causing treatment delays</w:t>
      </w:r>
      <w:r>
        <w:rPr>
          <w:rFonts w:eastAsia="Times New Roman"/>
          <w:color w:val="000000"/>
        </w:rPr>
        <w:t xml:space="preserve">. </w:t>
      </w:r>
      <w:r>
        <w:rPr>
          <w:rFonts w:eastAsia="Times New Roman"/>
          <w:color w:val="000000"/>
        </w:rPr>
        <w:t>AAvailable</w:t>
      </w:r>
      <w:r>
        <w:rPr>
          <w:rFonts w:eastAsia="Times New Roman"/>
          <w:color w:val="000000"/>
        </w:rPr>
        <w:t xml:space="preserve"> at: </w:t>
      </w:r>
      <w:r>
        <w:rPr/>
        <w:fldChar w:fldCharType="begin"/>
      </w:r>
      <w:r>
        <w:instrText xml:space="preserve"> HYPERLINK "https://www.theguardian.com/society/2023/nov/27/chaotic-communication-by-nhs-in-england-causing-treatment-delays" </w:instrText>
      </w:r>
      <w:r>
        <w:rPr/>
        <w:fldChar w:fldCharType="separate"/>
      </w:r>
      <w:r>
        <w:rPr>
          <w:rFonts w:eastAsia="Times New Roman"/>
          <w:color w:val="1155cc"/>
          <w:u w:val="single"/>
        </w:rPr>
        <w:t>https://www.theguardian.com/society/2023/nov/27/chaotic-communication-by-nhs-in-england-causing-treatment-delays</w:t>
      </w:r>
      <w:r>
        <w:rPr/>
        <w:fldChar w:fldCharType="end"/>
      </w:r>
      <w:r>
        <w:rPr>
          <w:rFonts w:eastAsia="Times New Roman"/>
          <w:color w:val="000000"/>
        </w:rPr>
        <w:t>  (Accessed: 10 April 2026)</w:t>
      </w:r>
      <w:r>
        <w:rPr>
          <w:rFonts w:eastAsia="Times New Roman"/>
          <w:color w:val="000000"/>
        </w:rPr>
        <w:t>.</w:t>
      </w:r>
    </w:p>
    <w:p>
      <w:pPr>
        <w:pStyle w:val="style0"/>
        <w:spacing w:lineRule="auto" w:line="360"/>
        <w:jc w:val="both"/>
        <w:rPr>
          <w:rFonts w:eastAsia="Times New Roman"/>
        </w:rPr>
      </w:pPr>
      <w:r>
        <w:rPr>
          <w:rFonts w:eastAsia="Times New Roman"/>
          <w:color w:val="000000"/>
        </w:rPr>
        <w:t xml:space="preserve">BBC (2017) </w:t>
      </w:r>
      <w:r>
        <w:rPr>
          <w:rFonts w:eastAsia="Times New Roman"/>
          <w:i/>
          <w:iCs/>
          <w:color w:val="000000"/>
        </w:rPr>
        <w:t>Staffing 'inadequate' at Chester baby death hospital</w:t>
      </w:r>
      <w:r>
        <w:rPr>
          <w:rFonts w:eastAsia="Times New Roman"/>
          <w:color w:val="000000"/>
        </w:rPr>
        <w:t xml:space="preserve">. Available at: </w:t>
      </w:r>
      <w:r>
        <w:rPr/>
        <w:fldChar w:fldCharType="begin"/>
      </w:r>
      <w:r>
        <w:instrText xml:space="preserve"> HYPERLINK "https://www.bbc.com/news/uk-england-merseyside-38901317" </w:instrText>
      </w:r>
      <w:r>
        <w:rPr/>
        <w:fldChar w:fldCharType="separate"/>
      </w:r>
      <w:r>
        <w:rPr>
          <w:rFonts w:eastAsia="Times New Roman"/>
          <w:color w:val="1155cc"/>
          <w:u w:val="single"/>
        </w:rPr>
        <w:t>https://www.bbc.com/news/uk-england-merseyside-38901317</w:t>
      </w:r>
      <w:r>
        <w:rPr/>
        <w:fldChar w:fldCharType="end"/>
      </w:r>
      <w:r>
        <w:rPr>
          <w:rFonts w:eastAsia="Times New Roman"/>
          <w:color w:val="000000"/>
        </w:rPr>
        <w:t xml:space="preserve"> (Accessed: 10 April 2026).</w:t>
      </w:r>
    </w:p>
    <w:p>
      <w:pPr>
        <w:pStyle w:val="style0"/>
        <w:spacing w:lineRule="auto" w:line="360"/>
        <w:jc w:val="both"/>
        <w:rPr>
          <w:rFonts w:eastAsia="Times New Roman"/>
        </w:rPr>
      </w:pPr>
      <w:r>
        <w:rPr>
          <w:rFonts w:eastAsia="Times New Roman"/>
          <w:color w:val="000000"/>
        </w:rPr>
        <w:t xml:space="preserve">BBC (2026) </w:t>
      </w:r>
      <w:r>
        <w:rPr>
          <w:rFonts w:eastAsia="Times New Roman"/>
          <w:i/>
          <w:iCs/>
          <w:color w:val="000000"/>
        </w:rPr>
        <w:t>Police force hits back after Letby case criticism.</w:t>
      </w:r>
      <w:r>
        <w:rPr>
          <w:rFonts w:eastAsia="Times New Roman"/>
          <w:color w:val="000000"/>
        </w:rPr>
        <w:t xml:space="preserve"> Available at: </w:t>
      </w:r>
      <w:r>
        <w:rPr/>
        <w:fldChar w:fldCharType="begin"/>
      </w:r>
      <w:r>
        <w:instrText xml:space="preserve"> HYPERLINK "https://www.bbc.com/news/articles/c79jd4208vqo" </w:instrText>
      </w:r>
      <w:r>
        <w:rPr/>
        <w:fldChar w:fldCharType="separate"/>
      </w:r>
      <w:r>
        <w:rPr>
          <w:rFonts w:eastAsia="Times New Roman"/>
          <w:color w:val="1155cc"/>
          <w:u w:val="single"/>
        </w:rPr>
        <w:t>https://www.bbc.com/news/articles/c79jd4208vqo</w:t>
      </w:r>
      <w:r>
        <w:rPr/>
        <w:fldChar w:fldCharType="end"/>
      </w:r>
      <w:r>
        <w:rPr>
          <w:rFonts w:eastAsia="Times New Roman"/>
          <w:color w:val="000000"/>
        </w:rPr>
        <w:t xml:space="preserve"> (Accessed: 10 April 2026).</w:t>
      </w:r>
    </w:p>
    <w:p>
      <w:pPr>
        <w:pStyle w:val="style0"/>
        <w:spacing w:lineRule="auto" w:line="360"/>
        <w:jc w:val="both"/>
        <w:rPr>
          <w:rFonts w:eastAsia="Times New Roman"/>
        </w:rPr>
      </w:pPr>
      <w:r>
        <w:rPr>
          <w:rFonts w:eastAsia="Times New Roman"/>
          <w:color w:val="000000"/>
        </w:rPr>
        <w:t xml:space="preserve">BBC, (2015). </w:t>
      </w:r>
      <w:r>
        <w:rPr>
          <w:rFonts w:eastAsia="Times New Roman"/>
          <w:i/>
          <w:iCs/>
          <w:color w:val="000000"/>
        </w:rPr>
        <w:t>Premature babies' care 'understaffed and under pressure', says report</w:t>
      </w:r>
      <w:r>
        <w:rPr>
          <w:rFonts w:eastAsia="Times New Roman"/>
          <w:color w:val="000000"/>
        </w:rPr>
        <w:t xml:space="preserve">. Available at: </w:t>
      </w:r>
      <w:r>
        <w:rPr/>
        <w:fldChar w:fldCharType="begin"/>
      </w:r>
      <w:r>
        <w:instrText xml:space="preserve"> HYPERLINK "https://www.bbc.com/news/health-34552910" </w:instrText>
      </w:r>
      <w:r>
        <w:rPr/>
        <w:fldChar w:fldCharType="separate"/>
      </w:r>
      <w:r>
        <w:rPr>
          <w:rFonts w:eastAsia="Times New Roman"/>
          <w:color w:val="1155cc"/>
          <w:u w:val="single"/>
        </w:rPr>
        <w:t>https://www.bbc.com/news/health-3455291</w:t>
      </w:r>
      <w:r>
        <w:rPr/>
        <w:fldChar w:fldCharType="end"/>
      </w:r>
      <w:r>
        <w:rPr>
          <w:rFonts w:eastAsia="Times New Roman"/>
          <w:color w:val="000000"/>
        </w:rPr>
        <w:t>0  (Accessed: 10 April 2026)</w:t>
      </w:r>
      <w:r>
        <w:rPr>
          <w:rFonts w:eastAsia="Times New Roman"/>
          <w:color w:val="000000"/>
        </w:rPr>
        <w:t>.</w:t>
      </w:r>
    </w:p>
    <w:p>
      <w:pPr>
        <w:pStyle w:val="style0"/>
        <w:spacing w:lineRule="auto" w:line="360"/>
        <w:jc w:val="both"/>
        <w:rPr>
          <w:rFonts w:eastAsia="Times New Roman"/>
        </w:rPr>
      </w:pPr>
      <w:r>
        <w:rPr>
          <w:rFonts w:eastAsia="Times New Roman"/>
          <w:color w:val="000000"/>
        </w:rPr>
        <w:t xml:space="preserve">COCH NHS. (2024).  </w:t>
      </w:r>
      <w:r>
        <w:rPr>
          <w:rFonts w:eastAsia="Times New Roman"/>
          <w:i/>
          <w:iCs/>
          <w:color w:val="000000"/>
        </w:rPr>
        <w:t>About us.</w:t>
      </w:r>
      <w:r>
        <w:rPr>
          <w:rFonts w:eastAsia="Times New Roman"/>
          <w:color w:val="000000"/>
        </w:rPr>
        <w:t xml:space="preserve"> Available at: </w:t>
      </w:r>
      <w:r>
        <w:rPr/>
        <w:fldChar w:fldCharType="begin"/>
      </w:r>
      <w:r>
        <w:instrText xml:space="preserve"> HYPERLINK "https://www.coch.nhs.uk/corporate-information/about-us/.aspx" \l ":~:text=Corporate%20Information%20%3E,serve%20the%20local%20rural%20population" </w:instrText>
      </w:r>
      <w:r>
        <w:rPr/>
        <w:fldChar w:fldCharType="separate"/>
      </w:r>
      <w:r>
        <w:rPr>
          <w:rFonts w:eastAsia="Times New Roman"/>
          <w:color w:val="1155cc"/>
          <w:u w:val="single"/>
        </w:rPr>
        <w:t>https://www.coch.nhs.uk/corporate-information/about-us/.aspx#:~:text=Corporate%20Information%20%3E,serve%20the%20local%20rural%20population</w:t>
      </w:r>
      <w:r>
        <w:rPr/>
        <w:fldChar w:fldCharType="end"/>
      </w:r>
      <w:r>
        <w:rPr>
          <w:rFonts w:eastAsia="Times New Roman"/>
          <w:color w:val="000000"/>
        </w:rPr>
        <w:t>. (Accessed: 10 April 2026)</w:t>
      </w:r>
      <w:r>
        <w:rPr>
          <w:rFonts w:eastAsia="Times New Roman"/>
          <w:color w:val="000000"/>
        </w:rPr>
        <w:t>.</w:t>
      </w:r>
    </w:p>
    <w:p>
      <w:pPr>
        <w:pStyle w:val="style0"/>
        <w:spacing w:lineRule="auto" w:line="360"/>
        <w:jc w:val="both"/>
        <w:rPr>
          <w:rFonts w:eastAsia="Times New Roman"/>
        </w:rPr>
      </w:pPr>
      <w:r>
        <w:rPr>
          <w:rFonts w:eastAsia="Times New Roman"/>
          <w:color w:val="000000"/>
        </w:rPr>
        <w:t xml:space="preserve">Countess of Chester Hospital (2023) </w:t>
      </w:r>
      <w:r>
        <w:rPr>
          <w:rFonts w:eastAsia="Times New Roman"/>
          <w:i/>
          <w:iCs/>
          <w:color w:val="000000"/>
        </w:rPr>
        <w:t>Annual Report and Accounts 2024/2025</w:t>
      </w:r>
      <w:r>
        <w:rPr>
          <w:rFonts w:eastAsia="Times New Roman"/>
          <w:color w:val="000000"/>
        </w:rPr>
        <w:t xml:space="preserve">. Available at: </w:t>
      </w:r>
      <w:r>
        <w:rPr/>
        <w:fldChar w:fldCharType="begin"/>
      </w:r>
      <w:r>
        <w:instrText xml:space="preserve"> HYPERLINK "https://www.coch.nhs.uk/media/226444/Annual-Report-2024-2025-for-website.pdf" </w:instrText>
      </w:r>
      <w:r>
        <w:rPr/>
        <w:fldChar w:fldCharType="separate"/>
      </w:r>
      <w:r>
        <w:rPr>
          <w:rFonts w:eastAsia="Times New Roman"/>
          <w:color w:val="1155cc"/>
          <w:u w:val="single"/>
        </w:rPr>
        <w:t>https://www.coch.nhs.uk/media/226444/Annual-Report-2024-2025-for-website.pdf</w:t>
      </w:r>
      <w:r>
        <w:rPr/>
        <w:fldChar w:fldCharType="end"/>
      </w:r>
      <w:r>
        <w:rPr>
          <w:rFonts w:eastAsia="Times New Roman"/>
          <w:color w:val="000000"/>
        </w:rPr>
        <w:t xml:space="preserve"> (Accessed: 11 April 2026).</w:t>
      </w:r>
    </w:p>
    <w:p>
      <w:pPr>
        <w:pStyle w:val="style0"/>
        <w:spacing w:lineRule="auto" w:line="360"/>
        <w:jc w:val="both"/>
        <w:rPr>
          <w:rFonts w:eastAsia="Times New Roman"/>
        </w:rPr>
      </w:pPr>
      <w:r>
        <w:rPr>
          <w:rFonts w:eastAsia="Times New Roman"/>
          <w:color w:val="000000"/>
        </w:rPr>
        <w:t xml:space="preserve">Countess of Chester Hospital (2026) </w:t>
      </w:r>
      <w:r>
        <w:rPr>
          <w:rFonts w:eastAsia="Times New Roman"/>
          <w:i/>
          <w:iCs/>
          <w:color w:val="000000"/>
        </w:rPr>
        <w:t>About us</w:t>
      </w:r>
      <w:r>
        <w:rPr>
          <w:rFonts w:eastAsia="Times New Roman"/>
          <w:color w:val="000000"/>
        </w:rPr>
        <w:t xml:space="preserve">. Available at: </w:t>
      </w:r>
      <w:r>
        <w:rPr/>
        <w:fldChar w:fldCharType="begin"/>
      </w:r>
      <w:r>
        <w:instrText xml:space="preserve"> HYPERLINK "https://www.coch.nhs.uk/corporate-information/about-us/.aspx" </w:instrText>
      </w:r>
      <w:r>
        <w:rPr/>
        <w:fldChar w:fldCharType="separate"/>
      </w:r>
      <w:r>
        <w:rPr>
          <w:rFonts w:eastAsia="Times New Roman"/>
          <w:color w:val="1155cc"/>
          <w:u w:val="single"/>
        </w:rPr>
        <w:t>https://www.coch.nhs.uk/corporate-information/about-us/.aspx</w:t>
      </w:r>
      <w:r>
        <w:rPr/>
        <w:fldChar w:fldCharType="end"/>
      </w:r>
      <w:r>
        <w:rPr>
          <w:rFonts w:eastAsia="Times New Roman"/>
          <w:color w:val="000000"/>
        </w:rPr>
        <w:t xml:space="preserve"> (Accessed: 10 April 2026).</w:t>
      </w:r>
    </w:p>
    <w:p>
      <w:pPr>
        <w:pStyle w:val="style0"/>
        <w:spacing w:lineRule="auto" w:line="360"/>
        <w:jc w:val="both"/>
        <w:rPr>
          <w:rFonts w:eastAsia="Times New Roman"/>
        </w:rPr>
      </w:pPr>
      <w:r>
        <w:rPr>
          <w:rFonts w:eastAsia="Times New Roman"/>
          <w:color w:val="000000"/>
        </w:rPr>
        <w:t xml:space="preserve">CQC (2022a) </w:t>
      </w:r>
      <w:r>
        <w:rPr>
          <w:rFonts w:eastAsia="Times New Roman"/>
          <w:i/>
          <w:iCs/>
          <w:color w:val="000000"/>
        </w:rPr>
        <w:t>Cambridge University Hospitals NHS Foundation Trust</w:t>
      </w:r>
      <w:r>
        <w:rPr>
          <w:rFonts w:eastAsia="Times New Roman"/>
          <w:color w:val="000000"/>
        </w:rPr>
        <w:t xml:space="preserve">. Available at: </w:t>
      </w:r>
      <w:r>
        <w:rPr/>
        <w:fldChar w:fldCharType="begin"/>
      </w:r>
      <w:r>
        <w:instrText xml:space="preserve"> HYPERLINK "https://www.cqc.org.uk/publications/themes-care/cambridge-university-hospitals-nhs-foundation-trust" </w:instrText>
      </w:r>
      <w:r>
        <w:rPr/>
        <w:fldChar w:fldCharType="separate"/>
      </w:r>
      <w:r>
        <w:rPr>
          <w:rFonts w:eastAsia="Times New Roman"/>
          <w:color w:val="1155cc"/>
          <w:u w:val="single"/>
        </w:rPr>
        <w:t>https://www.cqc.org.uk/publications/themes-care/cambridge-university-hospitals-nhs-foundation-trust</w:t>
      </w:r>
      <w:r>
        <w:rPr/>
        <w:fldChar w:fldCharType="end"/>
      </w:r>
      <w:r>
        <w:rPr>
          <w:rFonts w:eastAsia="Times New Roman"/>
          <w:color w:val="000000"/>
        </w:rPr>
        <w:t xml:space="preserve"> (Accessed: 10 April 2026).</w:t>
      </w:r>
    </w:p>
    <w:p>
      <w:pPr>
        <w:pStyle w:val="style0"/>
        <w:spacing w:lineRule="auto" w:line="360"/>
        <w:jc w:val="both"/>
        <w:rPr>
          <w:rFonts w:eastAsia="Times New Roman"/>
        </w:rPr>
      </w:pPr>
      <w:r>
        <w:rPr>
          <w:rFonts w:eastAsia="Times New Roman"/>
          <w:color w:val="000000"/>
        </w:rPr>
        <w:t>CQC, (2022).</w:t>
      </w:r>
      <w:r>
        <w:rPr>
          <w:rFonts w:eastAsia="Times New Roman"/>
          <w:i/>
          <w:iCs/>
          <w:color w:val="000000"/>
        </w:rPr>
        <w:t xml:space="preserve"> CQC publishes report on Countess of Chester Hospital NHS Foundation</w:t>
      </w:r>
      <w:r>
        <w:rPr>
          <w:rFonts w:eastAsia="Times New Roman"/>
          <w:color w:val="000000"/>
        </w:rPr>
        <w:t xml:space="preserve"> </w:t>
      </w:r>
      <w:r>
        <w:rPr>
          <w:rFonts w:eastAsia="Times New Roman"/>
          <w:i/>
          <w:iCs/>
          <w:color w:val="000000"/>
        </w:rPr>
        <w:t>Trust</w:t>
      </w:r>
      <w:r>
        <w:rPr>
          <w:rFonts w:eastAsia="Times New Roman"/>
          <w:color w:val="000000"/>
        </w:rPr>
        <w:t xml:space="preserve">. Available at: </w:t>
      </w:r>
      <w:r>
        <w:rPr/>
        <w:fldChar w:fldCharType="begin"/>
      </w:r>
      <w:r>
        <w:instrText xml:space="preserve"> HYPERLINK "https://www.cqc.org.uk/press-release/cqc-publishes-report-countess-chester-hospital-nhs-foundation-trust" </w:instrText>
      </w:r>
      <w:r>
        <w:rPr/>
        <w:fldChar w:fldCharType="separate"/>
      </w:r>
      <w:r>
        <w:rPr>
          <w:rFonts w:eastAsia="Times New Roman"/>
          <w:color w:val="1155cc"/>
          <w:u w:val="single"/>
        </w:rPr>
        <w:t>https://www.cqc.org.uk/press-release/cqc-publishes-report-countess-chester-hospital-nhs-foundation-trust</w:t>
      </w:r>
      <w:r>
        <w:rPr/>
        <w:fldChar w:fldCharType="end"/>
      </w:r>
      <w:r>
        <w:rPr>
          <w:rFonts w:eastAsia="Times New Roman"/>
          <w:color w:val="000000"/>
        </w:rPr>
        <w:t xml:space="preserve"> (Accessed: 10 April 2026)</w:t>
      </w:r>
      <w:r>
        <w:rPr>
          <w:rFonts w:eastAsia="Times New Roman"/>
          <w:color w:val="000000"/>
        </w:rPr>
        <w:t>.</w:t>
      </w:r>
    </w:p>
    <w:p>
      <w:pPr>
        <w:pStyle w:val="style0"/>
        <w:spacing w:lineRule="auto" w:line="360"/>
        <w:jc w:val="both"/>
        <w:rPr>
          <w:rFonts w:eastAsia="Times New Roman"/>
        </w:rPr>
      </w:pPr>
      <w:r>
        <w:rPr>
          <w:rFonts w:eastAsia="Times New Roman"/>
          <w:color w:val="000000"/>
        </w:rPr>
        <w:t xml:space="preserve">Crans, S., </w:t>
      </w:r>
      <w:r>
        <w:rPr>
          <w:rFonts w:eastAsia="Times New Roman"/>
          <w:color w:val="000000"/>
        </w:rPr>
        <w:t>Aksentieva</w:t>
      </w:r>
      <w:r>
        <w:rPr>
          <w:rFonts w:eastAsia="Times New Roman"/>
          <w:color w:val="000000"/>
        </w:rPr>
        <w:t xml:space="preserve">, P., Beausaert, S. and Segers, M. (2022) ‘Learning leadership and feedback seeking behavior: Leadership that spurs feedback seeking’, </w:t>
      </w:r>
      <w:r>
        <w:rPr>
          <w:rFonts w:eastAsia="Times New Roman"/>
          <w:i/>
          <w:iCs/>
          <w:color w:val="000000"/>
        </w:rPr>
        <w:t>Frontiers in psychology</w:t>
      </w:r>
      <w:r>
        <w:rPr>
          <w:rFonts w:eastAsia="Times New Roman"/>
          <w:color w:val="000000"/>
        </w:rPr>
        <w:t xml:space="preserve">, 13, p.890861. Available at: </w:t>
      </w:r>
      <w:r>
        <w:rPr/>
        <w:fldChar w:fldCharType="begin"/>
      </w:r>
      <w:r>
        <w:instrText xml:space="preserve"> HYPERLINK "https://www.frontiersin.org/journals/psychology/articles/10.3389/fpsyg.2022.890861/pdf" </w:instrText>
      </w:r>
      <w:r>
        <w:rPr/>
        <w:fldChar w:fldCharType="separate"/>
      </w:r>
      <w:r>
        <w:rPr>
          <w:rFonts w:eastAsia="Times New Roman"/>
          <w:color w:val="1155cc"/>
          <w:u w:val="single"/>
        </w:rPr>
        <w:t>https://www.frontiersin.org/journals/psychology/articles/10.3389/fpsyg.2022.890861/pdf</w:t>
      </w:r>
      <w:r>
        <w:rPr/>
        <w:fldChar w:fldCharType="end"/>
      </w:r>
      <w:r>
        <w:rPr>
          <w:rFonts w:eastAsia="Times New Roman"/>
          <w:color w:val="000000"/>
        </w:rPr>
        <w:t xml:space="preserve"> (Accessed: 11 April 2026).</w:t>
      </w:r>
    </w:p>
    <w:p>
      <w:pPr>
        <w:pStyle w:val="style0"/>
        <w:spacing w:lineRule="auto" w:line="360"/>
        <w:jc w:val="both"/>
        <w:rPr>
          <w:rFonts w:eastAsia="Times New Roman"/>
        </w:rPr>
      </w:pPr>
      <w:r>
        <w:rPr>
          <w:rFonts w:eastAsia="Times New Roman"/>
          <w:color w:val="000000"/>
        </w:rPr>
        <w:t xml:space="preserve">Cunha, F., Dinis-Carvalho, J. and Sousa, R.M. (2023) ‘Performance measurement systems in continuous improvement environments: Obstacles to their effectiveness’, </w:t>
      </w:r>
      <w:r>
        <w:rPr>
          <w:rFonts w:eastAsia="Times New Roman"/>
          <w:i/>
          <w:iCs/>
          <w:color w:val="000000"/>
        </w:rPr>
        <w:t>Sustainability</w:t>
      </w:r>
      <w:r>
        <w:rPr>
          <w:rFonts w:eastAsia="Times New Roman"/>
          <w:color w:val="000000"/>
        </w:rPr>
        <w:t xml:space="preserve">, 15(1), p.867. Available at: </w:t>
      </w:r>
      <w:r>
        <w:rPr/>
        <w:fldChar w:fldCharType="begin"/>
      </w:r>
      <w:r>
        <w:instrText xml:space="preserve"> HYPERLINK "https://doi.org/10.3390/su15010867" </w:instrText>
      </w:r>
      <w:r>
        <w:rPr/>
        <w:fldChar w:fldCharType="separate"/>
      </w:r>
      <w:r>
        <w:rPr>
          <w:rFonts w:eastAsia="Times New Roman"/>
          <w:color w:val="1155cc"/>
          <w:u w:val="single"/>
        </w:rPr>
        <w:t>https://doi.org/10.3390/su15010867</w:t>
      </w:r>
      <w:r>
        <w:rPr/>
        <w:fldChar w:fldCharType="end"/>
      </w:r>
      <w:r>
        <w:rPr>
          <w:rFonts w:eastAsia="Times New Roman"/>
          <w:color w:val="000000"/>
        </w:rPr>
        <w:t> </w:t>
      </w:r>
    </w:p>
    <w:p>
      <w:pPr>
        <w:pStyle w:val="style0"/>
        <w:spacing w:lineRule="auto" w:line="360"/>
        <w:jc w:val="both"/>
        <w:rPr>
          <w:rFonts w:eastAsia="Times New Roman"/>
        </w:rPr>
      </w:pPr>
      <w:r>
        <w:rPr>
          <w:rFonts w:eastAsia="Times New Roman"/>
          <w:color w:val="000000"/>
        </w:rPr>
        <w:t>Eyinade</w:t>
      </w:r>
      <w:r>
        <w:rPr>
          <w:rFonts w:eastAsia="Times New Roman"/>
          <w:color w:val="000000"/>
        </w:rPr>
        <w:t xml:space="preserve">, W., Amini-Philips, A., and Ibrahim, A. K. (2023) ‘Implementing Corrective and Preventive Action Strategies to Achieve Sustainable Clinical Trial Compliance’. Available at: </w:t>
      </w:r>
      <w:r>
        <w:rPr/>
        <w:fldChar w:fldCharType="begin"/>
      </w:r>
      <w:r>
        <w:instrText xml:space="preserve"> HYPERLINK "https://www.multiresearchjournal.com/admin/uploads/archives/archive-1758624203.pdf" </w:instrText>
      </w:r>
      <w:r>
        <w:rPr/>
        <w:fldChar w:fldCharType="separate"/>
      </w:r>
      <w:r>
        <w:rPr>
          <w:rFonts w:eastAsia="Times New Roman"/>
          <w:color w:val="1155cc"/>
          <w:u w:val="single"/>
        </w:rPr>
        <w:t>https://www.multiresearchjournal.com/admin/uploads/archives/archive-1758624203.pdf</w:t>
      </w:r>
      <w:r>
        <w:rPr/>
        <w:fldChar w:fldCharType="end"/>
      </w:r>
      <w:r>
        <w:rPr>
          <w:rFonts w:eastAsia="Times New Roman"/>
          <w:color w:val="000000"/>
        </w:rPr>
        <w:t xml:space="preserve"> (Accessed: 11 April 2026).</w:t>
      </w:r>
    </w:p>
    <w:p>
      <w:pPr>
        <w:pStyle w:val="style0"/>
        <w:spacing w:lineRule="auto" w:line="360"/>
        <w:jc w:val="both"/>
        <w:rPr>
          <w:rFonts w:eastAsia="Times New Roman"/>
        </w:rPr>
      </w:pPr>
      <w:r>
        <w:rPr>
          <w:rFonts w:eastAsia="Times New Roman"/>
          <w:color w:val="000000"/>
        </w:rPr>
        <w:t xml:space="preserve">Ginsburg, O., Yip, C. H., Brooks, A., Cabanes, A., Caleffi, M., Dunstan Yataco, J. A., ... and Anderson, B. O. (2020) ‘Breast cancer early detection: A phased approach to implementation’. </w:t>
      </w:r>
      <w:r>
        <w:rPr>
          <w:rFonts w:eastAsia="Times New Roman"/>
          <w:i/>
          <w:iCs/>
          <w:color w:val="000000"/>
        </w:rPr>
        <w:t>Cancer</w:t>
      </w:r>
      <w:r>
        <w:rPr>
          <w:rFonts w:eastAsia="Times New Roman"/>
          <w:color w:val="000000"/>
        </w:rPr>
        <w:t xml:space="preserve">, 126, 2379-2393. </w:t>
      </w:r>
      <w:r>
        <w:rPr/>
        <w:fldChar w:fldCharType="begin"/>
      </w:r>
      <w:r>
        <w:instrText xml:space="preserve"> HYPERLINK "https://acsjournals.onlinelibrary.wiley.com/doi/pdf/10.1002/cncr.32887" </w:instrText>
      </w:r>
      <w:r>
        <w:rPr/>
        <w:fldChar w:fldCharType="separate"/>
      </w:r>
      <w:r>
        <w:rPr>
          <w:rFonts w:eastAsia="Times New Roman"/>
          <w:color w:val="1155cc"/>
          <w:u w:val="single"/>
        </w:rPr>
        <w:t>https://acsjournals.onlinelibrary.wiley.com/doi/pdf/10.1002/cncr.32887</w:t>
      </w:r>
      <w:r>
        <w:rPr/>
        <w:fldChar w:fldCharType="end"/>
      </w:r>
      <w:r>
        <w:rPr>
          <w:rFonts w:eastAsia="Times New Roman"/>
          <w:color w:val="000000"/>
        </w:rPr>
        <w:t xml:space="preserve"> (Accessed: 11 April 2026).</w:t>
      </w:r>
    </w:p>
    <w:p>
      <w:pPr>
        <w:pStyle w:val="style0"/>
        <w:spacing w:lineRule="auto" w:line="360"/>
        <w:jc w:val="both"/>
        <w:rPr>
          <w:rFonts w:eastAsia="Times New Roman"/>
        </w:rPr>
      </w:pPr>
      <w:r>
        <w:rPr>
          <w:rFonts w:eastAsia="Times New Roman"/>
          <w:color w:val="000000"/>
        </w:rPr>
        <w:t>Glarcher</w:t>
      </w:r>
      <w:r>
        <w:rPr>
          <w:rFonts w:eastAsia="Times New Roman"/>
          <w:color w:val="000000"/>
        </w:rPr>
        <w:t xml:space="preserve">, M. and Vaismoradi, M. (2025) ‘Promoting just culture in nursing education: A systematic integrative review on enhancing patient safety’, </w:t>
      </w:r>
      <w:r>
        <w:rPr>
          <w:rFonts w:eastAsia="Times New Roman"/>
          <w:i/>
          <w:iCs/>
          <w:color w:val="000000"/>
        </w:rPr>
        <w:t>Nurse education today</w:t>
      </w:r>
      <w:r>
        <w:rPr>
          <w:rFonts w:eastAsia="Times New Roman"/>
          <w:color w:val="000000"/>
        </w:rPr>
        <w:t xml:space="preserve">, 152, p.106776. Available at: </w:t>
      </w:r>
      <w:r>
        <w:rPr/>
        <w:fldChar w:fldCharType="begin"/>
      </w:r>
      <w:r>
        <w:instrText xml:space="preserve"> HYPERLINK "https://doi.org/10.1016/j.nedt.2025.106776" </w:instrText>
      </w:r>
      <w:r>
        <w:rPr/>
        <w:fldChar w:fldCharType="separate"/>
      </w:r>
      <w:r>
        <w:rPr>
          <w:rFonts w:eastAsia="Times New Roman"/>
          <w:color w:val="1155cc"/>
          <w:u w:val="single"/>
        </w:rPr>
        <w:t>https://doi.org/10.1016/j.nedt.2025.106776</w:t>
      </w:r>
      <w:r>
        <w:rPr/>
        <w:fldChar w:fldCharType="end"/>
      </w:r>
      <w:r>
        <w:rPr>
          <w:rFonts w:eastAsia="Times New Roman"/>
          <w:color w:val="000000"/>
        </w:rPr>
        <w:t> </w:t>
      </w:r>
    </w:p>
    <w:p>
      <w:pPr>
        <w:pStyle w:val="style0"/>
        <w:spacing w:lineRule="auto" w:line="360"/>
        <w:jc w:val="both"/>
        <w:rPr>
          <w:rFonts w:eastAsia="Times New Roman"/>
        </w:rPr>
      </w:pPr>
      <w:r>
        <w:rPr>
          <w:rFonts w:eastAsia="Times New Roman"/>
          <w:color w:val="000000"/>
        </w:rPr>
        <w:t xml:space="preserve">Griffith, D.M., Bergner, E.M., Fair, A.S. and Wilkins, C.H. (2021) ‘Using mistrust, distrust, and low trust precisely in medical care and medical research advances health equity’, </w:t>
      </w:r>
      <w:r>
        <w:rPr>
          <w:rFonts w:eastAsia="Times New Roman"/>
          <w:i/>
          <w:iCs/>
          <w:color w:val="000000"/>
        </w:rPr>
        <w:t>American journal of preventive medicine</w:t>
      </w:r>
      <w:r>
        <w:rPr>
          <w:rFonts w:eastAsia="Times New Roman"/>
          <w:color w:val="000000"/>
        </w:rPr>
        <w:t xml:space="preserve">, 60(3), pp.442-445. Available at: </w:t>
      </w:r>
      <w:r>
        <w:rPr/>
        <w:fldChar w:fldCharType="begin"/>
      </w:r>
      <w:r>
        <w:instrText xml:space="preserve"> HYPERLINK "https://pmc.ncbi.nlm.nih.gov/articles/PMC7902381/pdf/nihms-1632933.pdf" </w:instrText>
      </w:r>
      <w:r>
        <w:rPr/>
        <w:fldChar w:fldCharType="separate"/>
      </w:r>
      <w:r>
        <w:rPr>
          <w:rFonts w:eastAsia="Times New Roman"/>
          <w:color w:val="1155cc"/>
          <w:u w:val="single"/>
        </w:rPr>
        <w:t>https://pmc.ncbi.nlm.nih.gov/articles/PMC7902381/pdf/nihms-1632933.pdf</w:t>
      </w:r>
      <w:r>
        <w:rPr/>
        <w:fldChar w:fldCharType="end"/>
      </w:r>
      <w:r>
        <w:rPr>
          <w:rFonts w:eastAsia="Times New Roman"/>
          <w:color w:val="000000"/>
        </w:rPr>
        <w:t xml:space="preserve"> (Accessed: 10 April 2026).</w:t>
      </w:r>
    </w:p>
    <w:p>
      <w:pPr>
        <w:pStyle w:val="style0"/>
        <w:spacing w:lineRule="auto" w:line="360"/>
        <w:jc w:val="both"/>
        <w:rPr>
          <w:rFonts w:eastAsia="Times New Roman"/>
        </w:rPr>
      </w:pPr>
      <w:r>
        <w:rPr>
          <w:rFonts w:eastAsia="Times New Roman"/>
          <w:color w:val="000000"/>
        </w:rPr>
        <w:t xml:space="preserve">HACW. (2026). </w:t>
      </w:r>
      <w:r>
        <w:rPr>
          <w:rFonts w:eastAsia="Times New Roman"/>
          <w:i/>
          <w:iCs/>
          <w:color w:val="000000"/>
        </w:rPr>
        <w:t>Our Quality and Safety Standards</w:t>
      </w:r>
      <w:r>
        <w:rPr>
          <w:rFonts w:eastAsia="Times New Roman"/>
          <w:color w:val="000000"/>
        </w:rPr>
        <w:t xml:space="preserve">. Available at: </w:t>
      </w:r>
      <w:r>
        <w:rPr/>
        <w:fldChar w:fldCharType="begin"/>
      </w:r>
      <w:r>
        <w:instrText xml:space="preserve"> HYPERLINK "https://www.hacw.nhs.uk/quality-and-safety/equality-act-2010-452/" </w:instrText>
      </w:r>
      <w:r>
        <w:rPr/>
        <w:fldChar w:fldCharType="separate"/>
      </w:r>
      <w:r>
        <w:rPr>
          <w:rFonts w:eastAsia="Times New Roman"/>
          <w:color w:val="1155cc"/>
          <w:u w:val="single"/>
        </w:rPr>
        <w:t>https://www.hacw.nhs.uk/quality-and-safety/equality-act-2010-452/</w:t>
      </w:r>
      <w:r>
        <w:rPr/>
        <w:fldChar w:fldCharType="end"/>
      </w:r>
      <w:r>
        <w:rPr>
          <w:rFonts w:eastAsia="Times New Roman"/>
          <w:color w:val="000000"/>
        </w:rPr>
        <w:t>  (Accessed: 10 April 2026)</w:t>
      </w:r>
      <w:r>
        <w:rPr>
          <w:rFonts w:eastAsia="Times New Roman"/>
          <w:color w:val="000000"/>
        </w:rPr>
        <w:t>.</w:t>
      </w:r>
      <w:r>
        <w:rPr>
          <w:rFonts w:eastAsia="Times New Roman"/>
          <w:color w:val="000000"/>
        </w:rPr>
        <w:t> </w:t>
      </w:r>
    </w:p>
    <w:p>
      <w:pPr>
        <w:pStyle w:val="style0"/>
        <w:spacing w:lineRule="auto" w:line="360"/>
        <w:jc w:val="both"/>
        <w:rPr>
          <w:rFonts w:eastAsia="Times New Roman"/>
        </w:rPr>
      </w:pPr>
      <w:r>
        <w:rPr>
          <w:rFonts w:eastAsia="Times New Roman"/>
          <w:color w:val="000000"/>
        </w:rPr>
        <w:t xml:space="preserve">Halliday, J. (2025) </w:t>
      </w:r>
      <w:r>
        <w:rPr>
          <w:rFonts w:eastAsia="Times New Roman"/>
          <w:i/>
          <w:iCs/>
          <w:color w:val="000000"/>
        </w:rPr>
        <w:t>Emergency care at Lucy Letby hospital falls short of legal standards, CQC finds</w:t>
      </w:r>
      <w:r>
        <w:rPr>
          <w:rFonts w:eastAsia="Times New Roman"/>
          <w:color w:val="000000"/>
        </w:rPr>
        <w:t xml:space="preserve">. The Guardian. Available at: </w:t>
      </w:r>
      <w:r>
        <w:rPr/>
        <w:fldChar w:fldCharType="begin"/>
      </w:r>
      <w:r>
        <w:instrText xml:space="preserve"> HYPERLINK "https://www.theguardian.com/uk-news/2025/aug/08/emergency-care-lucy-letby-countess-chester-hospital-falling-short-legal-standards" </w:instrText>
      </w:r>
      <w:r>
        <w:rPr/>
        <w:fldChar w:fldCharType="separate"/>
      </w:r>
      <w:r>
        <w:rPr>
          <w:rFonts w:eastAsia="Times New Roman"/>
          <w:color w:val="1155cc"/>
          <w:u w:val="single"/>
        </w:rPr>
        <w:t>https://www.theguardian.com/uk-news/2025/aug/08/emergency-care-lucy-letby-countess-chester-hospital-falling-short-legal-standards</w:t>
      </w:r>
      <w:r>
        <w:rPr/>
        <w:fldChar w:fldCharType="end"/>
      </w:r>
      <w:r>
        <w:rPr>
          <w:rFonts w:eastAsia="Times New Roman"/>
          <w:color w:val="000000"/>
        </w:rPr>
        <w:t xml:space="preserve"> (Accessed: 10 April 2026).</w:t>
      </w:r>
    </w:p>
    <w:p>
      <w:pPr>
        <w:pStyle w:val="style0"/>
        <w:spacing w:lineRule="auto" w:line="360"/>
        <w:jc w:val="both"/>
        <w:rPr>
          <w:rFonts w:eastAsia="Times New Roman"/>
        </w:rPr>
      </w:pPr>
      <w:r>
        <w:rPr>
          <w:rFonts w:eastAsia="Times New Roman"/>
          <w:color w:val="000000"/>
        </w:rPr>
        <w:t xml:space="preserve">Ilin, M., and Bohlen, J. (2023). Six sigma method. Available at: </w:t>
      </w:r>
      <w:r>
        <w:rPr/>
        <w:fldChar w:fldCharType="begin"/>
      </w:r>
      <w:r>
        <w:instrText xml:space="preserve"> HYPERLINK "https://www.ncbi.nlm.nih.gov/books/NBK589666/" </w:instrText>
      </w:r>
      <w:r>
        <w:rPr/>
        <w:fldChar w:fldCharType="separate"/>
      </w:r>
      <w:r>
        <w:rPr>
          <w:rFonts w:eastAsia="Times New Roman"/>
          <w:color w:val="1155cc"/>
          <w:u w:val="single"/>
        </w:rPr>
        <w:t>https://www.ncbi.nlm.nih.gov/books/NBK589666/</w:t>
      </w:r>
      <w:r>
        <w:rPr/>
        <w:fldChar w:fldCharType="end"/>
      </w:r>
      <w:r>
        <w:rPr>
          <w:rFonts w:eastAsia="Times New Roman"/>
          <w:color w:val="000000"/>
        </w:rPr>
        <w:t xml:space="preserve"> (Accessed: 11 April 2026)</w:t>
      </w:r>
    </w:p>
    <w:p>
      <w:pPr>
        <w:pStyle w:val="style0"/>
        <w:spacing w:lineRule="auto" w:line="360"/>
        <w:jc w:val="both"/>
        <w:rPr>
          <w:rFonts w:eastAsia="Times New Roman"/>
        </w:rPr>
      </w:pPr>
      <w:r>
        <w:rPr>
          <w:rFonts w:eastAsia="Times New Roman"/>
          <w:color w:val="000000"/>
        </w:rPr>
        <w:t xml:space="preserve">Knapton, S. (2024). </w:t>
      </w:r>
      <w:r>
        <w:rPr>
          <w:rFonts w:eastAsia="Times New Roman"/>
          <w:i/>
          <w:iCs/>
          <w:color w:val="000000"/>
        </w:rPr>
        <w:t>Letby hospital director denies creating ‘atmosphere of fear’.</w:t>
      </w:r>
      <w:r>
        <w:rPr>
          <w:rFonts w:eastAsia="Times New Roman"/>
          <w:color w:val="000000"/>
        </w:rPr>
        <w:t xml:space="preserve"> Available at: </w:t>
      </w:r>
      <w:r>
        <w:rPr/>
        <w:fldChar w:fldCharType="begin"/>
      </w:r>
      <w:r>
        <w:instrText xml:space="preserve"> HYPERLINK "https://www.telegraph.co.uk/news/2024/11/29/lucy-letby-hospital-director-denies-atmosphere-fear/" </w:instrText>
      </w:r>
      <w:r>
        <w:rPr/>
        <w:fldChar w:fldCharType="separate"/>
      </w:r>
      <w:r>
        <w:rPr>
          <w:rFonts w:eastAsia="Times New Roman"/>
          <w:color w:val="1155cc"/>
          <w:u w:val="single"/>
        </w:rPr>
        <w:t>https://www.telegraph.co.uk/news/2024/11/29/lucy-letby-hospital-director-denies-atmosphere-fear/</w:t>
      </w:r>
      <w:r>
        <w:rPr/>
        <w:fldChar w:fldCharType="end"/>
      </w:r>
      <w:r>
        <w:rPr>
          <w:rFonts w:eastAsia="Times New Roman"/>
          <w:color w:val="000000"/>
        </w:rPr>
        <w:t xml:space="preserve"> (Accessed: 10 April 2026)</w:t>
      </w:r>
      <w:r>
        <w:rPr>
          <w:rFonts w:eastAsia="Times New Roman"/>
          <w:color w:val="000000"/>
        </w:rPr>
        <w:t>.</w:t>
      </w:r>
    </w:p>
    <w:p>
      <w:pPr>
        <w:pStyle w:val="style0"/>
        <w:spacing w:lineRule="auto" w:line="360"/>
        <w:jc w:val="both"/>
        <w:rPr>
          <w:rFonts w:eastAsia="Times New Roman"/>
        </w:rPr>
      </w:pPr>
      <w:r>
        <w:rPr>
          <w:rFonts w:eastAsia="Times New Roman"/>
          <w:color w:val="000000"/>
        </w:rPr>
        <w:t xml:space="preserve">LaFrance, D.L., Weiss, M.J., Kazemi, E., </w:t>
      </w:r>
      <w:r>
        <w:rPr>
          <w:rFonts w:eastAsia="Times New Roman"/>
          <w:color w:val="000000"/>
        </w:rPr>
        <w:t>Gerenser</w:t>
      </w:r>
      <w:r>
        <w:rPr>
          <w:rFonts w:eastAsia="Times New Roman"/>
          <w:color w:val="000000"/>
        </w:rPr>
        <w:t xml:space="preserve">, J. and </w:t>
      </w:r>
      <w:r>
        <w:rPr>
          <w:rFonts w:eastAsia="Times New Roman"/>
          <w:color w:val="000000"/>
        </w:rPr>
        <w:t>Dobres</w:t>
      </w:r>
      <w:r>
        <w:rPr>
          <w:rFonts w:eastAsia="Times New Roman"/>
          <w:color w:val="000000"/>
        </w:rPr>
        <w:t xml:space="preserve">, J. (2019) ‘Multidisciplinary teaming: Enhancing collaboration through increased understanding’, </w:t>
      </w:r>
      <w:r>
        <w:rPr>
          <w:rFonts w:eastAsia="Times New Roman"/>
          <w:i/>
          <w:iCs/>
          <w:color w:val="000000"/>
        </w:rPr>
        <w:t>Behavior analysis in practice</w:t>
      </w:r>
      <w:r>
        <w:rPr>
          <w:rFonts w:eastAsia="Times New Roman"/>
          <w:color w:val="000000"/>
        </w:rPr>
        <w:t xml:space="preserve">, 12(3), pp.709-726. Available at: </w:t>
      </w:r>
      <w:r>
        <w:rPr/>
        <w:fldChar w:fldCharType="begin"/>
      </w:r>
      <w:r>
        <w:instrText xml:space="preserve"> HYPERLINK "https://pmc.ncbi.nlm.nih.gov/articles/PMC6743510/pdf/40617_2019_Article_331.pdf" </w:instrText>
      </w:r>
      <w:r>
        <w:rPr/>
        <w:fldChar w:fldCharType="separate"/>
      </w:r>
      <w:r>
        <w:rPr>
          <w:rFonts w:eastAsia="Times New Roman"/>
          <w:color w:val="1155cc"/>
          <w:u w:val="single"/>
        </w:rPr>
        <w:t>https://pmc.ncbi.nlm.nih.gov/articles/PMC6743510/pdf/40617_2019_Article_331.pdf</w:t>
      </w:r>
      <w:r>
        <w:rPr/>
        <w:fldChar w:fldCharType="end"/>
      </w:r>
      <w:r>
        <w:rPr>
          <w:rFonts w:eastAsia="Times New Roman"/>
          <w:color w:val="000000"/>
        </w:rPr>
        <w:t xml:space="preserve"> (Accessed: 11 April 2026).</w:t>
      </w:r>
    </w:p>
    <w:p>
      <w:pPr>
        <w:pStyle w:val="style0"/>
        <w:spacing w:lineRule="auto" w:line="360"/>
        <w:jc w:val="both"/>
        <w:rPr>
          <w:rFonts w:eastAsia="Times New Roman"/>
        </w:rPr>
      </w:pPr>
      <w:r>
        <w:rPr>
          <w:rFonts w:eastAsia="Times New Roman"/>
          <w:color w:val="000000"/>
        </w:rPr>
        <w:t xml:space="preserve">Lawrence, F. and Conn, D. (2024) </w:t>
      </w:r>
      <w:r>
        <w:rPr>
          <w:rFonts w:eastAsia="Times New Roman"/>
          <w:i/>
          <w:iCs/>
          <w:color w:val="000000"/>
        </w:rPr>
        <w:t>A superbug, doctor shortages and a neonatal unit ‘out of its depth’: failures at Lucy Letby hospital revealed</w:t>
      </w:r>
      <w:r>
        <w:rPr>
          <w:rFonts w:eastAsia="Times New Roman"/>
          <w:color w:val="000000"/>
        </w:rPr>
        <w:t xml:space="preserve">. The Guardian.  Available at: </w:t>
      </w:r>
      <w:r>
        <w:rPr/>
        <w:fldChar w:fldCharType="begin"/>
      </w:r>
      <w:r>
        <w:instrText xml:space="preserve"> HYPERLINK "https://www.theguardian.com/uk-news/article/2024/sep/08/a-superbug-doctor-shortages-and-a-neonatal-unit-out-of-its-depth-failures-at-lucy-letby-hospital-revealed" </w:instrText>
      </w:r>
      <w:r>
        <w:rPr/>
        <w:fldChar w:fldCharType="separate"/>
      </w:r>
      <w:r>
        <w:rPr>
          <w:rFonts w:eastAsia="Times New Roman"/>
          <w:color w:val="1155cc"/>
          <w:u w:val="single"/>
        </w:rPr>
        <w:t>https://www.theguardian.com/uk-news/article/2024/sep/08/a-superbug-doctor-shortages-and-a-neonatal-unit-out-of-its-depth-failures-at-lucy-letby-hospital-revealed</w:t>
      </w:r>
      <w:r>
        <w:rPr/>
        <w:fldChar w:fldCharType="end"/>
      </w:r>
      <w:r>
        <w:rPr>
          <w:rFonts w:eastAsia="Times New Roman"/>
          <w:color w:val="000000"/>
        </w:rPr>
        <w:t xml:space="preserve"> (Accessed: 10 April 2026).</w:t>
      </w:r>
    </w:p>
    <w:p>
      <w:pPr>
        <w:pStyle w:val="style0"/>
        <w:spacing w:lineRule="auto" w:line="360"/>
        <w:jc w:val="both"/>
        <w:rPr>
          <w:rFonts w:eastAsia="Times New Roman"/>
        </w:rPr>
      </w:pPr>
      <w:r>
        <w:rPr>
          <w:rFonts w:eastAsia="Times New Roman"/>
          <w:color w:val="000000"/>
        </w:rPr>
        <w:t xml:space="preserve">Lawrence, F., and Conn, D. (2024). </w:t>
      </w:r>
      <w:r>
        <w:rPr>
          <w:rFonts w:eastAsia="Times New Roman"/>
          <w:i/>
          <w:iCs/>
          <w:color w:val="000000"/>
        </w:rPr>
        <w:t>A superbug, doctor shortages and a neonatal unit ‘out of its depth’: failures at Lucy Letby hospital revealed</w:t>
      </w:r>
      <w:r>
        <w:rPr>
          <w:rFonts w:eastAsia="Times New Roman"/>
          <w:color w:val="000000"/>
        </w:rPr>
        <w:t xml:space="preserve">. Available at: </w:t>
      </w:r>
      <w:r>
        <w:rPr/>
        <w:fldChar w:fldCharType="begin"/>
      </w:r>
      <w:r>
        <w:instrText xml:space="preserve"> HYPERLINK "https://www.theguardian.com/uk-news/article/2024/sep/08/a-superbug-doctor-shortages-and-a-neonatal-unit-out-of-its-depth-failures-at-lucy-letby-hospital-revealed" </w:instrText>
      </w:r>
      <w:r>
        <w:rPr/>
        <w:fldChar w:fldCharType="separate"/>
      </w:r>
      <w:r>
        <w:rPr>
          <w:rFonts w:eastAsia="Times New Roman"/>
          <w:color w:val="1155cc"/>
          <w:u w:val="single"/>
        </w:rPr>
        <w:t>https://www.theguardian.com/uk-news/article/2024/sep/08/a-superbug-doctor-shortages-and-a-neonatal-unit-out-of-its-depth-failures-at-lucy-letby-hospital-revealed</w:t>
      </w:r>
      <w:r>
        <w:rPr/>
        <w:fldChar w:fldCharType="end"/>
      </w:r>
      <w:r>
        <w:rPr>
          <w:rFonts w:eastAsia="Times New Roman"/>
          <w:color w:val="000000"/>
        </w:rPr>
        <w:t>  (Accessed: 10 April 2026)</w:t>
      </w:r>
      <w:r>
        <w:rPr>
          <w:rFonts w:eastAsia="Times New Roman"/>
          <w:color w:val="000000"/>
        </w:rPr>
        <w:t>.</w:t>
      </w:r>
      <w:r>
        <w:rPr>
          <w:rFonts w:eastAsia="Times New Roman"/>
          <w:color w:val="000000"/>
        </w:rPr>
        <w:t> </w:t>
      </w:r>
    </w:p>
    <w:p>
      <w:pPr>
        <w:pStyle w:val="style0"/>
        <w:spacing w:lineRule="auto" w:line="360"/>
        <w:jc w:val="both"/>
        <w:rPr>
          <w:rFonts w:eastAsia="Times New Roman"/>
        </w:rPr>
      </w:pPr>
      <w:r>
        <w:rPr>
          <w:rFonts w:eastAsia="Times New Roman"/>
          <w:color w:val="000000"/>
        </w:rPr>
        <w:t xml:space="preserve">Li, L. (2024) ‘Reskilling and upskilling the future-ready workforce for industry 4.0 and beyond’, </w:t>
      </w:r>
      <w:r>
        <w:rPr>
          <w:rFonts w:eastAsia="Times New Roman"/>
          <w:i/>
          <w:iCs/>
          <w:color w:val="000000"/>
        </w:rPr>
        <w:t>Information systems frontier</w:t>
      </w:r>
      <w:r>
        <w:rPr>
          <w:rFonts w:eastAsia="Times New Roman"/>
          <w:color w:val="000000"/>
        </w:rPr>
        <w:t xml:space="preserve">s, 26(5), pp.1697-1712. Available at: </w:t>
      </w:r>
      <w:r>
        <w:rPr/>
        <w:fldChar w:fldCharType="begin"/>
      </w:r>
      <w:r>
        <w:instrText xml:space="preserve"> HYPERLINK "https://doi.org/10.1007/s10796-022-10308-y" </w:instrText>
      </w:r>
      <w:r>
        <w:rPr/>
        <w:fldChar w:fldCharType="separate"/>
      </w:r>
      <w:r>
        <w:rPr>
          <w:rFonts w:eastAsia="Times New Roman"/>
          <w:color w:val="1155cc"/>
          <w:u w:val="single"/>
        </w:rPr>
        <w:t>https://doi.org/10.1007/s10796-022-10308-y</w:t>
      </w:r>
      <w:r>
        <w:rPr/>
        <w:fldChar w:fldCharType="end"/>
      </w:r>
      <w:r>
        <w:rPr>
          <w:rFonts w:eastAsia="Times New Roman"/>
          <w:color w:val="000000"/>
        </w:rPr>
        <w:t> </w:t>
      </w:r>
    </w:p>
    <w:p>
      <w:pPr>
        <w:pStyle w:val="style0"/>
        <w:spacing w:lineRule="auto" w:line="360"/>
        <w:jc w:val="both"/>
        <w:rPr>
          <w:rFonts w:eastAsia="Times New Roman"/>
        </w:rPr>
      </w:pPr>
      <w:r>
        <w:rPr>
          <w:rFonts w:eastAsia="Times New Roman"/>
          <w:color w:val="000000"/>
        </w:rPr>
        <w:t xml:space="preserve">Madine, M., Simsekler, M. C. E., Salah, K., and </w:t>
      </w:r>
      <w:r>
        <w:rPr>
          <w:rFonts w:eastAsia="Times New Roman"/>
          <w:color w:val="000000"/>
        </w:rPr>
        <w:t>Ellahham</w:t>
      </w:r>
      <w:r>
        <w:rPr>
          <w:rFonts w:eastAsia="Times New Roman"/>
          <w:color w:val="000000"/>
        </w:rPr>
        <w:t xml:space="preserve">, S. (2025). Applying Quality Improvement Science to Patient Safety: Strategies, Frameworks, and Sustainable Solutions. </w:t>
      </w:r>
      <w:r>
        <w:rPr>
          <w:rFonts w:eastAsia="Times New Roman"/>
          <w:i/>
          <w:iCs/>
          <w:color w:val="000000"/>
        </w:rPr>
        <w:t>Risk Management and Healthcare Policy,</w:t>
      </w:r>
      <w:r>
        <w:rPr>
          <w:rFonts w:eastAsia="Times New Roman"/>
          <w:color w:val="000000"/>
        </w:rPr>
        <w:t xml:space="preserve"> 3781-3791. Available at: </w:t>
      </w:r>
      <w:r>
        <w:rPr/>
        <w:fldChar w:fldCharType="begin"/>
      </w:r>
      <w:r>
        <w:instrText xml:space="preserve"> HYPERLINK "https://www.tandfonline.com/doi/pdf/10.2147/RMHP.S564459" </w:instrText>
      </w:r>
      <w:r>
        <w:rPr/>
        <w:fldChar w:fldCharType="separate"/>
      </w:r>
      <w:r>
        <w:rPr>
          <w:rFonts w:eastAsia="Times New Roman"/>
          <w:color w:val="1155cc"/>
          <w:u w:val="single"/>
        </w:rPr>
        <w:t>https://www.tandfonline.com/doi/pdf/10.2147/RMHP.S564459</w:t>
      </w:r>
      <w:r>
        <w:rPr/>
        <w:fldChar w:fldCharType="end"/>
      </w:r>
      <w:r>
        <w:rPr>
          <w:rFonts w:eastAsia="Times New Roman"/>
          <w:color w:val="000000"/>
        </w:rPr>
        <w:t>  </w:t>
      </w:r>
    </w:p>
    <w:p>
      <w:pPr>
        <w:pStyle w:val="style0"/>
        <w:spacing w:lineRule="auto" w:line="360"/>
        <w:jc w:val="both"/>
        <w:rPr>
          <w:rFonts w:eastAsia="Times New Roman"/>
        </w:rPr>
      </w:pPr>
      <w:r>
        <w:rPr>
          <w:rFonts w:eastAsia="Times New Roman"/>
          <w:color w:val="000000"/>
        </w:rPr>
        <w:t xml:space="preserve">Monday, L. M. (2022) ‘Define, measure, analyze, improve, control (DMAIC) methodology as a roadmap in quality improvement’. </w:t>
      </w:r>
      <w:r>
        <w:rPr>
          <w:rFonts w:eastAsia="Times New Roman"/>
          <w:i/>
          <w:iCs/>
          <w:color w:val="000000"/>
        </w:rPr>
        <w:t>Global journal on quality and safety in healthcare</w:t>
      </w:r>
      <w:r>
        <w:rPr>
          <w:rFonts w:eastAsia="Times New Roman"/>
          <w:color w:val="000000"/>
        </w:rPr>
        <w:t xml:space="preserve">, 5(2), 44-46. Available at: </w:t>
      </w:r>
      <w:r>
        <w:rPr/>
        <w:fldChar w:fldCharType="begin"/>
      </w:r>
      <w:r>
        <w:instrText xml:space="preserve"> HYPERLINK "https://pmc.ncbi.nlm.nih.gov/articles/PMC10229001/pdf/i2589-9449-5-2-44.pdf" </w:instrText>
      </w:r>
      <w:r>
        <w:rPr/>
        <w:fldChar w:fldCharType="separate"/>
      </w:r>
      <w:r>
        <w:rPr>
          <w:rFonts w:eastAsia="Times New Roman"/>
          <w:color w:val="1155cc"/>
          <w:u w:val="single"/>
        </w:rPr>
        <w:t>https://pmc.ncbi.nlm.nih.gov/articles/PMC10229001/pdf/i2589-9449-5-2-44.pdf</w:t>
      </w:r>
      <w:r>
        <w:rPr/>
        <w:fldChar w:fldCharType="end"/>
      </w:r>
      <w:r>
        <w:rPr>
          <w:rFonts w:eastAsia="Times New Roman"/>
          <w:color w:val="000000"/>
        </w:rPr>
        <w:t xml:space="preserve"> (Accessed: 11 April 2026)</w:t>
      </w:r>
      <w:r>
        <w:rPr>
          <w:rFonts w:eastAsia="Times New Roman"/>
          <w:color w:val="000000"/>
        </w:rPr>
        <w:t>.</w:t>
      </w:r>
    </w:p>
    <w:p>
      <w:pPr>
        <w:pStyle w:val="style0"/>
        <w:spacing w:lineRule="auto" w:line="360"/>
        <w:jc w:val="both"/>
        <w:rPr>
          <w:rFonts w:eastAsia="Times New Roman"/>
        </w:rPr>
      </w:pPr>
      <w:r>
        <w:rPr>
          <w:rFonts w:eastAsia="Times New Roman"/>
          <w:color w:val="000000"/>
        </w:rPr>
        <w:t xml:space="preserve">Moritz, J., Coffey, J., and Buchanan, M. (2023). </w:t>
      </w:r>
      <w:r>
        <w:rPr>
          <w:rFonts w:eastAsia="Times New Roman"/>
          <w:i/>
          <w:iCs/>
          <w:color w:val="000000"/>
        </w:rPr>
        <w:t>Hospital bosses ignored months of doctors' warnings about Lucy Letby</w:t>
      </w:r>
      <w:r>
        <w:rPr>
          <w:rFonts w:eastAsia="Times New Roman"/>
          <w:color w:val="000000"/>
        </w:rPr>
        <w:t xml:space="preserve">. Available at: </w:t>
      </w:r>
      <w:r>
        <w:rPr/>
        <w:fldChar w:fldCharType="begin"/>
      </w:r>
      <w:r>
        <w:instrText xml:space="preserve"> HYPERLINK "https://www.bbc.com/news/uk-66120934" </w:instrText>
      </w:r>
      <w:r>
        <w:rPr/>
        <w:fldChar w:fldCharType="separate"/>
      </w:r>
      <w:r>
        <w:rPr>
          <w:rFonts w:eastAsia="Times New Roman"/>
          <w:color w:val="1155cc"/>
          <w:u w:val="single"/>
        </w:rPr>
        <w:t>https://www.bbc.com/news/uk-66120934</w:t>
      </w:r>
      <w:r>
        <w:rPr/>
        <w:fldChar w:fldCharType="end"/>
      </w:r>
      <w:r>
        <w:rPr>
          <w:rFonts w:eastAsia="Times New Roman"/>
          <w:color w:val="000000"/>
        </w:rPr>
        <w:t xml:space="preserve"> (Accessed: 10 April 2026)</w:t>
      </w:r>
      <w:r>
        <w:rPr>
          <w:rFonts w:eastAsia="Times New Roman"/>
          <w:color w:val="000000"/>
        </w:rPr>
        <w:t>.</w:t>
      </w:r>
    </w:p>
    <w:p>
      <w:pPr>
        <w:pStyle w:val="style0"/>
        <w:spacing w:lineRule="auto" w:line="360"/>
        <w:jc w:val="both"/>
        <w:rPr>
          <w:rFonts w:eastAsia="Times New Roman"/>
        </w:rPr>
      </w:pPr>
      <w:r>
        <w:rPr>
          <w:rFonts w:eastAsia="Times New Roman"/>
          <w:color w:val="000000"/>
        </w:rPr>
        <w:t xml:space="preserve">NHS (2026) </w:t>
      </w:r>
      <w:r>
        <w:rPr>
          <w:rFonts w:eastAsia="Times New Roman"/>
          <w:i/>
          <w:iCs/>
          <w:color w:val="000000"/>
        </w:rPr>
        <w:t>Relevant frameworks</w:t>
      </w:r>
      <w:r>
        <w:rPr>
          <w:rFonts w:eastAsia="Times New Roman"/>
          <w:color w:val="000000"/>
        </w:rPr>
        <w:t xml:space="preserve">. Available at: </w:t>
      </w:r>
      <w:r>
        <w:rPr/>
        <w:fldChar w:fldCharType="begin"/>
      </w:r>
      <w:r>
        <w:instrText xml:space="preserve"> HYPERLINK "https://www.hee.nhs.uk/our-work/cancer-diagnostics/cancer-communications-resource-hub/relevant-frameworks" </w:instrText>
      </w:r>
      <w:r>
        <w:rPr/>
        <w:fldChar w:fldCharType="separate"/>
      </w:r>
      <w:r>
        <w:rPr>
          <w:rFonts w:eastAsia="Times New Roman"/>
          <w:color w:val="1155cc"/>
          <w:u w:val="single"/>
        </w:rPr>
        <w:t>https://www.hee.nhs.uk/our-work/cancer-diagnostics/cancer-communications-resource-hub/relevant-frameworks</w:t>
      </w:r>
      <w:r>
        <w:rPr/>
        <w:fldChar w:fldCharType="end"/>
      </w:r>
      <w:r>
        <w:rPr>
          <w:rFonts w:eastAsia="Times New Roman"/>
          <w:color w:val="000000"/>
        </w:rPr>
        <w:t xml:space="preserve"> (Accessed: 11 April 2026).</w:t>
      </w:r>
    </w:p>
    <w:p>
      <w:pPr>
        <w:pStyle w:val="style0"/>
        <w:spacing w:lineRule="auto" w:line="360"/>
        <w:jc w:val="both"/>
        <w:rPr>
          <w:rFonts w:eastAsia="Times New Roman"/>
        </w:rPr>
      </w:pPr>
      <w:r>
        <w:rPr>
          <w:rFonts w:eastAsia="Times New Roman"/>
          <w:color w:val="000000"/>
        </w:rPr>
        <w:t xml:space="preserve">NHS CoC, (2024). Quality Accounts. Available at: </w:t>
      </w:r>
      <w:r>
        <w:rPr/>
        <w:fldChar w:fldCharType="begin"/>
      </w:r>
      <w:r>
        <w:instrText xml:space="preserve"> HYPERLINK "https://www.coch.nhs.uk/media/215499/Quality-Accounts-2023-2024-Final.pdf" </w:instrText>
      </w:r>
      <w:r>
        <w:rPr/>
        <w:fldChar w:fldCharType="separate"/>
      </w:r>
      <w:r>
        <w:rPr>
          <w:rFonts w:eastAsia="Times New Roman"/>
          <w:color w:val="1155cc"/>
          <w:u w:val="single"/>
        </w:rPr>
        <w:t>https://www.coch.nhs.uk/media/215499/Quality-Accounts-2023-2024-Final.pdf</w:t>
      </w:r>
      <w:r>
        <w:rPr/>
        <w:fldChar w:fldCharType="end"/>
      </w:r>
      <w:r>
        <w:rPr>
          <w:rFonts w:eastAsia="Times New Roman"/>
          <w:color w:val="000000"/>
        </w:rPr>
        <w:t xml:space="preserve"> (Accessed: 10 April 2026)</w:t>
      </w:r>
      <w:r>
        <w:rPr>
          <w:rFonts w:eastAsia="Times New Roman"/>
          <w:color w:val="000000"/>
        </w:rPr>
        <w:t>.</w:t>
      </w:r>
    </w:p>
    <w:p>
      <w:pPr>
        <w:pStyle w:val="style0"/>
        <w:spacing w:lineRule="auto" w:line="360"/>
        <w:jc w:val="both"/>
        <w:rPr>
          <w:rFonts w:eastAsia="Times New Roman"/>
        </w:rPr>
      </w:pPr>
      <w:r>
        <w:rPr>
          <w:rFonts w:eastAsia="Times New Roman"/>
          <w:color w:val="000000"/>
        </w:rPr>
        <w:t xml:space="preserve">NHS England, (2023). </w:t>
      </w:r>
      <w:r>
        <w:rPr>
          <w:rFonts w:eastAsia="Times New Roman"/>
          <w:i/>
          <w:iCs/>
          <w:color w:val="000000"/>
        </w:rPr>
        <w:t>NHS Long Term Workforce Plan</w:t>
      </w:r>
      <w:r>
        <w:rPr>
          <w:rFonts w:eastAsia="Times New Roman"/>
          <w:color w:val="000000"/>
        </w:rPr>
        <w:t xml:space="preserve">. Available at: </w:t>
      </w:r>
      <w:r>
        <w:rPr/>
        <w:fldChar w:fldCharType="begin"/>
      </w:r>
      <w:r>
        <w:instrText xml:space="preserve"> HYPERLINK "https://www.england.nhs.uk/publication/nhs-long-term-workforce-plan/" </w:instrText>
      </w:r>
      <w:r>
        <w:rPr/>
        <w:fldChar w:fldCharType="separate"/>
      </w:r>
      <w:r>
        <w:rPr>
          <w:rFonts w:eastAsia="Times New Roman"/>
          <w:color w:val="1155cc"/>
          <w:u w:val="single"/>
        </w:rPr>
        <w:t>https://www.england.nhs.uk/publication/nhs-long-term-workforce-plan/</w:t>
      </w:r>
      <w:r>
        <w:rPr/>
        <w:fldChar w:fldCharType="end"/>
      </w:r>
      <w:r>
        <w:rPr>
          <w:rFonts w:eastAsia="Times New Roman"/>
          <w:color w:val="000000"/>
        </w:rPr>
        <w:t>  (Accessed: 10 April 2026).</w:t>
      </w:r>
    </w:p>
    <w:p>
      <w:pPr>
        <w:pStyle w:val="style0"/>
        <w:spacing w:lineRule="auto" w:line="360"/>
        <w:jc w:val="both"/>
        <w:rPr>
          <w:rFonts w:eastAsia="Times New Roman"/>
        </w:rPr>
      </w:pPr>
      <w:r>
        <w:rPr>
          <w:rFonts w:eastAsia="Times New Roman"/>
          <w:color w:val="000000"/>
        </w:rPr>
        <w:t xml:space="preserve">Platania, S., Maggio, C. and </w:t>
      </w:r>
      <w:r>
        <w:rPr>
          <w:rFonts w:eastAsia="Times New Roman"/>
          <w:color w:val="000000"/>
        </w:rPr>
        <w:t>Boccadamo</w:t>
      </w:r>
      <w:r>
        <w:rPr>
          <w:rFonts w:eastAsia="Times New Roman"/>
          <w:color w:val="000000"/>
        </w:rPr>
        <w:t xml:space="preserve">, M. (2025) ‘The Impact of Diversity Inclusion Practices in the Workplace Context: The Effect of Inclusive Leadership’, </w:t>
      </w:r>
      <w:r>
        <w:rPr>
          <w:rFonts w:eastAsia="Times New Roman"/>
          <w:i/>
          <w:iCs/>
          <w:color w:val="000000"/>
        </w:rPr>
        <w:t>European Journal of Investigation in Health, Psychology and Education</w:t>
      </w:r>
      <w:r>
        <w:rPr>
          <w:rFonts w:eastAsia="Times New Roman"/>
          <w:color w:val="000000"/>
        </w:rPr>
        <w:t xml:space="preserve">, 15(7), p.121. Available at: </w:t>
      </w:r>
      <w:r>
        <w:rPr/>
        <w:fldChar w:fldCharType="begin"/>
      </w:r>
      <w:r>
        <w:instrText xml:space="preserve"> HYPERLINK "https://doi.org/10.3390/ejihpe15070121" </w:instrText>
      </w:r>
      <w:r>
        <w:rPr/>
        <w:fldChar w:fldCharType="separate"/>
      </w:r>
      <w:r>
        <w:rPr>
          <w:rFonts w:eastAsia="Times New Roman"/>
          <w:color w:val="1155cc"/>
          <w:u w:val="single"/>
        </w:rPr>
        <w:t>https://doi.org/10.3390/ejihpe15070121</w:t>
      </w:r>
      <w:r>
        <w:rPr/>
        <w:fldChar w:fldCharType="end"/>
      </w:r>
      <w:r>
        <w:rPr>
          <w:rFonts w:eastAsia="Times New Roman"/>
          <w:color w:val="000000"/>
        </w:rPr>
        <w:t> </w:t>
      </w:r>
    </w:p>
    <w:p>
      <w:pPr>
        <w:pStyle w:val="style0"/>
        <w:spacing w:lineRule="auto" w:line="360"/>
        <w:jc w:val="both"/>
        <w:rPr>
          <w:rFonts w:eastAsia="Times New Roman"/>
        </w:rPr>
      </w:pPr>
      <w:r>
        <w:rPr>
          <w:rFonts w:eastAsia="Times New Roman"/>
          <w:color w:val="000000"/>
        </w:rPr>
        <w:t xml:space="preserve">Rosales, R., León, I.A. and León-Fuentes, A.L. (2023) ‘Recommendations for recruitment and retention of a diverse workforce: A report from the field’, </w:t>
      </w:r>
      <w:r>
        <w:rPr>
          <w:rFonts w:eastAsia="Times New Roman"/>
          <w:i/>
          <w:iCs/>
          <w:color w:val="000000"/>
        </w:rPr>
        <w:t>Behavior Analysis in Practice</w:t>
      </w:r>
      <w:r>
        <w:rPr>
          <w:rFonts w:eastAsia="Times New Roman"/>
          <w:color w:val="000000"/>
        </w:rPr>
        <w:t xml:space="preserve">, 16(1), pp.346-361. Available at: </w:t>
      </w:r>
      <w:r>
        <w:rPr/>
        <w:fldChar w:fldCharType="begin"/>
      </w:r>
      <w:r>
        <w:instrText xml:space="preserve"> HYPERLINK "https://link.springer.com/content/pdf/10.1007/s40617-022-00747-z.pdf" </w:instrText>
      </w:r>
      <w:r>
        <w:rPr/>
        <w:fldChar w:fldCharType="separate"/>
      </w:r>
      <w:r>
        <w:rPr>
          <w:rFonts w:eastAsia="Times New Roman"/>
          <w:color w:val="1155cc"/>
          <w:u w:val="single"/>
        </w:rPr>
        <w:t>https://link.springer.com/content/pdf/10.1007/s40617-022-00747-z.pdf</w:t>
      </w:r>
      <w:r>
        <w:rPr/>
        <w:fldChar w:fldCharType="end"/>
      </w:r>
      <w:r>
        <w:rPr>
          <w:rFonts w:eastAsia="Times New Roman"/>
          <w:color w:val="000000"/>
        </w:rPr>
        <w:t xml:space="preserve"> (Accessed: 11 April 2026).</w:t>
      </w:r>
    </w:p>
    <w:p>
      <w:pPr>
        <w:pStyle w:val="style0"/>
        <w:spacing w:lineRule="auto" w:line="360"/>
        <w:jc w:val="both"/>
        <w:rPr>
          <w:rFonts w:eastAsia="Times New Roman"/>
        </w:rPr>
      </w:pPr>
      <w:r>
        <w:rPr>
          <w:rFonts w:eastAsia="Times New Roman"/>
          <w:color w:val="000000"/>
        </w:rPr>
        <w:t xml:space="preserve">Shabani, T., Jerie, S., and Shabani, T. (2024) ‘A comprehensive review of the Swiss cheese model in risk management’. </w:t>
      </w:r>
      <w:r>
        <w:rPr>
          <w:rFonts w:eastAsia="Times New Roman"/>
          <w:i/>
          <w:iCs/>
          <w:color w:val="000000"/>
        </w:rPr>
        <w:t>Safety in extreme environments</w:t>
      </w:r>
      <w:r>
        <w:rPr>
          <w:rFonts w:eastAsia="Times New Roman"/>
          <w:color w:val="000000"/>
        </w:rPr>
        <w:t xml:space="preserve">, 6(1), 43-57. Available at: </w:t>
      </w:r>
      <w:r>
        <w:rPr/>
        <w:fldChar w:fldCharType="begin"/>
      </w:r>
      <w:r>
        <w:instrText xml:space="preserve"> HYPERLINK "https://www.academia.edu/download/113129806/SWISS_CHEESE_MODEL.pdf" </w:instrText>
      </w:r>
      <w:r>
        <w:rPr/>
        <w:fldChar w:fldCharType="separate"/>
      </w:r>
      <w:r>
        <w:rPr>
          <w:rFonts w:eastAsia="Times New Roman"/>
          <w:color w:val="1155cc"/>
          <w:u w:val="single"/>
        </w:rPr>
        <w:t>https://www.academia.edu/download/113129806/SWISS_CHEESE_MODEL.pdf</w:t>
      </w:r>
      <w:r>
        <w:rPr/>
        <w:fldChar w:fldCharType="end"/>
      </w:r>
      <w:r>
        <w:rPr>
          <w:rFonts w:eastAsia="Times New Roman"/>
          <w:color w:val="000000"/>
        </w:rPr>
        <w:t> </w:t>
      </w:r>
    </w:p>
    <w:p>
      <w:pPr>
        <w:pStyle w:val="style0"/>
        <w:spacing w:lineRule="auto" w:line="360"/>
        <w:jc w:val="both"/>
        <w:rPr>
          <w:rFonts w:eastAsia="Times New Roman"/>
        </w:rPr>
      </w:pPr>
      <w:r>
        <w:rPr>
          <w:rFonts w:eastAsia="Times New Roman"/>
          <w:color w:val="000000"/>
        </w:rPr>
        <w:t>Tossaint-Schoenmakers</w:t>
      </w:r>
      <w:r>
        <w:rPr>
          <w:rFonts w:eastAsia="Times New Roman"/>
          <w:color w:val="000000"/>
        </w:rPr>
        <w:t xml:space="preserve">, R., Versluis, A., Chavannes, N., </w:t>
      </w:r>
      <w:r>
        <w:rPr>
          <w:rFonts w:eastAsia="Times New Roman"/>
          <w:color w:val="000000"/>
        </w:rPr>
        <w:t>Talboom</w:t>
      </w:r>
      <w:r>
        <w:rPr>
          <w:rFonts w:eastAsia="Times New Roman"/>
          <w:color w:val="000000"/>
        </w:rPr>
        <w:t xml:space="preserve">-Kamp, E. and </w:t>
      </w:r>
      <w:r>
        <w:rPr>
          <w:rFonts w:eastAsia="Times New Roman"/>
          <w:color w:val="000000"/>
        </w:rPr>
        <w:t>Kasteleyn</w:t>
      </w:r>
      <w:r>
        <w:rPr>
          <w:rFonts w:eastAsia="Times New Roman"/>
          <w:color w:val="000000"/>
        </w:rPr>
        <w:t xml:space="preserve">, M. (2021) ‘The challenge of integrating eHealth into health care: systematic literature review of the Donabedian model of structure, process, and outcome’, </w:t>
      </w:r>
      <w:r>
        <w:rPr>
          <w:rFonts w:eastAsia="Times New Roman"/>
          <w:i/>
          <w:iCs/>
          <w:color w:val="000000"/>
        </w:rPr>
        <w:t>Journal of medical Internet research</w:t>
      </w:r>
      <w:r>
        <w:rPr>
          <w:rFonts w:eastAsia="Times New Roman"/>
          <w:color w:val="000000"/>
        </w:rPr>
        <w:t xml:space="preserve">, 23(5), p.e27180. Available at: </w:t>
      </w:r>
      <w:r>
        <w:rPr/>
        <w:fldChar w:fldCharType="begin"/>
      </w:r>
      <w:r>
        <w:instrText xml:space="preserve"> HYPERLINK "https://www.jmir.org/2021/5/e27180/" </w:instrText>
      </w:r>
      <w:r>
        <w:rPr/>
        <w:fldChar w:fldCharType="separate"/>
      </w:r>
      <w:r>
        <w:rPr>
          <w:rFonts w:eastAsia="Times New Roman"/>
          <w:color w:val="1155cc"/>
          <w:u w:val="single"/>
        </w:rPr>
        <w:t>https://www.jmir.org/2021/5/e27180/</w:t>
      </w:r>
      <w:r>
        <w:rPr/>
        <w:fldChar w:fldCharType="end"/>
      </w:r>
      <w:r>
        <w:rPr>
          <w:rFonts w:eastAsia="Times New Roman"/>
          <w:color w:val="000000"/>
        </w:rPr>
        <w:t xml:space="preserve"> (Accessed: 10 April 2026).</w:t>
      </w:r>
    </w:p>
    <w:p>
      <w:pPr>
        <w:pStyle w:val="style0"/>
        <w:spacing w:lineRule="auto" w:line="360"/>
        <w:jc w:val="both"/>
        <w:rPr>
          <w:rFonts w:eastAsia="Times New Roman"/>
        </w:rPr>
      </w:pPr>
      <w:r>
        <w:rPr>
          <w:rFonts w:eastAsia="Times New Roman"/>
          <w:color w:val="000000"/>
        </w:rPr>
        <w:t xml:space="preserve">WHO (2023) </w:t>
      </w:r>
      <w:r>
        <w:rPr>
          <w:rFonts w:eastAsia="Times New Roman"/>
          <w:i/>
          <w:iCs/>
          <w:color w:val="000000"/>
        </w:rPr>
        <w:t>Patient safety</w:t>
      </w:r>
      <w:r>
        <w:rPr>
          <w:rFonts w:eastAsia="Times New Roman"/>
          <w:color w:val="000000"/>
        </w:rPr>
        <w:t xml:space="preserve">. World Health Organization. Available at: </w:t>
      </w:r>
      <w:r>
        <w:rPr/>
        <w:fldChar w:fldCharType="begin"/>
      </w:r>
      <w:r>
        <w:instrText xml:space="preserve"> HYPERLINK "https://www.who.int/news-room/fact-sheets/detail/patient-safety" </w:instrText>
      </w:r>
      <w:r>
        <w:rPr/>
        <w:fldChar w:fldCharType="separate"/>
      </w:r>
      <w:r>
        <w:rPr>
          <w:rFonts w:eastAsia="Times New Roman"/>
          <w:color w:val="1155cc"/>
          <w:u w:val="single"/>
        </w:rPr>
        <w:t>https://www.who.int/news-room/fact-sheets/detail/patient-safety</w:t>
      </w:r>
      <w:r>
        <w:rPr/>
        <w:fldChar w:fldCharType="end"/>
      </w:r>
      <w:r>
        <w:rPr>
          <w:rFonts w:eastAsia="Times New Roman"/>
          <w:color w:val="000000"/>
        </w:rPr>
        <w:t xml:space="preserve"> (Accessed: 10 April 2026).</w:t>
      </w:r>
    </w:p>
    <w:p>
      <w:pPr>
        <w:pStyle w:val="style0"/>
        <w:spacing w:lineRule="auto" w:line="360"/>
        <w:jc w:val="both"/>
        <w:rPr>
          <w:rFonts w:eastAsia="Times New Roman"/>
        </w:rPr>
      </w:pPr>
      <w:r>
        <w:rPr>
          <w:rFonts w:eastAsia="Times New Roman"/>
          <w:color w:val="000000"/>
        </w:rPr>
        <w:t xml:space="preserve">Wiegmann, D. A., Wood, L. J., Cohen, T. N., and Shappell, S. A. (2022) ‘Understanding the “Swiss Cheese Model” and its application to patient safety’. </w:t>
      </w:r>
      <w:r>
        <w:rPr>
          <w:rFonts w:eastAsia="Times New Roman"/>
          <w:i/>
          <w:iCs/>
          <w:color w:val="000000"/>
        </w:rPr>
        <w:t xml:space="preserve">Journal of patient safety, </w:t>
      </w:r>
      <w:r>
        <w:rPr>
          <w:rFonts w:eastAsia="Times New Roman"/>
          <w:color w:val="000000"/>
        </w:rPr>
        <w:t xml:space="preserve">18(2), 119-123. </w:t>
      </w:r>
      <w:r>
        <w:rPr/>
        <w:fldChar w:fldCharType="begin"/>
      </w:r>
      <w:r>
        <w:instrText xml:space="preserve"> HYPERLINK "https://pmc.ncbi.nlm.nih.gov/articles/PMC8514562/pdf/nihms-1651282.pdf" </w:instrText>
      </w:r>
      <w:r>
        <w:rPr/>
        <w:fldChar w:fldCharType="separate"/>
      </w:r>
      <w:r>
        <w:rPr>
          <w:rFonts w:eastAsia="Times New Roman"/>
          <w:color w:val="1155cc"/>
          <w:u w:val="single"/>
        </w:rPr>
        <w:t>https://pmc.ncbi.nlm.nih.gov/articles/PMC8514562/pdf/nihms-1651282.pdf</w:t>
      </w:r>
      <w:r>
        <w:rPr/>
        <w:fldChar w:fldCharType="end"/>
      </w:r>
      <w:r>
        <w:rPr>
          <w:rFonts w:eastAsia="Times New Roman"/>
          <w:color w:val="000000"/>
        </w:rPr>
        <w:t> </w:t>
      </w:r>
    </w:p>
    <w:p>
      <w:pPr>
        <w:pStyle w:val="style0"/>
        <w:spacing w:lineRule="auto" w:line="360"/>
        <w:jc w:val="both"/>
        <w:rPr>
          <w:rFonts w:eastAsia="Times New Roman"/>
        </w:rPr>
      </w:pPr>
      <w:r>
        <w:rPr>
          <w:rFonts w:eastAsia="Times New Roman"/>
          <w:color w:val="000000"/>
        </w:rPr>
        <w:t xml:space="preserve">Wijaya, I. S., Bora, M. A., </w:t>
      </w:r>
      <w:r>
        <w:rPr>
          <w:rFonts w:eastAsia="Times New Roman"/>
          <w:color w:val="000000"/>
        </w:rPr>
        <w:t>Permatasari</w:t>
      </w:r>
      <w:r>
        <w:rPr>
          <w:rFonts w:eastAsia="Times New Roman"/>
          <w:color w:val="000000"/>
        </w:rPr>
        <w:t xml:space="preserve">, R. D., and </w:t>
      </w:r>
      <w:r>
        <w:rPr>
          <w:rFonts w:eastAsia="Times New Roman"/>
          <w:color w:val="000000"/>
        </w:rPr>
        <w:t>Zulkarnaian</w:t>
      </w:r>
      <w:r>
        <w:rPr>
          <w:rFonts w:eastAsia="Times New Roman"/>
          <w:color w:val="000000"/>
        </w:rPr>
        <w:t xml:space="preserve">, M. A. F. (2025) ‘Application of RACI Framework for Optimization of Key Performance Indicators (KPI) in Manufacturing Companies’. </w:t>
      </w:r>
      <w:r>
        <w:rPr>
          <w:rFonts w:eastAsia="Times New Roman"/>
          <w:i/>
          <w:iCs/>
          <w:color w:val="000000"/>
        </w:rPr>
        <w:t>Dinasti International Journal of Education Management and Social Science</w:t>
      </w:r>
      <w:r>
        <w:rPr>
          <w:rFonts w:eastAsia="Times New Roman"/>
          <w:color w:val="000000"/>
        </w:rPr>
        <w:t xml:space="preserve">, 6(4). </w:t>
      </w:r>
      <w:r>
        <w:rPr/>
        <w:fldChar w:fldCharType="begin"/>
      </w:r>
      <w:r>
        <w:instrText xml:space="preserve"> HYPERLINK "https://www.researchgate.net/profile/M-Bora/publication/390639513_Application_of_RACI_Framework_for_optimization_of_Key_Performance_Indicators_KPI_in_manufacturing_companies/links/67f73ccd95231d5ba5bd9ba3/Application-of-RACI-Framework-for-optimization-of-Key-Performance-Indicators-KPI-in-manufacturing-companies.pdf" </w:instrText>
      </w:r>
      <w:r>
        <w:rPr/>
        <w:fldChar w:fldCharType="separate"/>
      </w:r>
      <w:r>
        <w:rPr>
          <w:rFonts w:eastAsia="Times New Roman"/>
          <w:color w:val="1155cc"/>
          <w:u w:val="single"/>
        </w:rPr>
        <w:t>https://www.researchgate.net/profile/M-Bora/publication/390639513</w:t>
      </w:r>
      <w:r>
        <w:rPr/>
        <w:fldChar w:fldCharType="end"/>
      </w:r>
      <w:r>
        <w:rPr>
          <w:rFonts w:eastAsia="Times New Roman"/>
          <w:color w:val="000000"/>
        </w:rPr>
        <w:t xml:space="preserve"> (Accessed: 11 April 2026)</w:t>
      </w:r>
      <w:r>
        <w:rPr>
          <w:rFonts w:eastAsia="Times New Roman"/>
          <w:color w:val="000000"/>
        </w:rPr>
        <w:t>.</w:t>
      </w:r>
    </w:p>
    <w:p>
      <w:pPr>
        <w:pStyle w:val="style0"/>
        <w:spacing w:lineRule="auto" w:line="360"/>
        <w:jc w:val="both"/>
        <w:rPr>
          <w:rFonts w:eastAsia="Times New Roman"/>
        </w:rPr>
      </w:pPr>
      <w:r>
        <w:rPr>
          <w:rFonts w:eastAsia="Times New Roman"/>
          <w:color w:val="000000"/>
        </w:rPr>
        <w:t>Zhenjing</w:t>
      </w:r>
      <w:r>
        <w:rPr>
          <w:rFonts w:eastAsia="Times New Roman"/>
          <w:color w:val="000000"/>
        </w:rPr>
        <w:t xml:space="preserve">, G., </w:t>
      </w:r>
      <w:r>
        <w:rPr>
          <w:rFonts w:eastAsia="Times New Roman"/>
          <w:color w:val="000000"/>
        </w:rPr>
        <w:t>Chupradit</w:t>
      </w:r>
      <w:r>
        <w:rPr>
          <w:rFonts w:eastAsia="Times New Roman"/>
          <w:color w:val="000000"/>
        </w:rPr>
        <w:t xml:space="preserve">, S., Ku, K.Y., </w:t>
      </w:r>
      <w:r>
        <w:rPr>
          <w:rFonts w:eastAsia="Times New Roman"/>
          <w:color w:val="000000"/>
        </w:rPr>
        <w:t>Nassani</w:t>
      </w:r>
      <w:r>
        <w:rPr>
          <w:rFonts w:eastAsia="Times New Roman"/>
          <w:color w:val="000000"/>
        </w:rPr>
        <w:t xml:space="preserve">, A.A. and Haffar, M. (2022) ‘Impact of employees' workplace environment on employees' performance: a multi-mediation model’, </w:t>
      </w:r>
      <w:r>
        <w:rPr>
          <w:rFonts w:eastAsia="Times New Roman"/>
          <w:i/>
          <w:iCs/>
          <w:color w:val="000000"/>
        </w:rPr>
        <w:t>Frontiers in public health</w:t>
      </w:r>
      <w:r>
        <w:rPr>
          <w:rFonts w:eastAsia="Times New Roman"/>
          <w:color w:val="000000"/>
        </w:rPr>
        <w:t xml:space="preserve">, 10, p.890400. Available at: </w:t>
      </w:r>
      <w:r>
        <w:rPr/>
        <w:fldChar w:fldCharType="begin"/>
      </w:r>
      <w:r>
        <w:instrText xml:space="preserve"> HYPERLINK "https://doi.org/10.3389/fpubh.2022.890400" </w:instrText>
      </w:r>
      <w:r>
        <w:rPr/>
        <w:fldChar w:fldCharType="separate"/>
      </w:r>
      <w:r>
        <w:rPr>
          <w:rFonts w:eastAsia="Times New Roman"/>
          <w:color w:val="1155cc"/>
          <w:u w:val="single"/>
        </w:rPr>
        <w:t>https://doi.org/10.3389/fpubh.2022.890400</w:t>
      </w:r>
      <w:r>
        <w:rPr/>
        <w:fldChar w:fldCharType="end"/>
      </w:r>
      <w:r>
        <w:rPr>
          <w:rFonts w:eastAsia="Times New Roman"/>
          <w:color w:val="000000"/>
        </w:rPr>
        <w:t> </w:t>
      </w:r>
    </w:p>
    <w:sectPr>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Segoe UI">
    <w:altName w:val="Segoe UI"/>
    <w:panose1 w:val="020b0502040002020203"/>
    <w:charset w:val="00"/>
    <w:family w:val="swiss"/>
    <w:pitch w:val="variable"/>
    <w:sig w:usb0="E4002EFF" w:usb1="C000E47F"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A22881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5F743B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FFB690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6884EF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0000004"/>
    <w:multiLevelType w:val="multilevel"/>
    <w:tmpl w:val="25FEFE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0000005"/>
    <w:multiLevelType w:val="multilevel"/>
    <w:tmpl w:val="37505A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00000006"/>
    <w:multiLevelType w:val="multilevel"/>
    <w:tmpl w:val="1F88F4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00000007"/>
    <w:multiLevelType w:val="multilevel"/>
    <w:tmpl w:val="2AC2DB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00000008"/>
    <w:multiLevelType w:val="hybridMultilevel"/>
    <w:tmpl w:val="5C324C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4"/>
  </w:num>
  <w:num w:numId="2">
    <w:abstractNumId w:val="1"/>
  </w:num>
  <w:num w:numId="3">
    <w:abstractNumId w:val="6"/>
  </w:num>
  <w:num w:numId="4">
    <w:abstractNumId w:val="5"/>
  </w:num>
  <w:num w:numId="5">
    <w:abstractNumId w:val="2"/>
  </w:num>
  <w:num w:numId="6">
    <w:abstractNumId w:val="7"/>
  </w:num>
  <w:num w:numId="7">
    <w:abstractNumId w:val="0"/>
  </w:num>
  <w:num w:numId="8">
    <w:abstractNumId w:val="3"/>
  </w:num>
  <w:num w:numId="9">
    <w:abstractNumId w:val="8"/>
  </w:num>
</w:numbering>
</file>

<file path=word/settings.xml><?xml version="1.0" encoding="utf-8"?>
<w:settings xmlns:w="http://schemas.openxmlformats.org/wordprocessingml/2006/main" xmlns:r="http://schemas.openxmlformats.org/officeDocument/2006/relationships" xmlns:m="http://schemas.openxmlformats.org/officeDocument/2006/math">
  <w:zoom w:percent="91"/>
  <w:removePersonalInformation/>
  <w:removeDateAndTime/>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2"/>
        <w:szCs w:val="22"/>
        <w:lang w:val="en-IN" w:bidi="ar-SA" w:eastAsia="en-IN"/>
      </w:rPr>
    </w:rPrDefault>
    <w:pPrDefault>
      <w:pPr>
        <w:spacing w:lineRule="auto" w:line="276"/>
      </w:pPr>
    </w:pPrDefault>
  </w:docDefaults>
  <w:style w:type="paragraph" w:default="1" w:styleId="style0">
    <w:name w:val="Normal"/>
    <w:next w:val="style0"/>
    <w:pPr/>
    <w:rPr>
      <w:lang w:val="en-GB"/>
    </w:rPr>
  </w:style>
  <w:style w:type="paragraph" w:styleId="style1">
    <w:name w:val="heading 1"/>
    <w:basedOn w:val="style0"/>
    <w:next w:val="style0"/>
    <w:pPr>
      <w:keepNext/>
      <w:keepLines/>
      <w:spacing w:lineRule="auto" w:line="360"/>
      <w:jc w:val="both"/>
      <w:outlineLvl w:val="0"/>
    </w:pPr>
    <w:rPr>
      <w:b/>
      <w:szCs w:val="40"/>
    </w:rPr>
  </w:style>
  <w:style w:type="paragraph" w:styleId="style2">
    <w:name w:val="heading 2"/>
    <w:basedOn w:val="style0"/>
    <w:next w:val="style0"/>
    <w:pPr>
      <w:keepNext/>
      <w:keepLines/>
      <w:spacing w:lineRule="auto" w:line="360"/>
      <w:jc w:val="both"/>
      <w:outlineLvl w:val="1"/>
    </w:pPr>
    <w:rPr>
      <w:b/>
      <w:i/>
      <w:szCs w:val="32"/>
    </w:rPr>
  </w:style>
  <w:style w:type="paragraph" w:styleId="style3">
    <w:name w:val="heading 3"/>
    <w:basedOn w:val="style0"/>
    <w:next w:val="style0"/>
    <w:pPr>
      <w:keepNext/>
      <w:keepLines/>
      <w:spacing w:before="320" w:after="80"/>
      <w:outlineLvl w:val="2"/>
    </w:pPr>
    <w:rPr>
      <w:color w:val="434343"/>
      <w:sz w:val="28"/>
      <w:szCs w:val="28"/>
    </w:rPr>
  </w:style>
  <w:style w:type="paragraph" w:styleId="style4">
    <w:name w:val="heading 4"/>
    <w:basedOn w:val="style0"/>
    <w:next w:val="style0"/>
    <w:pPr>
      <w:keepNext/>
      <w:keepLines/>
      <w:spacing w:before="280" w:after="80"/>
      <w:outlineLvl w:val="3"/>
    </w:pPr>
    <w:rPr>
      <w:color w:val="666666"/>
      <w:sz w:val="24"/>
      <w:szCs w:val="24"/>
    </w:rPr>
  </w:style>
  <w:style w:type="paragraph" w:styleId="style5">
    <w:name w:val="heading 5"/>
    <w:basedOn w:val="style0"/>
    <w:next w:val="style0"/>
    <w:pPr>
      <w:keepNext/>
      <w:keepLines/>
      <w:spacing w:before="240" w:after="80"/>
      <w:outlineLvl w:val="4"/>
    </w:pPr>
    <w:rPr>
      <w:color w:val="666666"/>
    </w:rPr>
  </w:style>
  <w:style w:type="paragraph" w:styleId="style6">
    <w:name w:val="heading 6"/>
    <w:basedOn w:val="style0"/>
    <w:next w:val="style0"/>
    <w:pPr>
      <w:keepNext/>
      <w:keepLines/>
      <w:spacing w:before="240" w:after="80"/>
      <w:outlineLvl w:val="5"/>
    </w:pPr>
    <w:rPr>
      <w:i/>
      <w:iCs/>
      <w:color w:val="66666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pPr>
      <w:keepNext/>
      <w:keepLines/>
      <w:spacing w:after="60"/>
    </w:pPr>
    <w:rPr>
      <w:sz w:val="52"/>
      <w:szCs w:val="52"/>
    </w:rPr>
  </w:style>
  <w:style w:type="paragraph" w:styleId="style74">
    <w:name w:val="Subtitle"/>
    <w:basedOn w:val="style0"/>
    <w:next w:val="style0"/>
    <w:pPr>
      <w:keepNext/>
      <w:keepLines/>
      <w:spacing w:after="320"/>
    </w:pPr>
    <w:rPr>
      <w:color w:val="666666"/>
      <w:sz w:val="30"/>
      <w:szCs w:val="30"/>
    </w:rPr>
  </w:style>
  <w:style w:type="table" w:customStyle="1" w:styleId="style4098">
    <w:basedOn w:val="style4097"/>
    <w:next w:val="style4098"/>
    <w:pPr/>
    <w:rPr/>
    <w:tblPr>
      <w:tblStyleRowBandSize w:val="1"/>
      <w:tblStyleColBandSize w:val="1"/>
    </w:tblPr>
    <w:tcPr>
      <w:tcBorders/>
    </w:tcPr>
  </w:style>
  <w:style w:type="table" w:customStyle="1" w:styleId="style4099">
    <w:basedOn w:val="style4097"/>
    <w:next w:val="style4099"/>
    <w:pPr/>
    <w:rPr/>
    <w:tblPr>
      <w:tblStyleRowBandSize w:val="1"/>
      <w:tblStyleColBandSize w:val="1"/>
    </w:tblPr>
    <w:tcPr>
      <w:tcBorders/>
    </w:tcPr>
  </w:style>
  <w:style w:type="table" w:customStyle="1" w:styleId="style4100">
    <w:basedOn w:val="style4097"/>
    <w:next w:val="style4100"/>
    <w:pPr/>
    <w:rPr/>
    <w:tblPr>
      <w:tblStyleRowBandSize w:val="1"/>
      <w:tblStyleColBandSize w:val="1"/>
    </w:tblPr>
    <w:tcPr>
      <w:tcBorders/>
    </w:tcPr>
  </w:style>
  <w:style w:type="paragraph" w:styleId="style30">
    <w:name w:val="annotation text"/>
    <w:basedOn w:val="style0"/>
    <w:next w:val="style30"/>
    <w:link w:val="style4101"/>
    <w:uiPriority w:val="99"/>
    <w:pPr>
      <w:spacing w:lineRule="auto" w:line="240"/>
    </w:pPr>
    <w:rPr>
      <w:sz w:val="20"/>
      <w:szCs w:val="20"/>
    </w:rPr>
  </w:style>
  <w:style w:type="character" w:customStyle="1" w:styleId="style4101">
    <w:name w:val="Comment Text Char"/>
    <w:basedOn w:val="style65"/>
    <w:next w:val="style4101"/>
    <w:link w:val="style30"/>
    <w:uiPriority w:val="99"/>
    <w:rPr>
      <w:sz w:val="20"/>
      <w:szCs w:val="20"/>
    </w:rPr>
  </w:style>
  <w:style w:type="character" w:styleId="style39">
    <w:name w:val="annotation reference"/>
    <w:basedOn w:val="style65"/>
    <w:next w:val="style39"/>
    <w:uiPriority w:val="99"/>
    <w:rPr>
      <w:sz w:val="16"/>
      <w:szCs w:val="16"/>
    </w:rPr>
  </w:style>
  <w:style w:type="paragraph" w:styleId="style153">
    <w:name w:val="Balloon Text"/>
    <w:basedOn w:val="style0"/>
    <w:next w:val="style153"/>
    <w:link w:val="style4102"/>
    <w:uiPriority w:val="99"/>
    <w:pPr>
      <w:spacing w:lineRule="auto" w:line="240"/>
    </w:pPr>
    <w:rPr>
      <w:rFonts w:ascii="Segoe UI" w:cs="Segoe UI" w:hAnsi="Segoe UI"/>
      <w:sz w:val="18"/>
      <w:szCs w:val="18"/>
    </w:rPr>
  </w:style>
  <w:style w:type="character" w:customStyle="1" w:styleId="style4102">
    <w:name w:val="Balloon Text Char"/>
    <w:basedOn w:val="style65"/>
    <w:next w:val="style4102"/>
    <w:link w:val="style153"/>
    <w:uiPriority w:val="99"/>
    <w:rPr>
      <w:rFonts w:ascii="Segoe UI" w:cs="Segoe UI" w:hAnsi="Segoe UI"/>
      <w:sz w:val="18"/>
      <w:szCs w:val="18"/>
    </w:rPr>
  </w:style>
  <w:style w:type="paragraph" w:styleId="style179">
    <w:name w:val="List Paragraph"/>
    <w:basedOn w:val="style0"/>
    <w:next w:val="style179"/>
    <w:qFormat/>
    <w:uiPriority w:val="34"/>
    <w:pPr>
      <w:ind w:left="720"/>
      <w:contextualSpacing/>
    </w:pPr>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sz w:val="24"/>
      <w:szCs w:val="24"/>
    </w:rPr>
  </w:style>
  <w:style w:type="character" w:styleId="style85">
    <w:name w:val="Hyperlink"/>
    <w:basedOn w:val="style65"/>
    <w:next w:val="style85"/>
    <w:uiPriority w:val="99"/>
    <w:rPr>
      <w:color w:val="0000ff"/>
      <w:u w:val="single"/>
    </w:rPr>
  </w:style>
  <w:style w:type="paragraph" w:styleId="style266">
    <w:name w:val="TOC Heading"/>
    <w:basedOn w:val="style1"/>
    <w:next w:val="style0"/>
    <w:qFormat/>
    <w:uiPriority w:val="39"/>
    <w:pPr>
      <w:spacing w:before="240" w:lineRule="auto" w:line="259"/>
      <w:jc w:val="left"/>
      <w:outlineLvl w:val="9"/>
    </w:pPr>
    <w:rPr>
      <w:rFonts w:ascii="Calibri" w:cs="宋体" w:eastAsia="宋体" w:hAnsi="Calibri"/>
      <w:b w:val="false"/>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customXml" Target="../customXml/item1.xml"/><Relationship Id="rId5" Type="http://schemas.openxmlformats.org/officeDocument/2006/relationships/styles" Target="styles.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7C887F-DA5B-4C24-8374-AA84E64FF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4229</Words>
  <Pages>16</Pages>
  <Characters>27864</Characters>
  <Application>WPS Office</Application>
  <DocSecurity>0</DocSecurity>
  <Paragraphs>216</Paragraphs>
  <ScaleCrop>false</ScaleCrop>
  <LinksUpToDate>false</LinksUpToDate>
  <CharactersWithSpaces>32109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2026-04-17T08:08:02Z</dcterms:created>
  <dc:creator>WPS Office</dc:creator>
  <lastModifiedBy>CPH2585</lastModifiedBy>
  <dcterms:modified xsi:type="dcterms:W3CDTF">2026-04-17T08:08:03Z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d32ab3b94f8c47f5a4bebdde29c1ac55</vt:lpwstr>
  </property>
</Properties>
</file>