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2FC253" w14:textId="2B6B9DB0" w:rsidR="00E670A1" w:rsidRDefault="00E670A1">
      <w:r w:rsidRPr="00F13CA5">
        <w:rPr>
          <w:noProof/>
        </w:rPr>
        <w:drawing>
          <wp:inline distT="0" distB="0" distL="0" distR="0" wp14:anchorId="5A8D22EE" wp14:editId="7381F4ED">
            <wp:extent cx="2771699" cy="1233694"/>
            <wp:effectExtent l="0" t="0" r="0" b="5080"/>
            <wp:docPr id="509279478" name="Picture 1" descr="A close-up of a sign">
              <a:extLst xmlns:a="http://schemas.openxmlformats.org/drawingml/2006/main">
                <a:ext uri="{FF2B5EF4-FFF2-40B4-BE49-F238E27FC236}">
                  <a16:creationId xmlns:a16="http://schemas.microsoft.com/office/drawing/2014/main" id="{7DCE7976-AC6E-4C94-977D-85BA2B01F1A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279478" name="Picture 1" descr="A close-up of a sign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5072" cy="124409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E72BD3F" w14:textId="77777777" w:rsidR="00CE169E" w:rsidRDefault="00CE169E"/>
    <w:p w14:paraId="3FC320DA" w14:textId="77777777" w:rsidR="00CE169E" w:rsidRDefault="00CE169E" w:rsidP="00CE169E">
      <w:pPr>
        <w:rPr>
          <w:rFonts w:ascii="Arial" w:hAnsi="Arial" w:cs="Arial"/>
          <w:sz w:val="28"/>
          <w:szCs w:val="28"/>
        </w:rPr>
      </w:pPr>
    </w:p>
    <w:p w14:paraId="3C68AD96" w14:textId="77777777" w:rsidR="00CE169E" w:rsidRDefault="00CE169E" w:rsidP="00CE169E">
      <w:pPr>
        <w:rPr>
          <w:rFonts w:ascii="Arial" w:hAnsi="Arial" w:cs="Arial"/>
          <w:sz w:val="28"/>
          <w:szCs w:val="28"/>
        </w:rPr>
      </w:pPr>
    </w:p>
    <w:p w14:paraId="7EAEC348" w14:textId="77777777" w:rsidR="00CE169E" w:rsidRDefault="00CE169E" w:rsidP="00CE169E">
      <w:pPr>
        <w:rPr>
          <w:rFonts w:ascii="Arial" w:hAnsi="Arial" w:cs="Arial"/>
          <w:sz w:val="28"/>
          <w:szCs w:val="28"/>
        </w:rPr>
      </w:pPr>
    </w:p>
    <w:p w14:paraId="75DEC216" w14:textId="77777777" w:rsidR="00133A5F" w:rsidRDefault="00133A5F" w:rsidP="00CE169E">
      <w:pPr>
        <w:rPr>
          <w:rFonts w:ascii="Arial" w:hAnsi="Arial" w:cs="Arial"/>
          <w:sz w:val="28"/>
          <w:szCs w:val="28"/>
        </w:rPr>
      </w:pPr>
    </w:p>
    <w:p w14:paraId="1696E9E2" w14:textId="77777777" w:rsidR="00133A5F" w:rsidRDefault="00133A5F" w:rsidP="00CE169E">
      <w:pPr>
        <w:rPr>
          <w:rFonts w:ascii="Arial" w:hAnsi="Arial" w:cs="Arial"/>
          <w:sz w:val="28"/>
          <w:szCs w:val="28"/>
        </w:rPr>
      </w:pPr>
    </w:p>
    <w:p w14:paraId="6614EF65" w14:textId="77777777" w:rsidR="00133A5F" w:rsidRDefault="00133A5F" w:rsidP="00CE169E">
      <w:pPr>
        <w:rPr>
          <w:rFonts w:ascii="Arial" w:hAnsi="Arial" w:cs="Arial"/>
          <w:sz w:val="28"/>
          <w:szCs w:val="28"/>
        </w:rPr>
      </w:pPr>
    </w:p>
    <w:p w14:paraId="0BE074AE" w14:textId="77777777" w:rsidR="00133A5F" w:rsidRDefault="00133A5F" w:rsidP="00CE169E">
      <w:pPr>
        <w:rPr>
          <w:rFonts w:ascii="Arial" w:hAnsi="Arial" w:cs="Arial"/>
          <w:sz w:val="28"/>
          <w:szCs w:val="28"/>
        </w:rPr>
      </w:pPr>
    </w:p>
    <w:p w14:paraId="4E3B36B6" w14:textId="77777777" w:rsidR="00133A5F" w:rsidRDefault="00133A5F" w:rsidP="00CE169E">
      <w:pPr>
        <w:rPr>
          <w:rFonts w:ascii="Arial" w:hAnsi="Arial" w:cs="Arial"/>
          <w:sz w:val="28"/>
          <w:szCs w:val="28"/>
        </w:rPr>
      </w:pPr>
    </w:p>
    <w:p w14:paraId="095533CF" w14:textId="3CE8E8E4" w:rsidR="00CE169E" w:rsidRPr="00CE169E" w:rsidRDefault="00CE169E" w:rsidP="00CE169E">
      <w:pPr>
        <w:rPr>
          <w:rFonts w:ascii="Arial" w:hAnsi="Arial" w:cs="Arial"/>
          <w:sz w:val="28"/>
          <w:szCs w:val="28"/>
          <w:lang w:val="it-IT"/>
        </w:rPr>
      </w:pPr>
      <w:r w:rsidRPr="00CE169E">
        <w:rPr>
          <w:rFonts w:ascii="Arial" w:hAnsi="Arial" w:cs="Arial"/>
          <w:sz w:val="28"/>
          <w:szCs w:val="28"/>
        </w:rPr>
        <w:t>Tonye Em</w:t>
      </w:r>
      <w:r w:rsidRPr="00CE169E">
        <w:rPr>
          <w:rFonts w:ascii="Arial" w:hAnsi="Arial" w:cs="Arial"/>
          <w:sz w:val="28"/>
          <w:szCs w:val="28"/>
          <w:lang w:val="it-IT"/>
        </w:rPr>
        <w:t>ma Tikili</w:t>
      </w:r>
    </w:p>
    <w:p w14:paraId="24B1455F" w14:textId="77777777" w:rsidR="00CE169E" w:rsidRPr="00CE169E" w:rsidRDefault="00CE169E" w:rsidP="00CE169E">
      <w:pPr>
        <w:rPr>
          <w:rFonts w:ascii="Arial" w:hAnsi="Arial" w:cs="Arial"/>
          <w:sz w:val="28"/>
          <w:szCs w:val="28"/>
          <w:lang w:val="it-IT"/>
        </w:rPr>
      </w:pPr>
      <w:r w:rsidRPr="00CE169E">
        <w:rPr>
          <w:rFonts w:ascii="Arial" w:hAnsi="Arial" w:cs="Arial"/>
          <w:sz w:val="28"/>
          <w:szCs w:val="28"/>
          <w:lang w:val="it-IT"/>
        </w:rPr>
        <w:t>Student ID:2335476</w:t>
      </w:r>
    </w:p>
    <w:p w14:paraId="3FBF17B1" w14:textId="506A0DB5" w:rsidR="00CE169E" w:rsidRPr="00CE169E" w:rsidRDefault="00CE169E" w:rsidP="00CE169E">
      <w:pPr>
        <w:rPr>
          <w:rFonts w:ascii="Arial" w:hAnsi="Arial" w:cs="Arial"/>
          <w:sz w:val="28"/>
          <w:szCs w:val="28"/>
          <w:lang w:val="it-IT"/>
        </w:rPr>
      </w:pPr>
      <w:r w:rsidRPr="00CE169E">
        <w:rPr>
          <w:rFonts w:ascii="Arial" w:hAnsi="Arial" w:cs="Arial"/>
          <w:sz w:val="28"/>
          <w:szCs w:val="28"/>
          <w:lang w:val="it-IT"/>
        </w:rPr>
        <w:t xml:space="preserve">Module name: </w:t>
      </w:r>
      <w:r w:rsidRPr="00CE169E">
        <w:rPr>
          <w:rFonts w:ascii="Arial" w:hAnsi="Arial" w:cs="Arial"/>
          <w:sz w:val="28"/>
          <w:szCs w:val="28"/>
          <w:lang w:val="it-IT"/>
        </w:rPr>
        <w:t>Protecting and supprting families in H&amp;S</w:t>
      </w:r>
    </w:p>
    <w:p w14:paraId="20FCB466" w14:textId="2F74F8D1" w:rsidR="00CE169E" w:rsidRPr="00CE169E" w:rsidRDefault="00CE169E" w:rsidP="00CE169E">
      <w:pPr>
        <w:rPr>
          <w:rFonts w:ascii="Arial" w:hAnsi="Arial" w:cs="Arial"/>
          <w:sz w:val="28"/>
          <w:szCs w:val="28"/>
          <w:lang w:val="it-IT"/>
        </w:rPr>
      </w:pPr>
      <w:r w:rsidRPr="00CE169E">
        <w:rPr>
          <w:rFonts w:ascii="Arial" w:hAnsi="Arial" w:cs="Arial"/>
          <w:sz w:val="28"/>
          <w:szCs w:val="28"/>
          <w:lang w:val="it-IT"/>
        </w:rPr>
        <w:t>Module no:</w:t>
      </w:r>
      <w:r>
        <w:rPr>
          <w:rFonts w:ascii="Arial" w:hAnsi="Arial" w:cs="Arial"/>
          <w:sz w:val="28"/>
          <w:szCs w:val="28"/>
          <w:lang w:val="it-IT"/>
        </w:rPr>
        <w:t>BMHP5021</w:t>
      </w:r>
    </w:p>
    <w:p w14:paraId="00B7C570" w14:textId="71B1EE07" w:rsidR="00CE169E" w:rsidRDefault="00CE169E" w:rsidP="00CE169E">
      <w:pPr>
        <w:rPr>
          <w:rFonts w:ascii="Arial" w:hAnsi="Arial" w:cs="Arial"/>
          <w:sz w:val="28"/>
          <w:szCs w:val="28"/>
          <w:lang w:val="it-IT"/>
        </w:rPr>
      </w:pPr>
      <w:r w:rsidRPr="00CE169E">
        <w:rPr>
          <w:rFonts w:ascii="Arial" w:hAnsi="Arial" w:cs="Arial"/>
          <w:sz w:val="28"/>
          <w:szCs w:val="28"/>
          <w:lang w:val="it-IT"/>
        </w:rPr>
        <w:t xml:space="preserve">Lecturer: </w:t>
      </w:r>
      <w:r>
        <w:rPr>
          <w:rFonts w:ascii="Arial" w:hAnsi="Arial" w:cs="Arial"/>
          <w:sz w:val="28"/>
          <w:szCs w:val="28"/>
          <w:lang w:val="it-IT"/>
        </w:rPr>
        <w:t>Amanda Jones</w:t>
      </w:r>
    </w:p>
    <w:p w14:paraId="3608C712" w14:textId="77777777" w:rsidR="00CE169E" w:rsidRDefault="00CE169E" w:rsidP="00CE169E">
      <w:pPr>
        <w:rPr>
          <w:rFonts w:ascii="Arial" w:hAnsi="Arial" w:cs="Arial"/>
          <w:sz w:val="28"/>
          <w:szCs w:val="28"/>
          <w:lang w:val="it-IT"/>
        </w:rPr>
      </w:pPr>
    </w:p>
    <w:p w14:paraId="1BBDBF6D" w14:textId="77777777" w:rsidR="00CE169E" w:rsidRDefault="00CE169E" w:rsidP="00CE169E">
      <w:pPr>
        <w:rPr>
          <w:rFonts w:ascii="Arial" w:hAnsi="Arial" w:cs="Arial"/>
          <w:sz w:val="28"/>
          <w:szCs w:val="28"/>
          <w:lang w:val="it-IT"/>
        </w:rPr>
      </w:pPr>
    </w:p>
    <w:p w14:paraId="25A4A769" w14:textId="77777777" w:rsidR="00CE169E" w:rsidRDefault="00CE169E" w:rsidP="00CE169E">
      <w:pPr>
        <w:rPr>
          <w:rFonts w:ascii="Arial" w:hAnsi="Arial" w:cs="Arial"/>
          <w:sz w:val="28"/>
          <w:szCs w:val="28"/>
          <w:lang w:val="it-IT"/>
        </w:rPr>
      </w:pPr>
    </w:p>
    <w:p w14:paraId="6417B0D6" w14:textId="77777777" w:rsidR="00CE169E" w:rsidRDefault="00CE169E" w:rsidP="00CE169E">
      <w:pPr>
        <w:rPr>
          <w:rFonts w:ascii="Arial" w:hAnsi="Arial" w:cs="Arial"/>
          <w:sz w:val="28"/>
          <w:szCs w:val="28"/>
          <w:lang w:val="it-IT"/>
        </w:rPr>
      </w:pPr>
    </w:p>
    <w:p w14:paraId="0BCDF30D" w14:textId="77777777" w:rsidR="00CE169E" w:rsidRDefault="00CE169E" w:rsidP="00CE169E">
      <w:pPr>
        <w:rPr>
          <w:rFonts w:ascii="Arial" w:hAnsi="Arial" w:cs="Arial"/>
          <w:sz w:val="28"/>
          <w:szCs w:val="28"/>
          <w:lang w:val="it-IT"/>
        </w:rPr>
      </w:pPr>
    </w:p>
    <w:p w14:paraId="7572C942" w14:textId="77777777" w:rsidR="00445D66" w:rsidRDefault="00445D66" w:rsidP="00CE169E">
      <w:pPr>
        <w:rPr>
          <w:rFonts w:ascii="Arial" w:hAnsi="Arial" w:cs="Arial"/>
          <w:sz w:val="28"/>
          <w:szCs w:val="28"/>
          <w:lang w:val="it-IT"/>
        </w:rPr>
      </w:pPr>
    </w:p>
    <w:p w14:paraId="0759DA88" w14:textId="77777777" w:rsidR="001072DC" w:rsidRDefault="001072DC" w:rsidP="00CE169E">
      <w:pPr>
        <w:rPr>
          <w:rFonts w:ascii="Arial" w:hAnsi="Arial" w:cs="Arial"/>
          <w:sz w:val="28"/>
          <w:szCs w:val="28"/>
          <w:lang w:val="it-IT"/>
        </w:rPr>
      </w:pPr>
    </w:p>
    <w:p w14:paraId="1EE5D214" w14:textId="77777777" w:rsidR="001072DC" w:rsidRDefault="001072DC" w:rsidP="00CE169E">
      <w:pPr>
        <w:rPr>
          <w:rFonts w:ascii="Arial" w:hAnsi="Arial" w:cs="Arial"/>
          <w:sz w:val="28"/>
          <w:szCs w:val="28"/>
          <w:lang w:val="it-IT"/>
        </w:rPr>
      </w:pPr>
    </w:p>
    <w:p w14:paraId="5DABD2B1" w14:textId="77777777" w:rsidR="005C1BFC" w:rsidRDefault="005C1BFC" w:rsidP="00CE169E">
      <w:pPr>
        <w:rPr>
          <w:rFonts w:ascii="Arial" w:hAnsi="Arial" w:cs="Arial"/>
          <w:sz w:val="28"/>
          <w:szCs w:val="28"/>
          <w:lang w:val="it-IT"/>
        </w:rPr>
      </w:pPr>
    </w:p>
    <w:p w14:paraId="140301B6" w14:textId="768EC1C0" w:rsidR="00DB17E3" w:rsidRPr="004B3D36" w:rsidRDefault="00E5065F" w:rsidP="00CE169E">
      <w:pPr>
        <w:rPr>
          <w:rFonts w:ascii="Arial" w:hAnsi="Arial" w:cs="Arial"/>
          <w:b/>
          <w:bCs/>
          <w:sz w:val="24"/>
          <w:szCs w:val="24"/>
          <w:lang w:val="it-IT"/>
        </w:rPr>
      </w:pPr>
      <w:r w:rsidRPr="004B3D36">
        <w:rPr>
          <w:rFonts w:ascii="Arial" w:hAnsi="Arial" w:cs="Arial"/>
          <w:b/>
          <w:bCs/>
          <w:sz w:val="24"/>
          <w:szCs w:val="24"/>
          <w:lang w:val="it-IT"/>
        </w:rPr>
        <w:lastRenderedPageBreak/>
        <w:t>Pre</w:t>
      </w:r>
      <w:r w:rsidR="00E67954" w:rsidRPr="004B3D36">
        <w:rPr>
          <w:rFonts w:ascii="Arial" w:hAnsi="Arial" w:cs="Arial"/>
          <w:b/>
          <w:bCs/>
          <w:sz w:val="24"/>
          <w:szCs w:val="24"/>
          <w:lang w:val="it-IT"/>
        </w:rPr>
        <w:t xml:space="preserve">senter: social </w:t>
      </w:r>
      <w:r w:rsidR="00881006" w:rsidRPr="004B3D36">
        <w:rPr>
          <w:rFonts w:ascii="Arial" w:hAnsi="Arial" w:cs="Arial"/>
          <w:b/>
          <w:bCs/>
          <w:sz w:val="24"/>
          <w:szCs w:val="24"/>
          <w:lang w:val="it-IT"/>
        </w:rPr>
        <w:t>worker</w:t>
      </w:r>
    </w:p>
    <w:p w14:paraId="35DFB1ED" w14:textId="2A85EA5A" w:rsidR="00C86FA4" w:rsidRPr="004B3D36" w:rsidRDefault="00C86FA4" w:rsidP="00CE169E">
      <w:pPr>
        <w:rPr>
          <w:rFonts w:ascii="Arial" w:hAnsi="Arial" w:cs="Arial"/>
          <w:b/>
          <w:bCs/>
          <w:sz w:val="24"/>
          <w:szCs w:val="24"/>
          <w:lang w:val="it-IT"/>
        </w:rPr>
      </w:pPr>
      <w:r w:rsidRPr="004B3D36">
        <w:rPr>
          <w:rFonts w:ascii="Arial" w:hAnsi="Arial" w:cs="Arial"/>
          <w:b/>
          <w:bCs/>
          <w:sz w:val="24"/>
          <w:szCs w:val="24"/>
          <w:lang w:val="it-IT"/>
        </w:rPr>
        <w:t>S</w:t>
      </w:r>
      <w:r w:rsidR="000873A4" w:rsidRPr="004B3D36">
        <w:rPr>
          <w:rFonts w:ascii="Arial" w:hAnsi="Arial" w:cs="Arial"/>
          <w:b/>
          <w:bCs/>
          <w:sz w:val="24"/>
          <w:szCs w:val="24"/>
          <w:lang w:val="it-IT"/>
        </w:rPr>
        <w:t>ubject: Study case of Theo</w:t>
      </w:r>
    </w:p>
    <w:p w14:paraId="7379E713" w14:textId="77777777" w:rsidR="006F5EB3" w:rsidRDefault="006F5EB3" w:rsidP="00CE169E">
      <w:pPr>
        <w:rPr>
          <w:rFonts w:ascii="Arial" w:hAnsi="Arial" w:cs="Arial"/>
          <w:b/>
          <w:bCs/>
          <w:sz w:val="28"/>
          <w:szCs w:val="28"/>
          <w:lang w:val="it-IT"/>
        </w:rPr>
      </w:pPr>
    </w:p>
    <w:p w14:paraId="4CA3590E" w14:textId="77777777" w:rsidR="006F5EB3" w:rsidRDefault="006F5EB3" w:rsidP="00CE169E">
      <w:pPr>
        <w:rPr>
          <w:rFonts w:ascii="Arial" w:hAnsi="Arial" w:cs="Arial"/>
          <w:b/>
          <w:bCs/>
          <w:sz w:val="28"/>
          <w:szCs w:val="28"/>
          <w:lang w:val="it-IT"/>
        </w:rPr>
      </w:pPr>
    </w:p>
    <w:p w14:paraId="59DCBBDD" w14:textId="319C5749" w:rsidR="00FC2543" w:rsidRDefault="00CE169E" w:rsidP="00CE169E">
      <w:pPr>
        <w:rPr>
          <w:rFonts w:ascii="Arial" w:hAnsi="Arial" w:cs="Arial"/>
          <w:b/>
          <w:bCs/>
          <w:sz w:val="28"/>
          <w:szCs w:val="28"/>
          <w:lang w:val="it-IT"/>
        </w:rPr>
      </w:pPr>
      <w:r>
        <w:rPr>
          <w:rFonts w:ascii="Arial" w:hAnsi="Arial" w:cs="Arial"/>
          <w:b/>
          <w:bCs/>
          <w:sz w:val="28"/>
          <w:szCs w:val="28"/>
          <w:lang w:val="it-IT"/>
        </w:rPr>
        <w:t>Reference</w:t>
      </w:r>
      <w:r w:rsidR="000C1C16">
        <w:rPr>
          <w:rFonts w:ascii="Arial" w:hAnsi="Arial" w:cs="Arial"/>
          <w:b/>
          <w:bCs/>
          <w:sz w:val="28"/>
          <w:szCs w:val="28"/>
          <w:lang w:val="it-IT"/>
        </w:rPr>
        <w:t xml:space="preserve"> lists</w:t>
      </w:r>
    </w:p>
    <w:p w14:paraId="38C63736" w14:textId="77777777" w:rsidR="000C1C16" w:rsidRDefault="000C1C16" w:rsidP="009E5219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Brandon, M. et al. (2008) </w:t>
      </w:r>
      <w:r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Analysing Child Deaths and Serious Injury through Abuse and Neglect: What Can We Learn? A Biennial Analysis of Serious Case Reviews 2003-2005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. London: DCSF.</w:t>
      </w:r>
    </w:p>
    <w:p w14:paraId="2740EA96" w14:textId="13642BBA" w:rsidR="000C1C16" w:rsidRPr="000C1C16" w:rsidRDefault="000C1C16" w:rsidP="009E5219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>Children and Social Work Act 2017. (c. 16). London: The Stationary Office</w:t>
      </w:r>
      <w:r w:rsidR="00690A12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0074396A" w14:textId="77777777" w:rsidR="000C1C16" w:rsidRDefault="000C1C16" w:rsidP="009E5219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Department for Education (2023) </w:t>
      </w:r>
      <w:r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Working Together to Safeguard Children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. London: HMSO.</w:t>
      </w:r>
    </w:p>
    <w:p w14:paraId="05CB3E79" w14:textId="77777777" w:rsidR="000C1C16" w:rsidRDefault="000C1C16" w:rsidP="009E5219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Derby and Derbyshire Safeguarding Children Partnership (2024) </w:t>
      </w:r>
      <w:r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Local Child Safeguarding Practice Review: ‘Theo’ (TDS20)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. Derby: DDSCP.</w:t>
      </w:r>
    </w:p>
    <w:p w14:paraId="387C4DF1" w14:textId="49D6137E" w:rsidR="00E44352" w:rsidRDefault="00E44352" w:rsidP="00E4435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Hughes, K., Bellis, M.A., Hardcastle, K.A., Sethi, D., Bu</w:t>
      </w:r>
      <w:r w:rsidR="00302394">
        <w:rPr>
          <w:rFonts w:ascii="Calibri" w:hAnsi="Calibri" w:cs="Calibri"/>
          <w:color w:val="000000"/>
          <w:sz w:val="27"/>
          <w:szCs w:val="27"/>
        </w:rPr>
        <w:t>tchart</w:t>
      </w:r>
      <w:r w:rsidR="002B0E0D">
        <w:rPr>
          <w:rFonts w:ascii="Calibri" w:hAnsi="Calibri" w:cs="Calibri"/>
          <w:color w:val="000000"/>
          <w:sz w:val="27"/>
          <w:szCs w:val="27"/>
        </w:rPr>
        <w:t xml:space="preserve">, A.,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Mikton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>, C., Jones, L. and Dunne, M.P. (2017). The effect of multiple adverse childhood experiences on health: a systematic review and meta-analysis.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The Lancet Public Health</w:t>
      </w:r>
      <w:r>
        <w:rPr>
          <w:rFonts w:ascii="Calibri" w:hAnsi="Calibri" w:cs="Calibri"/>
          <w:color w:val="000000"/>
          <w:sz w:val="27"/>
          <w:szCs w:val="27"/>
        </w:rPr>
        <w:t xml:space="preserve">, [online] 2(8), pp.356–366. Available at: </w:t>
      </w:r>
      <w:hyperlink r:id="rId5" w:history="1">
        <w:r w:rsidRPr="00510D8F">
          <w:rPr>
            <w:rStyle w:val="Hyperlink"/>
            <w:rFonts w:ascii="Calibri" w:hAnsi="Calibri" w:cs="Calibri"/>
            <w:sz w:val="27"/>
            <w:szCs w:val="27"/>
          </w:rPr>
          <w:t>https://www.thelancet.com/journals/lanpub/article/PIIS2468-2667(17)30118-4/fulltext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09A76BEE" w14:textId="77777777" w:rsidR="00C55163" w:rsidRDefault="00C55163" w:rsidP="00E4435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19C9813" w14:textId="427DDFD1" w:rsidR="00C55163" w:rsidRDefault="005C1BFC" w:rsidP="00C551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proofErr w:type="spellStart"/>
      <w:r>
        <w:rPr>
          <w:rFonts w:ascii="Calibri" w:hAnsi="Calibri" w:cs="Calibri"/>
          <w:color w:val="000000"/>
          <w:sz w:val="27"/>
          <w:szCs w:val="27"/>
        </w:rPr>
        <w:t>J</w:t>
      </w:r>
      <w:r w:rsidR="00C55163">
        <w:rPr>
          <w:rFonts w:ascii="Calibri" w:hAnsi="Calibri" w:cs="Calibri"/>
          <w:color w:val="000000"/>
          <w:sz w:val="27"/>
          <w:szCs w:val="27"/>
        </w:rPr>
        <w:t>ahans</w:t>
      </w:r>
      <w:proofErr w:type="spellEnd"/>
      <w:r w:rsidR="00C55163">
        <w:rPr>
          <w:rFonts w:ascii="Calibri" w:hAnsi="Calibri" w:cs="Calibri"/>
          <w:color w:val="000000"/>
          <w:sz w:val="27"/>
          <w:szCs w:val="27"/>
        </w:rPr>
        <w:t>‐Baynton, K. and Grealish, A. (2021). Safeguarding Communications between Multiagency Professionals When Working with Children and Young people: a Qualitative Study. </w:t>
      </w:r>
      <w:r w:rsidR="00C55163">
        <w:rPr>
          <w:rFonts w:ascii="Calibri" w:hAnsi="Calibri" w:cs="Calibri"/>
          <w:i/>
          <w:iCs/>
          <w:color w:val="000000"/>
          <w:sz w:val="27"/>
          <w:szCs w:val="27"/>
        </w:rPr>
        <w:t>Journal of Child and Adolescent Psychiatric Nursing</w:t>
      </w:r>
      <w:r w:rsidR="00C55163">
        <w:rPr>
          <w:rFonts w:ascii="Calibri" w:hAnsi="Calibri" w:cs="Calibri"/>
          <w:color w:val="000000"/>
          <w:sz w:val="27"/>
          <w:szCs w:val="27"/>
        </w:rPr>
        <w:t xml:space="preserve">, [online] 35(2). Available at: </w:t>
      </w:r>
      <w:hyperlink r:id="rId6" w:history="1">
        <w:r w:rsidR="00FE2501" w:rsidRPr="00510D8F">
          <w:rPr>
            <w:rStyle w:val="Hyperlink"/>
            <w:rFonts w:ascii="Calibri" w:hAnsi="Calibri" w:cs="Calibri"/>
            <w:sz w:val="27"/>
            <w:szCs w:val="27"/>
          </w:rPr>
          <w:t>https://onlinelibrary.wiley.com/doi/full/10.1111/jcap.12363</w:t>
        </w:r>
      </w:hyperlink>
      <w:r w:rsidR="00C55163">
        <w:rPr>
          <w:rFonts w:ascii="Calibri" w:hAnsi="Calibri" w:cs="Calibri"/>
          <w:color w:val="000000"/>
          <w:sz w:val="27"/>
          <w:szCs w:val="27"/>
        </w:rPr>
        <w:t>.</w:t>
      </w:r>
    </w:p>
    <w:p w14:paraId="4F62EFEA" w14:textId="77777777" w:rsidR="00FE2501" w:rsidRDefault="00FE2501" w:rsidP="00C551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6E3707D" w14:textId="6B8E869F" w:rsidR="000C1C16" w:rsidRPr="00E44352" w:rsidRDefault="00C55163" w:rsidP="008A31BE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  <w:r w:rsidR="000C1C16">
        <w:rPr>
          <w:rFonts w:ascii="Arial" w:hAnsi="Arial" w:cs="Arial"/>
        </w:rPr>
        <w:t xml:space="preserve">Laming, H. (2003) </w:t>
      </w:r>
      <w:r w:rsidR="000C1C16">
        <w:rPr>
          <w:rFonts w:ascii="Arial" w:hAnsi="Arial" w:cs="Arial"/>
          <w:i/>
          <w:iCs/>
        </w:rPr>
        <w:t>The</w:t>
      </w:r>
      <w:r w:rsidR="000C1C16">
        <w:rPr>
          <w:rFonts w:ascii="Arial" w:hAnsi="Arial" w:cs="Arial"/>
        </w:rPr>
        <w:t xml:space="preserve"> Victoria Climbié Inquiry: Report of an Inquiry</w:t>
      </w:r>
      <w:r w:rsidR="000C1C16">
        <w:rPr>
          <w:rFonts w:ascii="Arial" w:hAnsi="Arial" w:cs="Arial"/>
          <w:i/>
          <w:iCs/>
        </w:rPr>
        <w:t xml:space="preserve"> by Lord Laming</w:t>
      </w:r>
      <w:r w:rsidR="000C1C16">
        <w:rPr>
          <w:rFonts w:ascii="Arial" w:hAnsi="Arial" w:cs="Arial"/>
        </w:rPr>
        <w:t>. London: HMSO.</w:t>
      </w:r>
    </w:p>
    <w:p w14:paraId="3E5F4ED7" w14:textId="77777777" w:rsidR="000C1C16" w:rsidRDefault="000C1C16" w:rsidP="009E5219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Munro, E. (2011) </w:t>
      </w:r>
      <w:r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The Munro Review of Child Protection: Final Report, A Child-Centred System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. London: Department for Education.</w:t>
      </w:r>
    </w:p>
    <w:p w14:paraId="6960695E" w14:textId="77777777" w:rsidR="000C1C16" w:rsidRDefault="000C1C16" w:rsidP="009E5219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Wilkins, M. and Farmer, E. (2015) </w:t>
      </w:r>
      <w:r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Reunification: An Evidence-Informed Framework for Return Home Practice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. London: NSPCC.</w:t>
      </w:r>
    </w:p>
    <w:p w14:paraId="32B71E21" w14:textId="77777777" w:rsidR="000C1C16" w:rsidRDefault="000C1C16" w:rsidP="000C1C16"/>
    <w:p w14:paraId="010AC3E5" w14:textId="77777777" w:rsidR="00CE169E" w:rsidRDefault="00CE169E"/>
    <w:sectPr w:rsidR="00CE16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70A1"/>
    <w:rsid w:val="00042426"/>
    <w:rsid w:val="000873A4"/>
    <w:rsid w:val="000A4B21"/>
    <w:rsid w:val="000C1C16"/>
    <w:rsid w:val="000C30AE"/>
    <w:rsid w:val="001072DC"/>
    <w:rsid w:val="00133A5F"/>
    <w:rsid w:val="00173A18"/>
    <w:rsid w:val="0021298B"/>
    <w:rsid w:val="00274A73"/>
    <w:rsid w:val="002B0E0D"/>
    <w:rsid w:val="00302394"/>
    <w:rsid w:val="00445D66"/>
    <w:rsid w:val="004837EF"/>
    <w:rsid w:val="00490990"/>
    <w:rsid w:val="004923A0"/>
    <w:rsid w:val="004B3D36"/>
    <w:rsid w:val="00506827"/>
    <w:rsid w:val="005C1BFC"/>
    <w:rsid w:val="005E7320"/>
    <w:rsid w:val="00681DA2"/>
    <w:rsid w:val="00686365"/>
    <w:rsid w:val="00690A12"/>
    <w:rsid w:val="006F5EB3"/>
    <w:rsid w:val="007723A9"/>
    <w:rsid w:val="007C1CE5"/>
    <w:rsid w:val="00881006"/>
    <w:rsid w:val="008A31BE"/>
    <w:rsid w:val="008E52F4"/>
    <w:rsid w:val="009E5219"/>
    <w:rsid w:val="00B14A2C"/>
    <w:rsid w:val="00BE6137"/>
    <w:rsid w:val="00C32281"/>
    <w:rsid w:val="00C55163"/>
    <w:rsid w:val="00C57F46"/>
    <w:rsid w:val="00C7021D"/>
    <w:rsid w:val="00C82D0A"/>
    <w:rsid w:val="00C86FA4"/>
    <w:rsid w:val="00CA37EC"/>
    <w:rsid w:val="00CD5B4B"/>
    <w:rsid w:val="00CE169E"/>
    <w:rsid w:val="00CF101F"/>
    <w:rsid w:val="00DB17E3"/>
    <w:rsid w:val="00E44352"/>
    <w:rsid w:val="00E5065F"/>
    <w:rsid w:val="00E670A1"/>
    <w:rsid w:val="00E67954"/>
    <w:rsid w:val="00EE57BD"/>
    <w:rsid w:val="00F240D6"/>
    <w:rsid w:val="00F979B9"/>
    <w:rsid w:val="00FC2543"/>
    <w:rsid w:val="00FE08B1"/>
    <w:rsid w:val="00FE25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B90C08"/>
  <w15:chartTrackingRefBased/>
  <w15:docId w15:val="{18C8A56E-733F-4160-B7FA-61FE2C8D23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70A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70A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70A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70A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70A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70A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70A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70A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70A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70A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70A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70A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70A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70A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70A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70A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70A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70A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70A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70A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70A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70A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70A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70A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70A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70A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70A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70A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70A1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C82D0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B14A2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14A2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onlinelibrary.wiley.com/doi/full/10.1111/jcap.12363" TargetMode="External"/><Relationship Id="rId5" Type="http://schemas.openxmlformats.org/officeDocument/2006/relationships/hyperlink" Target="https://www.thelancet.com/journals/lanpub/article/PIIS2468-2667(17)30118-4/fulltext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258</Words>
  <Characters>1654</Characters>
  <Application>Microsoft Office Word</Application>
  <DocSecurity>0</DocSecurity>
  <Lines>37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TONYE TIKILI</dc:creator>
  <cp:keywords/>
  <dc:description/>
  <cp:lastModifiedBy>TONYE TIKILI</cp:lastModifiedBy>
  <cp:revision>2</cp:revision>
  <dcterms:created xsi:type="dcterms:W3CDTF">2025-11-27T10:36:00Z</dcterms:created>
  <dcterms:modified xsi:type="dcterms:W3CDTF">2025-11-27T10:36:00Z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7e3987af-fce8-4690-beff-bfb305f02527</vt:lpwstr>
  </property>
</Properties>
</file>