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243" w:type="dxa"/>
        <w:tblInd w:w="-601"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ook w:val="01E0" w:firstRow="1" w:lastRow="1" w:firstColumn="1" w:lastColumn="1" w:noHBand="0" w:noVBand="0"/>
      </w:tblPr>
      <w:tblGrid>
        <w:gridCol w:w="10525"/>
      </w:tblGrid>
      <w:tr w:rsidR="00C66CFD" w:rsidRPr="00210378" w14:paraId="064FF62D" w14:textId="77777777" w:rsidTr="00991612">
        <w:trPr>
          <w:trHeight w:val="715"/>
        </w:trPr>
        <w:tc>
          <w:tcPr>
            <w:tcW w:w="9243" w:type="dxa"/>
            <w:shd w:val="clear" w:color="auto" w:fill="auto"/>
          </w:tcPr>
          <w:p w14:paraId="416C51F8" w14:textId="20F135EA" w:rsidR="00C66CFD" w:rsidRPr="00E5484A" w:rsidRDefault="009A0F00" w:rsidP="00C66CFD">
            <w:pPr>
              <w:pStyle w:val="Formlabel"/>
              <w:jc w:val="center"/>
              <w:rPr>
                <w:b/>
                <w:sz w:val="24"/>
              </w:rPr>
            </w:pPr>
            <w:r>
              <w:rPr>
                <w:b/>
                <w:sz w:val="24"/>
              </w:rPr>
              <w:t>B</w:t>
            </w:r>
            <w:r w:rsidR="00C66CFD" w:rsidRPr="00E5484A">
              <w:rPr>
                <w:b/>
                <w:sz w:val="24"/>
              </w:rPr>
              <w:t>Sc Applied Psychology</w:t>
            </w:r>
          </w:p>
          <w:p w14:paraId="63ACAD1D" w14:textId="77777777" w:rsidR="00991612" w:rsidRDefault="009A0F00" w:rsidP="00C66CFD">
            <w:pPr>
              <w:pStyle w:val="Formlabel"/>
              <w:jc w:val="center"/>
              <w:rPr>
                <w:b/>
                <w:sz w:val="24"/>
              </w:rPr>
            </w:pPr>
            <w:r>
              <w:rPr>
                <w:b/>
                <w:sz w:val="24"/>
              </w:rPr>
              <w:t>ECAP6003 Forensic Psychology and the Criminal Mind</w:t>
            </w:r>
            <w:r w:rsidR="00E5484A" w:rsidRPr="00E5484A">
              <w:rPr>
                <w:b/>
                <w:sz w:val="24"/>
              </w:rPr>
              <w:t xml:space="preserve">: </w:t>
            </w:r>
          </w:p>
          <w:p w14:paraId="739169BD" w14:textId="2CAF7F20" w:rsidR="00C66CFD" w:rsidRPr="00E5484A" w:rsidRDefault="00E5484A" w:rsidP="00C66CFD">
            <w:pPr>
              <w:pStyle w:val="Formlabel"/>
              <w:jc w:val="center"/>
              <w:rPr>
                <w:b/>
                <w:sz w:val="24"/>
              </w:rPr>
            </w:pPr>
            <w:r w:rsidRPr="00E5484A">
              <w:rPr>
                <w:b/>
                <w:sz w:val="24"/>
              </w:rPr>
              <w:t>Re</w:t>
            </w:r>
            <w:r w:rsidR="009A0F00">
              <w:rPr>
                <w:b/>
                <w:sz w:val="24"/>
              </w:rPr>
              <w:t>habilitative</w:t>
            </w:r>
            <w:r w:rsidRPr="00E5484A">
              <w:rPr>
                <w:b/>
                <w:sz w:val="24"/>
              </w:rPr>
              <w:t xml:space="preserve"> Proposal </w:t>
            </w:r>
          </w:p>
          <w:p w14:paraId="2C925EEA" w14:textId="77777777" w:rsidR="00E5484A" w:rsidRPr="00210378" w:rsidRDefault="00E5484A" w:rsidP="00C66CFD">
            <w:pPr>
              <w:pStyle w:val="Formlabel"/>
              <w:jc w:val="center"/>
              <w:rPr>
                <w:b/>
                <w:sz w:val="22"/>
              </w:rPr>
            </w:pPr>
          </w:p>
        </w:tc>
      </w:tr>
      <w:tr w:rsidR="000F5955" w:rsidRPr="00210378" w14:paraId="6023DF48" w14:textId="77777777" w:rsidTr="00991612">
        <w:trPr>
          <w:trHeight w:val="715"/>
        </w:trPr>
        <w:tc>
          <w:tcPr>
            <w:tcW w:w="9243" w:type="dxa"/>
            <w:shd w:val="clear" w:color="auto" w:fill="auto"/>
          </w:tcPr>
          <w:p w14:paraId="78713675" w14:textId="77777777" w:rsidR="000F5955" w:rsidRDefault="009A0F00" w:rsidP="00C63A8D">
            <w:pPr>
              <w:pStyle w:val="Formlabel"/>
              <w:rPr>
                <w:b/>
                <w:sz w:val="22"/>
              </w:rPr>
            </w:pPr>
            <w:r w:rsidRPr="00210378">
              <w:rPr>
                <w:b/>
                <w:sz w:val="22"/>
              </w:rPr>
              <w:t>Pro</w:t>
            </w:r>
            <w:r>
              <w:rPr>
                <w:b/>
                <w:sz w:val="22"/>
              </w:rPr>
              <w:t>posal title:</w:t>
            </w:r>
          </w:p>
          <w:p w14:paraId="439FAA94" w14:textId="428383CB" w:rsidR="00257B10" w:rsidRDefault="00257B10" w:rsidP="00C63A8D">
            <w:pPr>
              <w:pStyle w:val="Formlabel"/>
              <w:rPr>
                <w:bCs/>
                <w:sz w:val="24"/>
              </w:rPr>
            </w:pPr>
            <w:r w:rsidRPr="00257B10">
              <w:rPr>
                <w:bCs/>
                <w:sz w:val="24"/>
              </w:rPr>
              <w:t>Empowering Change: Mindfulness-Based Rehabilitation for Juvenile Theft Offenders</w:t>
            </w:r>
            <w:r>
              <w:rPr>
                <w:bCs/>
                <w:sz w:val="24"/>
              </w:rPr>
              <w:t>.</w:t>
            </w:r>
          </w:p>
          <w:p w14:paraId="266DDF7F" w14:textId="2A432E93" w:rsidR="00991612" w:rsidRPr="00210378" w:rsidRDefault="00991612" w:rsidP="00DE1B92">
            <w:pPr>
              <w:pStyle w:val="Formlabel"/>
              <w:rPr>
                <w:b/>
                <w:sz w:val="22"/>
              </w:rPr>
            </w:pPr>
          </w:p>
        </w:tc>
      </w:tr>
      <w:tr w:rsidR="00991612" w:rsidRPr="00210378" w14:paraId="422E707E" w14:textId="77777777" w:rsidTr="00991612">
        <w:trPr>
          <w:trHeight w:val="715"/>
        </w:trPr>
        <w:tc>
          <w:tcPr>
            <w:tcW w:w="9243" w:type="dxa"/>
            <w:shd w:val="clear" w:color="auto" w:fill="auto"/>
          </w:tcPr>
          <w:p w14:paraId="5381CB6B" w14:textId="77777777" w:rsidR="00991612" w:rsidRDefault="00991612" w:rsidP="00C63A8D">
            <w:pPr>
              <w:pStyle w:val="Formlabel"/>
              <w:rPr>
                <w:b/>
                <w:sz w:val="22"/>
              </w:rPr>
            </w:pPr>
            <w:r>
              <w:rPr>
                <w:b/>
                <w:sz w:val="22"/>
              </w:rPr>
              <w:t>Proposal theme:</w:t>
            </w:r>
          </w:p>
          <w:p w14:paraId="60BA1BFB" w14:textId="3F277902" w:rsidR="00991612" w:rsidRPr="004C5FE6" w:rsidRDefault="00991612" w:rsidP="00C63A8D">
            <w:pPr>
              <w:pStyle w:val="Formlabel"/>
              <w:rPr>
                <w:bCs/>
                <w:i/>
                <w:iCs/>
                <w:szCs w:val="20"/>
              </w:rPr>
            </w:pPr>
            <w:r>
              <w:rPr>
                <w:bCs/>
                <w:i/>
                <w:iCs/>
                <w:szCs w:val="20"/>
              </w:rPr>
              <w:t>An overview of your intended proposal (no more tha</w:t>
            </w:r>
            <w:r w:rsidR="008C1B8E">
              <w:rPr>
                <w:bCs/>
                <w:i/>
                <w:iCs/>
                <w:szCs w:val="20"/>
              </w:rPr>
              <w:t>n</w:t>
            </w:r>
            <w:r>
              <w:rPr>
                <w:bCs/>
                <w:i/>
                <w:iCs/>
                <w:szCs w:val="20"/>
              </w:rPr>
              <w:t xml:space="preserve"> 150 words)</w:t>
            </w:r>
          </w:p>
          <w:p w14:paraId="56B9F457" w14:textId="3C480848" w:rsidR="00991612" w:rsidRDefault="00295B38" w:rsidP="00C63A8D">
            <w:pPr>
              <w:pStyle w:val="Formlabel"/>
              <w:rPr>
                <w:bCs/>
                <w:sz w:val="24"/>
              </w:rPr>
            </w:pPr>
            <w:r w:rsidRPr="00295B38">
              <w:rPr>
                <w:bCs/>
                <w:sz w:val="24"/>
              </w:rPr>
              <w:t>This proposal suggests a tailored rehabilitative approach that combines mindfulness practices with the Good Lives Model (GLM</w:t>
            </w:r>
            <w:r w:rsidR="0023469B" w:rsidRPr="00295B38">
              <w:rPr>
                <w:bCs/>
                <w:sz w:val="24"/>
              </w:rPr>
              <w:t>)</w:t>
            </w:r>
            <w:r w:rsidR="0023469B">
              <w:rPr>
                <w:bCs/>
                <w:sz w:val="24"/>
              </w:rPr>
              <w:t xml:space="preserve"> (</w:t>
            </w:r>
            <w:r w:rsidR="006F47E2">
              <w:rPr>
                <w:bCs/>
                <w:sz w:val="24"/>
              </w:rPr>
              <w:t xml:space="preserve">Ward &amp; Stewart, </w:t>
            </w:r>
            <w:r w:rsidR="0023469B">
              <w:rPr>
                <w:bCs/>
                <w:sz w:val="24"/>
              </w:rPr>
              <w:t>2003; Ward</w:t>
            </w:r>
            <w:r w:rsidR="001803B7">
              <w:rPr>
                <w:bCs/>
                <w:sz w:val="24"/>
              </w:rPr>
              <w:t xml:space="preserve"> &amp; </w:t>
            </w:r>
            <w:r w:rsidR="00A40567">
              <w:rPr>
                <w:bCs/>
                <w:sz w:val="24"/>
              </w:rPr>
              <w:t>Brown, 2004</w:t>
            </w:r>
            <w:r w:rsidR="006F47E2">
              <w:rPr>
                <w:bCs/>
                <w:sz w:val="24"/>
              </w:rPr>
              <w:t>;</w:t>
            </w:r>
            <w:r w:rsidR="00004CE8">
              <w:rPr>
                <w:bCs/>
                <w:sz w:val="24"/>
              </w:rPr>
              <w:t xml:space="preserve"> Ward &amp; Fortune, 2013</w:t>
            </w:r>
            <w:r w:rsidR="006F47E2">
              <w:rPr>
                <w:bCs/>
                <w:sz w:val="24"/>
              </w:rPr>
              <w:t>)</w:t>
            </w:r>
            <w:r w:rsidR="00004CE8">
              <w:rPr>
                <w:bCs/>
                <w:sz w:val="24"/>
              </w:rPr>
              <w:t xml:space="preserve"> </w:t>
            </w:r>
            <w:r w:rsidRPr="00295B38">
              <w:rPr>
                <w:bCs/>
                <w:sz w:val="24"/>
              </w:rPr>
              <w:t>and the Risk-Need-Responsivity (RNR)</w:t>
            </w:r>
            <w:r w:rsidR="007F492C">
              <w:rPr>
                <w:bCs/>
                <w:sz w:val="24"/>
              </w:rPr>
              <w:t xml:space="preserve"> </w:t>
            </w:r>
            <w:r w:rsidR="007F492C">
              <w:rPr>
                <w:sz w:val="24"/>
              </w:rPr>
              <w:t>(</w:t>
            </w:r>
            <w:r w:rsidR="00F029F4" w:rsidRPr="00F029F4">
              <w:rPr>
                <w:sz w:val="24"/>
              </w:rPr>
              <w:t>Andrews, Bonta &amp; Hoge</w:t>
            </w:r>
            <w:r w:rsidR="00F029F4">
              <w:rPr>
                <w:sz w:val="24"/>
              </w:rPr>
              <w:t>, 1990;</w:t>
            </w:r>
            <w:r w:rsidR="001C5E4A">
              <w:rPr>
                <w:sz w:val="24"/>
              </w:rPr>
              <w:t xml:space="preserve"> Andrew &amp; Dowden, 2007</w:t>
            </w:r>
            <w:r w:rsidR="007F492C">
              <w:rPr>
                <w:sz w:val="24"/>
              </w:rPr>
              <w:t>)</w:t>
            </w:r>
            <w:r w:rsidRPr="00295B38">
              <w:rPr>
                <w:bCs/>
                <w:sz w:val="24"/>
              </w:rPr>
              <w:t xml:space="preserve"> framework. The intervention aims to address the complex behavioural dynamics among juveniles involved in theft-related offences. The approach rejects the one-size-fits-all strategy and acknowledges the various psychological underpinnings that contribute to their involvement in theft. By integrating mindfulness into the intervention, the goal is to transform the individual's cognitive and emotional landscapes. The focus is on sustained behavioural metamorphosis, aligning with the principles of the RNR framework and nurturing factors identified by the GLM. </w:t>
            </w:r>
            <w:r w:rsidR="00381F13" w:rsidRPr="00295B38">
              <w:rPr>
                <w:bCs/>
                <w:sz w:val="24"/>
              </w:rPr>
              <w:t>This</w:t>
            </w:r>
            <w:r w:rsidRPr="00295B38">
              <w:rPr>
                <w:bCs/>
                <w:sz w:val="24"/>
              </w:rPr>
              <w:t xml:space="preserve"> tailored approach aims to disrupt the cycle of criminal behaviour by nurturing empathy, self-awareness, and responsible decision-making, paving the way for seamless reintegration into society while significantly reducing criminal actions.</w:t>
            </w:r>
          </w:p>
          <w:p w14:paraId="399B03BB" w14:textId="77777777" w:rsidR="0030708A" w:rsidRDefault="0030708A" w:rsidP="00C63A8D">
            <w:pPr>
              <w:pStyle w:val="Formlabel"/>
              <w:rPr>
                <w:sz w:val="24"/>
              </w:rPr>
            </w:pPr>
          </w:p>
          <w:p w14:paraId="60E166B7" w14:textId="15622B6D" w:rsidR="0030708A" w:rsidRPr="0030708A" w:rsidRDefault="0030708A" w:rsidP="00C63A8D">
            <w:pPr>
              <w:pStyle w:val="Formlabel"/>
              <w:rPr>
                <w:b/>
                <w:bCs/>
                <w:sz w:val="22"/>
              </w:rPr>
            </w:pPr>
          </w:p>
        </w:tc>
      </w:tr>
      <w:tr w:rsidR="009E10F9" w:rsidRPr="00210378" w14:paraId="2342E4C2" w14:textId="77777777" w:rsidTr="00991612">
        <w:trPr>
          <w:trHeight w:val="715"/>
        </w:trPr>
        <w:tc>
          <w:tcPr>
            <w:tcW w:w="9243" w:type="dxa"/>
            <w:shd w:val="clear" w:color="auto" w:fill="auto"/>
          </w:tcPr>
          <w:p w14:paraId="1CDE1989" w14:textId="77777777" w:rsidR="00DE56BE" w:rsidRPr="00DE56BE" w:rsidRDefault="00DE56BE" w:rsidP="00DE56BE">
            <w:pPr>
              <w:pStyle w:val="Formlabel"/>
              <w:rPr>
                <w:b/>
                <w:bCs/>
                <w:iCs/>
                <w:sz w:val="22"/>
              </w:rPr>
            </w:pPr>
            <w:r w:rsidRPr="00DE56BE">
              <w:rPr>
                <w:b/>
                <w:sz w:val="22"/>
              </w:rPr>
              <w:t>Background literature review:</w:t>
            </w:r>
          </w:p>
          <w:p w14:paraId="16433314" w14:textId="626FAA36" w:rsidR="00DE56BE" w:rsidRDefault="00DE56BE" w:rsidP="00DE56BE">
            <w:pPr>
              <w:pStyle w:val="Formlabel"/>
              <w:rPr>
                <w:iCs/>
                <w:sz w:val="24"/>
              </w:rPr>
            </w:pPr>
            <w:r w:rsidRPr="00DE56BE">
              <w:rPr>
                <w:iCs/>
                <w:sz w:val="24"/>
              </w:rPr>
              <w:t>Juvenile offenders exhibit a high rate of reoffending, underscoring the critical need for innovative rehabilitative frameworks</w:t>
            </w:r>
            <w:r w:rsidR="00A72F60">
              <w:rPr>
                <w:iCs/>
                <w:sz w:val="24"/>
              </w:rPr>
              <w:t xml:space="preserve"> (</w:t>
            </w:r>
            <w:r w:rsidR="00A72F60" w:rsidRPr="00DE56BE">
              <w:rPr>
                <w:iCs/>
                <w:sz w:val="24"/>
              </w:rPr>
              <w:t>Richards</w:t>
            </w:r>
            <w:r w:rsidR="00A72F60">
              <w:rPr>
                <w:iCs/>
                <w:sz w:val="24"/>
              </w:rPr>
              <w:t xml:space="preserve">, </w:t>
            </w:r>
            <w:r w:rsidR="00A72F60" w:rsidRPr="00DE56BE">
              <w:rPr>
                <w:iCs/>
                <w:sz w:val="24"/>
              </w:rPr>
              <w:t>2011)</w:t>
            </w:r>
            <w:r w:rsidRPr="00DE56BE">
              <w:rPr>
                <w:iCs/>
                <w:sz w:val="24"/>
              </w:rPr>
              <w:t>. Adolescence, marked by transformative challenges, particularly affects youth offenders (Morgado &amp; Vale-Dias, 2013). The inadequacies in present interventions, lacking ethical considerations and robust support, underscore the necessity for specialised approaches (UNICEF, 2013). Recent contributions by Mundia (2016) further emphasise the profound impact of socio-cultural factors on criminal behaviour during adolescence, urging the development of interventions that consider these contextual influences for more effective rehabilitation strategies.</w:t>
            </w:r>
          </w:p>
          <w:p w14:paraId="6D932875" w14:textId="77777777" w:rsidR="0036154F" w:rsidRPr="00DE56BE" w:rsidRDefault="0036154F" w:rsidP="00DE56BE">
            <w:pPr>
              <w:pStyle w:val="Formlabel"/>
              <w:rPr>
                <w:iCs/>
                <w:sz w:val="24"/>
              </w:rPr>
            </w:pPr>
          </w:p>
          <w:p w14:paraId="2B0B3CBD" w14:textId="44A209D1" w:rsidR="00DE56BE" w:rsidRPr="00DE56BE" w:rsidRDefault="00DE56BE" w:rsidP="00DE56BE">
            <w:pPr>
              <w:pStyle w:val="Formlabel"/>
              <w:rPr>
                <w:iCs/>
                <w:sz w:val="24"/>
              </w:rPr>
            </w:pPr>
            <w:r w:rsidRPr="00DE56BE">
              <w:rPr>
                <w:iCs/>
                <w:sz w:val="24"/>
              </w:rPr>
              <w:t>Addressing the complexities of theft-related offences among young offenders requires a more adaptable approach. Ward and Brown's (2004) Good Lives Model (GLM) presents a strengths-based perspective, prioritising the understanding of individuals' motivations and strengths to enhance their quality of life. It emphasises positive experiences, autonomy, and meaningful activities, aiming not only to address criminogenic needs but also to diminish reoffending by fostering a satisfying and law-abiding lifestyle. However, the recent work of Serie et al. (2021) sheds light on the limitations of the GLM in fully accommodating the developmental nuances of youth, provoking discussions for a more nuanced approach that caters to the specific needs of young offenders.</w:t>
            </w:r>
            <w:r w:rsidR="00784C04">
              <w:rPr>
                <w:iCs/>
                <w:sz w:val="24"/>
              </w:rPr>
              <w:t xml:space="preserve"> </w:t>
            </w:r>
            <w:r w:rsidR="00784C04" w:rsidRPr="00784C04">
              <w:rPr>
                <w:iCs/>
                <w:sz w:val="24"/>
              </w:rPr>
              <w:t xml:space="preserve">In addition, the GLMs' focus on strengths may inadvertently obscure potential ethical quandaries within rehabilitation strategies. By solely emphasising positive aspects, there is a risk of overlooking ethical dimensions critical to a comprehensive approach (Boeada et al., 2021). For example, in the pursuit of reinforcing strengths, there might be a disregard for recognising underlying ethical dilemmas or biases in the rehabilitation process. This emphasis on </w:t>
            </w:r>
            <w:r w:rsidR="00784C04" w:rsidRPr="00784C04">
              <w:rPr>
                <w:iCs/>
                <w:sz w:val="24"/>
              </w:rPr>
              <w:lastRenderedPageBreak/>
              <w:t>positivity could potentially overshadow or even minimise the importance of ethical considerations, leaving some moral dimensions unexplored or unaddressed, potentially affecting the overall effectiveness of rehabilitation techniques tailored to youth offenders.</w:t>
            </w:r>
            <w:r w:rsidR="00FB1A6B">
              <w:rPr>
                <w:iCs/>
                <w:sz w:val="24"/>
              </w:rPr>
              <w:t xml:space="preserve"> </w:t>
            </w:r>
          </w:p>
          <w:p w14:paraId="6925FA85" w14:textId="77777777" w:rsidR="00DE56BE" w:rsidRPr="00DE56BE" w:rsidRDefault="00DE56BE" w:rsidP="00DE56BE">
            <w:pPr>
              <w:pStyle w:val="Formlabel"/>
              <w:rPr>
                <w:b/>
                <w:bCs/>
                <w:iCs/>
                <w:sz w:val="22"/>
              </w:rPr>
            </w:pPr>
          </w:p>
          <w:p w14:paraId="7108B4AD" w14:textId="68D7FA26" w:rsidR="00DE56BE" w:rsidRDefault="00DE56BE" w:rsidP="00DE56BE">
            <w:pPr>
              <w:pStyle w:val="Formlabel"/>
              <w:rPr>
                <w:iCs/>
                <w:sz w:val="24"/>
              </w:rPr>
            </w:pPr>
            <w:r w:rsidRPr="00DE56BE">
              <w:rPr>
                <w:iCs/>
                <w:sz w:val="24"/>
              </w:rPr>
              <w:t xml:space="preserve">Concurrently, the Risk-Need-Responsivity (RNR) framework (Andrews, Bonta &amp; Hoge, 1990) remains a guiding principle in offender management, focusing on identifying and targeting criminogenic needs and individual risk factors. RNR categorises interventions into three key components: targeting dynamic risk factors related to reoffending - Risk, tailoring interventions to an individual's specific needs -Need, and delivering interventions that match the individual's learning style and abilities -Responsivity. This model aims to reduce recidivism by addressing the root causes of criminal behaviour and enhancing protective factors that mitigate the risk of reoffending. Recent discourse by Fullerton et al. (2021) elaborates on the RNR framework's limitations in accommodating the developmental nuances of youth, urging the exploration of more youth-centred rehabilitative approaches. </w:t>
            </w:r>
            <w:r w:rsidR="00AD1D09" w:rsidRPr="00AD1D09">
              <w:rPr>
                <w:iCs/>
                <w:sz w:val="24"/>
              </w:rPr>
              <w:t>The RNR's focus on risk reduction could potentially overshadow critical ethical aspects of treatment, sometimes causing a compromise in safeguarding individual rights (Gavrielides, 2015). This disproportionate focus on risk and needs might sometimes disregard the ethical implications of interventions, potentially leading to practices that compromise the ethical rights of young offenders (Evans, 2017; Ramezani, 2022). There is a risk that the stringent emphasis on risk reduction could overshadow the ethical dimensions essential in tailoring rehabilitative strategies for this demographic, raising questions about the framework's adequacy in addressing the ethical nuances crucial in youth rehabilitation.</w:t>
            </w:r>
          </w:p>
          <w:p w14:paraId="0E6C012B" w14:textId="77777777" w:rsidR="00196085" w:rsidRDefault="00196085" w:rsidP="00DE56BE">
            <w:pPr>
              <w:pStyle w:val="Formlabel"/>
              <w:rPr>
                <w:iCs/>
                <w:sz w:val="24"/>
              </w:rPr>
            </w:pPr>
          </w:p>
          <w:p w14:paraId="2FF63B46" w14:textId="6CA1F74D" w:rsidR="00AD1D09" w:rsidRDefault="005134CC" w:rsidP="00DE56BE">
            <w:pPr>
              <w:pStyle w:val="Formlabel"/>
              <w:rPr>
                <w:iCs/>
                <w:sz w:val="24"/>
              </w:rPr>
            </w:pPr>
            <w:r w:rsidRPr="005134CC">
              <w:rPr>
                <w:iCs/>
                <w:sz w:val="24"/>
              </w:rPr>
              <w:t>Furthermore, the</w:t>
            </w:r>
            <w:r w:rsidR="0079736C">
              <w:rPr>
                <w:iCs/>
                <w:sz w:val="24"/>
              </w:rPr>
              <w:t xml:space="preserve"> </w:t>
            </w:r>
            <w:r w:rsidRPr="005134CC">
              <w:rPr>
                <w:iCs/>
                <w:sz w:val="24"/>
              </w:rPr>
              <w:t>Structured Assessment of Violence Risk in Youth - ­SAVRY</w:t>
            </w:r>
            <w:r w:rsidR="00C46A37">
              <w:rPr>
                <w:iCs/>
                <w:sz w:val="24"/>
              </w:rPr>
              <w:t xml:space="preserve"> (Borum et al., 2010)</w:t>
            </w:r>
            <w:r w:rsidRPr="005134CC">
              <w:rPr>
                <w:iCs/>
                <w:sz w:val="24"/>
              </w:rPr>
              <w:t xml:space="preserve">, </w:t>
            </w:r>
            <w:r w:rsidR="0079736C">
              <w:rPr>
                <w:iCs/>
                <w:sz w:val="24"/>
              </w:rPr>
              <w:t>is</w:t>
            </w:r>
            <w:r w:rsidRPr="005134CC">
              <w:rPr>
                <w:iCs/>
                <w:sz w:val="24"/>
              </w:rPr>
              <w:t xml:space="preserve"> used by many to </w:t>
            </w:r>
            <w:r w:rsidR="0079736C" w:rsidRPr="005134CC">
              <w:rPr>
                <w:iCs/>
                <w:sz w:val="24"/>
              </w:rPr>
              <w:t>sum up</w:t>
            </w:r>
            <w:r w:rsidRPr="005134CC">
              <w:rPr>
                <w:iCs/>
                <w:sz w:val="24"/>
              </w:rPr>
              <w:t xml:space="preserve"> violence risk</w:t>
            </w:r>
            <w:r w:rsidR="004A2A63">
              <w:rPr>
                <w:iCs/>
                <w:sz w:val="24"/>
              </w:rPr>
              <w:t xml:space="preserve">, </w:t>
            </w:r>
            <w:r w:rsidRPr="005134CC">
              <w:rPr>
                <w:iCs/>
                <w:sz w:val="24"/>
              </w:rPr>
              <w:t>protective factors and personality variables related to risk and protective factors. Using SAVRY within rehabilitative interventions for youth offenders has become a focal tool for identifying and measuring risk factors associated with criminal behaviour (Skřivánková et al., 2023). The SAVRY's comprehensive assessment framework offers a quantifiable means of delineating individualised intervention strategies by pinpointing specific criminogenic factors</w:t>
            </w:r>
            <w:r w:rsidR="009818BA">
              <w:rPr>
                <w:iCs/>
                <w:sz w:val="24"/>
              </w:rPr>
              <w:t>.</w:t>
            </w:r>
          </w:p>
          <w:p w14:paraId="65022738" w14:textId="77777777" w:rsidR="005134CC" w:rsidRPr="00DE56BE" w:rsidRDefault="005134CC" w:rsidP="00DE56BE">
            <w:pPr>
              <w:pStyle w:val="Formlabel"/>
              <w:rPr>
                <w:iCs/>
                <w:sz w:val="24"/>
              </w:rPr>
            </w:pPr>
          </w:p>
          <w:p w14:paraId="7608546B" w14:textId="4EA1669E" w:rsidR="00DE56BE" w:rsidRPr="00DE56BE" w:rsidRDefault="00DE56BE" w:rsidP="00DE56BE">
            <w:pPr>
              <w:pStyle w:val="Formlabel"/>
              <w:rPr>
                <w:iCs/>
                <w:sz w:val="24"/>
              </w:rPr>
            </w:pPr>
            <w:r w:rsidRPr="00DE56BE">
              <w:rPr>
                <w:iCs/>
                <w:sz w:val="24"/>
              </w:rPr>
              <w:t>Fortune's (2019) research underscores the need for diverse therapeutic strategies, such as cognitive-behavioural therapy (CBT), mindfulness practices and systemic approaches, in effective rehabilitation</w:t>
            </w:r>
            <w:r w:rsidR="0036154F">
              <w:rPr>
                <w:iCs/>
                <w:sz w:val="24"/>
              </w:rPr>
              <w:t xml:space="preserve">. </w:t>
            </w:r>
            <w:r w:rsidRPr="00DE56BE">
              <w:rPr>
                <w:iCs/>
                <w:sz w:val="24"/>
              </w:rPr>
              <w:t>However, classic models like the Risk-Need-Responsivity (RNR) framework fail to accommodate the developmental nuances of youth (Prescott, 2013). Conversely, the Good Lives Model (GLM) offers a holistic, strengths-based approach, resonating better with the multifaceted needs of young offenders (Ward &amp; Marshall, 2004; Ward, 2010). Despite this, empirical justification of the GLM, particularly concerning youth offenders, remains understudied (Gannon et al., 2011; Ward, 2016), signalling the need for more focused research into its efficacy within this demographic. However, integrating the GLM’s principles into rehabilitation strategies holds promise for fostering engagement and achieving enduring positive outcomes among young offenders (Prescott, 2013; Ward et al., 2007).</w:t>
            </w:r>
          </w:p>
          <w:p w14:paraId="389B8B93" w14:textId="77777777" w:rsidR="00DE56BE" w:rsidRPr="00DE56BE" w:rsidRDefault="00DE56BE" w:rsidP="00DE56BE">
            <w:pPr>
              <w:pStyle w:val="Formlabel"/>
              <w:rPr>
                <w:b/>
                <w:bCs/>
                <w:iCs/>
                <w:sz w:val="22"/>
              </w:rPr>
            </w:pPr>
          </w:p>
          <w:p w14:paraId="18EF274B" w14:textId="480E7B42" w:rsidR="00DC73C0" w:rsidRDefault="00DE56BE" w:rsidP="00DE56BE">
            <w:pPr>
              <w:pStyle w:val="Formlabel"/>
              <w:rPr>
                <w:iCs/>
                <w:sz w:val="24"/>
              </w:rPr>
            </w:pPr>
            <w:r w:rsidRPr="00DE56BE">
              <w:rPr>
                <w:iCs/>
                <w:sz w:val="24"/>
              </w:rPr>
              <w:t xml:space="preserve">Van Damme et al.'s (2017) extensive analysis explores the applicability of the Good Lives Model (GLM) concerning detained adolescents within the criminal justice system. Their findings suggest that integrating a strength-based approach like the GLM alongside traditional Risk-Need-Responsivity (RNR) models could potentially address ethical, etiological, and clinical limitations in rehabilitating youth offenders. </w:t>
            </w:r>
            <w:r w:rsidR="00DC73C0" w:rsidRPr="00DC73C0">
              <w:rPr>
                <w:iCs/>
                <w:sz w:val="24"/>
              </w:rPr>
              <w:t xml:space="preserve">This juxtaposition of approaches accentuates the critical need for empirical studies comparing interventions based on this demographic's GLM and RNR </w:t>
            </w:r>
            <w:r w:rsidR="00DC73C0" w:rsidRPr="00DC73C0">
              <w:rPr>
                <w:iCs/>
                <w:sz w:val="24"/>
              </w:rPr>
              <w:lastRenderedPageBreak/>
              <w:t>models. Additionally, their emphasis on a holistic, person-centred approach aligns with the discourse, stressing the need for tailored, strength-based rehabilitation approaches for adolescent</w:t>
            </w:r>
            <w:r w:rsidR="007A4477">
              <w:rPr>
                <w:iCs/>
                <w:sz w:val="24"/>
              </w:rPr>
              <w:t>s</w:t>
            </w:r>
            <w:r w:rsidR="00DC73C0" w:rsidRPr="00DC73C0">
              <w:rPr>
                <w:iCs/>
                <w:sz w:val="24"/>
              </w:rPr>
              <w:t>.</w:t>
            </w:r>
          </w:p>
          <w:p w14:paraId="21CCF1DA" w14:textId="6DFCDE75" w:rsidR="00DE56BE" w:rsidRPr="00DE56BE" w:rsidRDefault="00DE56BE" w:rsidP="00DE56BE">
            <w:pPr>
              <w:pStyle w:val="Formlabel"/>
              <w:rPr>
                <w:b/>
                <w:bCs/>
                <w:iCs/>
                <w:sz w:val="22"/>
              </w:rPr>
            </w:pPr>
            <w:r w:rsidRPr="00DE56BE">
              <w:rPr>
                <w:b/>
                <w:sz w:val="22"/>
              </w:rPr>
              <w:t xml:space="preserve"> </w:t>
            </w:r>
          </w:p>
          <w:p w14:paraId="4E66FACE" w14:textId="6E9B6206" w:rsidR="00DE56BE" w:rsidRPr="00DE56BE" w:rsidRDefault="00DE56BE" w:rsidP="00DE56BE">
            <w:pPr>
              <w:pStyle w:val="Formlabel"/>
              <w:rPr>
                <w:iCs/>
                <w:sz w:val="24"/>
              </w:rPr>
            </w:pPr>
            <w:r w:rsidRPr="00DE56BE">
              <w:rPr>
                <w:iCs/>
                <w:sz w:val="24"/>
              </w:rPr>
              <w:t>A study by Finseth et al. (2022) delves into the intricate dynamics between strengths, criminogenic needs, and recidivism among probationary youth offenders within the context of the RNR model. This study highlights the essential link between strengths and reduced recidivism rates, reinforcing prior beliefs regarding the significance of strengths within the RNR approach (Finseth et al., 2022; Kleeven et al., 2020; Taxman, 2014). Moreover, their revelation about the disconnect in aligning services with criminogenic needs, as advocated by the RNR model, signifies the urgency for deeper integration of strengths within the framework to optimise rehabilitation outcomes. Despite this revelation, the absence of a moderating effect of strengths on the impact of criminogenic needs on reoffending challenges the anticipated role of strengths within the RNR's specific responsivity facet (Kapoor et al., 2018; Singh et al., 2014). This study's implications highlight the significance of service alignment with criminogenic needs for all probationary youth and emphasise the need for deeper integration of strengths within the RNR framework to optimise rehabilitation outcomes. Thus, it underscores the necessity for further research into understanding how strengths operate as specific responsivity factors within the broader RNR paradigm to improve the effectiveness of probationary interventions. Other papers previous to Finseth et al. (2020) also found similar (de Vries et al., 2017). Their findings strongly echo the proposal's focus on integrating mindfulness practices within existing models to improve rehabilitative strategies and better cater to the diverse needs of young offenders.</w:t>
            </w:r>
          </w:p>
          <w:p w14:paraId="5FB09D08" w14:textId="77777777" w:rsidR="00DE56BE" w:rsidRPr="00DE56BE" w:rsidRDefault="00DE56BE" w:rsidP="00DE56BE">
            <w:pPr>
              <w:pStyle w:val="Formlabel"/>
              <w:rPr>
                <w:b/>
                <w:bCs/>
                <w:iCs/>
                <w:sz w:val="22"/>
              </w:rPr>
            </w:pPr>
            <w:r w:rsidRPr="00DE56BE">
              <w:rPr>
                <w:b/>
                <w:sz w:val="22"/>
              </w:rPr>
              <w:t xml:space="preserve"> </w:t>
            </w:r>
          </w:p>
          <w:p w14:paraId="158520D6" w14:textId="1DBD711E" w:rsidR="00DE56BE" w:rsidRPr="00DE56BE" w:rsidRDefault="00DE56BE" w:rsidP="00DE56BE">
            <w:pPr>
              <w:pStyle w:val="Formlabel"/>
              <w:rPr>
                <w:iCs/>
                <w:sz w:val="24"/>
              </w:rPr>
            </w:pPr>
            <w:r w:rsidRPr="00DE56BE">
              <w:rPr>
                <w:iCs/>
                <w:sz w:val="24"/>
              </w:rPr>
              <w:t>Singh et al.'s (2014) study critically explores the RNR model's application within juvenile justice contexts, emphasising the complexities of translating risk assessments into practical interventions for young offenders. The study collected risk assessments that were completed u</w:t>
            </w:r>
            <w:r w:rsidR="00A102B5">
              <w:rPr>
                <w:iCs/>
                <w:sz w:val="24"/>
              </w:rPr>
              <w:t>tilising</w:t>
            </w:r>
            <w:r w:rsidRPr="00DE56BE">
              <w:rPr>
                <w:iCs/>
                <w:sz w:val="24"/>
              </w:rPr>
              <w:t xml:space="preserve"> the Short-Term Assessment of Risk and Treatability: Adolescent Version -START: AV, from 120 </w:t>
            </w:r>
            <w:r w:rsidR="003C5264">
              <w:rPr>
                <w:iCs/>
                <w:sz w:val="24"/>
              </w:rPr>
              <w:t>young</w:t>
            </w:r>
            <w:r w:rsidRPr="00DE56BE">
              <w:rPr>
                <w:iCs/>
                <w:sz w:val="24"/>
              </w:rPr>
              <w:t xml:space="preserve"> offenders, 96 males and 24 females. Institutional records were utilised to derive interventions and results. There was mixed evidence of support for RNR principles. This study underlines the need for a cohesive integration between risk assessment outcomes and tailored intervention strategies to maximise positive rehabilitation outcomes. Thus, highlighting that although the RNR model has benefits, it is also not a perfect method of rehabilitating youth offenders. It resonates profoundly with the proposed rehabilitative approach centred on mindfulness-based rehabilitation for juvenile theft offenders, emphasising the pivotal role of integrating strength-based methods within interventions to augment rehabilitation outcomes.</w:t>
            </w:r>
          </w:p>
          <w:p w14:paraId="2F497EEB" w14:textId="77777777" w:rsidR="00DE56BE" w:rsidRPr="00DE56BE" w:rsidRDefault="00DE56BE" w:rsidP="00DE56BE">
            <w:pPr>
              <w:pStyle w:val="Formlabel"/>
              <w:rPr>
                <w:b/>
                <w:bCs/>
                <w:iCs/>
                <w:sz w:val="22"/>
              </w:rPr>
            </w:pPr>
          </w:p>
          <w:p w14:paraId="392A3513" w14:textId="69D8469D" w:rsidR="00991612" w:rsidRPr="00892351" w:rsidRDefault="00DE56BE" w:rsidP="00DE56BE">
            <w:pPr>
              <w:pStyle w:val="Formlabel"/>
              <w:rPr>
                <w:iCs/>
                <w:sz w:val="24"/>
              </w:rPr>
            </w:pPr>
            <w:r w:rsidRPr="00DE56BE">
              <w:rPr>
                <w:iCs/>
                <w:sz w:val="24"/>
              </w:rPr>
              <w:t>Looman and Abracen (2013) conducted a comparative analysis between the Good Lives Model (GLM) and the Risk-Need-Responsivity (RNR) approach and provided valuable insights and criticisms relevant to proposed rehabilitative interventions. While highlighting the importance of holistic rehabilitation strategies, resonating with the proposal's emphasis on integrating mindfulness sessions rooted in GLM principles. However, their critique points out potential drawbacks, such as oversimplification in aligning GLM primary goods with RNR's risk factors. While the GLM focuses on individuals' strengths and aspirations, the RNR approach addresses criminogenic needs and skill development. The study's endorsement of skill acquisition, positive language use, and establishing a solid therapeutic alliance aligns with crucial factors for successful rehabilitation programs. By incorporating both the insights and criticisms highlighted in Looman and Abracen's (2013) work, the proposed intervention aims to adopt a balanced approach, recognising the diverse needs of young offenders while striving for enduring behavioural changes and reduced recidivism rates.</w:t>
            </w:r>
            <w:r w:rsidR="00892351">
              <w:rPr>
                <w:iCs/>
                <w:sz w:val="24"/>
              </w:rPr>
              <w:t xml:space="preserve"> </w:t>
            </w:r>
          </w:p>
        </w:tc>
      </w:tr>
      <w:tr w:rsidR="009E10F9" w:rsidRPr="00210378" w14:paraId="0696DE9E" w14:textId="77777777" w:rsidTr="00991612">
        <w:trPr>
          <w:trHeight w:val="2481"/>
        </w:trPr>
        <w:tc>
          <w:tcPr>
            <w:tcW w:w="9243" w:type="dxa"/>
            <w:shd w:val="clear" w:color="auto" w:fill="auto"/>
          </w:tcPr>
          <w:p w14:paraId="185BB769" w14:textId="45B00B9F" w:rsidR="004B2F08" w:rsidRPr="008C1B8E" w:rsidRDefault="00991612" w:rsidP="004B2F08">
            <w:pPr>
              <w:pStyle w:val="ListParagraph"/>
              <w:spacing w:line="240" w:lineRule="auto"/>
              <w:ind w:left="0"/>
              <w:rPr>
                <w:rFonts w:ascii="Arial" w:hAnsi="Arial" w:cs="Arial"/>
                <w:bCs/>
                <w:i/>
                <w:iCs/>
                <w:sz w:val="20"/>
                <w:szCs w:val="20"/>
              </w:rPr>
            </w:pPr>
            <w:r w:rsidRPr="00210378">
              <w:rPr>
                <w:rFonts w:ascii="Arial" w:hAnsi="Arial" w:cs="Arial"/>
                <w:b/>
              </w:rPr>
              <w:lastRenderedPageBreak/>
              <w:t>Proposed methodology</w:t>
            </w:r>
            <w:r w:rsidR="004A073D">
              <w:rPr>
                <w:rFonts w:ascii="Arial" w:hAnsi="Arial" w:cs="Arial"/>
                <w:b/>
              </w:rPr>
              <w:t>:</w:t>
            </w:r>
          </w:p>
          <w:p w14:paraId="7AF1187E" w14:textId="77777777" w:rsidR="0076192B" w:rsidRDefault="0076192B" w:rsidP="0030708A">
            <w:pPr>
              <w:pStyle w:val="ListParagraph"/>
              <w:rPr>
                <w:rFonts w:ascii="Arial" w:hAnsi="Arial" w:cs="Arial"/>
                <w:bCs/>
                <w:sz w:val="24"/>
                <w:szCs w:val="24"/>
              </w:rPr>
            </w:pPr>
          </w:p>
          <w:p w14:paraId="69873EC9" w14:textId="1D45AD95" w:rsidR="0030708A" w:rsidRPr="0076192B" w:rsidRDefault="0030708A" w:rsidP="0076192B">
            <w:pPr>
              <w:rPr>
                <w:rFonts w:ascii="Arial" w:hAnsi="Arial" w:cs="Arial"/>
                <w:bCs/>
              </w:rPr>
            </w:pPr>
            <w:r w:rsidRPr="0076192B">
              <w:rPr>
                <w:rFonts w:ascii="Arial" w:hAnsi="Arial" w:cs="Arial"/>
                <w:bCs/>
              </w:rPr>
              <w:t xml:space="preserve">The proposed methodology integrates weekly mindfulness sessions, infusing the sessions with the Good Lives Model (GLM) guiding principles. This approach </w:t>
            </w:r>
            <w:r w:rsidR="0023469B" w:rsidRPr="0076192B">
              <w:rPr>
                <w:rFonts w:ascii="Arial" w:hAnsi="Arial" w:cs="Arial"/>
                <w:bCs/>
              </w:rPr>
              <w:t>tailors’</w:t>
            </w:r>
            <w:r w:rsidRPr="0076192B">
              <w:rPr>
                <w:rFonts w:ascii="Arial" w:hAnsi="Arial" w:cs="Arial"/>
                <w:bCs/>
              </w:rPr>
              <w:t xml:space="preserve"> interventions to address individual needs and amplify protective factors, explicitly targeting criminogenic factors identified through assessments like the Structured Assessment of Violence Risk in Youth (SAVRY)</w:t>
            </w:r>
            <w:r w:rsidR="003A6D79">
              <w:rPr>
                <w:rFonts w:ascii="Arial" w:hAnsi="Arial" w:cs="Arial"/>
                <w:bCs/>
              </w:rPr>
              <w:t xml:space="preserve"> </w:t>
            </w:r>
            <w:r w:rsidR="003A6D79">
              <w:rPr>
                <w:rFonts w:ascii="Arial" w:hAnsi="Arial" w:cs="Arial"/>
              </w:rPr>
              <w:t>(Borum et al., 2002, 2006)</w:t>
            </w:r>
            <w:r w:rsidRPr="0076192B">
              <w:rPr>
                <w:rFonts w:ascii="Arial" w:hAnsi="Arial" w:cs="Arial"/>
                <w:bCs/>
              </w:rPr>
              <w:t>.</w:t>
            </w:r>
          </w:p>
          <w:p w14:paraId="04808FDF" w14:textId="29CECAFC" w:rsidR="0030708A" w:rsidRPr="0076192B" w:rsidRDefault="0030708A" w:rsidP="0076192B">
            <w:pPr>
              <w:rPr>
                <w:rFonts w:ascii="Arial" w:hAnsi="Arial" w:cs="Arial"/>
                <w:bCs/>
              </w:rPr>
            </w:pPr>
            <w:r w:rsidRPr="0076192B">
              <w:rPr>
                <w:rFonts w:ascii="Arial" w:hAnsi="Arial" w:cs="Arial"/>
                <w:bCs/>
              </w:rPr>
              <w:t>These tailored sessions aim to cultivate skills in alignment with the Risk-Need-Responsivity (RNR) framework. They emphasise cognitive restructuring, fostering pro</w:t>
            </w:r>
            <w:r w:rsidR="005369AF">
              <w:rPr>
                <w:rFonts w:ascii="Arial" w:hAnsi="Arial" w:cs="Arial"/>
                <w:bCs/>
              </w:rPr>
              <w:t>-</w:t>
            </w:r>
            <w:r w:rsidRPr="0076192B">
              <w:rPr>
                <w:rFonts w:ascii="Arial" w:hAnsi="Arial" w:cs="Arial"/>
                <w:bCs/>
              </w:rPr>
              <w:t>social skills, and clarifying personal values. By combining mindfulness with GLM principles, the intervention seeks to enhance participants' understanding of their personal aspirations, motivations, and strengths while addressing areas of risk highlighted by the SAVRY assessment</w:t>
            </w:r>
            <w:r w:rsidR="003A6D79">
              <w:rPr>
                <w:rFonts w:ascii="Arial" w:hAnsi="Arial" w:cs="Arial"/>
                <w:bCs/>
              </w:rPr>
              <w:t xml:space="preserve"> </w:t>
            </w:r>
            <w:r w:rsidR="003A6D79">
              <w:rPr>
                <w:rFonts w:ascii="Arial" w:hAnsi="Arial" w:cs="Arial"/>
              </w:rPr>
              <w:t>(Borum et al., 2002, 2006)</w:t>
            </w:r>
            <w:r w:rsidRPr="0076192B">
              <w:rPr>
                <w:rFonts w:ascii="Arial" w:hAnsi="Arial" w:cs="Arial"/>
                <w:bCs/>
              </w:rPr>
              <w:t>. This holistic approach aims to instigate cognitive and emotional growth, aligning participants' goals with constructive and lawful pathways while diminishing the factors associated with further criminal behaviour.</w:t>
            </w:r>
          </w:p>
          <w:p w14:paraId="584EAB8F" w14:textId="531C123C" w:rsidR="009E10F9" w:rsidRDefault="0030708A" w:rsidP="0030708A">
            <w:pPr>
              <w:pStyle w:val="ListParagraph"/>
              <w:spacing w:line="240" w:lineRule="auto"/>
              <w:ind w:left="0"/>
              <w:rPr>
                <w:rFonts w:ascii="Arial" w:hAnsi="Arial" w:cs="Arial"/>
                <w:b/>
              </w:rPr>
            </w:pPr>
            <w:r w:rsidRPr="0030708A">
              <w:rPr>
                <w:rFonts w:ascii="Arial" w:hAnsi="Arial" w:cs="Arial"/>
                <w:bCs/>
                <w:sz w:val="24"/>
                <w:szCs w:val="24"/>
              </w:rPr>
              <w:t xml:space="preserve"> </w:t>
            </w:r>
          </w:p>
          <w:p w14:paraId="530465E7" w14:textId="103526CA" w:rsidR="00991612" w:rsidRDefault="00991612" w:rsidP="00C63A8D">
            <w:pPr>
              <w:pStyle w:val="ListParagraph"/>
              <w:spacing w:line="240" w:lineRule="auto"/>
              <w:ind w:left="0"/>
              <w:rPr>
                <w:rFonts w:ascii="Arial" w:hAnsi="Arial" w:cs="Arial"/>
                <w:b/>
              </w:rPr>
            </w:pPr>
            <w:r>
              <w:rPr>
                <w:rFonts w:ascii="Arial" w:hAnsi="Arial" w:cs="Arial"/>
                <w:b/>
              </w:rPr>
              <w:t>The rehabilitative intervention design:</w:t>
            </w:r>
          </w:p>
          <w:p w14:paraId="1E90485D" w14:textId="0DBAB4EC" w:rsidR="00991612" w:rsidRDefault="00991612" w:rsidP="00C63A8D">
            <w:pPr>
              <w:pStyle w:val="ListParagraph"/>
              <w:spacing w:line="240" w:lineRule="auto"/>
              <w:ind w:left="0"/>
              <w:rPr>
                <w:rFonts w:ascii="Arial" w:hAnsi="Arial" w:cs="Arial"/>
                <w:bCs/>
                <w:i/>
                <w:iCs/>
                <w:sz w:val="20"/>
                <w:szCs w:val="20"/>
              </w:rPr>
            </w:pPr>
          </w:p>
          <w:p w14:paraId="260A4822" w14:textId="0CFA9FA9" w:rsidR="00991612" w:rsidRDefault="0030708A" w:rsidP="00C63A8D">
            <w:pPr>
              <w:pStyle w:val="ListParagraph"/>
              <w:spacing w:line="240" w:lineRule="auto"/>
              <w:ind w:left="0"/>
              <w:rPr>
                <w:rFonts w:ascii="Arial" w:hAnsi="Arial" w:cs="Arial"/>
                <w:b/>
              </w:rPr>
            </w:pPr>
            <w:r w:rsidRPr="0030708A">
              <w:rPr>
                <w:rFonts w:ascii="Arial" w:hAnsi="Arial" w:cs="Arial"/>
                <w:bCs/>
                <w:sz w:val="24"/>
                <w:szCs w:val="24"/>
              </w:rPr>
              <w:t>The rehabilitation plan involves weekly mindfulness sessions tailored for young theft-related offenders. Sessions incorporate mindfulness techniques such as guided meditation and breathing exercises aligned with the Good Lives Model principles and Risk-Need-Responsivity strategies. Participants engage in discussions, reflective exercises, and goal-setting activities to enhance self-awareness, emotional control, and empathy. Facilitators guide these sessions, ensuring a supportive environment for skill development. Regular assessments will drive adjustments for better outcomes.</w:t>
            </w:r>
          </w:p>
          <w:p w14:paraId="3E81FD63" w14:textId="6FAD1A8C" w:rsidR="00991612" w:rsidRDefault="00991612" w:rsidP="00C63A8D">
            <w:pPr>
              <w:pStyle w:val="ListParagraph"/>
              <w:spacing w:line="240" w:lineRule="auto"/>
              <w:ind w:left="0"/>
              <w:rPr>
                <w:rFonts w:ascii="Arial" w:hAnsi="Arial" w:cs="Arial"/>
                <w:b/>
              </w:rPr>
            </w:pPr>
            <w:r>
              <w:rPr>
                <w:rFonts w:ascii="Arial" w:hAnsi="Arial" w:cs="Arial"/>
                <w:b/>
              </w:rPr>
              <w:t>The target population and recruitment:</w:t>
            </w:r>
          </w:p>
          <w:p w14:paraId="68633E1D" w14:textId="06290FDF" w:rsidR="00991612" w:rsidRDefault="0030708A" w:rsidP="008C59A3">
            <w:pPr>
              <w:pStyle w:val="ListParagraph"/>
              <w:spacing w:line="240" w:lineRule="auto"/>
              <w:ind w:left="0"/>
              <w:rPr>
                <w:rFonts w:ascii="Arial" w:hAnsi="Arial" w:cs="Arial"/>
              </w:rPr>
            </w:pPr>
            <w:r w:rsidRPr="0030708A">
              <w:rPr>
                <w:rFonts w:ascii="Arial" w:hAnsi="Arial" w:cs="Arial"/>
                <w:sz w:val="24"/>
                <w:szCs w:val="24"/>
              </w:rPr>
              <w:t>The recruitment process will focus on engaging juveniles between 12 and 17 who have been involved in theft offences. Collaborative efforts with probation officers and psychologists will be integral in this process. They will assist in screening potential participants based on assessments using the Structured Assessment of Violence Risk in Youth (SAVRY)</w:t>
            </w:r>
            <w:r w:rsidR="001522E1">
              <w:rPr>
                <w:rFonts w:ascii="Arial" w:hAnsi="Arial" w:cs="Arial"/>
                <w:sz w:val="24"/>
                <w:szCs w:val="24"/>
              </w:rPr>
              <w:t xml:space="preserve"> (Borum et al., 2002</w:t>
            </w:r>
            <w:r w:rsidR="00F83302">
              <w:rPr>
                <w:rFonts w:ascii="Arial" w:hAnsi="Arial" w:cs="Arial"/>
                <w:sz w:val="24"/>
                <w:szCs w:val="24"/>
              </w:rPr>
              <w:t>, 2006)</w:t>
            </w:r>
            <w:r w:rsidRPr="0030708A">
              <w:rPr>
                <w:rFonts w:ascii="Arial" w:hAnsi="Arial" w:cs="Arial"/>
                <w:sz w:val="24"/>
                <w:szCs w:val="24"/>
              </w:rPr>
              <w:t xml:space="preserve"> and considering factors aligned with the Good Lives Model (GLM). This collaborative approach aims to ensure a thorough and precise selection process, identifying individuals whose needs and risk factors are most aligned with the tailored intervention.</w:t>
            </w:r>
          </w:p>
          <w:p w14:paraId="7B07C614" w14:textId="77777777" w:rsidR="00991612" w:rsidRDefault="00991612" w:rsidP="008C59A3">
            <w:pPr>
              <w:pStyle w:val="ListParagraph"/>
              <w:spacing w:line="240" w:lineRule="auto"/>
              <w:ind w:left="0"/>
              <w:rPr>
                <w:rFonts w:ascii="Arial" w:hAnsi="Arial" w:cs="Arial"/>
              </w:rPr>
            </w:pPr>
          </w:p>
          <w:p w14:paraId="5DDD7FB0" w14:textId="77777777" w:rsidR="00991612" w:rsidRDefault="00991612" w:rsidP="008C59A3">
            <w:pPr>
              <w:pStyle w:val="ListParagraph"/>
              <w:spacing w:line="240" w:lineRule="auto"/>
              <w:ind w:left="0"/>
              <w:rPr>
                <w:rFonts w:ascii="Arial" w:hAnsi="Arial" w:cs="Arial"/>
                <w:b/>
                <w:bCs/>
              </w:rPr>
            </w:pPr>
            <w:r w:rsidRPr="00991612">
              <w:rPr>
                <w:rFonts w:ascii="Arial" w:hAnsi="Arial" w:cs="Arial"/>
                <w:b/>
                <w:bCs/>
              </w:rPr>
              <w:t xml:space="preserve">Materials/measures: </w:t>
            </w:r>
          </w:p>
          <w:p w14:paraId="149BDB03" w14:textId="77777777" w:rsidR="00991612" w:rsidRDefault="00991612" w:rsidP="008C59A3">
            <w:pPr>
              <w:pStyle w:val="ListParagraph"/>
              <w:spacing w:line="240" w:lineRule="auto"/>
              <w:ind w:left="0"/>
              <w:rPr>
                <w:rFonts w:ascii="Arial" w:hAnsi="Arial" w:cs="Arial"/>
                <w:b/>
                <w:bCs/>
              </w:rPr>
            </w:pPr>
          </w:p>
          <w:p w14:paraId="070B8DD0" w14:textId="5AEFFC54" w:rsidR="00991612" w:rsidRDefault="0030708A" w:rsidP="008C59A3">
            <w:pPr>
              <w:pStyle w:val="ListParagraph"/>
              <w:spacing w:line="240" w:lineRule="auto"/>
              <w:ind w:left="0"/>
              <w:rPr>
                <w:rFonts w:ascii="Arial" w:hAnsi="Arial" w:cs="Arial"/>
                <w:b/>
                <w:bCs/>
              </w:rPr>
            </w:pPr>
            <w:r w:rsidRPr="0030708A">
              <w:rPr>
                <w:rFonts w:ascii="Arial" w:hAnsi="Arial" w:cs="Arial"/>
                <w:sz w:val="24"/>
                <w:szCs w:val="24"/>
              </w:rPr>
              <w:t>The SAVRY assessment will establish baseline risk factors and shape personalised intervention strategies. GLM assessments will pinpoint strengths and motivations. Success will be gauged by shifts in SAVRY risk scores, enhancements in GLM factors, and diminished recidivism rates after the intervention. Continuous monitoring using validated scales throughout the intervention will also track participants' progress. Regular assessments, including SAVRY reassessments and GLM evaluations, will occur at specific intervals during and post-intervention. These assessments will comprehensively understand the participants' evolving risk factors, strengths, and motivational shifts. Moreover, qualitative feedback from participants and facilitators will complement quantitative measures, offering valuable insights into the intervention's impact on participants' perceptions and experiences. Together, these measures will provide a multifaceted assessment, enabling a holistic evaluation of the intervention's efficacy and influence on reducing recidivism rates.</w:t>
            </w:r>
          </w:p>
          <w:p w14:paraId="53267D04" w14:textId="1D01A2CD" w:rsidR="0030708A" w:rsidRPr="0030708A" w:rsidRDefault="0030708A" w:rsidP="008C59A3">
            <w:pPr>
              <w:pStyle w:val="ListParagraph"/>
              <w:spacing w:line="240" w:lineRule="auto"/>
              <w:ind w:left="0"/>
              <w:rPr>
                <w:rFonts w:ascii="Arial" w:hAnsi="Arial" w:cs="Arial"/>
                <w:b/>
                <w:bCs/>
                <w:sz w:val="32"/>
                <w:szCs w:val="32"/>
              </w:rPr>
            </w:pPr>
          </w:p>
        </w:tc>
      </w:tr>
      <w:tr w:rsidR="009E10F9" w:rsidRPr="00210378" w14:paraId="6FD11615" w14:textId="77777777" w:rsidTr="004A073D">
        <w:trPr>
          <w:trHeight w:val="65"/>
        </w:trPr>
        <w:tc>
          <w:tcPr>
            <w:tcW w:w="9243" w:type="dxa"/>
            <w:shd w:val="clear" w:color="auto" w:fill="auto"/>
          </w:tcPr>
          <w:p w14:paraId="4F48D75A" w14:textId="77777777" w:rsidR="00FD04DE" w:rsidRPr="00FD04DE" w:rsidRDefault="00FD04DE" w:rsidP="00FD04DE"/>
          <w:p w14:paraId="6B9ADD03" w14:textId="702ED94B" w:rsidR="00991612" w:rsidRPr="008C1B8E" w:rsidRDefault="00991612" w:rsidP="004A073D">
            <w:pPr>
              <w:pStyle w:val="ListParagraph"/>
              <w:spacing w:after="0" w:line="240" w:lineRule="auto"/>
              <w:ind w:left="0"/>
              <w:rPr>
                <w:rFonts w:ascii="Arial" w:hAnsi="Arial" w:cs="Arial"/>
                <w:i/>
                <w:iCs/>
                <w:sz w:val="20"/>
                <w:szCs w:val="20"/>
              </w:rPr>
            </w:pPr>
            <w:r w:rsidRPr="00991612">
              <w:rPr>
                <w:rFonts w:ascii="Arial" w:hAnsi="Arial" w:cs="Arial"/>
                <w:b/>
                <w:bCs/>
              </w:rPr>
              <w:t>Procedure:</w:t>
            </w:r>
            <w:r w:rsidR="004B2F08">
              <w:rPr>
                <w:rFonts w:ascii="Arial" w:hAnsi="Arial" w:cs="Arial"/>
                <w:b/>
                <w:bCs/>
              </w:rPr>
              <w:t xml:space="preserve"> </w:t>
            </w:r>
          </w:p>
          <w:p w14:paraId="2012DA59" w14:textId="614C2620" w:rsidR="00991612" w:rsidRDefault="00991612" w:rsidP="00C63A8D">
            <w:pPr>
              <w:pStyle w:val="ListParagraph"/>
              <w:spacing w:after="0" w:line="240" w:lineRule="auto"/>
              <w:ind w:left="0"/>
              <w:rPr>
                <w:rFonts w:ascii="Arial" w:hAnsi="Arial" w:cs="Arial"/>
                <w:b/>
                <w:bCs/>
              </w:rPr>
            </w:pPr>
          </w:p>
          <w:p w14:paraId="0F11E2B0" w14:textId="77777777" w:rsidR="0030708A" w:rsidRPr="0030708A" w:rsidRDefault="0030708A" w:rsidP="0030708A">
            <w:pPr>
              <w:pStyle w:val="ListParagraph"/>
              <w:rPr>
                <w:rFonts w:ascii="Arial" w:hAnsi="Arial" w:cs="Arial"/>
                <w:sz w:val="24"/>
                <w:szCs w:val="24"/>
                <w:u w:val="single"/>
              </w:rPr>
            </w:pPr>
            <w:r w:rsidRPr="0030708A">
              <w:rPr>
                <w:rFonts w:ascii="Arial" w:hAnsi="Arial" w:cs="Arial"/>
                <w:sz w:val="24"/>
                <w:szCs w:val="24"/>
                <w:u w:val="single"/>
              </w:rPr>
              <w:t>Week 1 - Introduction and Goal Setting:</w:t>
            </w:r>
          </w:p>
          <w:p w14:paraId="3C323D60" w14:textId="77777777" w:rsidR="0030708A" w:rsidRPr="0030708A" w:rsidRDefault="0030708A" w:rsidP="0030708A">
            <w:pPr>
              <w:pStyle w:val="ListParagraph"/>
              <w:rPr>
                <w:rFonts w:ascii="Arial" w:hAnsi="Arial" w:cs="Arial"/>
                <w:sz w:val="24"/>
                <w:szCs w:val="24"/>
              </w:rPr>
            </w:pPr>
            <w:r w:rsidRPr="0030708A">
              <w:rPr>
                <w:rFonts w:ascii="Arial" w:hAnsi="Arial" w:cs="Arial"/>
                <w:sz w:val="24"/>
                <w:szCs w:val="24"/>
              </w:rPr>
              <w:t>Introduction to the program, facilitators, and participants.</w:t>
            </w:r>
          </w:p>
          <w:p w14:paraId="6E6951A1" w14:textId="77777777" w:rsidR="0030708A" w:rsidRPr="0030708A" w:rsidRDefault="0030708A" w:rsidP="0030708A">
            <w:pPr>
              <w:pStyle w:val="ListParagraph"/>
              <w:rPr>
                <w:rFonts w:ascii="Arial" w:hAnsi="Arial" w:cs="Arial"/>
                <w:sz w:val="24"/>
                <w:szCs w:val="24"/>
              </w:rPr>
            </w:pPr>
            <w:r w:rsidRPr="0030708A">
              <w:rPr>
                <w:rFonts w:ascii="Arial" w:hAnsi="Arial" w:cs="Arial"/>
                <w:sz w:val="24"/>
                <w:szCs w:val="24"/>
              </w:rPr>
              <w:t>GLM-oriented goal-setting exercises to identify individual aspirations, strengths, and motivations.</w:t>
            </w:r>
          </w:p>
          <w:p w14:paraId="596D91CF" w14:textId="77777777" w:rsidR="0030708A" w:rsidRDefault="0030708A" w:rsidP="0030708A">
            <w:pPr>
              <w:pStyle w:val="ListParagraph"/>
              <w:rPr>
                <w:rFonts w:ascii="Arial" w:hAnsi="Arial" w:cs="Arial"/>
                <w:sz w:val="24"/>
                <w:szCs w:val="24"/>
              </w:rPr>
            </w:pPr>
            <w:r w:rsidRPr="0030708A">
              <w:rPr>
                <w:rFonts w:ascii="Arial" w:hAnsi="Arial" w:cs="Arial"/>
                <w:sz w:val="24"/>
                <w:szCs w:val="24"/>
              </w:rPr>
              <w:t>Introduction to basic mindfulness practices to begin fostering self-awareness.</w:t>
            </w:r>
          </w:p>
          <w:p w14:paraId="6DCA0886" w14:textId="77777777" w:rsidR="0030708A" w:rsidRPr="0030708A" w:rsidRDefault="0030708A" w:rsidP="0030708A">
            <w:pPr>
              <w:pStyle w:val="ListParagraph"/>
              <w:rPr>
                <w:rFonts w:ascii="Arial" w:hAnsi="Arial" w:cs="Arial"/>
                <w:sz w:val="24"/>
                <w:szCs w:val="24"/>
              </w:rPr>
            </w:pPr>
          </w:p>
          <w:p w14:paraId="5B7FAA02" w14:textId="77777777" w:rsidR="0030708A" w:rsidRPr="0030708A" w:rsidRDefault="0030708A" w:rsidP="0030708A">
            <w:pPr>
              <w:pStyle w:val="ListParagraph"/>
              <w:rPr>
                <w:rFonts w:ascii="Arial" w:hAnsi="Arial" w:cs="Arial"/>
                <w:sz w:val="24"/>
                <w:szCs w:val="24"/>
                <w:u w:val="single"/>
              </w:rPr>
            </w:pPr>
            <w:r w:rsidRPr="0030708A">
              <w:rPr>
                <w:rFonts w:ascii="Arial" w:hAnsi="Arial" w:cs="Arial"/>
                <w:sz w:val="24"/>
                <w:szCs w:val="24"/>
                <w:u w:val="single"/>
              </w:rPr>
              <w:t>Week 2-4 - Mindfulness Foundations and GLM Integration:</w:t>
            </w:r>
          </w:p>
          <w:p w14:paraId="4BA9F993" w14:textId="77777777" w:rsidR="0030708A" w:rsidRPr="0030708A" w:rsidRDefault="0030708A" w:rsidP="0030708A">
            <w:pPr>
              <w:pStyle w:val="ListParagraph"/>
              <w:rPr>
                <w:rFonts w:ascii="Arial" w:hAnsi="Arial" w:cs="Arial"/>
                <w:sz w:val="24"/>
                <w:szCs w:val="24"/>
              </w:rPr>
            </w:pPr>
            <w:r w:rsidRPr="0030708A">
              <w:rPr>
                <w:rFonts w:ascii="Arial" w:hAnsi="Arial" w:cs="Arial"/>
                <w:sz w:val="24"/>
                <w:szCs w:val="24"/>
              </w:rPr>
              <w:t>Intensive mindfulness training sessions focusing on various techniques like guided meditation and breathing exercises.</w:t>
            </w:r>
          </w:p>
          <w:p w14:paraId="52D856FD" w14:textId="473711D2" w:rsidR="0030708A" w:rsidRPr="0030708A" w:rsidRDefault="0030708A" w:rsidP="0030708A">
            <w:pPr>
              <w:pStyle w:val="ListParagraph"/>
              <w:rPr>
                <w:rFonts w:ascii="Arial" w:hAnsi="Arial" w:cs="Arial"/>
                <w:sz w:val="24"/>
                <w:szCs w:val="24"/>
              </w:rPr>
            </w:pPr>
            <w:r w:rsidRPr="0030708A">
              <w:rPr>
                <w:rFonts w:ascii="Arial" w:hAnsi="Arial" w:cs="Arial"/>
                <w:sz w:val="24"/>
                <w:szCs w:val="24"/>
              </w:rPr>
              <w:t>Integrating established goals from Week 1 into mindfulness practices, emphasi</w:t>
            </w:r>
            <w:r w:rsidR="00B4447A">
              <w:rPr>
                <w:rFonts w:ascii="Arial" w:hAnsi="Arial" w:cs="Arial"/>
                <w:sz w:val="24"/>
                <w:szCs w:val="24"/>
              </w:rPr>
              <w:t>s</w:t>
            </w:r>
            <w:r w:rsidRPr="0030708A">
              <w:rPr>
                <w:rFonts w:ascii="Arial" w:hAnsi="Arial" w:cs="Arial"/>
                <w:sz w:val="24"/>
                <w:szCs w:val="24"/>
              </w:rPr>
              <w:t>ing the link between objectives and mindfulness skills.</w:t>
            </w:r>
          </w:p>
          <w:p w14:paraId="508E18E7" w14:textId="77777777" w:rsidR="0030708A" w:rsidRDefault="0030708A" w:rsidP="0030708A">
            <w:pPr>
              <w:pStyle w:val="ListParagraph"/>
              <w:rPr>
                <w:rFonts w:ascii="Arial" w:hAnsi="Arial" w:cs="Arial"/>
                <w:sz w:val="24"/>
                <w:szCs w:val="24"/>
              </w:rPr>
            </w:pPr>
            <w:r w:rsidRPr="0030708A">
              <w:rPr>
                <w:rFonts w:ascii="Arial" w:hAnsi="Arial" w:cs="Arial"/>
                <w:sz w:val="24"/>
                <w:szCs w:val="24"/>
              </w:rPr>
              <w:t>GLM principles are reinforced through mindfulness activities, highlighting positive experiences and autonomy.</w:t>
            </w:r>
          </w:p>
          <w:p w14:paraId="309F73DA" w14:textId="77777777" w:rsidR="0030708A" w:rsidRPr="0030708A" w:rsidRDefault="0030708A" w:rsidP="0030708A">
            <w:pPr>
              <w:pStyle w:val="ListParagraph"/>
              <w:rPr>
                <w:rFonts w:ascii="Arial" w:hAnsi="Arial" w:cs="Arial"/>
                <w:sz w:val="24"/>
                <w:szCs w:val="24"/>
              </w:rPr>
            </w:pPr>
          </w:p>
          <w:p w14:paraId="765E2C75" w14:textId="77777777" w:rsidR="0030708A" w:rsidRPr="0030708A" w:rsidRDefault="0030708A" w:rsidP="0030708A">
            <w:pPr>
              <w:pStyle w:val="ListParagraph"/>
              <w:rPr>
                <w:rFonts w:ascii="Arial" w:hAnsi="Arial" w:cs="Arial"/>
                <w:sz w:val="24"/>
                <w:szCs w:val="24"/>
                <w:u w:val="single"/>
              </w:rPr>
            </w:pPr>
            <w:r w:rsidRPr="0030708A">
              <w:rPr>
                <w:rFonts w:ascii="Arial" w:hAnsi="Arial" w:cs="Arial"/>
                <w:sz w:val="24"/>
                <w:szCs w:val="24"/>
                <w:u w:val="single"/>
              </w:rPr>
              <w:t>Week 5-7 - RNR-Aligned Skill Building:</w:t>
            </w:r>
          </w:p>
          <w:p w14:paraId="15DC7CD7" w14:textId="77777777" w:rsidR="0030708A" w:rsidRPr="0030708A" w:rsidRDefault="0030708A" w:rsidP="0030708A">
            <w:pPr>
              <w:pStyle w:val="ListParagraph"/>
              <w:rPr>
                <w:rFonts w:ascii="Arial" w:hAnsi="Arial" w:cs="Arial"/>
                <w:sz w:val="24"/>
                <w:szCs w:val="24"/>
              </w:rPr>
            </w:pPr>
            <w:r w:rsidRPr="0030708A">
              <w:rPr>
                <w:rFonts w:ascii="Arial" w:hAnsi="Arial" w:cs="Arial"/>
                <w:sz w:val="24"/>
                <w:szCs w:val="24"/>
              </w:rPr>
              <w:t>Initiation of RNR-aligned exercises aimed at developing specific competencies.</w:t>
            </w:r>
          </w:p>
          <w:p w14:paraId="46AE1328" w14:textId="26B3814E" w:rsidR="0030708A" w:rsidRPr="0030708A" w:rsidRDefault="0030708A" w:rsidP="0030708A">
            <w:pPr>
              <w:pStyle w:val="ListParagraph"/>
              <w:rPr>
                <w:rFonts w:ascii="Arial" w:hAnsi="Arial" w:cs="Arial"/>
                <w:sz w:val="24"/>
                <w:szCs w:val="24"/>
              </w:rPr>
            </w:pPr>
            <w:r w:rsidRPr="0030708A">
              <w:rPr>
                <w:rFonts w:ascii="Arial" w:hAnsi="Arial" w:cs="Arial"/>
                <w:sz w:val="24"/>
                <w:szCs w:val="24"/>
              </w:rPr>
              <w:t>Skill-building exercises focusing on enhancing decision-making skills, fostering pro</w:t>
            </w:r>
            <w:r w:rsidR="00B4447A">
              <w:rPr>
                <w:rFonts w:ascii="Arial" w:hAnsi="Arial" w:cs="Arial"/>
                <w:sz w:val="24"/>
                <w:szCs w:val="24"/>
              </w:rPr>
              <w:t>-</w:t>
            </w:r>
            <w:r w:rsidRPr="0030708A">
              <w:rPr>
                <w:rFonts w:ascii="Arial" w:hAnsi="Arial" w:cs="Arial"/>
                <w:sz w:val="24"/>
                <w:szCs w:val="24"/>
              </w:rPr>
              <w:t>social behaviours, and clarifying personal values.</w:t>
            </w:r>
          </w:p>
          <w:p w14:paraId="1F21B136" w14:textId="77777777" w:rsidR="0030708A" w:rsidRDefault="0030708A" w:rsidP="0030708A">
            <w:pPr>
              <w:pStyle w:val="ListParagraph"/>
              <w:rPr>
                <w:rFonts w:ascii="Arial" w:hAnsi="Arial" w:cs="Arial"/>
                <w:sz w:val="24"/>
                <w:szCs w:val="24"/>
              </w:rPr>
            </w:pPr>
            <w:r w:rsidRPr="0030708A">
              <w:rPr>
                <w:rFonts w:ascii="Arial" w:hAnsi="Arial" w:cs="Arial"/>
                <w:sz w:val="24"/>
                <w:szCs w:val="24"/>
              </w:rPr>
              <w:t>Continued mindfulness practice to reinforce emotional regulation and cognitive restructuring.</w:t>
            </w:r>
          </w:p>
          <w:p w14:paraId="69FB7A27" w14:textId="77777777" w:rsidR="0030708A" w:rsidRPr="0030708A" w:rsidRDefault="0030708A" w:rsidP="0030708A">
            <w:pPr>
              <w:pStyle w:val="ListParagraph"/>
              <w:rPr>
                <w:rFonts w:ascii="Arial" w:hAnsi="Arial" w:cs="Arial"/>
                <w:sz w:val="24"/>
                <w:szCs w:val="24"/>
              </w:rPr>
            </w:pPr>
          </w:p>
          <w:p w14:paraId="6A9829A0" w14:textId="77777777" w:rsidR="0030708A" w:rsidRPr="0030708A" w:rsidRDefault="0030708A" w:rsidP="0030708A">
            <w:pPr>
              <w:pStyle w:val="ListParagraph"/>
              <w:rPr>
                <w:rFonts w:ascii="Arial" w:hAnsi="Arial" w:cs="Arial"/>
                <w:sz w:val="24"/>
                <w:szCs w:val="24"/>
                <w:u w:val="single"/>
              </w:rPr>
            </w:pPr>
            <w:r w:rsidRPr="0030708A">
              <w:rPr>
                <w:rFonts w:ascii="Arial" w:hAnsi="Arial" w:cs="Arial"/>
                <w:sz w:val="24"/>
                <w:szCs w:val="24"/>
                <w:u w:val="single"/>
              </w:rPr>
              <w:t>Week 8-10 - Integration and Progress Assessment:</w:t>
            </w:r>
          </w:p>
          <w:p w14:paraId="6A81C420" w14:textId="77777777" w:rsidR="0030708A" w:rsidRPr="0030708A" w:rsidRDefault="0030708A" w:rsidP="0030708A">
            <w:pPr>
              <w:pStyle w:val="ListParagraph"/>
              <w:rPr>
                <w:rFonts w:ascii="Arial" w:hAnsi="Arial" w:cs="Arial"/>
                <w:sz w:val="24"/>
                <w:szCs w:val="24"/>
              </w:rPr>
            </w:pPr>
            <w:r w:rsidRPr="0030708A">
              <w:rPr>
                <w:rFonts w:ascii="Arial" w:hAnsi="Arial" w:cs="Arial"/>
                <w:sz w:val="24"/>
                <w:szCs w:val="24"/>
              </w:rPr>
              <w:t>Integration of learned skills into real-life scenarios through role-playing and reflective exercises.</w:t>
            </w:r>
          </w:p>
          <w:p w14:paraId="0F4DFA23" w14:textId="77777777" w:rsidR="0030708A" w:rsidRPr="0030708A" w:rsidRDefault="0030708A" w:rsidP="0030708A">
            <w:pPr>
              <w:pStyle w:val="ListParagraph"/>
              <w:rPr>
                <w:rFonts w:ascii="Arial" w:hAnsi="Arial" w:cs="Arial"/>
                <w:sz w:val="24"/>
                <w:szCs w:val="24"/>
              </w:rPr>
            </w:pPr>
            <w:r w:rsidRPr="0030708A">
              <w:rPr>
                <w:rFonts w:ascii="Arial" w:hAnsi="Arial" w:cs="Arial"/>
                <w:sz w:val="24"/>
                <w:szCs w:val="24"/>
              </w:rPr>
              <w:t>SAVRY reassessments conducted to track shifts in risk factors associated with criminal behaviour.</w:t>
            </w:r>
          </w:p>
          <w:p w14:paraId="3D81C384" w14:textId="77777777" w:rsidR="0030708A" w:rsidRDefault="0030708A" w:rsidP="0030708A">
            <w:pPr>
              <w:pStyle w:val="ListParagraph"/>
              <w:rPr>
                <w:rFonts w:ascii="Arial" w:hAnsi="Arial" w:cs="Arial"/>
                <w:sz w:val="24"/>
                <w:szCs w:val="24"/>
              </w:rPr>
            </w:pPr>
            <w:r w:rsidRPr="0030708A">
              <w:rPr>
                <w:rFonts w:ascii="Arial" w:hAnsi="Arial" w:cs="Arial"/>
                <w:sz w:val="24"/>
                <w:szCs w:val="24"/>
              </w:rPr>
              <w:t>GLM evaluations to measure progress in identified strengths, motivations, and goal attainment.</w:t>
            </w:r>
          </w:p>
          <w:p w14:paraId="1FD66F39" w14:textId="77777777" w:rsidR="0030708A" w:rsidRPr="0030708A" w:rsidRDefault="0030708A" w:rsidP="0030708A">
            <w:pPr>
              <w:pStyle w:val="ListParagraph"/>
              <w:rPr>
                <w:rFonts w:ascii="Arial" w:hAnsi="Arial" w:cs="Arial"/>
                <w:sz w:val="24"/>
                <w:szCs w:val="24"/>
              </w:rPr>
            </w:pPr>
          </w:p>
          <w:p w14:paraId="36367EA3" w14:textId="77777777" w:rsidR="0030708A" w:rsidRPr="0030708A" w:rsidRDefault="0030708A" w:rsidP="0030708A">
            <w:pPr>
              <w:pStyle w:val="ListParagraph"/>
              <w:rPr>
                <w:rFonts w:ascii="Arial" w:hAnsi="Arial" w:cs="Arial"/>
                <w:sz w:val="24"/>
                <w:szCs w:val="24"/>
                <w:u w:val="single"/>
              </w:rPr>
            </w:pPr>
            <w:r w:rsidRPr="0030708A">
              <w:rPr>
                <w:rFonts w:ascii="Arial" w:hAnsi="Arial" w:cs="Arial"/>
                <w:sz w:val="24"/>
                <w:szCs w:val="24"/>
                <w:u w:val="single"/>
              </w:rPr>
              <w:t>Week 11-12 - Review and Consolidation:</w:t>
            </w:r>
          </w:p>
          <w:p w14:paraId="4938E42C" w14:textId="77777777" w:rsidR="00F13046" w:rsidRDefault="0030708A" w:rsidP="00F13046">
            <w:pPr>
              <w:pStyle w:val="ListParagraph"/>
              <w:rPr>
                <w:rFonts w:ascii="Arial" w:hAnsi="Arial" w:cs="Arial"/>
                <w:sz w:val="24"/>
                <w:szCs w:val="24"/>
              </w:rPr>
            </w:pPr>
            <w:r w:rsidRPr="0030708A">
              <w:rPr>
                <w:rFonts w:ascii="Arial" w:hAnsi="Arial" w:cs="Arial"/>
                <w:sz w:val="24"/>
                <w:szCs w:val="24"/>
              </w:rPr>
              <w:t>Review of the entire intervention journey, reflecting on individual progress and experiences.</w:t>
            </w:r>
            <w:r w:rsidR="00F13046">
              <w:rPr>
                <w:rFonts w:ascii="Arial" w:hAnsi="Arial" w:cs="Arial"/>
                <w:sz w:val="24"/>
                <w:szCs w:val="24"/>
              </w:rPr>
              <w:t xml:space="preserve"> </w:t>
            </w:r>
          </w:p>
          <w:p w14:paraId="4DB086BB" w14:textId="5868D825" w:rsidR="0030708A" w:rsidRPr="00F13046" w:rsidRDefault="0030708A" w:rsidP="00F13046">
            <w:pPr>
              <w:pStyle w:val="ListParagraph"/>
              <w:rPr>
                <w:rFonts w:ascii="Arial" w:hAnsi="Arial" w:cs="Arial"/>
                <w:sz w:val="24"/>
                <w:szCs w:val="24"/>
              </w:rPr>
            </w:pPr>
            <w:r w:rsidRPr="00F13046">
              <w:rPr>
                <w:rFonts w:ascii="Arial" w:hAnsi="Arial" w:cs="Arial"/>
                <w:sz w:val="24"/>
                <w:szCs w:val="24"/>
              </w:rPr>
              <w:t>Final mindfulness sessions reinforcing emotional regulation and self-awareness.</w:t>
            </w:r>
          </w:p>
          <w:p w14:paraId="082D9F62" w14:textId="77777777" w:rsidR="0030708A" w:rsidRDefault="0030708A" w:rsidP="0030708A">
            <w:pPr>
              <w:pStyle w:val="ListParagraph"/>
              <w:rPr>
                <w:rFonts w:ascii="Arial" w:hAnsi="Arial" w:cs="Arial"/>
                <w:sz w:val="24"/>
                <w:szCs w:val="24"/>
              </w:rPr>
            </w:pPr>
            <w:r w:rsidRPr="0030708A">
              <w:rPr>
                <w:rFonts w:ascii="Arial" w:hAnsi="Arial" w:cs="Arial"/>
                <w:sz w:val="24"/>
                <w:szCs w:val="24"/>
              </w:rPr>
              <w:t>Qualitative feedback sessions gathering participant insights and reflections on the intervention's impact.</w:t>
            </w:r>
          </w:p>
          <w:p w14:paraId="6EE0FAFE" w14:textId="77777777" w:rsidR="00FF0EA6" w:rsidRDefault="00FF0EA6" w:rsidP="0030708A">
            <w:pPr>
              <w:pStyle w:val="ListParagraph"/>
              <w:rPr>
                <w:rFonts w:ascii="Arial" w:hAnsi="Arial" w:cs="Arial"/>
                <w:sz w:val="24"/>
                <w:szCs w:val="24"/>
              </w:rPr>
            </w:pPr>
          </w:p>
          <w:p w14:paraId="171004AD" w14:textId="77777777" w:rsidR="00C45968" w:rsidRPr="00C45968" w:rsidRDefault="00C45968" w:rsidP="00C45968">
            <w:pPr>
              <w:pStyle w:val="ListParagraph"/>
              <w:rPr>
                <w:rFonts w:ascii="Arial" w:hAnsi="Arial" w:cs="Arial"/>
                <w:sz w:val="24"/>
                <w:szCs w:val="24"/>
                <w:u w:val="single"/>
              </w:rPr>
            </w:pPr>
            <w:r w:rsidRPr="00C45968">
              <w:rPr>
                <w:rFonts w:ascii="Arial" w:hAnsi="Arial" w:cs="Arial"/>
                <w:sz w:val="24"/>
                <w:szCs w:val="24"/>
                <w:u w:val="single"/>
              </w:rPr>
              <w:t>One Month Follow-Up Check-In:</w:t>
            </w:r>
          </w:p>
          <w:p w14:paraId="5C900D6E" w14:textId="46F1A136" w:rsidR="00C45968" w:rsidRDefault="00C45968" w:rsidP="00C45968">
            <w:pPr>
              <w:pStyle w:val="ListParagraph"/>
              <w:rPr>
                <w:rFonts w:ascii="Arial" w:hAnsi="Arial" w:cs="Arial"/>
                <w:sz w:val="24"/>
                <w:szCs w:val="24"/>
              </w:rPr>
            </w:pPr>
            <w:r w:rsidRPr="00C45968">
              <w:rPr>
                <w:rFonts w:ascii="Arial" w:hAnsi="Arial" w:cs="Arial"/>
                <w:sz w:val="24"/>
                <w:szCs w:val="24"/>
              </w:rPr>
              <w:t xml:space="preserve">A post-intervention assessment will evaluate </w:t>
            </w:r>
            <w:r w:rsidR="006405AB" w:rsidRPr="00C45968">
              <w:rPr>
                <w:rFonts w:ascii="Arial" w:hAnsi="Arial" w:cs="Arial"/>
                <w:sz w:val="24"/>
                <w:szCs w:val="24"/>
              </w:rPr>
              <w:t>participants</w:t>
            </w:r>
            <w:r w:rsidRPr="00C45968">
              <w:rPr>
                <w:rFonts w:ascii="Arial" w:hAnsi="Arial" w:cs="Arial"/>
                <w:sz w:val="24"/>
                <w:szCs w:val="24"/>
              </w:rPr>
              <w:t xml:space="preserve"> sustained behavioural changes, strengths, and criminal risk factors.</w:t>
            </w:r>
          </w:p>
          <w:p w14:paraId="03BD6760" w14:textId="77777777" w:rsidR="00C45968" w:rsidRPr="00C45968" w:rsidRDefault="00C45968" w:rsidP="00C45968">
            <w:pPr>
              <w:pStyle w:val="ListParagraph"/>
              <w:rPr>
                <w:rFonts w:ascii="Arial" w:hAnsi="Arial" w:cs="Arial"/>
                <w:sz w:val="24"/>
                <w:szCs w:val="24"/>
              </w:rPr>
            </w:pPr>
          </w:p>
          <w:p w14:paraId="1D6011B9" w14:textId="77777777" w:rsidR="00C45968" w:rsidRPr="00C45968" w:rsidRDefault="00C45968" w:rsidP="00C45968">
            <w:pPr>
              <w:pStyle w:val="ListParagraph"/>
              <w:rPr>
                <w:rFonts w:ascii="Arial" w:hAnsi="Arial" w:cs="Arial"/>
                <w:sz w:val="24"/>
                <w:szCs w:val="24"/>
                <w:u w:val="single"/>
              </w:rPr>
            </w:pPr>
            <w:r w:rsidRPr="00C45968">
              <w:rPr>
                <w:rFonts w:ascii="Arial" w:hAnsi="Arial" w:cs="Arial"/>
                <w:sz w:val="24"/>
                <w:szCs w:val="24"/>
                <w:u w:val="single"/>
              </w:rPr>
              <w:t>Six Months Follow-Up Check-In:</w:t>
            </w:r>
          </w:p>
          <w:p w14:paraId="6E240703" w14:textId="0994BB1B" w:rsidR="004F4219" w:rsidRDefault="00C45968" w:rsidP="00C45968">
            <w:pPr>
              <w:pStyle w:val="ListParagraph"/>
              <w:rPr>
                <w:rFonts w:ascii="Arial" w:hAnsi="Arial" w:cs="Arial"/>
                <w:sz w:val="24"/>
                <w:szCs w:val="24"/>
              </w:rPr>
            </w:pPr>
            <w:r w:rsidRPr="00C45968">
              <w:rPr>
                <w:rFonts w:ascii="Arial" w:hAnsi="Arial" w:cs="Arial"/>
                <w:sz w:val="24"/>
                <w:szCs w:val="24"/>
              </w:rPr>
              <w:lastRenderedPageBreak/>
              <w:t>Evaluation of long-term effects of the intervention on sustained behavioural changes and reduced recidivism rates.</w:t>
            </w:r>
          </w:p>
          <w:p w14:paraId="3DC1D689" w14:textId="77777777" w:rsidR="0030708A" w:rsidRPr="0030708A" w:rsidRDefault="0030708A" w:rsidP="0030708A">
            <w:pPr>
              <w:pStyle w:val="ListParagraph"/>
              <w:rPr>
                <w:rFonts w:ascii="Arial" w:hAnsi="Arial" w:cs="Arial"/>
                <w:sz w:val="24"/>
                <w:szCs w:val="24"/>
              </w:rPr>
            </w:pPr>
          </w:p>
          <w:p w14:paraId="415F70FE" w14:textId="59483835" w:rsidR="00991612" w:rsidRPr="0030708A" w:rsidRDefault="0030708A" w:rsidP="0030708A">
            <w:pPr>
              <w:pStyle w:val="ListParagraph"/>
              <w:spacing w:after="0" w:line="240" w:lineRule="auto"/>
              <w:ind w:left="0"/>
              <w:rPr>
                <w:rFonts w:ascii="Arial" w:hAnsi="Arial" w:cs="Arial"/>
                <w:sz w:val="24"/>
                <w:szCs w:val="24"/>
              </w:rPr>
            </w:pPr>
            <w:r w:rsidRPr="0030708A">
              <w:rPr>
                <w:rFonts w:ascii="Arial" w:hAnsi="Arial" w:cs="Arial"/>
                <w:sz w:val="24"/>
                <w:szCs w:val="24"/>
              </w:rPr>
              <w:t>This meticulous 12-week plan blends GLM, RNR principles, and mindfulness practices, incrementally guiding participants through skill development, goal attainment, and behavioural transformation. Regular assessments and qualitative feedback ensure a thorough understanding of individual progress, enabling adjustments for an effective, tailored intervention aiming at sustainable behavioural changes and reduced recidivism rates.</w:t>
            </w:r>
          </w:p>
          <w:p w14:paraId="51BD6060" w14:textId="77777777" w:rsidR="004A073D" w:rsidRDefault="004A073D" w:rsidP="00C63A8D">
            <w:pPr>
              <w:pStyle w:val="ListParagraph"/>
              <w:spacing w:after="0" w:line="240" w:lineRule="auto"/>
              <w:ind w:left="0"/>
              <w:rPr>
                <w:rFonts w:ascii="Arial" w:hAnsi="Arial" w:cs="Arial"/>
                <w:b/>
                <w:bCs/>
              </w:rPr>
            </w:pPr>
          </w:p>
          <w:p w14:paraId="113D5FCC" w14:textId="3E11F3A9" w:rsidR="00991612" w:rsidRDefault="00991612" w:rsidP="00C63A8D">
            <w:pPr>
              <w:pStyle w:val="ListParagraph"/>
              <w:spacing w:after="0" w:line="240" w:lineRule="auto"/>
              <w:ind w:left="0"/>
              <w:rPr>
                <w:rFonts w:ascii="Arial" w:hAnsi="Arial" w:cs="Arial"/>
                <w:b/>
                <w:bCs/>
              </w:rPr>
            </w:pPr>
            <w:r>
              <w:rPr>
                <w:rFonts w:ascii="Arial" w:hAnsi="Arial" w:cs="Arial"/>
                <w:b/>
                <w:bCs/>
              </w:rPr>
              <w:t>Ethical considerations:</w:t>
            </w:r>
          </w:p>
          <w:p w14:paraId="17B9C209" w14:textId="77777777" w:rsidR="0076192B" w:rsidRDefault="0076192B" w:rsidP="0076192B">
            <w:pPr>
              <w:rPr>
                <w:rFonts w:ascii="Arial" w:hAnsi="Arial" w:cs="Arial"/>
              </w:rPr>
            </w:pPr>
          </w:p>
          <w:p w14:paraId="66F7719D" w14:textId="5B36B387" w:rsidR="0076192B" w:rsidRPr="0076192B" w:rsidRDefault="00430AAC" w:rsidP="0076192B">
            <w:pPr>
              <w:rPr>
                <w:rFonts w:ascii="Arial" w:hAnsi="Arial" w:cs="Arial"/>
              </w:rPr>
            </w:pPr>
            <w:r>
              <w:rPr>
                <w:rFonts w:ascii="Arial" w:hAnsi="Arial" w:cs="Arial"/>
              </w:rPr>
              <w:t>R</w:t>
            </w:r>
            <w:r w:rsidRPr="00430AAC">
              <w:rPr>
                <w:rFonts w:ascii="Arial" w:hAnsi="Arial" w:cs="Arial"/>
              </w:rPr>
              <w:t>especting participants' rights, confidentiality, and well-being is essential. Obtaining meticulous informed consent from participants and, where necessary, their legal guardians is pivotal. Providing clear, comprehensive information about the intervention's purpose, procedures, and potential risks allows informed decisions about involvement.</w:t>
            </w:r>
          </w:p>
          <w:p w14:paraId="0997C520" w14:textId="77777777" w:rsidR="0076192B" w:rsidRDefault="0076192B" w:rsidP="0076192B">
            <w:pPr>
              <w:rPr>
                <w:rFonts w:ascii="Arial" w:hAnsi="Arial" w:cs="Arial"/>
              </w:rPr>
            </w:pPr>
          </w:p>
          <w:p w14:paraId="3DCE8913" w14:textId="0132092B" w:rsidR="0076192B" w:rsidRPr="0076192B" w:rsidRDefault="0076192B" w:rsidP="0076192B">
            <w:pPr>
              <w:rPr>
                <w:rFonts w:ascii="Arial" w:hAnsi="Arial" w:cs="Arial"/>
              </w:rPr>
            </w:pPr>
            <w:r w:rsidRPr="0076192B">
              <w:rPr>
                <w:rFonts w:ascii="Arial" w:hAnsi="Arial" w:cs="Arial"/>
              </w:rPr>
              <w:t>Confidentiality will be rigorously maintained throughout the program. Any information shared during sessions, assessments, or discussions will be treated with the utmost confidentiality, adhering to legal and ethical standards. Participants will be assured that their personal information will only be accessed by authori</w:t>
            </w:r>
            <w:r w:rsidR="00976162">
              <w:rPr>
                <w:rFonts w:ascii="Arial" w:hAnsi="Arial" w:cs="Arial"/>
              </w:rPr>
              <w:t>s</w:t>
            </w:r>
            <w:r w:rsidRPr="0076192B">
              <w:rPr>
                <w:rFonts w:ascii="Arial" w:hAnsi="Arial" w:cs="Arial"/>
              </w:rPr>
              <w:t>ed personnel directly involved in the intervention. It will not be disclosed without their explicit consent, except in cases mandated by law or concerning immediate safety concerns.</w:t>
            </w:r>
          </w:p>
          <w:p w14:paraId="17091C54" w14:textId="77777777" w:rsidR="0076192B" w:rsidRDefault="0076192B" w:rsidP="0076192B">
            <w:pPr>
              <w:rPr>
                <w:rFonts w:ascii="Arial" w:hAnsi="Arial" w:cs="Arial"/>
              </w:rPr>
            </w:pPr>
          </w:p>
          <w:p w14:paraId="6B867ADA" w14:textId="39C91390" w:rsidR="0076192B" w:rsidRDefault="00DF42C3" w:rsidP="0076192B">
            <w:pPr>
              <w:pStyle w:val="ListParagraph"/>
              <w:spacing w:after="0" w:line="240" w:lineRule="auto"/>
              <w:ind w:left="0"/>
              <w:rPr>
                <w:rFonts w:ascii="Arial" w:eastAsia="Times New Roman" w:hAnsi="Arial" w:cs="Arial"/>
                <w:sz w:val="24"/>
                <w:szCs w:val="24"/>
                <w:lang w:eastAsia="en-GB"/>
              </w:rPr>
            </w:pPr>
            <w:r w:rsidRPr="00DF42C3">
              <w:rPr>
                <w:rFonts w:ascii="Arial" w:eastAsia="Times New Roman" w:hAnsi="Arial" w:cs="Arial"/>
                <w:sz w:val="24"/>
                <w:szCs w:val="24"/>
                <w:lang w:eastAsia="en-GB"/>
              </w:rPr>
              <w:t>Skilled psychology, counselling, and youth rehabilitation professionals will lead the intervention. They will engage in sensitive discussions, creating a supportive atmosphere with empathy. Regular debrief sessions will support the facilitators, addressing any emotional impact and ensuring their well-being while managing the complexities of working with youth in criminal behaviour.</w:t>
            </w:r>
          </w:p>
          <w:p w14:paraId="733F6E27" w14:textId="77777777" w:rsidR="00105648" w:rsidRDefault="00105648" w:rsidP="0076192B">
            <w:pPr>
              <w:pStyle w:val="ListParagraph"/>
              <w:spacing w:after="0" w:line="240" w:lineRule="auto"/>
              <w:ind w:left="0"/>
              <w:rPr>
                <w:rFonts w:ascii="Arial" w:hAnsi="Arial" w:cs="Arial"/>
                <w:sz w:val="24"/>
                <w:szCs w:val="24"/>
              </w:rPr>
            </w:pPr>
          </w:p>
          <w:p w14:paraId="23B003FD" w14:textId="0AD332F1" w:rsidR="00991612" w:rsidRPr="00991612" w:rsidRDefault="00215DBC" w:rsidP="00C63A8D">
            <w:pPr>
              <w:pStyle w:val="ListParagraph"/>
              <w:spacing w:after="0" w:line="240" w:lineRule="auto"/>
              <w:ind w:left="0"/>
              <w:rPr>
                <w:rFonts w:ascii="Arial" w:hAnsi="Arial" w:cs="Arial"/>
                <w:b/>
                <w:bCs/>
              </w:rPr>
            </w:pPr>
            <w:r w:rsidRPr="00215DBC">
              <w:rPr>
                <w:rFonts w:ascii="Arial" w:hAnsi="Arial" w:cs="Arial"/>
                <w:sz w:val="24"/>
                <w:szCs w:val="24"/>
              </w:rPr>
              <w:t>Participant well-being is paramount. Support and referrals to mental health services will be readily available if participants need extra assistance or show emotional distress beyond the intervention's scope. These ethical measures ensure that each participant's rights, dignity, and welfare are safeguarded throughout the process.</w:t>
            </w:r>
          </w:p>
          <w:p w14:paraId="32AB470A" w14:textId="77777777" w:rsidR="00F86126" w:rsidRPr="00210378" w:rsidRDefault="00F86126" w:rsidP="005E34DB">
            <w:pPr>
              <w:pStyle w:val="ListParagraph"/>
              <w:spacing w:after="0" w:line="240" w:lineRule="auto"/>
              <w:ind w:left="0"/>
              <w:rPr>
                <w:rFonts w:ascii="Arial" w:hAnsi="Arial" w:cs="Arial"/>
              </w:rPr>
            </w:pPr>
          </w:p>
        </w:tc>
      </w:tr>
      <w:tr w:rsidR="009E10F9" w:rsidRPr="00210378" w14:paraId="19B8D313" w14:textId="77777777" w:rsidTr="00991612">
        <w:trPr>
          <w:trHeight w:val="2560"/>
        </w:trPr>
        <w:tc>
          <w:tcPr>
            <w:tcW w:w="9243" w:type="dxa"/>
            <w:shd w:val="clear" w:color="auto" w:fill="auto"/>
          </w:tcPr>
          <w:p w14:paraId="2C4612C6" w14:textId="77777777" w:rsidR="004A4FCC" w:rsidRPr="004A4FCC" w:rsidRDefault="004A4FCC" w:rsidP="004A4FCC"/>
          <w:p w14:paraId="21707925" w14:textId="29C3929A" w:rsidR="004A4FCC" w:rsidRPr="00991612" w:rsidRDefault="00991612" w:rsidP="004A4FCC">
            <w:pPr>
              <w:rPr>
                <w:rFonts w:ascii="Arial" w:hAnsi="Arial" w:cs="Arial"/>
                <w:b/>
                <w:bCs/>
              </w:rPr>
            </w:pPr>
            <w:r w:rsidRPr="00991612">
              <w:rPr>
                <w:rFonts w:ascii="Arial" w:hAnsi="Arial" w:cs="Arial"/>
                <w:b/>
                <w:bCs/>
                <w:sz w:val="22"/>
                <w:szCs w:val="22"/>
              </w:rPr>
              <w:t xml:space="preserve">Planned analysis: </w:t>
            </w:r>
          </w:p>
          <w:p w14:paraId="721D29C9" w14:textId="77777777" w:rsidR="003B2364" w:rsidRPr="003B2364" w:rsidRDefault="003B2364" w:rsidP="003B2364">
            <w:pPr>
              <w:rPr>
                <w:rFonts w:ascii="Arial" w:hAnsi="Arial" w:cs="Arial"/>
                <w:color w:val="000000" w:themeColor="text1"/>
              </w:rPr>
            </w:pPr>
          </w:p>
          <w:p w14:paraId="2B1F9BC2" w14:textId="77777777" w:rsidR="005F6430" w:rsidRPr="005F6430" w:rsidRDefault="005F6430" w:rsidP="005F6430">
            <w:pPr>
              <w:rPr>
                <w:rFonts w:ascii="Arial" w:hAnsi="Arial" w:cs="Arial"/>
                <w:color w:val="000000" w:themeColor="text1"/>
              </w:rPr>
            </w:pPr>
            <w:r w:rsidRPr="005F6430">
              <w:rPr>
                <w:rFonts w:ascii="Arial" w:hAnsi="Arial" w:cs="Arial"/>
                <w:color w:val="000000" w:themeColor="text1"/>
              </w:rPr>
              <w:t>The Structured Assessment of Violence Risk in Youth (SAVRY) forms a crucial quantitative measure, comparing initial and post-intervention scores to reveal shifts in risk factors linked to future criminal behaviour. This comparison aims to highlight any notable reductions in risk scores, indicating the intervention's impact on curbing recidivism triggers and fortifying participants against criminal tendencies.</w:t>
            </w:r>
          </w:p>
          <w:p w14:paraId="4357EFE0" w14:textId="77777777" w:rsidR="005F6430" w:rsidRDefault="005F6430" w:rsidP="005F6430">
            <w:pPr>
              <w:rPr>
                <w:rFonts w:ascii="Arial" w:hAnsi="Arial" w:cs="Arial"/>
                <w:color w:val="000000" w:themeColor="text1"/>
              </w:rPr>
            </w:pPr>
          </w:p>
          <w:p w14:paraId="76A72BF4" w14:textId="38E4FA02" w:rsidR="005F6430" w:rsidRPr="005F6430" w:rsidRDefault="005F6430" w:rsidP="005F6430">
            <w:pPr>
              <w:rPr>
                <w:rFonts w:ascii="Arial" w:hAnsi="Arial" w:cs="Arial"/>
                <w:color w:val="000000" w:themeColor="text1"/>
              </w:rPr>
            </w:pPr>
            <w:r w:rsidRPr="005F6430">
              <w:rPr>
                <w:rFonts w:ascii="Arial" w:hAnsi="Arial" w:cs="Arial"/>
                <w:color w:val="000000" w:themeColor="text1"/>
              </w:rPr>
              <w:t>Additionally, assessing improvements in Good Lives Model (GLM) factors offers a qualitative insight into participants' progress in strengths, motivations, and goal achievement. This qualitative enhancement complements quantitative assessments, painting a comprehensive picture of the intervention's influence on cognitive and behavioural transformations.</w:t>
            </w:r>
          </w:p>
          <w:p w14:paraId="6441519E" w14:textId="77777777" w:rsidR="005F6430" w:rsidRDefault="005F6430" w:rsidP="005F6430">
            <w:pPr>
              <w:rPr>
                <w:rFonts w:ascii="Arial" w:hAnsi="Arial" w:cs="Arial"/>
                <w:color w:val="000000" w:themeColor="text1"/>
              </w:rPr>
            </w:pPr>
          </w:p>
          <w:p w14:paraId="064E1E9D" w14:textId="31FD7A15" w:rsidR="005F6430" w:rsidRPr="005F6430" w:rsidRDefault="005F6430" w:rsidP="005F6430">
            <w:pPr>
              <w:rPr>
                <w:rFonts w:ascii="Arial" w:hAnsi="Arial" w:cs="Arial"/>
                <w:color w:val="000000" w:themeColor="text1"/>
              </w:rPr>
            </w:pPr>
            <w:r w:rsidRPr="005F6430">
              <w:rPr>
                <w:rFonts w:ascii="Arial" w:hAnsi="Arial" w:cs="Arial"/>
                <w:color w:val="000000" w:themeColor="text1"/>
              </w:rPr>
              <w:t xml:space="preserve">Monitoring post-intervention recidivism rates remains pivotal for evaluating long-term impact. The sustained decrease in participants' recidivism rates would substantiate the program's success in </w:t>
            </w:r>
            <w:r w:rsidRPr="005F6430">
              <w:rPr>
                <w:rFonts w:ascii="Arial" w:hAnsi="Arial" w:cs="Arial"/>
                <w:color w:val="000000" w:themeColor="text1"/>
              </w:rPr>
              <w:lastRenderedPageBreak/>
              <w:t>fostering enduring behavioural changes.</w:t>
            </w:r>
          </w:p>
          <w:p w14:paraId="3417F06C" w14:textId="7DF920F5" w:rsidR="00991612" w:rsidRDefault="005F6430" w:rsidP="005F6430">
            <w:r w:rsidRPr="005F6430">
              <w:rPr>
                <w:rFonts w:ascii="Arial" w:hAnsi="Arial" w:cs="Arial"/>
                <w:color w:val="000000" w:themeColor="text1"/>
              </w:rPr>
              <w:t>This comprehensive evaluation strategy, combining quantitative SAVRY assessments, qualitative GLM factor enhancements, and post-intervention recidivism rates, seeks to validate the intervention's efficacy in not just immediate but sustained behavioural alterations, significantly reducing the reoccurrence of criminal behaviour among juveniles.</w:t>
            </w:r>
          </w:p>
          <w:p w14:paraId="5EBEF693" w14:textId="77777777" w:rsidR="00991612" w:rsidRDefault="00991612" w:rsidP="00991612"/>
          <w:p w14:paraId="0E1C7A8B" w14:textId="77777777" w:rsidR="00991612" w:rsidRDefault="00991612" w:rsidP="00991612"/>
          <w:p w14:paraId="27A2558D" w14:textId="5F0641F0" w:rsidR="00991612" w:rsidRPr="004A4FCC" w:rsidRDefault="00991612" w:rsidP="00991612"/>
        </w:tc>
      </w:tr>
      <w:tr w:rsidR="009E10F9" w:rsidRPr="00210378" w14:paraId="5DA08F94" w14:textId="77777777" w:rsidTr="00991612">
        <w:trPr>
          <w:trHeight w:val="4109"/>
        </w:trPr>
        <w:tc>
          <w:tcPr>
            <w:tcW w:w="9243" w:type="dxa"/>
            <w:shd w:val="clear" w:color="auto" w:fill="auto"/>
          </w:tcPr>
          <w:p w14:paraId="232E6A00" w14:textId="77777777" w:rsidR="00982567" w:rsidRDefault="009E10F9" w:rsidP="00991612">
            <w:pPr>
              <w:pStyle w:val="ListParagraph"/>
              <w:spacing w:line="240" w:lineRule="auto"/>
              <w:ind w:left="0"/>
              <w:rPr>
                <w:rFonts w:ascii="Arial" w:hAnsi="Arial" w:cs="Arial"/>
                <w:b/>
              </w:rPr>
            </w:pPr>
            <w:r w:rsidRPr="00210378">
              <w:rPr>
                <w:rFonts w:ascii="Arial" w:hAnsi="Arial" w:cs="Arial"/>
                <w:b/>
              </w:rPr>
              <w:lastRenderedPageBreak/>
              <w:t xml:space="preserve">What are the expected outputs from this project? </w:t>
            </w:r>
          </w:p>
          <w:p w14:paraId="52CB08DA" w14:textId="08FF63B0" w:rsidR="00C7193D" w:rsidRPr="00C7193D" w:rsidRDefault="00C7193D" w:rsidP="00C7193D">
            <w:pPr>
              <w:rPr>
                <w:rFonts w:ascii="Arial" w:hAnsi="Arial" w:cs="Arial"/>
                <w:bCs/>
              </w:rPr>
            </w:pPr>
            <w:r w:rsidRPr="00C7193D">
              <w:rPr>
                <w:rFonts w:ascii="Arial" w:hAnsi="Arial" w:cs="Arial"/>
                <w:bCs/>
              </w:rPr>
              <w:t xml:space="preserve">The anticipated outcomes of this </w:t>
            </w:r>
            <w:r w:rsidR="00C67E02">
              <w:rPr>
                <w:rFonts w:ascii="Arial" w:hAnsi="Arial" w:cs="Arial"/>
                <w:bCs/>
              </w:rPr>
              <w:t>rehabilitation proposal</w:t>
            </w:r>
            <w:r w:rsidRPr="00C7193D">
              <w:rPr>
                <w:rFonts w:ascii="Arial" w:hAnsi="Arial" w:cs="Arial"/>
                <w:bCs/>
              </w:rPr>
              <w:t xml:space="preserve"> encompass multifaceted achievements. Firstly, the project targets notable reductions in SAVRY risk scores, reflecting tangible mitigation of risk factors associated with future criminal behaviour among participants. Concurrently, </w:t>
            </w:r>
            <w:r w:rsidR="00C67E02" w:rsidRPr="00C7193D">
              <w:rPr>
                <w:rFonts w:ascii="Arial" w:hAnsi="Arial" w:cs="Arial"/>
                <w:bCs/>
              </w:rPr>
              <w:t>improvements</w:t>
            </w:r>
            <w:r w:rsidRPr="00C7193D">
              <w:rPr>
                <w:rFonts w:ascii="Arial" w:hAnsi="Arial" w:cs="Arial"/>
                <w:bCs/>
              </w:rPr>
              <w:t xml:space="preserve"> in the Good Lives Model (GLM) factors are anticipated, </w:t>
            </w:r>
            <w:r w:rsidR="00C67E02" w:rsidRPr="00C7193D">
              <w:rPr>
                <w:rFonts w:ascii="Arial" w:hAnsi="Arial" w:cs="Arial"/>
                <w:bCs/>
              </w:rPr>
              <w:t>portraying</w:t>
            </w:r>
            <w:r w:rsidRPr="00C7193D">
              <w:rPr>
                <w:rFonts w:ascii="Arial" w:hAnsi="Arial" w:cs="Arial"/>
                <w:bCs/>
              </w:rPr>
              <w:t xml:space="preserve"> qualitative improvements in identified strengths, motivations, and goal attainment.</w:t>
            </w:r>
          </w:p>
          <w:p w14:paraId="50596DEA" w14:textId="77777777" w:rsidR="00C7193D" w:rsidRDefault="00C7193D" w:rsidP="00C7193D">
            <w:pPr>
              <w:rPr>
                <w:rFonts w:ascii="Arial" w:hAnsi="Arial" w:cs="Arial"/>
                <w:bCs/>
              </w:rPr>
            </w:pPr>
          </w:p>
          <w:p w14:paraId="521F8037" w14:textId="53F2BE60" w:rsidR="00C7193D" w:rsidRPr="00C7193D" w:rsidRDefault="00C7193D" w:rsidP="00C7193D">
            <w:pPr>
              <w:rPr>
                <w:rFonts w:ascii="Arial" w:hAnsi="Arial" w:cs="Arial"/>
                <w:bCs/>
              </w:rPr>
            </w:pPr>
            <w:r w:rsidRPr="00C7193D">
              <w:rPr>
                <w:rFonts w:ascii="Arial" w:hAnsi="Arial" w:cs="Arial"/>
                <w:bCs/>
              </w:rPr>
              <w:t xml:space="preserve">Moreover, a </w:t>
            </w:r>
            <w:r w:rsidR="00C67E02" w:rsidRPr="00C7193D">
              <w:rPr>
                <w:rFonts w:ascii="Arial" w:hAnsi="Arial" w:cs="Arial"/>
                <w:bCs/>
              </w:rPr>
              <w:t>fundamental</w:t>
            </w:r>
            <w:r w:rsidRPr="00C7193D">
              <w:rPr>
                <w:rFonts w:ascii="Arial" w:hAnsi="Arial" w:cs="Arial"/>
                <w:bCs/>
              </w:rPr>
              <w:t xml:space="preserve"> goal is to witness a substantial decrease in recidivism rates among participants post-intervention. This reduction is a concrete indicator of the program's success in effecting lasting behavioural changes, interrupting the cycle of theft-related criminal behaviour.</w:t>
            </w:r>
          </w:p>
          <w:p w14:paraId="064EB587" w14:textId="77777777" w:rsidR="00C7193D" w:rsidRDefault="00C7193D" w:rsidP="00C7193D">
            <w:pPr>
              <w:pStyle w:val="ListParagraph"/>
              <w:spacing w:line="240" w:lineRule="auto"/>
              <w:ind w:left="0"/>
              <w:rPr>
                <w:rFonts w:ascii="Arial" w:hAnsi="Arial" w:cs="Arial"/>
                <w:bCs/>
                <w:sz w:val="24"/>
                <w:szCs w:val="24"/>
              </w:rPr>
            </w:pPr>
          </w:p>
          <w:p w14:paraId="409DC0A7" w14:textId="77777777" w:rsidR="00C7193D" w:rsidRDefault="00C67E02" w:rsidP="00C7193D">
            <w:pPr>
              <w:pStyle w:val="ListParagraph"/>
              <w:spacing w:line="240" w:lineRule="auto"/>
              <w:ind w:left="0"/>
              <w:rPr>
                <w:rFonts w:ascii="Arial" w:hAnsi="Arial" w:cs="Arial"/>
                <w:bCs/>
                <w:sz w:val="24"/>
                <w:szCs w:val="24"/>
              </w:rPr>
            </w:pPr>
            <w:r>
              <w:rPr>
                <w:rFonts w:ascii="Arial" w:hAnsi="Arial" w:cs="Arial"/>
                <w:bCs/>
                <w:sz w:val="24"/>
                <w:szCs w:val="24"/>
              </w:rPr>
              <w:t>Overall</w:t>
            </w:r>
            <w:r w:rsidR="00C7193D" w:rsidRPr="00C7193D">
              <w:rPr>
                <w:rFonts w:ascii="Arial" w:hAnsi="Arial" w:cs="Arial"/>
                <w:bCs/>
                <w:sz w:val="24"/>
                <w:szCs w:val="24"/>
              </w:rPr>
              <w:t>, th</w:t>
            </w:r>
            <w:r>
              <w:rPr>
                <w:rFonts w:ascii="Arial" w:hAnsi="Arial" w:cs="Arial"/>
                <w:bCs/>
                <w:sz w:val="24"/>
                <w:szCs w:val="24"/>
              </w:rPr>
              <w:t xml:space="preserve">is proposal </w:t>
            </w:r>
            <w:r w:rsidR="00C7193D" w:rsidRPr="00C7193D">
              <w:rPr>
                <w:rFonts w:ascii="Arial" w:hAnsi="Arial" w:cs="Arial"/>
                <w:bCs/>
                <w:sz w:val="24"/>
                <w:szCs w:val="24"/>
              </w:rPr>
              <w:t xml:space="preserve">aspires not only to diminish immediate risks but also to foster </w:t>
            </w:r>
            <w:r w:rsidRPr="00C7193D">
              <w:rPr>
                <w:rFonts w:ascii="Arial" w:hAnsi="Arial" w:cs="Arial"/>
                <w:bCs/>
                <w:sz w:val="24"/>
                <w:szCs w:val="24"/>
              </w:rPr>
              <w:t>lasting</w:t>
            </w:r>
            <w:r w:rsidR="00C7193D" w:rsidRPr="00C7193D">
              <w:rPr>
                <w:rFonts w:ascii="Arial" w:hAnsi="Arial" w:cs="Arial"/>
                <w:bCs/>
                <w:sz w:val="24"/>
                <w:szCs w:val="24"/>
              </w:rPr>
              <w:t xml:space="preserve"> transformations. It aims to instil pro-social attitudes and equip participants with the necessary tools for sustainable reintegration into society. By achieving these objectives, the project strives to pave the way for a more empathetic, responsible, and law-abiding future for the individuals involved.</w:t>
            </w:r>
          </w:p>
          <w:p w14:paraId="5C0613F1" w14:textId="77777777" w:rsidR="00A85709" w:rsidRDefault="00A85709" w:rsidP="00C7193D">
            <w:pPr>
              <w:pStyle w:val="ListParagraph"/>
              <w:spacing w:line="240" w:lineRule="auto"/>
              <w:ind w:left="0"/>
              <w:rPr>
                <w:rFonts w:ascii="Arial" w:hAnsi="Arial" w:cs="Arial"/>
                <w:b/>
                <w:sz w:val="20"/>
                <w:szCs w:val="20"/>
              </w:rPr>
            </w:pPr>
          </w:p>
          <w:p w14:paraId="2B89466C" w14:textId="77777777" w:rsidR="00750F30" w:rsidRDefault="00750F30" w:rsidP="00C7193D">
            <w:pPr>
              <w:pStyle w:val="ListParagraph"/>
              <w:spacing w:line="240" w:lineRule="auto"/>
              <w:ind w:left="0"/>
              <w:rPr>
                <w:rFonts w:ascii="Arial" w:hAnsi="Arial" w:cs="Arial"/>
                <w:b/>
                <w:sz w:val="20"/>
                <w:szCs w:val="20"/>
              </w:rPr>
            </w:pPr>
          </w:p>
          <w:p w14:paraId="03BE78B8" w14:textId="77777777" w:rsidR="00750F30" w:rsidRDefault="00750F30" w:rsidP="00C7193D">
            <w:pPr>
              <w:pStyle w:val="ListParagraph"/>
              <w:spacing w:line="240" w:lineRule="auto"/>
              <w:ind w:left="0"/>
              <w:rPr>
                <w:rFonts w:ascii="Arial" w:hAnsi="Arial" w:cs="Arial"/>
                <w:b/>
                <w:sz w:val="20"/>
                <w:szCs w:val="20"/>
              </w:rPr>
            </w:pPr>
          </w:p>
          <w:p w14:paraId="099C08F7" w14:textId="77777777" w:rsidR="00750F30" w:rsidRDefault="00750F30" w:rsidP="00C7193D">
            <w:pPr>
              <w:pStyle w:val="ListParagraph"/>
              <w:spacing w:line="240" w:lineRule="auto"/>
              <w:ind w:left="0"/>
              <w:rPr>
                <w:rFonts w:ascii="Arial" w:hAnsi="Arial" w:cs="Arial"/>
                <w:b/>
                <w:sz w:val="20"/>
                <w:szCs w:val="20"/>
              </w:rPr>
            </w:pPr>
          </w:p>
          <w:p w14:paraId="41FF1C3B" w14:textId="77777777" w:rsidR="00750F30" w:rsidRDefault="00750F30" w:rsidP="00C7193D">
            <w:pPr>
              <w:pStyle w:val="ListParagraph"/>
              <w:spacing w:line="240" w:lineRule="auto"/>
              <w:ind w:left="0"/>
              <w:rPr>
                <w:rFonts w:ascii="Arial" w:hAnsi="Arial" w:cs="Arial"/>
                <w:b/>
                <w:sz w:val="20"/>
                <w:szCs w:val="20"/>
              </w:rPr>
            </w:pPr>
          </w:p>
          <w:p w14:paraId="34E1B301" w14:textId="77777777" w:rsidR="00DE1B92" w:rsidRDefault="00DE1B92" w:rsidP="00C7193D">
            <w:pPr>
              <w:pStyle w:val="ListParagraph"/>
              <w:spacing w:line="240" w:lineRule="auto"/>
              <w:ind w:left="0"/>
              <w:rPr>
                <w:rFonts w:ascii="Arial" w:hAnsi="Arial" w:cs="Arial"/>
                <w:b/>
                <w:sz w:val="20"/>
                <w:szCs w:val="20"/>
              </w:rPr>
            </w:pPr>
          </w:p>
          <w:p w14:paraId="0C58D389" w14:textId="77777777" w:rsidR="00DE1B92" w:rsidRDefault="00DE1B92" w:rsidP="00C7193D">
            <w:pPr>
              <w:pStyle w:val="ListParagraph"/>
              <w:spacing w:line="240" w:lineRule="auto"/>
              <w:ind w:left="0"/>
              <w:rPr>
                <w:rFonts w:ascii="Arial" w:hAnsi="Arial" w:cs="Arial"/>
                <w:b/>
                <w:sz w:val="20"/>
                <w:szCs w:val="20"/>
              </w:rPr>
            </w:pPr>
          </w:p>
          <w:p w14:paraId="1A607AAE" w14:textId="77777777" w:rsidR="00DE1B92" w:rsidRDefault="00DE1B92" w:rsidP="00C7193D">
            <w:pPr>
              <w:pStyle w:val="ListParagraph"/>
              <w:spacing w:line="240" w:lineRule="auto"/>
              <w:ind w:left="0"/>
              <w:rPr>
                <w:rFonts w:ascii="Arial" w:hAnsi="Arial" w:cs="Arial"/>
                <w:b/>
                <w:sz w:val="20"/>
                <w:szCs w:val="20"/>
              </w:rPr>
            </w:pPr>
          </w:p>
          <w:p w14:paraId="2E8CF3F5" w14:textId="77777777" w:rsidR="00DE1B92" w:rsidRDefault="00DE1B92" w:rsidP="00C7193D">
            <w:pPr>
              <w:pStyle w:val="ListParagraph"/>
              <w:spacing w:line="240" w:lineRule="auto"/>
              <w:ind w:left="0"/>
              <w:rPr>
                <w:rFonts w:ascii="Arial" w:hAnsi="Arial" w:cs="Arial"/>
                <w:b/>
                <w:sz w:val="20"/>
                <w:szCs w:val="20"/>
              </w:rPr>
            </w:pPr>
          </w:p>
          <w:p w14:paraId="19A803A5" w14:textId="76095E57" w:rsidR="00DE1B92" w:rsidRPr="00A85709" w:rsidRDefault="00DE1B92" w:rsidP="00C7193D">
            <w:pPr>
              <w:pStyle w:val="ListParagraph"/>
              <w:spacing w:line="240" w:lineRule="auto"/>
              <w:ind w:left="0"/>
              <w:rPr>
                <w:rFonts w:ascii="Arial" w:hAnsi="Arial" w:cs="Arial"/>
                <w:b/>
                <w:sz w:val="20"/>
                <w:szCs w:val="20"/>
              </w:rPr>
            </w:pPr>
          </w:p>
        </w:tc>
      </w:tr>
      <w:tr w:rsidR="009E10F9" w:rsidRPr="00210378" w14:paraId="2523D482" w14:textId="77777777" w:rsidTr="00991612">
        <w:trPr>
          <w:trHeight w:val="4650"/>
        </w:trPr>
        <w:tc>
          <w:tcPr>
            <w:tcW w:w="9243" w:type="dxa"/>
            <w:shd w:val="clear" w:color="auto" w:fill="auto"/>
          </w:tcPr>
          <w:p w14:paraId="73B11B45" w14:textId="77777777" w:rsidR="00E41099" w:rsidRDefault="00AC16C0" w:rsidP="00AC16C0">
            <w:pPr>
              <w:pStyle w:val="ListParagraph"/>
              <w:ind w:left="0"/>
              <w:rPr>
                <w:rFonts w:ascii="Arial" w:hAnsi="Arial" w:cs="Arial"/>
                <w:i/>
              </w:rPr>
            </w:pPr>
            <w:r w:rsidRPr="00210378">
              <w:rPr>
                <w:rFonts w:ascii="Arial" w:hAnsi="Arial" w:cs="Arial"/>
                <w:b/>
              </w:rPr>
              <w:lastRenderedPageBreak/>
              <w:t xml:space="preserve">Timescales for project completion </w:t>
            </w:r>
          </w:p>
          <w:p w14:paraId="6C702598" w14:textId="02D6F87B" w:rsidR="001D2066" w:rsidRDefault="006D0BA6" w:rsidP="00AC16C0">
            <w:pPr>
              <w:pStyle w:val="ListParagraph"/>
              <w:ind w:left="0"/>
              <w:rPr>
                <w:rFonts w:ascii="Arial" w:hAnsi="Arial" w:cs="Arial"/>
              </w:rPr>
            </w:pPr>
            <w:r>
              <w:rPr>
                <w:rFonts w:ascii="Arial" w:hAnsi="Arial" w:cs="Arial"/>
              </w:rPr>
              <w:t xml:space="preserve">Gantt Chart of proposed timescale: </w:t>
            </w:r>
          </w:p>
          <w:p w14:paraId="116A579B" w14:textId="77777777" w:rsidR="000363A3" w:rsidRDefault="000363A3" w:rsidP="00AC16C0">
            <w:pPr>
              <w:pStyle w:val="ListParagraph"/>
              <w:ind w:left="0"/>
              <w:rPr>
                <w:rFonts w:ascii="Arial" w:hAnsi="Arial" w:cs="Arial"/>
              </w:rPr>
            </w:pPr>
          </w:p>
          <w:tbl>
            <w:tblPr>
              <w:tblW w:w="9781" w:type="dxa"/>
              <w:tblLook w:val="04A0" w:firstRow="1" w:lastRow="0" w:firstColumn="1" w:lastColumn="0" w:noHBand="0" w:noVBand="1"/>
            </w:tblPr>
            <w:tblGrid>
              <w:gridCol w:w="9781"/>
            </w:tblGrid>
            <w:tr w:rsidR="00A36276" w14:paraId="70D552F5" w14:textId="77777777" w:rsidTr="00C63A8D">
              <w:trPr>
                <w:trHeight w:val="397"/>
              </w:trPr>
              <w:tc>
                <w:tcPr>
                  <w:tcW w:w="9781" w:type="dxa"/>
                  <w:tcBorders>
                    <w:top w:val="single" w:sz="4" w:space="0" w:color="auto"/>
                    <w:left w:val="single" w:sz="4" w:space="0" w:color="auto"/>
                    <w:bottom w:val="single" w:sz="4" w:space="0" w:color="auto"/>
                    <w:right w:val="single" w:sz="4" w:space="0" w:color="auto"/>
                  </w:tcBorders>
                  <w:shd w:val="clear" w:color="auto" w:fill="DEEAF6" w:themeFill="accent1" w:themeFillTint="33"/>
                </w:tcPr>
                <w:p w14:paraId="24EF3420" w14:textId="5EBE7876" w:rsidR="00A36276" w:rsidRPr="008F6FCB" w:rsidRDefault="00A36276" w:rsidP="00A36276">
                  <w:pPr>
                    <w:jc w:val="center"/>
                    <w:rPr>
                      <w:rFonts w:cs="Arial"/>
                      <w:b/>
                      <w:bCs/>
                      <w:iCs/>
                    </w:rPr>
                  </w:pPr>
                  <w:r>
                    <w:rPr>
                      <w:rFonts w:cs="Arial"/>
                      <w:b/>
                      <w:bCs/>
                      <w:iCs/>
                    </w:rPr>
                    <w:t>Rehabilitative Proposal</w:t>
                  </w:r>
                </w:p>
                <w:p w14:paraId="07AF72D7" w14:textId="77777777" w:rsidR="00A36276" w:rsidRPr="008F6FCB" w:rsidRDefault="00A36276" w:rsidP="00A36276">
                  <w:pPr>
                    <w:rPr>
                      <w:rFonts w:cs="Arial"/>
                      <w:i/>
                    </w:rPr>
                  </w:pPr>
                </w:p>
              </w:tc>
            </w:tr>
          </w:tbl>
          <w:p w14:paraId="6027A169" w14:textId="77777777" w:rsidR="006D0BA6" w:rsidRDefault="006D0BA6" w:rsidP="00AC16C0">
            <w:pPr>
              <w:pStyle w:val="ListParagraph"/>
              <w:ind w:left="0"/>
              <w:rPr>
                <w:rFonts w:ascii="Arial" w:hAnsi="Arial" w:cs="Arial"/>
                <w:i/>
              </w:rPr>
            </w:pPr>
          </w:p>
          <w:tbl>
            <w:tblPr>
              <w:tblStyle w:val="TableGrid"/>
              <w:tblW w:w="10299" w:type="dxa"/>
              <w:tblLook w:val="04A0" w:firstRow="1" w:lastRow="0" w:firstColumn="1" w:lastColumn="0" w:noHBand="0" w:noVBand="1"/>
            </w:tblPr>
            <w:tblGrid>
              <w:gridCol w:w="1550"/>
              <w:gridCol w:w="1574"/>
              <w:gridCol w:w="571"/>
              <w:gridCol w:w="596"/>
              <w:gridCol w:w="645"/>
              <w:gridCol w:w="578"/>
              <w:gridCol w:w="645"/>
              <w:gridCol w:w="571"/>
              <w:gridCol w:w="498"/>
              <w:gridCol w:w="608"/>
              <w:gridCol w:w="669"/>
              <w:gridCol w:w="578"/>
              <w:gridCol w:w="608"/>
              <w:gridCol w:w="608"/>
            </w:tblGrid>
            <w:tr w:rsidR="00FE7393" w14:paraId="61E48F32" w14:textId="63311BF6" w:rsidTr="00FE7393">
              <w:tc>
                <w:tcPr>
                  <w:tcW w:w="1550" w:type="dxa"/>
                </w:tcPr>
                <w:p w14:paraId="00F813A9" w14:textId="77599CCB" w:rsidR="00FE7393" w:rsidRDefault="00FE7393" w:rsidP="00AC16C0">
                  <w:pPr>
                    <w:pStyle w:val="ListParagraph"/>
                    <w:ind w:left="0"/>
                    <w:rPr>
                      <w:rFonts w:ascii="Arial" w:hAnsi="Arial" w:cs="Arial"/>
                      <w:i/>
                    </w:rPr>
                  </w:pPr>
                  <w:r>
                    <w:rPr>
                      <w:rFonts w:ascii="Arial" w:hAnsi="Arial" w:cs="Arial"/>
                      <w:i/>
                    </w:rPr>
                    <w:t>Activity</w:t>
                  </w:r>
                </w:p>
              </w:tc>
              <w:tc>
                <w:tcPr>
                  <w:tcW w:w="1574" w:type="dxa"/>
                </w:tcPr>
                <w:p w14:paraId="4816FA9C" w14:textId="503568C5" w:rsidR="00FE7393" w:rsidRDefault="00FE7393" w:rsidP="00AC16C0">
                  <w:pPr>
                    <w:pStyle w:val="ListParagraph"/>
                    <w:ind w:left="0"/>
                    <w:rPr>
                      <w:rFonts w:ascii="Arial" w:hAnsi="Arial" w:cs="Arial"/>
                      <w:i/>
                    </w:rPr>
                  </w:pPr>
                  <w:r>
                    <w:rPr>
                      <w:rFonts w:ascii="Arial" w:hAnsi="Arial" w:cs="Arial"/>
                      <w:i/>
                    </w:rPr>
                    <w:t>Details</w:t>
                  </w:r>
                </w:p>
              </w:tc>
              <w:tc>
                <w:tcPr>
                  <w:tcW w:w="571" w:type="dxa"/>
                </w:tcPr>
                <w:p w14:paraId="34990B33" w14:textId="0B63F9E7" w:rsidR="00FE7393" w:rsidRDefault="00FE7393" w:rsidP="00AC16C0">
                  <w:pPr>
                    <w:pStyle w:val="ListParagraph"/>
                    <w:ind w:left="0"/>
                    <w:rPr>
                      <w:rFonts w:ascii="Arial" w:hAnsi="Arial" w:cs="Arial"/>
                      <w:i/>
                    </w:rPr>
                  </w:pPr>
                  <w:r>
                    <w:rPr>
                      <w:rFonts w:ascii="Arial" w:hAnsi="Arial" w:cs="Arial"/>
                      <w:i/>
                    </w:rPr>
                    <w:t>Jan</w:t>
                  </w:r>
                </w:p>
              </w:tc>
              <w:tc>
                <w:tcPr>
                  <w:tcW w:w="596" w:type="dxa"/>
                </w:tcPr>
                <w:p w14:paraId="6E4F6A8F" w14:textId="35E127DF" w:rsidR="00FE7393" w:rsidRDefault="00FE7393" w:rsidP="00AC16C0">
                  <w:pPr>
                    <w:pStyle w:val="ListParagraph"/>
                    <w:ind w:left="0"/>
                    <w:rPr>
                      <w:rFonts w:ascii="Arial" w:hAnsi="Arial" w:cs="Arial"/>
                      <w:i/>
                    </w:rPr>
                  </w:pPr>
                  <w:r>
                    <w:rPr>
                      <w:rFonts w:ascii="Arial" w:hAnsi="Arial" w:cs="Arial"/>
                      <w:i/>
                    </w:rPr>
                    <w:t>Feb</w:t>
                  </w:r>
                </w:p>
              </w:tc>
              <w:tc>
                <w:tcPr>
                  <w:tcW w:w="645" w:type="dxa"/>
                </w:tcPr>
                <w:p w14:paraId="77B7D147" w14:textId="175B1B83" w:rsidR="00FE7393" w:rsidRDefault="00FE7393" w:rsidP="00AC16C0">
                  <w:pPr>
                    <w:pStyle w:val="ListParagraph"/>
                    <w:ind w:left="0"/>
                    <w:rPr>
                      <w:rFonts w:ascii="Arial" w:hAnsi="Arial" w:cs="Arial"/>
                      <w:i/>
                    </w:rPr>
                  </w:pPr>
                  <w:r>
                    <w:rPr>
                      <w:rFonts w:ascii="Arial" w:hAnsi="Arial" w:cs="Arial"/>
                      <w:i/>
                    </w:rPr>
                    <w:t>Mar</w:t>
                  </w:r>
                </w:p>
              </w:tc>
              <w:tc>
                <w:tcPr>
                  <w:tcW w:w="578" w:type="dxa"/>
                </w:tcPr>
                <w:p w14:paraId="3CA5CAE2" w14:textId="0178AC69" w:rsidR="00FE7393" w:rsidRDefault="00FE7393" w:rsidP="00AC16C0">
                  <w:pPr>
                    <w:pStyle w:val="ListParagraph"/>
                    <w:ind w:left="0"/>
                    <w:rPr>
                      <w:rFonts w:ascii="Arial" w:hAnsi="Arial" w:cs="Arial"/>
                      <w:i/>
                    </w:rPr>
                  </w:pPr>
                  <w:r>
                    <w:rPr>
                      <w:rFonts w:ascii="Arial" w:hAnsi="Arial" w:cs="Arial"/>
                      <w:i/>
                    </w:rPr>
                    <w:t>Apr</w:t>
                  </w:r>
                </w:p>
              </w:tc>
              <w:tc>
                <w:tcPr>
                  <w:tcW w:w="645" w:type="dxa"/>
                </w:tcPr>
                <w:p w14:paraId="3F65167F" w14:textId="5CDF55FE" w:rsidR="00FE7393" w:rsidRDefault="00FE7393" w:rsidP="00AC16C0">
                  <w:pPr>
                    <w:pStyle w:val="ListParagraph"/>
                    <w:ind w:left="0"/>
                    <w:rPr>
                      <w:rFonts w:ascii="Arial" w:hAnsi="Arial" w:cs="Arial"/>
                      <w:i/>
                    </w:rPr>
                  </w:pPr>
                  <w:r>
                    <w:rPr>
                      <w:rFonts w:ascii="Arial" w:hAnsi="Arial" w:cs="Arial"/>
                      <w:i/>
                    </w:rPr>
                    <w:t>May</w:t>
                  </w:r>
                </w:p>
              </w:tc>
              <w:tc>
                <w:tcPr>
                  <w:tcW w:w="571" w:type="dxa"/>
                </w:tcPr>
                <w:p w14:paraId="241CCA2C" w14:textId="0AE3F327" w:rsidR="00FE7393" w:rsidRDefault="00FE7393" w:rsidP="00AC16C0">
                  <w:pPr>
                    <w:pStyle w:val="ListParagraph"/>
                    <w:ind w:left="0"/>
                    <w:rPr>
                      <w:rFonts w:ascii="Arial" w:hAnsi="Arial" w:cs="Arial"/>
                      <w:i/>
                    </w:rPr>
                  </w:pPr>
                  <w:r>
                    <w:rPr>
                      <w:rFonts w:ascii="Arial" w:hAnsi="Arial" w:cs="Arial"/>
                      <w:i/>
                    </w:rPr>
                    <w:t>Jun</w:t>
                  </w:r>
                </w:p>
              </w:tc>
              <w:tc>
                <w:tcPr>
                  <w:tcW w:w="498" w:type="dxa"/>
                </w:tcPr>
                <w:p w14:paraId="7F84D11F" w14:textId="585F1D52" w:rsidR="00FE7393" w:rsidRDefault="00FE7393" w:rsidP="00AC16C0">
                  <w:pPr>
                    <w:pStyle w:val="ListParagraph"/>
                    <w:ind w:left="0"/>
                    <w:rPr>
                      <w:rFonts w:ascii="Arial" w:hAnsi="Arial" w:cs="Arial"/>
                      <w:i/>
                    </w:rPr>
                  </w:pPr>
                  <w:r>
                    <w:rPr>
                      <w:rFonts w:ascii="Arial" w:hAnsi="Arial" w:cs="Arial"/>
                      <w:i/>
                    </w:rPr>
                    <w:t>Jul</w:t>
                  </w:r>
                </w:p>
              </w:tc>
              <w:tc>
                <w:tcPr>
                  <w:tcW w:w="608" w:type="dxa"/>
                </w:tcPr>
                <w:p w14:paraId="25579BFB" w14:textId="5B74DAB0" w:rsidR="00FE7393" w:rsidRDefault="00FE7393" w:rsidP="00AC16C0">
                  <w:pPr>
                    <w:pStyle w:val="ListParagraph"/>
                    <w:ind w:left="0"/>
                    <w:rPr>
                      <w:rFonts w:ascii="Arial" w:hAnsi="Arial" w:cs="Arial"/>
                      <w:i/>
                    </w:rPr>
                  </w:pPr>
                  <w:r>
                    <w:rPr>
                      <w:rFonts w:ascii="Arial" w:hAnsi="Arial" w:cs="Arial"/>
                      <w:i/>
                    </w:rPr>
                    <w:t>Aug</w:t>
                  </w:r>
                </w:p>
              </w:tc>
              <w:tc>
                <w:tcPr>
                  <w:tcW w:w="669" w:type="dxa"/>
                </w:tcPr>
                <w:p w14:paraId="6E0A95CA" w14:textId="162380C7" w:rsidR="00FE7393" w:rsidRDefault="00FE7393" w:rsidP="00AC16C0">
                  <w:pPr>
                    <w:pStyle w:val="ListParagraph"/>
                    <w:ind w:left="0"/>
                    <w:rPr>
                      <w:rFonts w:ascii="Arial" w:hAnsi="Arial" w:cs="Arial"/>
                      <w:i/>
                    </w:rPr>
                  </w:pPr>
                  <w:r>
                    <w:rPr>
                      <w:rFonts w:ascii="Arial" w:hAnsi="Arial" w:cs="Arial"/>
                      <w:i/>
                    </w:rPr>
                    <w:t>Sept</w:t>
                  </w:r>
                </w:p>
              </w:tc>
              <w:tc>
                <w:tcPr>
                  <w:tcW w:w="578" w:type="dxa"/>
                </w:tcPr>
                <w:p w14:paraId="27215607" w14:textId="15F26523" w:rsidR="00FE7393" w:rsidRDefault="00FE7393" w:rsidP="00AC16C0">
                  <w:pPr>
                    <w:pStyle w:val="ListParagraph"/>
                    <w:ind w:left="0"/>
                    <w:rPr>
                      <w:rFonts w:ascii="Arial" w:hAnsi="Arial" w:cs="Arial"/>
                      <w:i/>
                    </w:rPr>
                  </w:pPr>
                  <w:r>
                    <w:rPr>
                      <w:rFonts w:ascii="Arial" w:hAnsi="Arial" w:cs="Arial"/>
                      <w:i/>
                    </w:rPr>
                    <w:t>Oct</w:t>
                  </w:r>
                </w:p>
              </w:tc>
              <w:tc>
                <w:tcPr>
                  <w:tcW w:w="608" w:type="dxa"/>
                </w:tcPr>
                <w:p w14:paraId="44EE16E5" w14:textId="7BC2D326" w:rsidR="00FE7393" w:rsidRDefault="00FE7393" w:rsidP="00AC16C0">
                  <w:pPr>
                    <w:pStyle w:val="ListParagraph"/>
                    <w:ind w:left="0"/>
                    <w:rPr>
                      <w:rFonts w:ascii="Arial" w:hAnsi="Arial" w:cs="Arial"/>
                      <w:i/>
                    </w:rPr>
                  </w:pPr>
                  <w:r>
                    <w:rPr>
                      <w:rFonts w:ascii="Arial" w:hAnsi="Arial" w:cs="Arial"/>
                      <w:i/>
                    </w:rPr>
                    <w:t>Nov</w:t>
                  </w:r>
                </w:p>
              </w:tc>
              <w:tc>
                <w:tcPr>
                  <w:tcW w:w="608" w:type="dxa"/>
                </w:tcPr>
                <w:p w14:paraId="7CF12C8C" w14:textId="21F8F353" w:rsidR="00FE7393" w:rsidRDefault="00FE7393" w:rsidP="00AC16C0">
                  <w:pPr>
                    <w:pStyle w:val="ListParagraph"/>
                    <w:ind w:left="0"/>
                    <w:rPr>
                      <w:rFonts w:ascii="Arial" w:hAnsi="Arial" w:cs="Arial"/>
                      <w:i/>
                    </w:rPr>
                  </w:pPr>
                  <w:r>
                    <w:rPr>
                      <w:rFonts w:ascii="Arial" w:hAnsi="Arial" w:cs="Arial"/>
                      <w:i/>
                    </w:rPr>
                    <w:t>Dec</w:t>
                  </w:r>
                </w:p>
              </w:tc>
            </w:tr>
            <w:tr w:rsidR="00FE7393" w14:paraId="37E3A06C" w14:textId="3386FA77" w:rsidTr="00FE7393">
              <w:tc>
                <w:tcPr>
                  <w:tcW w:w="1550" w:type="dxa"/>
                </w:tcPr>
                <w:p w14:paraId="18565B7D" w14:textId="70C19081" w:rsidR="00FE7393" w:rsidRDefault="00FE7393" w:rsidP="00AC16C0">
                  <w:pPr>
                    <w:pStyle w:val="ListParagraph"/>
                    <w:ind w:left="0"/>
                    <w:rPr>
                      <w:rFonts w:ascii="Arial" w:hAnsi="Arial" w:cs="Arial"/>
                      <w:i/>
                    </w:rPr>
                  </w:pPr>
                  <w:r>
                    <w:rPr>
                      <w:rFonts w:ascii="Arial" w:hAnsi="Arial" w:cs="Arial"/>
                      <w:i/>
                    </w:rPr>
                    <w:t>Introduction &amp; Goal Setting</w:t>
                  </w:r>
                </w:p>
              </w:tc>
              <w:tc>
                <w:tcPr>
                  <w:tcW w:w="1574" w:type="dxa"/>
                </w:tcPr>
                <w:p w14:paraId="44009A95" w14:textId="0ABA7B97" w:rsidR="00FE7393" w:rsidRDefault="00FE7393" w:rsidP="00AC16C0">
                  <w:pPr>
                    <w:pStyle w:val="ListParagraph"/>
                    <w:ind w:left="0"/>
                    <w:rPr>
                      <w:rFonts w:ascii="Arial" w:hAnsi="Arial" w:cs="Arial"/>
                      <w:i/>
                    </w:rPr>
                  </w:pPr>
                  <w:r>
                    <w:rPr>
                      <w:rFonts w:ascii="Arial" w:hAnsi="Arial" w:cs="Arial"/>
                      <w:i/>
                    </w:rPr>
                    <w:t>Introduce programme &amp; set individual goals</w:t>
                  </w:r>
                </w:p>
              </w:tc>
              <w:tc>
                <w:tcPr>
                  <w:tcW w:w="571" w:type="dxa"/>
                  <w:shd w:val="clear" w:color="auto" w:fill="595959" w:themeFill="text1" w:themeFillTint="A6"/>
                </w:tcPr>
                <w:p w14:paraId="66372D9A" w14:textId="77777777" w:rsidR="00FE7393" w:rsidRDefault="00FE7393" w:rsidP="00AC16C0">
                  <w:pPr>
                    <w:pStyle w:val="ListParagraph"/>
                    <w:ind w:left="0"/>
                    <w:rPr>
                      <w:rFonts w:ascii="Arial" w:hAnsi="Arial" w:cs="Arial"/>
                      <w:i/>
                    </w:rPr>
                  </w:pPr>
                </w:p>
              </w:tc>
              <w:tc>
                <w:tcPr>
                  <w:tcW w:w="596" w:type="dxa"/>
                  <w:shd w:val="clear" w:color="auto" w:fill="C5E0B3" w:themeFill="accent6" w:themeFillTint="66"/>
                </w:tcPr>
                <w:p w14:paraId="6DDD673A" w14:textId="11684704" w:rsidR="00FE7393" w:rsidRDefault="00FE7393" w:rsidP="00AC16C0">
                  <w:pPr>
                    <w:pStyle w:val="ListParagraph"/>
                    <w:ind w:left="0"/>
                    <w:rPr>
                      <w:rFonts w:ascii="Arial" w:hAnsi="Arial" w:cs="Arial"/>
                      <w:i/>
                    </w:rPr>
                  </w:pPr>
                  <w:r>
                    <w:rPr>
                      <w:rFonts w:ascii="Arial" w:hAnsi="Arial" w:cs="Arial"/>
                      <w:i/>
                    </w:rPr>
                    <w:t>1</w:t>
                  </w:r>
                  <w:r w:rsidRPr="00A54A9A">
                    <w:rPr>
                      <w:rFonts w:ascii="Arial" w:hAnsi="Arial" w:cs="Arial"/>
                      <w:i/>
                      <w:vertAlign w:val="superscript"/>
                    </w:rPr>
                    <w:t>st</w:t>
                  </w:r>
                  <w:r>
                    <w:rPr>
                      <w:rFonts w:ascii="Arial" w:hAnsi="Arial" w:cs="Arial"/>
                      <w:i/>
                    </w:rPr>
                    <w:t xml:space="preserve"> -7</w:t>
                  </w:r>
                  <w:r w:rsidRPr="00A54A9A">
                    <w:rPr>
                      <w:rFonts w:ascii="Arial" w:hAnsi="Arial" w:cs="Arial"/>
                      <w:i/>
                      <w:vertAlign w:val="superscript"/>
                    </w:rPr>
                    <w:t>th</w:t>
                  </w:r>
                  <w:r>
                    <w:rPr>
                      <w:rFonts w:ascii="Arial" w:hAnsi="Arial" w:cs="Arial"/>
                      <w:i/>
                    </w:rPr>
                    <w:t xml:space="preserve"> </w:t>
                  </w:r>
                </w:p>
              </w:tc>
              <w:tc>
                <w:tcPr>
                  <w:tcW w:w="645" w:type="dxa"/>
                </w:tcPr>
                <w:p w14:paraId="61CE06B1" w14:textId="77777777" w:rsidR="00FE7393" w:rsidRDefault="00FE7393" w:rsidP="00AC16C0">
                  <w:pPr>
                    <w:pStyle w:val="ListParagraph"/>
                    <w:ind w:left="0"/>
                    <w:rPr>
                      <w:rFonts w:ascii="Arial" w:hAnsi="Arial" w:cs="Arial"/>
                      <w:i/>
                    </w:rPr>
                  </w:pPr>
                </w:p>
              </w:tc>
              <w:tc>
                <w:tcPr>
                  <w:tcW w:w="578" w:type="dxa"/>
                </w:tcPr>
                <w:p w14:paraId="5B843B1E" w14:textId="77777777" w:rsidR="00FE7393" w:rsidRDefault="00FE7393" w:rsidP="00AC16C0">
                  <w:pPr>
                    <w:pStyle w:val="ListParagraph"/>
                    <w:ind w:left="0"/>
                    <w:rPr>
                      <w:rFonts w:ascii="Arial" w:hAnsi="Arial" w:cs="Arial"/>
                      <w:i/>
                    </w:rPr>
                  </w:pPr>
                </w:p>
              </w:tc>
              <w:tc>
                <w:tcPr>
                  <w:tcW w:w="645" w:type="dxa"/>
                </w:tcPr>
                <w:p w14:paraId="7ADCD106" w14:textId="77777777" w:rsidR="00FE7393" w:rsidRDefault="00FE7393" w:rsidP="00AC16C0">
                  <w:pPr>
                    <w:pStyle w:val="ListParagraph"/>
                    <w:ind w:left="0"/>
                    <w:rPr>
                      <w:rFonts w:ascii="Arial" w:hAnsi="Arial" w:cs="Arial"/>
                      <w:i/>
                    </w:rPr>
                  </w:pPr>
                </w:p>
              </w:tc>
              <w:tc>
                <w:tcPr>
                  <w:tcW w:w="571" w:type="dxa"/>
                </w:tcPr>
                <w:p w14:paraId="044BDF4D" w14:textId="77777777" w:rsidR="00FE7393" w:rsidRDefault="00FE7393" w:rsidP="00AC16C0">
                  <w:pPr>
                    <w:pStyle w:val="ListParagraph"/>
                    <w:ind w:left="0"/>
                    <w:rPr>
                      <w:rFonts w:ascii="Arial" w:hAnsi="Arial" w:cs="Arial"/>
                      <w:i/>
                    </w:rPr>
                  </w:pPr>
                </w:p>
              </w:tc>
              <w:tc>
                <w:tcPr>
                  <w:tcW w:w="498" w:type="dxa"/>
                </w:tcPr>
                <w:p w14:paraId="6DC233DC" w14:textId="77777777" w:rsidR="00FE7393" w:rsidRDefault="00FE7393" w:rsidP="00AC16C0">
                  <w:pPr>
                    <w:pStyle w:val="ListParagraph"/>
                    <w:ind w:left="0"/>
                    <w:rPr>
                      <w:rFonts w:ascii="Arial" w:hAnsi="Arial" w:cs="Arial"/>
                      <w:i/>
                    </w:rPr>
                  </w:pPr>
                </w:p>
              </w:tc>
              <w:tc>
                <w:tcPr>
                  <w:tcW w:w="608" w:type="dxa"/>
                </w:tcPr>
                <w:p w14:paraId="4E4C632D" w14:textId="77777777" w:rsidR="00FE7393" w:rsidRDefault="00FE7393" w:rsidP="00AC16C0">
                  <w:pPr>
                    <w:pStyle w:val="ListParagraph"/>
                    <w:ind w:left="0"/>
                    <w:rPr>
                      <w:rFonts w:ascii="Arial" w:hAnsi="Arial" w:cs="Arial"/>
                      <w:i/>
                    </w:rPr>
                  </w:pPr>
                </w:p>
              </w:tc>
              <w:tc>
                <w:tcPr>
                  <w:tcW w:w="669" w:type="dxa"/>
                </w:tcPr>
                <w:p w14:paraId="5C436A4A" w14:textId="77777777" w:rsidR="00FE7393" w:rsidRDefault="00FE7393" w:rsidP="00AC16C0">
                  <w:pPr>
                    <w:pStyle w:val="ListParagraph"/>
                    <w:ind w:left="0"/>
                    <w:rPr>
                      <w:rFonts w:ascii="Arial" w:hAnsi="Arial" w:cs="Arial"/>
                      <w:i/>
                    </w:rPr>
                  </w:pPr>
                </w:p>
              </w:tc>
              <w:tc>
                <w:tcPr>
                  <w:tcW w:w="578" w:type="dxa"/>
                </w:tcPr>
                <w:p w14:paraId="21518887" w14:textId="77777777" w:rsidR="00FE7393" w:rsidRDefault="00FE7393" w:rsidP="00AC16C0">
                  <w:pPr>
                    <w:pStyle w:val="ListParagraph"/>
                    <w:ind w:left="0"/>
                    <w:rPr>
                      <w:rFonts w:ascii="Arial" w:hAnsi="Arial" w:cs="Arial"/>
                      <w:i/>
                    </w:rPr>
                  </w:pPr>
                </w:p>
              </w:tc>
              <w:tc>
                <w:tcPr>
                  <w:tcW w:w="608" w:type="dxa"/>
                </w:tcPr>
                <w:p w14:paraId="4FEF6F3F" w14:textId="77777777" w:rsidR="00FE7393" w:rsidRDefault="00FE7393" w:rsidP="00AC16C0">
                  <w:pPr>
                    <w:pStyle w:val="ListParagraph"/>
                    <w:ind w:left="0"/>
                    <w:rPr>
                      <w:rFonts w:ascii="Arial" w:hAnsi="Arial" w:cs="Arial"/>
                      <w:i/>
                    </w:rPr>
                  </w:pPr>
                </w:p>
              </w:tc>
              <w:tc>
                <w:tcPr>
                  <w:tcW w:w="608" w:type="dxa"/>
                </w:tcPr>
                <w:p w14:paraId="2F8B9350" w14:textId="77777777" w:rsidR="00FE7393" w:rsidRDefault="00FE7393" w:rsidP="00AC16C0">
                  <w:pPr>
                    <w:pStyle w:val="ListParagraph"/>
                    <w:ind w:left="0"/>
                    <w:rPr>
                      <w:rFonts w:ascii="Arial" w:hAnsi="Arial" w:cs="Arial"/>
                      <w:i/>
                    </w:rPr>
                  </w:pPr>
                </w:p>
              </w:tc>
            </w:tr>
            <w:tr w:rsidR="00FE7393" w14:paraId="5D044F73" w14:textId="08B0F943" w:rsidTr="00FE7393">
              <w:tc>
                <w:tcPr>
                  <w:tcW w:w="1550" w:type="dxa"/>
                </w:tcPr>
                <w:p w14:paraId="328E2D32" w14:textId="61C7FCA1" w:rsidR="00FE7393" w:rsidRDefault="00FE7393" w:rsidP="00AC16C0">
                  <w:pPr>
                    <w:pStyle w:val="ListParagraph"/>
                    <w:ind w:left="0"/>
                    <w:rPr>
                      <w:rFonts w:ascii="Arial" w:hAnsi="Arial" w:cs="Arial"/>
                      <w:i/>
                    </w:rPr>
                  </w:pPr>
                  <w:r>
                    <w:rPr>
                      <w:rFonts w:ascii="Arial" w:hAnsi="Arial" w:cs="Arial"/>
                      <w:i/>
                    </w:rPr>
                    <w:t>Mindfulness Foundations &amp; GLM integration</w:t>
                  </w:r>
                </w:p>
              </w:tc>
              <w:tc>
                <w:tcPr>
                  <w:tcW w:w="1574" w:type="dxa"/>
                </w:tcPr>
                <w:p w14:paraId="1368A877" w14:textId="701F5A89" w:rsidR="00FE7393" w:rsidRDefault="00FE7393" w:rsidP="00AC16C0">
                  <w:pPr>
                    <w:pStyle w:val="ListParagraph"/>
                    <w:ind w:left="0"/>
                    <w:rPr>
                      <w:rFonts w:ascii="Arial" w:hAnsi="Arial" w:cs="Arial"/>
                      <w:i/>
                    </w:rPr>
                  </w:pPr>
                  <w:r>
                    <w:rPr>
                      <w:rFonts w:ascii="Arial" w:hAnsi="Arial" w:cs="Arial"/>
                      <w:i/>
                    </w:rPr>
                    <w:t>Intensive mindfulness training aligned with GLM</w:t>
                  </w:r>
                </w:p>
              </w:tc>
              <w:tc>
                <w:tcPr>
                  <w:tcW w:w="571" w:type="dxa"/>
                  <w:shd w:val="clear" w:color="auto" w:fill="595959" w:themeFill="text1" w:themeFillTint="A6"/>
                </w:tcPr>
                <w:p w14:paraId="311393C8" w14:textId="77777777" w:rsidR="00FE7393" w:rsidRDefault="00FE7393" w:rsidP="00AC16C0">
                  <w:pPr>
                    <w:pStyle w:val="ListParagraph"/>
                    <w:ind w:left="0"/>
                    <w:rPr>
                      <w:rFonts w:ascii="Arial" w:hAnsi="Arial" w:cs="Arial"/>
                      <w:i/>
                    </w:rPr>
                  </w:pPr>
                </w:p>
              </w:tc>
              <w:tc>
                <w:tcPr>
                  <w:tcW w:w="596" w:type="dxa"/>
                  <w:shd w:val="clear" w:color="auto" w:fill="FBE4D5" w:themeFill="accent2" w:themeFillTint="33"/>
                </w:tcPr>
                <w:p w14:paraId="57191C1F" w14:textId="406C81D2" w:rsidR="00FE7393" w:rsidRDefault="00FE7393" w:rsidP="00AC16C0">
                  <w:pPr>
                    <w:pStyle w:val="ListParagraph"/>
                    <w:ind w:left="0"/>
                    <w:rPr>
                      <w:rFonts w:ascii="Arial" w:hAnsi="Arial" w:cs="Arial"/>
                      <w:i/>
                    </w:rPr>
                  </w:pPr>
                  <w:r>
                    <w:rPr>
                      <w:rFonts w:ascii="Arial" w:hAnsi="Arial" w:cs="Arial"/>
                      <w:i/>
                    </w:rPr>
                    <w:t>8</w:t>
                  </w:r>
                  <w:r w:rsidRPr="00361B52">
                    <w:rPr>
                      <w:rFonts w:ascii="Arial" w:hAnsi="Arial" w:cs="Arial"/>
                      <w:i/>
                      <w:vertAlign w:val="superscript"/>
                    </w:rPr>
                    <w:t>th</w:t>
                  </w:r>
                  <w:r>
                    <w:rPr>
                      <w:rFonts w:ascii="Arial" w:hAnsi="Arial" w:cs="Arial"/>
                      <w:i/>
                    </w:rPr>
                    <w:t xml:space="preserve"> -28</w:t>
                  </w:r>
                  <w:r w:rsidRPr="00361B52">
                    <w:rPr>
                      <w:rFonts w:ascii="Arial" w:hAnsi="Arial" w:cs="Arial"/>
                      <w:i/>
                      <w:vertAlign w:val="superscript"/>
                    </w:rPr>
                    <w:t>th</w:t>
                  </w:r>
                  <w:r>
                    <w:rPr>
                      <w:rFonts w:ascii="Arial" w:hAnsi="Arial" w:cs="Arial"/>
                      <w:i/>
                    </w:rPr>
                    <w:t xml:space="preserve"> </w:t>
                  </w:r>
                </w:p>
              </w:tc>
              <w:tc>
                <w:tcPr>
                  <w:tcW w:w="645" w:type="dxa"/>
                </w:tcPr>
                <w:p w14:paraId="7958C180" w14:textId="77777777" w:rsidR="00FE7393" w:rsidRDefault="00FE7393" w:rsidP="00AC16C0">
                  <w:pPr>
                    <w:pStyle w:val="ListParagraph"/>
                    <w:ind w:left="0"/>
                    <w:rPr>
                      <w:rFonts w:ascii="Arial" w:hAnsi="Arial" w:cs="Arial"/>
                      <w:i/>
                    </w:rPr>
                  </w:pPr>
                </w:p>
              </w:tc>
              <w:tc>
                <w:tcPr>
                  <w:tcW w:w="578" w:type="dxa"/>
                </w:tcPr>
                <w:p w14:paraId="262CCB98" w14:textId="77777777" w:rsidR="00FE7393" w:rsidRDefault="00FE7393" w:rsidP="00AC16C0">
                  <w:pPr>
                    <w:pStyle w:val="ListParagraph"/>
                    <w:ind w:left="0"/>
                    <w:rPr>
                      <w:rFonts w:ascii="Arial" w:hAnsi="Arial" w:cs="Arial"/>
                      <w:i/>
                    </w:rPr>
                  </w:pPr>
                </w:p>
              </w:tc>
              <w:tc>
                <w:tcPr>
                  <w:tcW w:w="645" w:type="dxa"/>
                </w:tcPr>
                <w:p w14:paraId="1F8B5844" w14:textId="77777777" w:rsidR="00FE7393" w:rsidRDefault="00FE7393" w:rsidP="00AC16C0">
                  <w:pPr>
                    <w:pStyle w:val="ListParagraph"/>
                    <w:ind w:left="0"/>
                    <w:rPr>
                      <w:rFonts w:ascii="Arial" w:hAnsi="Arial" w:cs="Arial"/>
                      <w:i/>
                    </w:rPr>
                  </w:pPr>
                </w:p>
              </w:tc>
              <w:tc>
                <w:tcPr>
                  <w:tcW w:w="571" w:type="dxa"/>
                </w:tcPr>
                <w:p w14:paraId="3FC5FE92" w14:textId="77777777" w:rsidR="00FE7393" w:rsidRDefault="00FE7393" w:rsidP="00AC16C0">
                  <w:pPr>
                    <w:pStyle w:val="ListParagraph"/>
                    <w:ind w:left="0"/>
                    <w:rPr>
                      <w:rFonts w:ascii="Arial" w:hAnsi="Arial" w:cs="Arial"/>
                      <w:i/>
                    </w:rPr>
                  </w:pPr>
                </w:p>
              </w:tc>
              <w:tc>
                <w:tcPr>
                  <w:tcW w:w="498" w:type="dxa"/>
                </w:tcPr>
                <w:p w14:paraId="29C40706" w14:textId="77777777" w:rsidR="00FE7393" w:rsidRDefault="00FE7393" w:rsidP="00AC16C0">
                  <w:pPr>
                    <w:pStyle w:val="ListParagraph"/>
                    <w:ind w:left="0"/>
                    <w:rPr>
                      <w:rFonts w:ascii="Arial" w:hAnsi="Arial" w:cs="Arial"/>
                      <w:i/>
                    </w:rPr>
                  </w:pPr>
                </w:p>
              </w:tc>
              <w:tc>
                <w:tcPr>
                  <w:tcW w:w="608" w:type="dxa"/>
                </w:tcPr>
                <w:p w14:paraId="604E3ECE" w14:textId="77777777" w:rsidR="00FE7393" w:rsidRDefault="00FE7393" w:rsidP="00AC16C0">
                  <w:pPr>
                    <w:pStyle w:val="ListParagraph"/>
                    <w:ind w:left="0"/>
                    <w:rPr>
                      <w:rFonts w:ascii="Arial" w:hAnsi="Arial" w:cs="Arial"/>
                      <w:i/>
                    </w:rPr>
                  </w:pPr>
                </w:p>
              </w:tc>
              <w:tc>
                <w:tcPr>
                  <w:tcW w:w="669" w:type="dxa"/>
                </w:tcPr>
                <w:p w14:paraId="08573E35" w14:textId="77777777" w:rsidR="00FE7393" w:rsidRDefault="00FE7393" w:rsidP="00AC16C0">
                  <w:pPr>
                    <w:pStyle w:val="ListParagraph"/>
                    <w:ind w:left="0"/>
                    <w:rPr>
                      <w:rFonts w:ascii="Arial" w:hAnsi="Arial" w:cs="Arial"/>
                      <w:i/>
                    </w:rPr>
                  </w:pPr>
                </w:p>
              </w:tc>
              <w:tc>
                <w:tcPr>
                  <w:tcW w:w="578" w:type="dxa"/>
                </w:tcPr>
                <w:p w14:paraId="15FA39F1" w14:textId="77777777" w:rsidR="00FE7393" w:rsidRDefault="00FE7393" w:rsidP="00AC16C0">
                  <w:pPr>
                    <w:pStyle w:val="ListParagraph"/>
                    <w:ind w:left="0"/>
                    <w:rPr>
                      <w:rFonts w:ascii="Arial" w:hAnsi="Arial" w:cs="Arial"/>
                      <w:i/>
                    </w:rPr>
                  </w:pPr>
                </w:p>
              </w:tc>
              <w:tc>
                <w:tcPr>
                  <w:tcW w:w="608" w:type="dxa"/>
                </w:tcPr>
                <w:p w14:paraId="3B8D9F5A" w14:textId="77777777" w:rsidR="00FE7393" w:rsidRDefault="00FE7393" w:rsidP="00AC16C0">
                  <w:pPr>
                    <w:pStyle w:val="ListParagraph"/>
                    <w:ind w:left="0"/>
                    <w:rPr>
                      <w:rFonts w:ascii="Arial" w:hAnsi="Arial" w:cs="Arial"/>
                      <w:i/>
                    </w:rPr>
                  </w:pPr>
                </w:p>
              </w:tc>
              <w:tc>
                <w:tcPr>
                  <w:tcW w:w="608" w:type="dxa"/>
                </w:tcPr>
                <w:p w14:paraId="43272081" w14:textId="77777777" w:rsidR="00FE7393" w:rsidRDefault="00FE7393" w:rsidP="00AC16C0">
                  <w:pPr>
                    <w:pStyle w:val="ListParagraph"/>
                    <w:ind w:left="0"/>
                    <w:rPr>
                      <w:rFonts w:ascii="Arial" w:hAnsi="Arial" w:cs="Arial"/>
                      <w:i/>
                    </w:rPr>
                  </w:pPr>
                </w:p>
              </w:tc>
            </w:tr>
            <w:tr w:rsidR="00FE7393" w14:paraId="55BE3731" w14:textId="649483DC" w:rsidTr="00FE7393">
              <w:tc>
                <w:tcPr>
                  <w:tcW w:w="1550" w:type="dxa"/>
                </w:tcPr>
                <w:p w14:paraId="0968C3AD" w14:textId="6D604FE6" w:rsidR="00FE7393" w:rsidRDefault="00FE7393" w:rsidP="00AC16C0">
                  <w:pPr>
                    <w:pStyle w:val="ListParagraph"/>
                    <w:ind w:left="0"/>
                    <w:rPr>
                      <w:rFonts w:ascii="Arial" w:hAnsi="Arial" w:cs="Arial"/>
                      <w:i/>
                    </w:rPr>
                  </w:pPr>
                  <w:r>
                    <w:rPr>
                      <w:rFonts w:ascii="Arial" w:hAnsi="Arial" w:cs="Arial"/>
                      <w:i/>
                    </w:rPr>
                    <w:t>RNR-Aligned Skill Building</w:t>
                  </w:r>
                </w:p>
              </w:tc>
              <w:tc>
                <w:tcPr>
                  <w:tcW w:w="1574" w:type="dxa"/>
                </w:tcPr>
                <w:p w14:paraId="13276F9C" w14:textId="4F9378A9" w:rsidR="00FE7393" w:rsidRDefault="00FE7393" w:rsidP="00AC16C0">
                  <w:pPr>
                    <w:pStyle w:val="ListParagraph"/>
                    <w:ind w:left="0"/>
                    <w:rPr>
                      <w:rFonts w:ascii="Arial" w:hAnsi="Arial" w:cs="Arial"/>
                      <w:i/>
                    </w:rPr>
                  </w:pPr>
                  <w:r w:rsidRPr="002D0F2A">
                    <w:rPr>
                      <w:rFonts w:ascii="Arial" w:hAnsi="Arial" w:cs="Arial"/>
                      <w:i/>
                    </w:rPr>
                    <w:t>Develop specific competencies aligned with RNR</w:t>
                  </w:r>
                </w:p>
              </w:tc>
              <w:tc>
                <w:tcPr>
                  <w:tcW w:w="571" w:type="dxa"/>
                  <w:shd w:val="clear" w:color="auto" w:fill="595959" w:themeFill="text1" w:themeFillTint="A6"/>
                </w:tcPr>
                <w:p w14:paraId="6AF16A24" w14:textId="77777777" w:rsidR="00FE7393" w:rsidRDefault="00FE7393" w:rsidP="00AC16C0">
                  <w:pPr>
                    <w:pStyle w:val="ListParagraph"/>
                    <w:ind w:left="0"/>
                    <w:rPr>
                      <w:rFonts w:ascii="Arial" w:hAnsi="Arial" w:cs="Arial"/>
                      <w:i/>
                    </w:rPr>
                  </w:pPr>
                </w:p>
              </w:tc>
              <w:tc>
                <w:tcPr>
                  <w:tcW w:w="596" w:type="dxa"/>
                </w:tcPr>
                <w:p w14:paraId="4A81E94E" w14:textId="77777777" w:rsidR="00FE7393" w:rsidRDefault="00FE7393" w:rsidP="00AC16C0">
                  <w:pPr>
                    <w:pStyle w:val="ListParagraph"/>
                    <w:ind w:left="0"/>
                    <w:rPr>
                      <w:rFonts w:ascii="Arial" w:hAnsi="Arial" w:cs="Arial"/>
                      <w:i/>
                    </w:rPr>
                  </w:pPr>
                </w:p>
              </w:tc>
              <w:tc>
                <w:tcPr>
                  <w:tcW w:w="645" w:type="dxa"/>
                  <w:shd w:val="clear" w:color="auto" w:fill="FFE599" w:themeFill="accent4" w:themeFillTint="66"/>
                </w:tcPr>
                <w:p w14:paraId="74E0237C" w14:textId="01BF15EA" w:rsidR="00FE7393" w:rsidRDefault="00FE7393" w:rsidP="00AC16C0">
                  <w:pPr>
                    <w:pStyle w:val="ListParagraph"/>
                    <w:ind w:left="0"/>
                    <w:rPr>
                      <w:rFonts w:ascii="Arial" w:hAnsi="Arial" w:cs="Arial"/>
                      <w:i/>
                    </w:rPr>
                  </w:pPr>
                  <w:r>
                    <w:rPr>
                      <w:rFonts w:ascii="Arial" w:hAnsi="Arial" w:cs="Arial"/>
                      <w:i/>
                    </w:rPr>
                    <w:t>1</w:t>
                  </w:r>
                  <w:r w:rsidRPr="00361B52">
                    <w:rPr>
                      <w:rFonts w:ascii="Arial" w:hAnsi="Arial" w:cs="Arial"/>
                      <w:i/>
                      <w:vertAlign w:val="superscript"/>
                    </w:rPr>
                    <w:t>st</w:t>
                  </w:r>
                  <w:r>
                    <w:rPr>
                      <w:rFonts w:ascii="Arial" w:hAnsi="Arial" w:cs="Arial"/>
                      <w:i/>
                    </w:rPr>
                    <w:t xml:space="preserve"> – 21</w:t>
                  </w:r>
                  <w:r w:rsidRPr="00361B52">
                    <w:rPr>
                      <w:rFonts w:ascii="Arial" w:hAnsi="Arial" w:cs="Arial"/>
                      <w:i/>
                      <w:vertAlign w:val="superscript"/>
                    </w:rPr>
                    <w:t>st</w:t>
                  </w:r>
                  <w:r>
                    <w:rPr>
                      <w:rFonts w:ascii="Arial" w:hAnsi="Arial" w:cs="Arial"/>
                      <w:i/>
                    </w:rPr>
                    <w:t xml:space="preserve"> </w:t>
                  </w:r>
                </w:p>
              </w:tc>
              <w:tc>
                <w:tcPr>
                  <w:tcW w:w="578" w:type="dxa"/>
                  <w:tcBorders>
                    <w:bottom w:val="nil"/>
                  </w:tcBorders>
                </w:tcPr>
                <w:p w14:paraId="63256FA2" w14:textId="77777777" w:rsidR="00FE7393" w:rsidRDefault="00FE7393" w:rsidP="00AC16C0">
                  <w:pPr>
                    <w:pStyle w:val="ListParagraph"/>
                    <w:ind w:left="0"/>
                    <w:rPr>
                      <w:rFonts w:ascii="Arial" w:hAnsi="Arial" w:cs="Arial"/>
                      <w:i/>
                    </w:rPr>
                  </w:pPr>
                </w:p>
              </w:tc>
              <w:tc>
                <w:tcPr>
                  <w:tcW w:w="645" w:type="dxa"/>
                </w:tcPr>
                <w:p w14:paraId="2E387AE3" w14:textId="77777777" w:rsidR="00FE7393" w:rsidRDefault="00FE7393" w:rsidP="00AC16C0">
                  <w:pPr>
                    <w:pStyle w:val="ListParagraph"/>
                    <w:ind w:left="0"/>
                    <w:rPr>
                      <w:rFonts w:ascii="Arial" w:hAnsi="Arial" w:cs="Arial"/>
                      <w:i/>
                    </w:rPr>
                  </w:pPr>
                </w:p>
              </w:tc>
              <w:tc>
                <w:tcPr>
                  <w:tcW w:w="571" w:type="dxa"/>
                </w:tcPr>
                <w:p w14:paraId="47CF128F" w14:textId="77777777" w:rsidR="00FE7393" w:rsidRDefault="00FE7393" w:rsidP="00AC16C0">
                  <w:pPr>
                    <w:pStyle w:val="ListParagraph"/>
                    <w:ind w:left="0"/>
                    <w:rPr>
                      <w:rFonts w:ascii="Arial" w:hAnsi="Arial" w:cs="Arial"/>
                      <w:i/>
                    </w:rPr>
                  </w:pPr>
                </w:p>
              </w:tc>
              <w:tc>
                <w:tcPr>
                  <w:tcW w:w="498" w:type="dxa"/>
                </w:tcPr>
                <w:p w14:paraId="6E07C559" w14:textId="77777777" w:rsidR="00FE7393" w:rsidRDefault="00FE7393" w:rsidP="00AC16C0">
                  <w:pPr>
                    <w:pStyle w:val="ListParagraph"/>
                    <w:ind w:left="0"/>
                    <w:rPr>
                      <w:rFonts w:ascii="Arial" w:hAnsi="Arial" w:cs="Arial"/>
                      <w:i/>
                    </w:rPr>
                  </w:pPr>
                </w:p>
              </w:tc>
              <w:tc>
                <w:tcPr>
                  <w:tcW w:w="608" w:type="dxa"/>
                </w:tcPr>
                <w:p w14:paraId="3B2AD986" w14:textId="77777777" w:rsidR="00FE7393" w:rsidRDefault="00FE7393" w:rsidP="00AC16C0">
                  <w:pPr>
                    <w:pStyle w:val="ListParagraph"/>
                    <w:ind w:left="0"/>
                    <w:rPr>
                      <w:rFonts w:ascii="Arial" w:hAnsi="Arial" w:cs="Arial"/>
                      <w:i/>
                    </w:rPr>
                  </w:pPr>
                </w:p>
              </w:tc>
              <w:tc>
                <w:tcPr>
                  <w:tcW w:w="669" w:type="dxa"/>
                </w:tcPr>
                <w:p w14:paraId="30938323" w14:textId="77777777" w:rsidR="00FE7393" w:rsidRDefault="00FE7393" w:rsidP="00AC16C0">
                  <w:pPr>
                    <w:pStyle w:val="ListParagraph"/>
                    <w:ind w:left="0"/>
                    <w:rPr>
                      <w:rFonts w:ascii="Arial" w:hAnsi="Arial" w:cs="Arial"/>
                      <w:i/>
                    </w:rPr>
                  </w:pPr>
                </w:p>
              </w:tc>
              <w:tc>
                <w:tcPr>
                  <w:tcW w:w="578" w:type="dxa"/>
                </w:tcPr>
                <w:p w14:paraId="261AA4FE" w14:textId="77777777" w:rsidR="00FE7393" w:rsidRDefault="00FE7393" w:rsidP="00AC16C0">
                  <w:pPr>
                    <w:pStyle w:val="ListParagraph"/>
                    <w:ind w:left="0"/>
                    <w:rPr>
                      <w:rFonts w:ascii="Arial" w:hAnsi="Arial" w:cs="Arial"/>
                      <w:i/>
                    </w:rPr>
                  </w:pPr>
                </w:p>
              </w:tc>
              <w:tc>
                <w:tcPr>
                  <w:tcW w:w="608" w:type="dxa"/>
                </w:tcPr>
                <w:p w14:paraId="67385E7E" w14:textId="77777777" w:rsidR="00FE7393" w:rsidRDefault="00FE7393" w:rsidP="00AC16C0">
                  <w:pPr>
                    <w:pStyle w:val="ListParagraph"/>
                    <w:ind w:left="0"/>
                    <w:rPr>
                      <w:rFonts w:ascii="Arial" w:hAnsi="Arial" w:cs="Arial"/>
                      <w:i/>
                    </w:rPr>
                  </w:pPr>
                </w:p>
              </w:tc>
              <w:tc>
                <w:tcPr>
                  <w:tcW w:w="608" w:type="dxa"/>
                </w:tcPr>
                <w:p w14:paraId="788DE6C8" w14:textId="77777777" w:rsidR="00FE7393" w:rsidRDefault="00FE7393" w:rsidP="00AC16C0">
                  <w:pPr>
                    <w:pStyle w:val="ListParagraph"/>
                    <w:ind w:left="0"/>
                    <w:rPr>
                      <w:rFonts w:ascii="Arial" w:hAnsi="Arial" w:cs="Arial"/>
                      <w:i/>
                    </w:rPr>
                  </w:pPr>
                </w:p>
              </w:tc>
            </w:tr>
            <w:tr w:rsidR="00FE7393" w14:paraId="443AB550" w14:textId="13B30119" w:rsidTr="00FE7393">
              <w:tc>
                <w:tcPr>
                  <w:tcW w:w="1550" w:type="dxa"/>
                </w:tcPr>
                <w:p w14:paraId="7D584969" w14:textId="5A0E3DC7" w:rsidR="00FE7393" w:rsidRDefault="00FE7393" w:rsidP="00AC16C0">
                  <w:pPr>
                    <w:pStyle w:val="ListParagraph"/>
                    <w:ind w:left="0"/>
                    <w:rPr>
                      <w:rFonts w:ascii="Arial" w:hAnsi="Arial" w:cs="Arial"/>
                      <w:i/>
                    </w:rPr>
                  </w:pPr>
                  <w:r w:rsidRPr="00DB6B98">
                    <w:rPr>
                      <w:rFonts w:ascii="Arial" w:hAnsi="Arial" w:cs="Arial"/>
                      <w:i/>
                    </w:rPr>
                    <w:t>Integration &amp; Progress Assessment</w:t>
                  </w:r>
                </w:p>
              </w:tc>
              <w:tc>
                <w:tcPr>
                  <w:tcW w:w="1574" w:type="dxa"/>
                </w:tcPr>
                <w:p w14:paraId="3F052F97" w14:textId="5564258F" w:rsidR="00FE7393" w:rsidRDefault="00FE7393" w:rsidP="00DB6B98">
                  <w:pPr>
                    <w:pStyle w:val="ListParagraph"/>
                    <w:ind w:left="0"/>
                    <w:rPr>
                      <w:rFonts w:ascii="Arial" w:hAnsi="Arial" w:cs="Arial"/>
                      <w:i/>
                    </w:rPr>
                  </w:pPr>
                  <w:r w:rsidRPr="00DB6B98">
                    <w:rPr>
                      <w:rFonts w:ascii="Arial" w:hAnsi="Arial" w:cs="Arial"/>
                      <w:i/>
                    </w:rPr>
                    <w:t>Integrate learned skills and conduct assessments</w:t>
                  </w:r>
                  <w:r w:rsidRPr="00DB6B98">
                    <w:rPr>
                      <w:rFonts w:ascii="Arial" w:hAnsi="Arial" w:cs="Arial"/>
                      <w:i/>
                    </w:rPr>
                    <w:tab/>
                  </w:r>
                </w:p>
              </w:tc>
              <w:tc>
                <w:tcPr>
                  <w:tcW w:w="571" w:type="dxa"/>
                  <w:shd w:val="clear" w:color="auto" w:fill="595959" w:themeFill="text1" w:themeFillTint="A6"/>
                </w:tcPr>
                <w:p w14:paraId="44FF83CE" w14:textId="77777777" w:rsidR="00FE7393" w:rsidRDefault="00FE7393" w:rsidP="00AC16C0">
                  <w:pPr>
                    <w:pStyle w:val="ListParagraph"/>
                    <w:ind w:left="0"/>
                    <w:rPr>
                      <w:rFonts w:ascii="Arial" w:hAnsi="Arial" w:cs="Arial"/>
                      <w:i/>
                    </w:rPr>
                  </w:pPr>
                </w:p>
              </w:tc>
              <w:tc>
                <w:tcPr>
                  <w:tcW w:w="596" w:type="dxa"/>
                </w:tcPr>
                <w:p w14:paraId="19704869" w14:textId="77777777" w:rsidR="00FE7393" w:rsidRDefault="00FE7393" w:rsidP="00AC16C0">
                  <w:pPr>
                    <w:pStyle w:val="ListParagraph"/>
                    <w:ind w:left="0"/>
                    <w:rPr>
                      <w:rFonts w:ascii="Arial" w:hAnsi="Arial" w:cs="Arial"/>
                      <w:i/>
                    </w:rPr>
                  </w:pPr>
                </w:p>
              </w:tc>
              <w:tc>
                <w:tcPr>
                  <w:tcW w:w="645" w:type="dxa"/>
                  <w:tcBorders>
                    <w:right w:val="nil"/>
                  </w:tcBorders>
                  <w:shd w:val="clear" w:color="auto" w:fill="ED7D31" w:themeFill="accent2"/>
                </w:tcPr>
                <w:p w14:paraId="03969E11" w14:textId="4C8FABE9" w:rsidR="00FE7393" w:rsidRDefault="00FE7393" w:rsidP="00AC16C0">
                  <w:pPr>
                    <w:pStyle w:val="ListParagraph"/>
                    <w:ind w:left="0"/>
                    <w:rPr>
                      <w:rFonts w:ascii="Arial" w:hAnsi="Arial" w:cs="Arial"/>
                      <w:i/>
                    </w:rPr>
                  </w:pPr>
                  <w:r>
                    <w:rPr>
                      <w:rFonts w:ascii="Arial" w:hAnsi="Arial" w:cs="Arial"/>
                      <w:i/>
                    </w:rPr>
                    <w:t>22</w:t>
                  </w:r>
                  <w:r w:rsidRPr="009A2143">
                    <w:rPr>
                      <w:rFonts w:ascii="Arial" w:hAnsi="Arial" w:cs="Arial"/>
                      <w:i/>
                      <w:vertAlign w:val="superscript"/>
                    </w:rPr>
                    <w:t>nd</w:t>
                  </w:r>
                  <w:r>
                    <w:rPr>
                      <w:rFonts w:ascii="Arial" w:hAnsi="Arial" w:cs="Arial"/>
                      <w:i/>
                    </w:rPr>
                    <w:t xml:space="preserve"> – Apr 11th</w:t>
                  </w:r>
                </w:p>
              </w:tc>
              <w:tc>
                <w:tcPr>
                  <w:tcW w:w="578" w:type="dxa"/>
                  <w:tcBorders>
                    <w:top w:val="nil"/>
                    <w:left w:val="nil"/>
                    <w:bottom w:val="nil"/>
                    <w:right w:val="nil"/>
                  </w:tcBorders>
                  <w:shd w:val="clear" w:color="auto" w:fill="ED7D31" w:themeFill="accent2"/>
                </w:tcPr>
                <w:p w14:paraId="67ABE248" w14:textId="77777777" w:rsidR="00FE7393" w:rsidRDefault="00FE7393" w:rsidP="00AC16C0">
                  <w:pPr>
                    <w:pStyle w:val="ListParagraph"/>
                    <w:ind w:left="0"/>
                    <w:rPr>
                      <w:rFonts w:ascii="Arial" w:hAnsi="Arial" w:cs="Arial"/>
                      <w:i/>
                    </w:rPr>
                  </w:pPr>
                </w:p>
              </w:tc>
              <w:tc>
                <w:tcPr>
                  <w:tcW w:w="645" w:type="dxa"/>
                  <w:tcBorders>
                    <w:left w:val="nil"/>
                  </w:tcBorders>
                </w:tcPr>
                <w:p w14:paraId="4814DF1D" w14:textId="77777777" w:rsidR="00FE7393" w:rsidRDefault="00FE7393" w:rsidP="00AC16C0">
                  <w:pPr>
                    <w:pStyle w:val="ListParagraph"/>
                    <w:ind w:left="0"/>
                    <w:rPr>
                      <w:rFonts w:ascii="Arial" w:hAnsi="Arial" w:cs="Arial"/>
                      <w:i/>
                    </w:rPr>
                  </w:pPr>
                </w:p>
              </w:tc>
              <w:tc>
                <w:tcPr>
                  <w:tcW w:w="571" w:type="dxa"/>
                </w:tcPr>
                <w:p w14:paraId="63C03825" w14:textId="77777777" w:rsidR="00FE7393" w:rsidRDefault="00FE7393" w:rsidP="00AC16C0">
                  <w:pPr>
                    <w:pStyle w:val="ListParagraph"/>
                    <w:ind w:left="0"/>
                    <w:rPr>
                      <w:rFonts w:ascii="Arial" w:hAnsi="Arial" w:cs="Arial"/>
                      <w:i/>
                    </w:rPr>
                  </w:pPr>
                </w:p>
              </w:tc>
              <w:tc>
                <w:tcPr>
                  <w:tcW w:w="498" w:type="dxa"/>
                </w:tcPr>
                <w:p w14:paraId="6036D0C3" w14:textId="77777777" w:rsidR="00FE7393" w:rsidRDefault="00FE7393" w:rsidP="00AC16C0">
                  <w:pPr>
                    <w:pStyle w:val="ListParagraph"/>
                    <w:ind w:left="0"/>
                    <w:rPr>
                      <w:rFonts w:ascii="Arial" w:hAnsi="Arial" w:cs="Arial"/>
                      <w:i/>
                    </w:rPr>
                  </w:pPr>
                </w:p>
              </w:tc>
              <w:tc>
                <w:tcPr>
                  <w:tcW w:w="608" w:type="dxa"/>
                </w:tcPr>
                <w:p w14:paraId="31F3A334" w14:textId="77777777" w:rsidR="00FE7393" w:rsidRDefault="00FE7393" w:rsidP="00AC16C0">
                  <w:pPr>
                    <w:pStyle w:val="ListParagraph"/>
                    <w:ind w:left="0"/>
                    <w:rPr>
                      <w:rFonts w:ascii="Arial" w:hAnsi="Arial" w:cs="Arial"/>
                      <w:i/>
                    </w:rPr>
                  </w:pPr>
                </w:p>
              </w:tc>
              <w:tc>
                <w:tcPr>
                  <w:tcW w:w="669" w:type="dxa"/>
                </w:tcPr>
                <w:p w14:paraId="553DE1FD" w14:textId="77777777" w:rsidR="00FE7393" w:rsidRDefault="00FE7393" w:rsidP="00AC16C0">
                  <w:pPr>
                    <w:pStyle w:val="ListParagraph"/>
                    <w:ind w:left="0"/>
                    <w:rPr>
                      <w:rFonts w:ascii="Arial" w:hAnsi="Arial" w:cs="Arial"/>
                      <w:i/>
                    </w:rPr>
                  </w:pPr>
                </w:p>
              </w:tc>
              <w:tc>
                <w:tcPr>
                  <w:tcW w:w="578" w:type="dxa"/>
                </w:tcPr>
                <w:p w14:paraId="421392CF" w14:textId="77777777" w:rsidR="00FE7393" w:rsidRDefault="00FE7393" w:rsidP="00AC16C0">
                  <w:pPr>
                    <w:pStyle w:val="ListParagraph"/>
                    <w:ind w:left="0"/>
                    <w:rPr>
                      <w:rFonts w:ascii="Arial" w:hAnsi="Arial" w:cs="Arial"/>
                      <w:i/>
                    </w:rPr>
                  </w:pPr>
                </w:p>
              </w:tc>
              <w:tc>
                <w:tcPr>
                  <w:tcW w:w="608" w:type="dxa"/>
                </w:tcPr>
                <w:p w14:paraId="03F3D842" w14:textId="77777777" w:rsidR="00FE7393" w:rsidRDefault="00FE7393" w:rsidP="00AC16C0">
                  <w:pPr>
                    <w:pStyle w:val="ListParagraph"/>
                    <w:ind w:left="0"/>
                    <w:rPr>
                      <w:rFonts w:ascii="Arial" w:hAnsi="Arial" w:cs="Arial"/>
                      <w:i/>
                    </w:rPr>
                  </w:pPr>
                </w:p>
              </w:tc>
              <w:tc>
                <w:tcPr>
                  <w:tcW w:w="608" w:type="dxa"/>
                </w:tcPr>
                <w:p w14:paraId="3CBC1346" w14:textId="77777777" w:rsidR="00FE7393" w:rsidRDefault="00FE7393" w:rsidP="00AC16C0">
                  <w:pPr>
                    <w:pStyle w:val="ListParagraph"/>
                    <w:ind w:left="0"/>
                    <w:rPr>
                      <w:rFonts w:ascii="Arial" w:hAnsi="Arial" w:cs="Arial"/>
                      <w:i/>
                    </w:rPr>
                  </w:pPr>
                </w:p>
              </w:tc>
            </w:tr>
            <w:tr w:rsidR="00FE7393" w14:paraId="1BD8C5D7" w14:textId="3A9F8038" w:rsidTr="00FE7393">
              <w:tc>
                <w:tcPr>
                  <w:tcW w:w="1550" w:type="dxa"/>
                </w:tcPr>
                <w:p w14:paraId="1B4A8E50" w14:textId="05CA8922" w:rsidR="00FE7393" w:rsidRDefault="00FE7393" w:rsidP="00AC16C0">
                  <w:pPr>
                    <w:pStyle w:val="ListParagraph"/>
                    <w:ind w:left="0"/>
                    <w:rPr>
                      <w:rFonts w:ascii="Arial" w:hAnsi="Arial" w:cs="Arial"/>
                      <w:i/>
                    </w:rPr>
                  </w:pPr>
                  <w:r w:rsidRPr="00DB6B98">
                    <w:rPr>
                      <w:rFonts w:ascii="Arial" w:hAnsi="Arial" w:cs="Arial"/>
                      <w:i/>
                    </w:rPr>
                    <w:t>Review &amp; Consolidation</w:t>
                  </w:r>
                </w:p>
              </w:tc>
              <w:tc>
                <w:tcPr>
                  <w:tcW w:w="1574" w:type="dxa"/>
                </w:tcPr>
                <w:p w14:paraId="16425B25" w14:textId="140DDF36" w:rsidR="00FE7393" w:rsidRDefault="00FE7393" w:rsidP="00AC16C0">
                  <w:pPr>
                    <w:pStyle w:val="ListParagraph"/>
                    <w:ind w:left="0"/>
                    <w:rPr>
                      <w:rFonts w:ascii="Arial" w:hAnsi="Arial" w:cs="Arial"/>
                      <w:i/>
                    </w:rPr>
                  </w:pPr>
                  <w:r w:rsidRPr="00CD7079">
                    <w:rPr>
                      <w:rFonts w:ascii="Arial" w:hAnsi="Arial" w:cs="Arial"/>
                      <w:i/>
                    </w:rPr>
                    <w:t>Review intervention, final mindfulness sessions</w:t>
                  </w:r>
                </w:p>
              </w:tc>
              <w:tc>
                <w:tcPr>
                  <w:tcW w:w="571" w:type="dxa"/>
                  <w:shd w:val="clear" w:color="auto" w:fill="595959" w:themeFill="text1" w:themeFillTint="A6"/>
                </w:tcPr>
                <w:p w14:paraId="0AAF6A3E" w14:textId="77777777" w:rsidR="00FE7393" w:rsidRDefault="00FE7393" w:rsidP="00AC16C0">
                  <w:pPr>
                    <w:pStyle w:val="ListParagraph"/>
                    <w:ind w:left="0"/>
                    <w:rPr>
                      <w:rFonts w:ascii="Arial" w:hAnsi="Arial" w:cs="Arial"/>
                      <w:i/>
                    </w:rPr>
                  </w:pPr>
                </w:p>
              </w:tc>
              <w:tc>
                <w:tcPr>
                  <w:tcW w:w="596" w:type="dxa"/>
                </w:tcPr>
                <w:p w14:paraId="068B9129" w14:textId="77777777" w:rsidR="00FE7393" w:rsidRDefault="00FE7393" w:rsidP="00AC16C0">
                  <w:pPr>
                    <w:pStyle w:val="ListParagraph"/>
                    <w:ind w:left="0"/>
                    <w:rPr>
                      <w:rFonts w:ascii="Arial" w:hAnsi="Arial" w:cs="Arial"/>
                      <w:i/>
                    </w:rPr>
                  </w:pPr>
                </w:p>
              </w:tc>
              <w:tc>
                <w:tcPr>
                  <w:tcW w:w="645" w:type="dxa"/>
                </w:tcPr>
                <w:p w14:paraId="334C940F" w14:textId="77777777" w:rsidR="00FE7393" w:rsidRDefault="00FE7393" w:rsidP="00AC16C0">
                  <w:pPr>
                    <w:pStyle w:val="ListParagraph"/>
                    <w:ind w:left="0"/>
                    <w:rPr>
                      <w:rFonts w:ascii="Arial" w:hAnsi="Arial" w:cs="Arial"/>
                      <w:i/>
                    </w:rPr>
                  </w:pPr>
                </w:p>
              </w:tc>
              <w:tc>
                <w:tcPr>
                  <w:tcW w:w="578" w:type="dxa"/>
                  <w:tcBorders>
                    <w:top w:val="nil"/>
                  </w:tcBorders>
                  <w:shd w:val="clear" w:color="auto" w:fill="DEEAF6" w:themeFill="accent1" w:themeFillTint="33"/>
                </w:tcPr>
                <w:p w14:paraId="19D60457" w14:textId="36212A9F" w:rsidR="00FE7393" w:rsidRDefault="00FE7393" w:rsidP="00AC16C0">
                  <w:pPr>
                    <w:pStyle w:val="ListParagraph"/>
                    <w:ind w:left="0"/>
                    <w:rPr>
                      <w:rFonts w:ascii="Arial" w:hAnsi="Arial" w:cs="Arial"/>
                      <w:i/>
                    </w:rPr>
                  </w:pPr>
                  <w:r>
                    <w:rPr>
                      <w:rFonts w:ascii="Arial" w:hAnsi="Arial" w:cs="Arial"/>
                      <w:i/>
                    </w:rPr>
                    <w:t>12</w:t>
                  </w:r>
                  <w:r w:rsidRPr="009A2143">
                    <w:rPr>
                      <w:rFonts w:ascii="Arial" w:hAnsi="Arial" w:cs="Arial"/>
                      <w:i/>
                      <w:vertAlign w:val="superscript"/>
                    </w:rPr>
                    <w:t>th</w:t>
                  </w:r>
                  <w:r>
                    <w:rPr>
                      <w:rFonts w:ascii="Arial" w:hAnsi="Arial" w:cs="Arial"/>
                      <w:i/>
                    </w:rPr>
                    <w:t xml:space="preserve"> – 25</w:t>
                  </w:r>
                  <w:r w:rsidRPr="009A2143">
                    <w:rPr>
                      <w:rFonts w:ascii="Arial" w:hAnsi="Arial" w:cs="Arial"/>
                      <w:i/>
                      <w:vertAlign w:val="superscript"/>
                    </w:rPr>
                    <w:t>th</w:t>
                  </w:r>
                  <w:r>
                    <w:rPr>
                      <w:rFonts w:ascii="Arial" w:hAnsi="Arial" w:cs="Arial"/>
                      <w:i/>
                    </w:rPr>
                    <w:t xml:space="preserve"> </w:t>
                  </w:r>
                </w:p>
              </w:tc>
              <w:tc>
                <w:tcPr>
                  <w:tcW w:w="645" w:type="dxa"/>
                </w:tcPr>
                <w:p w14:paraId="42712C96" w14:textId="77777777" w:rsidR="00FE7393" w:rsidRDefault="00FE7393" w:rsidP="00AC16C0">
                  <w:pPr>
                    <w:pStyle w:val="ListParagraph"/>
                    <w:ind w:left="0"/>
                    <w:rPr>
                      <w:rFonts w:ascii="Arial" w:hAnsi="Arial" w:cs="Arial"/>
                      <w:i/>
                    </w:rPr>
                  </w:pPr>
                </w:p>
              </w:tc>
              <w:tc>
                <w:tcPr>
                  <w:tcW w:w="571" w:type="dxa"/>
                </w:tcPr>
                <w:p w14:paraId="0AC84C10" w14:textId="77777777" w:rsidR="00FE7393" w:rsidRDefault="00FE7393" w:rsidP="00AC16C0">
                  <w:pPr>
                    <w:pStyle w:val="ListParagraph"/>
                    <w:ind w:left="0"/>
                    <w:rPr>
                      <w:rFonts w:ascii="Arial" w:hAnsi="Arial" w:cs="Arial"/>
                      <w:i/>
                    </w:rPr>
                  </w:pPr>
                </w:p>
              </w:tc>
              <w:tc>
                <w:tcPr>
                  <w:tcW w:w="498" w:type="dxa"/>
                </w:tcPr>
                <w:p w14:paraId="411AC5EC" w14:textId="77777777" w:rsidR="00FE7393" w:rsidRDefault="00FE7393" w:rsidP="00AC16C0">
                  <w:pPr>
                    <w:pStyle w:val="ListParagraph"/>
                    <w:ind w:left="0"/>
                    <w:rPr>
                      <w:rFonts w:ascii="Arial" w:hAnsi="Arial" w:cs="Arial"/>
                      <w:i/>
                    </w:rPr>
                  </w:pPr>
                </w:p>
              </w:tc>
              <w:tc>
                <w:tcPr>
                  <w:tcW w:w="608" w:type="dxa"/>
                </w:tcPr>
                <w:p w14:paraId="3B27CCD8" w14:textId="77777777" w:rsidR="00FE7393" w:rsidRDefault="00FE7393" w:rsidP="00AC16C0">
                  <w:pPr>
                    <w:pStyle w:val="ListParagraph"/>
                    <w:ind w:left="0"/>
                    <w:rPr>
                      <w:rFonts w:ascii="Arial" w:hAnsi="Arial" w:cs="Arial"/>
                      <w:i/>
                    </w:rPr>
                  </w:pPr>
                </w:p>
              </w:tc>
              <w:tc>
                <w:tcPr>
                  <w:tcW w:w="669" w:type="dxa"/>
                </w:tcPr>
                <w:p w14:paraId="1406C7A0" w14:textId="77777777" w:rsidR="00FE7393" w:rsidRDefault="00FE7393" w:rsidP="00AC16C0">
                  <w:pPr>
                    <w:pStyle w:val="ListParagraph"/>
                    <w:ind w:left="0"/>
                    <w:rPr>
                      <w:rFonts w:ascii="Arial" w:hAnsi="Arial" w:cs="Arial"/>
                      <w:i/>
                    </w:rPr>
                  </w:pPr>
                </w:p>
              </w:tc>
              <w:tc>
                <w:tcPr>
                  <w:tcW w:w="578" w:type="dxa"/>
                </w:tcPr>
                <w:p w14:paraId="63251273" w14:textId="77777777" w:rsidR="00FE7393" w:rsidRDefault="00FE7393" w:rsidP="00AC16C0">
                  <w:pPr>
                    <w:pStyle w:val="ListParagraph"/>
                    <w:ind w:left="0"/>
                    <w:rPr>
                      <w:rFonts w:ascii="Arial" w:hAnsi="Arial" w:cs="Arial"/>
                      <w:i/>
                    </w:rPr>
                  </w:pPr>
                </w:p>
              </w:tc>
              <w:tc>
                <w:tcPr>
                  <w:tcW w:w="608" w:type="dxa"/>
                </w:tcPr>
                <w:p w14:paraId="2041B101" w14:textId="77777777" w:rsidR="00FE7393" w:rsidRDefault="00FE7393" w:rsidP="00AC16C0">
                  <w:pPr>
                    <w:pStyle w:val="ListParagraph"/>
                    <w:ind w:left="0"/>
                    <w:rPr>
                      <w:rFonts w:ascii="Arial" w:hAnsi="Arial" w:cs="Arial"/>
                      <w:i/>
                    </w:rPr>
                  </w:pPr>
                </w:p>
              </w:tc>
              <w:tc>
                <w:tcPr>
                  <w:tcW w:w="608" w:type="dxa"/>
                </w:tcPr>
                <w:p w14:paraId="13302412" w14:textId="77777777" w:rsidR="00FE7393" w:rsidRDefault="00FE7393" w:rsidP="00AC16C0">
                  <w:pPr>
                    <w:pStyle w:val="ListParagraph"/>
                    <w:ind w:left="0"/>
                    <w:rPr>
                      <w:rFonts w:ascii="Arial" w:hAnsi="Arial" w:cs="Arial"/>
                      <w:i/>
                    </w:rPr>
                  </w:pPr>
                </w:p>
              </w:tc>
            </w:tr>
            <w:tr w:rsidR="00FE7393" w14:paraId="79248546" w14:textId="77777777" w:rsidTr="00FE7393">
              <w:tc>
                <w:tcPr>
                  <w:tcW w:w="1550" w:type="dxa"/>
                </w:tcPr>
                <w:p w14:paraId="7E822393" w14:textId="7E4504E7" w:rsidR="00FE7393" w:rsidRPr="00DB6B98" w:rsidRDefault="00FE7393" w:rsidP="00AC16C0">
                  <w:pPr>
                    <w:pStyle w:val="ListParagraph"/>
                    <w:ind w:left="0"/>
                    <w:rPr>
                      <w:rFonts w:ascii="Arial" w:hAnsi="Arial" w:cs="Arial"/>
                      <w:i/>
                    </w:rPr>
                  </w:pPr>
                  <w:r w:rsidRPr="00444AF7">
                    <w:rPr>
                      <w:rFonts w:ascii="Arial" w:hAnsi="Arial" w:cs="Arial"/>
                      <w:i/>
                    </w:rPr>
                    <w:t>1 Month Follow-Up Check-In</w:t>
                  </w:r>
                </w:p>
              </w:tc>
              <w:tc>
                <w:tcPr>
                  <w:tcW w:w="1574" w:type="dxa"/>
                </w:tcPr>
                <w:p w14:paraId="619BB6BC" w14:textId="61794050" w:rsidR="00FE7393" w:rsidRPr="00CD7079" w:rsidRDefault="00FE7393" w:rsidP="00AC16C0">
                  <w:pPr>
                    <w:pStyle w:val="ListParagraph"/>
                    <w:ind w:left="0"/>
                    <w:rPr>
                      <w:rFonts w:ascii="Arial" w:hAnsi="Arial" w:cs="Arial"/>
                      <w:i/>
                    </w:rPr>
                  </w:pPr>
                  <w:r w:rsidRPr="000363A3">
                    <w:rPr>
                      <w:rFonts w:ascii="Arial" w:hAnsi="Arial" w:cs="Arial"/>
                      <w:i/>
                    </w:rPr>
                    <w:t xml:space="preserve">Follow-up evaluation </w:t>
                  </w:r>
                  <w:r w:rsidRPr="000363A3">
                    <w:rPr>
                      <w:rFonts w:ascii="Arial" w:hAnsi="Arial" w:cs="Arial"/>
                      <w:i/>
                    </w:rPr>
                    <w:t>one-month</w:t>
                  </w:r>
                  <w:r w:rsidRPr="000363A3">
                    <w:rPr>
                      <w:rFonts w:ascii="Arial" w:hAnsi="Arial" w:cs="Arial"/>
                      <w:i/>
                    </w:rPr>
                    <w:t xml:space="preserve"> post-intervention</w:t>
                  </w:r>
                </w:p>
              </w:tc>
              <w:tc>
                <w:tcPr>
                  <w:tcW w:w="571" w:type="dxa"/>
                  <w:shd w:val="clear" w:color="auto" w:fill="595959" w:themeFill="text1" w:themeFillTint="A6"/>
                </w:tcPr>
                <w:p w14:paraId="2DBE3FB6" w14:textId="77777777" w:rsidR="00FE7393" w:rsidRDefault="00FE7393" w:rsidP="00AC16C0">
                  <w:pPr>
                    <w:pStyle w:val="ListParagraph"/>
                    <w:ind w:left="0"/>
                    <w:rPr>
                      <w:rFonts w:ascii="Arial" w:hAnsi="Arial" w:cs="Arial"/>
                      <w:i/>
                    </w:rPr>
                  </w:pPr>
                </w:p>
              </w:tc>
              <w:tc>
                <w:tcPr>
                  <w:tcW w:w="596" w:type="dxa"/>
                </w:tcPr>
                <w:p w14:paraId="769EF4CB" w14:textId="77777777" w:rsidR="00FE7393" w:rsidRDefault="00FE7393" w:rsidP="00AC16C0">
                  <w:pPr>
                    <w:pStyle w:val="ListParagraph"/>
                    <w:ind w:left="0"/>
                    <w:rPr>
                      <w:rFonts w:ascii="Arial" w:hAnsi="Arial" w:cs="Arial"/>
                      <w:i/>
                    </w:rPr>
                  </w:pPr>
                </w:p>
              </w:tc>
              <w:tc>
                <w:tcPr>
                  <w:tcW w:w="645" w:type="dxa"/>
                </w:tcPr>
                <w:p w14:paraId="4B21FB1E" w14:textId="77777777" w:rsidR="00FE7393" w:rsidRDefault="00FE7393" w:rsidP="00AC16C0">
                  <w:pPr>
                    <w:pStyle w:val="ListParagraph"/>
                    <w:ind w:left="0"/>
                    <w:rPr>
                      <w:rFonts w:ascii="Arial" w:hAnsi="Arial" w:cs="Arial"/>
                      <w:i/>
                    </w:rPr>
                  </w:pPr>
                </w:p>
              </w:tc>
              <w:tc>
                <w:tcPr>
                  <w:tcW w:w="578" w:type="dxa"/>
                </w:tcPr>
                <w:p w14:paraId="71AB92F9" w14:textId="77777777" w:rsidR="00FE7393" w:rsidRDefault="00FE7393" w:rsidP="00AC16C0">
                  <w:pPr>
                    <w:pStyle w:val="ListParagraph"/>
                    <w:ind w:left="0"/>
                    <w:rPr>
                      <w:rFonts w:ascii="Arial" w:hAnsi="Arial" w:cs="Arial"/>
                      <w:i/>
                    </w:rPr>
                  </w:pPr>
                </w:p>
              </w:tc>
              <w:tc>
                <w:tcPr>
                  <w:tcW w:w="645" w:type="dxa"/>
                  <w:shd w:val="clear" w:color="auto" w:fill="F5DBF9"/>
                </w:tcPr>
                <w:p w14:paraId="5E325BEE" w14:textId="7EF1E1C5" w:rsidR="00FE7393" w:rsidRDefault="00FE7393" w:rsidP="00AC16C0">
                  <w:pPr>
                    <w:pStyle w:val="ListParagraph"/>
                    <w:ind w:left="0"/>
                    <w:rPr>
                      <w:rFonts w:ascii="Arial" w:hAnsi="Arial" w:cs="Arial"/>
                      <w:i/>
                    </w:rPr>
                  </w:pPr>
                  <w:r>
                    <w:rPr>
                      <w:rFonts w:ascii="Arial" w:hAnsi="Arial" w:cs="Arial"/>
                      <w:i/>
                    </w:rPr>
                    <w:t>12-25th</w:t>
                  </w:r>
                </w:p>
              </w:tc>
              <w:tc>
                <w:tcPr>
                  <w:tcW w:w="571" w:type="dxa"/>
                </w:tcPr>
                <w:p w14:paraId="4CFDB4DE" w14:textId="77777777" w:rsidR="00FE7393" w:rsidRDefault="00FE7393" w:rsidP="00AC16C0">
                  <w:pPr>
                    <w:pStyle w:val="ListParagraph"/>
                    <w:ind w:left="0"/>
                    <w:rPr>
                      <w:rFonts w:ascii="Arial" w:hAnsi="Arial" w:cs="Arial"/>
                      <w:i/>
                    </w:rPr>
                  </w:pPr>
                </w:p>
              </w:tc>
              <w:tc>
                <w:tcPr>
                  <w:tcW w:w="498" w:type="dxa"/>
                </w:tcPr>
                <w:p w14:paraId="3C1088B5" w14:textId="77777777" w:rsidR="00FE7393" w:rsidRDefault="00FE7393" w:rsidP="00AC16C0">
                  <w:pPr>
                    <w:pStyle w:val="ListParagraph"/>
                    <w:ind w:left="0"/>
                    <w:rPr>
                      <w:rFonts w:ascii="Arial" w:hAnsi="Arial" w:cs="Arial"/>
                      <w:i/>
                    </w:rPr>
                  </w:pPr>
                </w:p>
              </w:tc>
              <w:tc>
                <w:tcPr>
                  <w:tcW w:w="608" w:type="dxa"/>
                </w:tcPr>
                <w:p w14:paraId="61595C59" w14:textId="77777777" w:rsidR="00FE7393" w:rsidRDefault="00FE7393" w:rsidP="00AC16C0">
                  <w:pPr>
                    <w:pStyle w:val="ListParagraph"/>
                    <w:ind w:left="0"/>
                    <w:rPr>
                      <w:rFonts w:ascii="Arial" w:hAnsi="Arial" w:cs="Arial"/>
                      <w:i/>
                    </w:rPr>
                  </w:pPr>
                </w:p>
              </w:tc>
              <w:tc>
                <w:tcPr>
                  <w:tcW w:w="669" w:type="dxa"/>
                </w:tcPr>
                <w:p w14:paraId="3C389EF2" w14:textId="77777777" w:rsidR="00FE7393" w:rsidRDefault="00FE7393" w:rsidP="00AC16C0">
                  <w:pPr>
                    <w:pStyle w:val="ListParagraph"/>
                    <w:ind w:left="0"/>
                    <w:rPr>
                      <w:rFonts w:ascii="Arial" w:hAnsi="Arial" w:cs="Arial"/>
                      <w:i/>
                    </w:rPr>
                  </w:pPr>
                </w:p>
              </w:tc>
              <w:tc>
                <w:tcPr>
                  <w:tcW w:w="578" w:type="dxa"/>
                </w:tcPr>
                <w:p w14:paraId="633670DF" w14:textId="77777777" w:rsidR="00FE7393" w:rsidRDefault="00FE7393" w:rsidP="00AC16C0">
                  <w:pPr>
                    <w:pStyle w:val="ListParagraph"/>
                    <w:ind w:left="0"/>
                    <w:rPr>
                      <w:rFonts w:ascii="Arial" w:hAnsi="Arial" w:cs="Arial"/>
                      <w:i/>
                    </w:rPr>
                  </w:pPr>
                </w:p>
              </w:tc>
              <w:tc>
                <w:tcPr>
                  <w:tcW w:w="608" w:type="dxa"/>
                </w:tcPr>
                <w:p w14:paraId="3A94F560" w14:textId="77777777" w:rsidR="00FE7393" w:rsidRDefault="00FE7393" w:rsidP="00AC16C0">
                  <w:pPr>
                    <w:pStyle w:val="ListParagraph"/>
                    <w:ind w:left="0"/>
                    <w:rPr>
                      <w:rFonts w:ascii="Arial" w:hAnsi="Arial" w:cs="Arial"/>
                      <w:i/>
                    </w:rPr>
                  </w:pPr>
                </w:p>
              </w:tc>
              <w:tc>
                <w:tcPr>
                  <w:tcW w:w="608" w:type="dxa"/>
                </w:tcPr>
                <w:p w14:paraId="7F963FF5" w14:textId="77777777" w:rsidR="00FE7393" w:rsidRDefault="00FE7393" w:rsidP="00AC16C0">
                  <w:pPr>
                    <w:pStyle w:val="ListParagraph"/>
                    <w:ind w:left="0"/>
                    <w:rPr>
                      <w:rFonts w:ascii="Arial" w:hAnsi="Arial" w:cs="Arial"/>
                      <w:i/>
                    </w:rPr>
                  </w:pPr>
                </w:p>
              </w:tc>
            </w:tr>
            <w:tr w:rsidR="00FE7393" w14:paraId="09579CFF" w14:textId="77777777" w:rsidTr="00FE7393">
              <w:tc>
                <w:tcPr>
                  <w:tcW w:w="1550" w:type="dxa"/>
                </w:tcPr>
                <w:p w14:paraId="67AEAECE" w14:textId="499E61F6" w:rsidR="00FE7393" w:rsidRPr="00444AF7" w:rsidRDefault="00FE7393" w:rsidP="00AC16C0">
                  <w:pPr>
                    <w:pStyle w:val="ListParagraph"/>
                    <w:ind w:left="0"/>
                    <w:rPr>
                      <w:rFonts w:ascii="Arial" w:hAnsi="Arial" w:cs="Arial"/>
                      <w:i/>
                    </w:rPr>
                  </w:pPr>
                  <w:r>
                    <w:rPr>
                      <w:rFonts w:ascii="Arial" w:hAnsi="Arial" w:cs="Arial"/>
                      <w:i/>
                    </w:rPr>
                    <w:t>6 Months Follow-Up Check-In</w:t>
                  </w:r>
                </w:p>
              </w:tc>
              <w:tc>
                <w:tcPr>
                  <w:tcW w:w="1574" w:type="dxa"/>
                </w:tcPr>
                <w:p w14:paraId="3375078D" w14:textId="45618FC2" w:rsidR="00FE7393" w:rsidRPr="00CD7079" w:rsidRDefault="00FE7393" w:rsidP="00AC16C0">
                  <w:pPr>
                    <w:pStyle w:val="ListParagraph"/>
                    <w:ind w:left="0"/>
                    <w:rPr>
                      <w:rFonts w:ascii="Arial" w:hAnsi="Arial" w:cs="Arial"/>
                      <w:i/>
                    </w:rPr>
                  </w:pPr>
                  <w:r w:rsidRPr="000363A3">
                    <w:rPr>
                      <w:rFonts w:ascii="Arial" w:hAnsi="Arial" w:cs="Arial"/>
                      <w:i/>
                    </w:rPr>
                    <w:t xml:space="preserve">Follow-up evaluation </w:t>
                  </w:r>
                  <w:r>
                    <w:rPr>
                      <w:rFonts w:ascii="Arial" w:hAnsi="Arial" w:cs="Arial"/>
                      <w:i/>
                    </w:rPr>
                    <w:t>six</w:t>
                  </w:r>
                  <w:r w:rsidRPr="000363A3">
                    <w:rPr>
                      <w:rFonts w:ascii="Arial" w:hAnsi="Arial" w:cs="Arial"/>
                      <w:i/>
                    </w:rPr>
                    <w:t>-month</w:t>
                  </w:r>
                  <w:r w:rsidRPr="000363A3">
                    <w:rPr>
                      <w:rFonts w:ascii="Arial" w:hAnsi="Arial" w:cs="Arial"/>
                      <w:i/>
                    </w:rPr>
                    <w:t xml:space="preserve"> post-intervention</w:t>
                  </w:r>
                </w:p>
              </w:tc>
              <w:tc>
                <w:tcPr>
                  <w:tcW w:w="571" w:type="dxa"/>
                  <w:shd w:val="clear" w:color="auto" w:fill="595959" w:themeFill="text1" w:themeFillTint="A6"/>
                </w:tcPr>
                <w:p w14:paraId="2BAF8996" w14:textId="77777777" w:rsidR="00FE7393" w:rsidRDefault="00FE7393" w:rsidP="00AC16C0">
                  <w:pPr>
                    <w:pStyle w:val="ListParagraph"/>
                    <w:ind w:left="0"/>
                    <w:rPr>
                      <w:rFonts w:ascii="Arial" w:hAnsi="Arial" w:cs="Arial"/>
                      <w:i/>
                    </w:rPr>
                  </w:pPr>
                </w:p>
              </w:tc>
              <w:tc>
                <w:tcPr>
                  <w:tcW w:w="596" w:type="dxa"/>
                </w:tcPr>
                <w:p w14:paraId="083DFF69" w14:textId="77777777" w:rsidR="00FE7393" w:rsidRDefault="00FE7393" w:rsidP="00AC16C0">
                  <w:pPr>
                    <w:pStyle w:val="ListParagraph"/>
                    <w:ind w:left="0"/>
                    <w:rPr>
                      <w:rFonts w:ascii="Arial" w:hAnsi="Arial" w:cs="Arial"/>
                      <w:i/>
                    </w:rPr>
                  </w:pPr>
                </w:p>
              </w:tc>
              <w:tc>
                <w:tcPr>
                  <w:tcW w:w="645" w:type="dxa"/>
                </w:tcPr>
                <w:p w14:paraId="4D7C104C" w14:textId="77777777" w:rsidR="00FE7393" w:rsidRDefault="00FE7393" w:rsidP="00AC16C0">
                  <w:pPr>
                    <w:pStyle w:val="ListParagraph"/>
                    <w:ind w:left="0"/>
                    <w:rPr>
                      <w:rFonts w:ascii="Arial" w:hAnsi="Arial" w:cs="Arial"/>
                      <w:i/>
                    </w:rPr>
                  </w:pPr>
                </w:p>
              </w:tc>
              <w:tc>
                <w:tcPr>
                  <w:tcW w:w="578" w:type="dxa"/>
                </w:tcPr>
                <w:p w14:paraId="2B8A1372" w14:textId="77777777" w:rsidR="00FE7393" w:rsidRDefault="00FE7393" w:rsidP="00AC16C0">
                  <w:pPr>
                    <w:pStyle w:val="ListParagraph"/>
                    <w:ind w:left="0"/>
                    <w:rPr>
                      <w:rFonts w:ascii="Arial" w:hAnsi="Arial" w:cs="Arial"/>
                      <w:i/>
                    </w:rPr>
                  </w:pPr>
                </w:p>
              </w:tc>
              <w:tc>
                <w:tcPr>
                  <w:tcW w:w="645" w:type="dxa"/>
                </w:tcPr>
                <w:p w14:paraId="6B18BC1A" w14:textId="77777777" w:rsidR="00FE7393" w:rsidRDefault="00FE7393" w:rsidP="00AC16C0">
                  <w:pPr>
                    <w:pStyle w:val="ListParagraph"/>
                    <w:ind w:left="0"/>
                    <w:rPr>
                      <w:rFonts w:ascii="Arial" w:hAnsi="Arial" w:cs="Arial"/>
                      <w:i/>
                    </w:rPr>
                  </w:pPr>
                </w:p>
              </w:tc>
              <w:tc>
                <w:tcPr>
                  <w:tcW w:w="571" w:type="dxa"/>
                </w:tcPr>
                <w:p w14:paraId="2EF51A6C" w14:textId="77777777" w:rsidR="00FE7393" w:rsidRDefault="00FE7393" w:rsidP="00AC16C0">
                  <w:pPr>
                    <w:pStyle w:val="ListParagraph"/>
                    <w:ind w:left="0"/>
                    <w:rPr>
                      <w:rFonts w:ascii="Arial" w:hAnsi="Arial" w:cs="Arial"/>
                      <w:i/>
                    </w:rPr>
                  </w:pPr>
                </w:p>
              </w:tc>
              <w:tc>
                <w:tcPr>
                  <w:tcW w:w="498" w:type="dxa"/>
                </w:tcPr>
                <w:p w14:paraId="0C036725" w14:textId="77777777" w:rsidR="00FE7393" w:rsidRDefault="00FE7393" w:rsidP="00AC16C0">
                  <w:pPr>
                    <w:pStyle w:val="ListParagraph"/>
                    <w:ind w:left="0"/>
                    <w:rPr>
                      <w:rFonts w:ascii="Arial" w:hAnsi="Arial" w:cs="Arial"/>
                      <w:i/>
                    </w:rPr>
                  </w:pPr>
                </w:p>
              </w:tc>
              <w:tc>
                <w:tcPr>
                  <w:tcW w:w="608" w:type="dxa"/>
                </w:tcPr>
                <w:p w14:paraId="7998BBF9" w14:textId="77777777" w:rsidR="00FE7393" w:rsidRDefault="00FE7393" w:rsidP="00AC16C0">
                  <w:pPr>
                    <w:pStyle w:val="ListParagraph"/>
                    <w:ind w:left="0"/>
                    <w:rPr>
                      <w:rFonts w:ascii="Arial" w:hAnsi="Arial" w:cs="Arial"/>
                      <w:i/>
                    </w:rPr>
                  </w:pPr>
                </w:p>
              </w:tc>
              <w:tc>
                <w:tcPr>
                  <w:tcW w:w="669" w:type="dxa"/>
                </w:tcPr>
                <w:p w14:paraId="73702EDF" w14:textId="77777777" w:rsidR="00FE7393" w:rsidRDefault="00FE7393" w:rsidP="00AC16C0">
                  <w:pPr>
                    <w:pStyle w:val="ListParagraph"/>
                    <w:ind w:left="0"/>
                    <w:rPr>
                      <w:rFonts w:ascii="Arial" w:hAnsi="Arial" w:cs="Arial"/>
                      <w:i/>
                    </w:rPr>
                  </w:pPr>
                </w:p>
              </w:tc>
              <w:tc>
                <w:tcPr>
                  <w:tcW w:w="578" w:type="dxa"/>
                  <w:shd w:val="clear" w:color="auto" w:fill="C489FF"/>
                </w:tcPr>
                <w:p w14:paraId="31C3251D" w14:textId="76816CEA" w:rsidR="00FE7393" w:rsidRPr="00FE7393" w:rsidRDefault="00FE7393" w:rsidP="00AC16C0">
                  <w:pPr>
                    <w:pStyle w:val="ListParagraph"/>
                    <w:ind w:left="0"/>
                    <w:rPr>
                      <w:rFonts w:ascii="Arial" w:hAnsi="Arial" w:cs="Arial"/>
                      <w:i/>
                    </w:rPr>
                  </w:pPr>
                  <w:r>
                    <w:rPr>
                      <w:rFonts w:ascii="Arial" w:hAnsi="Arial" w:cs="Arial"/>
                      <w:i/>
                    </w:rPr>
                    <w:t>12</w:t>
                  </w:r>
                  <w:r w:rsidRPr="00FE7393">
                    <w:rPr>
                      <w:rFonts w:ascii="Arial" w:hAnsi="Arial" w:cs="Arial"/>
                      <w:i/>
                      <w:vertAlign w:val="superscript"/>
                    </w:rPr>
                    <w:t>th</w:t>
                  </w:r>
                  <w:r>
                    <w:rPr>
                      <w:rFonts w:ascii="Arial" w:hAnsi="Arial" w:cs="Arial"/>
                      <w:i/>
                    </w:rPr>
                    <w:t xml:space="preserve"> – 25</w:t>
                  </w:r>
                  <w:r w:rsidRPr="00FE7393">
                    <w:rPr>
                      <w:rFonts w:ascii="Arial" w:hAnsi="Arial" w:cs="Arial"/>
                      <w:i/>
                      <w:vertAlign w:val="superscript"/>
                    </w:rPr>
                    <w:t>th</w:t>
                  </w:r>
                  <w:r>
                    <w:rPr>
                      <w:rFonts w:ascii="Arial" w:hAnsi="Arial" w:cs="Arial"/>
                      <w:i/>
                    </w:rPr>
                    <w:t xml:space="preserve"> </w:t>
                  </w:r>
                </w:p>
              </w:tc>
              <w:tc>
                <w:tcPr>
                  <w:tcW w:w="608" w:type="dxa"/>
                </w:tcPr>
                <w:p w14:paraId="26738601" w14:textId="77777777" w:rsidR="00FE7393" w:rsidRDefault="00FE7393" w:rsidP="00AC16C0">
                  <w:pPr>
                    <w:pStyle w:val="ListParagraph"/>
                    <w:ind w:left="0"/>
                    <w:rPr>
                      <w:rFonts w:ascii="Arial" w:hAnsi="Arial" w:cs="Arial"/>
                      <w:i/>
                    </w:rPr>
                  </w:pPr>
                </w:p>
              </w:tc>
              <w:tc>
                <w:tcPr>
                  <w:tcW w:w="608" w:type="dxa"/>
                </w:tcPr>
                <w:p w14:paraId="38E89E3E" w14:textId="77777777" w:rsidR="00FE7393" w:rsidRDefault="00FE7393" w:rsidP="00AC16C0">
                  <w:pPr>
                    <w:pStyle w:val="ListParagraph"/>
                    <w:ind w:left="0"/>
                    <w:rPr>
                      <w:rFonts w:ascii="Arial" w:hAnsi="Arial" w:cs="Arial"/>
                      <w:i/>
                    </w:rPr>
                  </w:pPr>
                </w:p>
              </w:tc>
            </w:tr>
          </w:tbl>
          <w:p w14:paraId="0F6B761E" w14:textId="77777777" w:rsidR="005D0C48" w:rsidRDefault="005D0C48" w:rsidP="00AC16C0">
            <w:pPr>
              <w:pStyle w:val="ListParagraph"/>
              <w:ind w:left="0"/>
              <w:rPr>
                <w:rFonts w:ascii="Arial" w:hAnsi="Arial" w:cs="Arial"/>
                <w:i/>
              </w:rPr>
            </w:pPr>
          </w:p>
          <w:p w14:paraId="3B9D85D3" w14:textId="5AB4AB97" w:rsidR="008C1B8E" w:rsidRPr="00210378" w:rsidRDefault="008C1B8E" w:rsidP="00AC16C0">
            <w:pPr>
              <w:pStyle w:val="ListParagraph"/>
              <w:ind w:left="0"/>
              <w:rPr>
                <w:rFonts w:ascii="Arial" w:hAnsi="Arial" w:cs="Arial"/>
                <w:i/>
              </w:rPr>
            </w:pPr>
          </w:p>
        </w:tc>
      </w:tr>
      <w:tr w:rsidR="00AC16C0" w:rsidRPr="00210378" w14:paraId="6B79BC24" w14:textId="77777777" w:rsidTr="00991612">
        <w:trPr>
          <w:trHeight w:val="4650"/>
        </w:trPr>
        <w:tc>
          <w:tcPr>
            <w:tcW w:w="9243" w:type="dxa"/>
            <w:shd w:val="clear" w:color="auto" w:fill="auto"/>
          </w:tcPr>
          <w:p w14:paraId="14A25BBD" w14:textId="4938058E" w:rsidR="00CF5499" w:rsidRPr="00577774" w:rsidRDefault="00991612" w:rsidP="00577774">
            <w:pPr>
              <w:pStyle w:val="ListParagraph"/>
              <w:ind w:left="0"/>
              <w:rPr>
                <w:rFonts w:ascii="Arial" w:hAnsi="Arial" w:cs="Arial"/>
                <w:b/>
              </w:rPr>
            </w:pPr>
            <w:r>
              <w:rPr>
                <w:rFonts w:ascii="Arial" w:hAnsi="Arial" w:cs="Arial"/>
                <w:b/>
              </w:rPr>
              <w:lastRenderedPageBreak/>
              <w:t>R</w:t>
            </w:r>
            <w:r w:rsidR="00AC16C0" w:rsidRPr="00210378">
              <w:rPr>
                <w:rFonts w:ascii="Arial" w:hAnsi="Arial" w:cs="Arial"/>
                <w:b/>
              </w:rPr>
              <w:t xml:space="preserve">eferences </w:t>
            </w:r>
          </w:p>
          <w:p w14:paraId="33A615E3" w14:textId="77777777" w:rsidR="00CF5499" w:rsidRDefault="00CF5499" w:rsidP="002D3D3A">
            <w:pPr>
              <w:pStyle w:val="ListParagraph"/>
              <w:ind w:hanging="720"/>
              <w:rPr>
                <w:rFonts w:ascii="Arial" w:hAnsi="Arial" w:cs="Arial"/>
                <w:sz w:val="24"/>
                <w:szCs w:val="24"/>
              </w:rPr>
            </w:pPr>
          </w:p>
          <w:p w14:paraId="05A27019" w14:textId="77777777" w:rsidR="00CF5499" w:rsidRDefault="00CF5499" w:rsidP="006F47E2">
            <w:pPr>
              <w:pStyle w:val="ListParagraph"/>
              <w:ind w:hanging="720"/>
              <w:rPr>
                <w:rFonts w:ascii="Arial" w:hAnsi="Arial" w:cs="Arial"/>
                <w:sz w:val="24"/>
                <w:szCs w:val="24"/>
              </w:rPr>
            </w:pPr>
            <w:r w:rsidRPr="00A317AA">
              <w:rPr>
                <w:rFonts w:ascii="Arial" w:hAnsi="Arial" w:cs="Arial"/>
                <w:sz w:val="24"/>
                <w:szCs w:val="24"/>
              </w:rPr>
              <w:t xml:space="preserve">Andrews, D. A., &amp; Dowden, C. (2007). The Risk-Need-Responsivity model of assessment and human service in prevention and corrections: Crime-prevention jurisprudence. </w:t>
            </w:r>
            <w:r w:rsidRPr="00A317AA">
              <w:rPr>
                <w:rFonts w:ascii="Arial" w:hAnsi="Arial" w:cs="Arial"/>
                <w:i/>
                <w:iCs/>
                <w:sz w:val="24"/>
                <w:szCs w:val="24"/>
              </w:rPr>
              <w:t>Canadian Journal of Criminology and Criminal Justice, 49</w:t>
            </w:r>
            <w:r w:rsidRPr="00A317AA">
              <w:rPr>
                <w:rFonts w:ascii="Arial" w:hAnsi="Arial" w:cs="Arial"/>
                <w:sz w:val="24"/>
                <w:szCs w:val="24"/>
              </w:rPr>
              <w:t xml:space="preserve">(4), 439–464. </w:t>
            </w:r>
            <w:hyperlink r:id="rId11" w:history="1">
              <w:r w:rsidRPr="008279DF">
                <w:rPr>
                  <w:rStyle w:val="Hyperlink"/>
                  <w:rFonts w:ascii="Arial" w:hAnsi="Arial" w:cs="Arial"/>
                  <w:sz w:val="24"/>
                  <w:szCs w:val="24"/>
                </w:rPr>
                <w:t>https://doi.org/10.3138/cjccj.49.4.439</w:t>
              </w:r>
            </w:hyperlink>
            <w:r>
              <w:rPr>
                <w:rFonts w:ascii="Arial" w:hAnsi="Arial" w:cs="Arial"/>
                <w:sz w:val="24"/>
                <w:szCs w:val="24"/>
              </w:rPr>
              <w:t xml:space="preserve"> </w:t>
            </w:r>
          </w:p>
          <w:p w14:paraId="41AE7786" w14:textId="77777777" w:rsidR="00CF5499" w:rsidRDefault="00CF5499" w:rsidP="006F47E2">
            <w:pPr>
              <w:pStyle w:val="ListParagraph"/>
              <w:ind w:hanging="720"/>
              <w:rPr>
                <w:rFonts w:ascii="Arial" w:hAnsi="Arial" w:cs="Arial"/>
                <w:sz w:val="24"/>
                <w:szCs w:val="24"/>
              </w:rPr>
            </w:pPr>
          </w:p>
          <w:p w14:paraId="43B31F43" w14:textId="77777777" w:rsidR="00CF5499" w:rsidRDefault="00CF5499" w:rsidP="00C3322F">
            <w:pPr>
              <w:pStyle w:val="ListParagraph"/>
              <w:ind w:hanging="720"/>
              <w:rPr>
                <w:rFonts w:ascii="Arial" w:hAnsi="Arial" w:cs="Arial"/>
                <w:sz w:val="24"/>
                <w:szCs w:val="24"/>
              </w:rPr>
            </w:pPr>
            <w:r w:rsidRPr="00740FA3">
              <w:rPr>
                <w:rFonts w:ascii="Arial" w:hAnsi="Arial" w:cs="Arial"/>
              </w:rPr>
              <w:t xml:space="preserve"> </w:t>
            </w:r>
            <w:r w:rsidRPr="0023469B">
              <w:rPr>
                <w:rFonts w:ascii="Arial" w:hAnsi="Arial" w:cs="Arial"/>
                <w:sz w:val="24"/>
                <w:szCs w:val="24"/>
              </w:rPr>
              <w:t xml:space="preserve">Andrews, D. A., Bonta, J., &amp; Hoge, R. D. (1990). Classification for effective rehabilitation: Rediscovering psychology. </w:t>
            </w:r>
            <w:r w:rsidRPr="0023469B">
              <w:rPr>
                <w:rFonts w:ascii="Arial" w:hAnsi="Arial" w:cs="Arial"/>
                <w:i/>
                <w:iCs/>
                <w:sz w:val="24"/>
                <w:szCs w:val="24"/>
              </w:rPr>
              <w:t>Criminal Justice and Behavior, 17</w:t>
            </w:r>
            <w:r w:rsidRPr="0023469B">
              <w:rPr>
                <w:rFonts w:ascii="Arial" w:hAnsi="Arial" w:cs="Arial"/>
                <w:sz w:val="24"/>
                <w:szCs w:val="24"/>
              </w:rPr>
              <w:t xml:space="preserve">(1), 19–52. </w:t>
            </w:r>
            <w:hyperlink r:id="rId12" w:history="1">
              <w:r w:rsidRPr="008279DF">
                <w:rPr>
                  <w:rStyle w:val="Hyperlink"/>
                  <w:rFonts w:ascii="Arial" w:hAnsi="Arial" w:cs="Arial"/>
                  <w:sz w:val="24"/>
                  <w:szCs w:val="24"/>
                </w:rPr>
                <w:t>https://doi.org/10.1177/0093854890017001004</w:t>
              </w:r>
            </w:hyperlink>
            <w:r>
              <w:rPr>
                <w:rFonts w:ascii="Arial" w:hAnsi="Arial" w:cs="Arial"/>
                <w:sz w:val="24"/>
                <w:szCs w:val="24"/>
              </w:rPr>
              <w:t xml:space="preserve"> </w:t>
            </w:r>
          </w:p>
          <w:p w14:paraId="433B2D27" w14:textId="77777777" w:rsidR="00CF5499" w:rsidRDefault="00CF5499" w:rsidP="00C3322F">
            <w:pPr>
              <w:pStyle w:val="ListParagraph"/>
              <w:ind w:hanging="720"/>
              <w:rPr>
                <w:rFonts w:ascii="Arial" w:hAnsi="Arial" w:cs="Arial"/>
                <w:sz w:val="24"/>
                <w:szCs w:val="24"/>
              </w:rPr>
            </w:pPr>
          </w:p>
          <w:p w14:paraId="49C31F50" w14:textId="77777777" w:rsidR="00CF5499" w:rsidRDefault="00CF5499" w:rsidP="002D3D3A">
            <w:pPr>
              <w:pStyle w:val="ListParagraph"/>
              <w:ind w:hanging="720"/>
              <w:rPr>
                <w:rFonts w:ascii="Arial" w:hAnsi="Arial" w:cs="Arial"/>
                <w:sz w:val="24"/>
                <w:szCs w:val="24"/>
              </w:rPr>
            </w:pPr>
            <w:r w:rsidRPr="00CE2AD4">
              <w:rPr>
                <w:rFonts w:ascii="Arial" w:hAnsi="Arial" w:cs="Arial"/>
                <w:sz w:val="24"/>
                <w:szCs w:val="24"/>
              </w:rPr>
              <w:t xml:space="preserve">Boada, J. P., Maestre, B. R., &amp; Genís, C. T. (2021). The ethical issues of social assistive robotics: A critical literature review. </w:t>
            </w:r>
            <w:r w:rsidRPr="00CE2AD4">
              <w:rPr>
                <w:rFonts w:ascii="Arial" w:hAnsi="Arial" w:cs="Arial"/>
                <w:i/>
                <w:iCs/>
                <w:sz w:val="24"/>
                <w:szCs w:val="24"/>
              </w:rPr>
              <w:t>Technology in Society, 67</w:t>
            </w:r>
            <w:r w:rsidRPr="00CE2AD4">
              <w:rPr>
                <w:rFonts w:ascii="Arial" w:hAnsi="Arial" w:cs="Arial"/>
                <w:sz w:val="24"/>
                <w:szCs w:val="24"/>
              </w:rPr>
              <w:t>, 101</w:t>
            </w:r>
            <w:r>
              <w:rPr>
                <w:rFonts w:ascii="Arial" w:hAnsi="Arial" w:cs="Arial"/>
                <w:sz w:val="24"/>
                <w:szCs w:val="24"/>
              </w:rPr>
              <w:t>-</w:t>
            </w:r>
            <w:r w:rsidRPr="00CE2AD4">
              <w:rPr>
                <w:rFonts w:ascii="Arial" w:hAnsi="Arial" w:cs="Arial"/>
                <w:sz w:val="24"/>
                <w:szCs w:val="24"/>
              </w:rPr>
              <w:t>726.</w:t>
            </w:r>
          </w:p>
          <w:p w14:paraId="4F323CDA" w14:textId="77777777" w:rsidR="00CF5499" w:rsidRDefault="00CF5499" w:rsidP="002D3D3A">
            <w:pPr>
              <w:pStyle w:val="ListParagraph"/>
              <w:ind w:hanging="720"/>
              <w:rPr>
                <w:rFonts w:ascii="Arial" w:hAnsi="Arial" w:cs="Arial"/>
                <w:sz w:val="24"/>
                <w:szCs w:val="24"/>
              </w:rPr>
            </w:pPr>
          </w:p>
          <w:p w14:paraId="5D950EF6" w14:textId="77777777" w:rsidR="00CF5499" w:rsidRDefault="00CF5499" w:rsidP="00C97318">
            <w:pPr>
              <w:pStyle w:val="ListParagraph"/>
              <w:ind w:hanging="720"/>
            </w:pPr>
            <w:r w:rsidRPr="000D3E65">
              <w:rPr>
                <w:rFonts w:ascii="Arial" w:hAnsi="Arial" w:cs="Arial"/>
                <w:sz w:val="24"/>
                <w:szCs w:val="24"/>
              </w:rPr>
              <w:t xml:space="preserve">Borum R., Bartel P., Forth A. (2002). </w:t>
            </w:r>
            <w:r w:rsidRPr="000D3E65">
              <w:rPr>
                <w:rFonts w:ascii="Arial" w:hAnsi="Arial" w:cs="Arial"/>
                <w:i/>
                <w:iCs/>
                <w:sz w:val="24"/>
                <w:szCs w:val="24"/>
              </w:rPr>
              <w:t>Manual for the Structured Assessment for Violence Risk in Youth (SAVRY)</w:t>
            </w:r>
            <w:r w:rsidRPr="000D3E65">
              <w:rPr>
                <w:rFonts w:ascii="Arial" w:hAnsi="Arial" w:cs="Arial"/>
                <w:sz w:val="24"/>
                <w:szCs w:val="24"/>
              </w:rPr>
              <w:t>. Tampa: University of South Florida.</w:t>
            </w:r>
            <w:r>
              <w:t xml:space="preserve"> </w:t>
            </w:r>
          </w:p>
          <w:p w14:paraId="1566AC02" w14:textId="77777777" w:rsidR="00CF5499" w:rsidRDefault="00CF5499" w:rsidP="00C97318">
            <w:pPr>
              <w:pStyle w:val="ListParagraph"/>
              <w:ind w:hanging="720"/>
            </w:pPr>
          </w:p>
          <w:p w14:paraId="3A6BD779" w14:textId="77777777" w:rsidR="00CF5499" w:rsidRDefault="00CF5499" w:rsidP="00C97318">
            <w:pPr>
              <w:pStyle w:val="ListParagraph"/>
              <w:ind w:hanging="720"/>
              <w:rPr>
                <w:rFonts w:ascii="Arial" w:hAnsi="Arial" w:cs="Arial"/>
                <w:color w:val="212121"/>
                <w:sz w:val="24"/>
                <w:szCs w:val="24"/>
                <w:shd w:val="clear" w:color="auto" w:fill="FFFFFF"/>
              </w:rPr>
            </w:pPr>
            <w:r w:rsidRPr="00740FA3">
              <w:rPr>
                <w:rFonts w:ascii="Arial" w:hAnsi="Arial" w:cs="Arial"/>
                <w:color w:val="212121"/>
                <w:sz w:val="24"/>
                <w:szCs w:val="24"/>
                <w:shd w:val="clear" w:color="auto" w:fill="FFFFFF"/>
              </w:rPr>
              <w:t>Borum R., Bartel P., Forth A. (2006). </w:t>
            </w:r>
            <w:r w:rsidRPr="00740FA3">
              <w:rPr>
                <w:rStyle w:val="ref-journal"/>
                <w:rFonts w:ascii="Arial" w:hAnsi="Arial" w:cs="Arial"/>
                <w:i/>
                <w:iCs/>
                <w:color w:val="212121"/>
                <w:sz w:val="24"/>
                <w:szCs w:val="24"/>
                <w:shd w:val="clear" w:color="auto" w:fill="FFFFFF"/>
              </w:rPr>
              <w:t>Manual for the Structured Assessment of Violence Risk in Youth (SAVRY)</w:t>
            </w:r>
            <w:r w:rsidRPr="00740FA3">
              <w:rPr>
                <w:rFonts w:ascii="Arial" w:hAnsi="Arial" w:cs="Arial"/>
                <w:color w:val="212121"/>
                <w:sz w:val="24"/>
                <w:szCs w:val="24"/>
                <w:shd w:val="clear" w:color="auto" w:fill="FFFFFF"/>
              </w:rPr>
              <w:t>. Odessa, FL: Psychological Assessment Resources.</w:t>
            </w:r>
          </w:p>
          <w:p w14:paraId="39D5BCF6" w14:textId="77777777" w:rsidR="00454867" w:rsidRDefault="00454867" w:rsidP="00C46A37">
            <w:pPr>
              <w:ind w:left="720" w:hanging="720"/>
              <w:rPr>
                <w:rFonts w:ascii="Arial" w:hAnsi="Arial" w:cs="Arial"/>
                <w:color w:val="333333"/>
              </w:rPr>
            </w:pPr>
            <w:r>
              <w:rPr>
                <w:rFonts w:ascii="Arial" w:hAnsi="Arial" w:cs="Arial"/>
                <w:color w:val="333333"/>
              </w:rPr>
              <w:t>Borum, R., Lodewijks, H., Bartel, P. A., &amp; Forth, A. E. (2010). Structured Assessment of Violence Risk in Youth (SAVRY). In R. K. Otto &amp; K. S. Douglas (Eds.), </w:t>
            </w:r>
            <w:r>
              <w:rPr>
                <w:rStyle w:val="Emphasis"/>
                <w:rFonts w:ascii="Arial" w:hAnsi="Arial" w:cs="Arial"/>
                <w:color w:val="333333"/>
              </w:rPr>
              <w:t>Handbook of violence risk assessment</w:t>
            </w:r>
            <w:r>
              <w:rPr>
                <w:rFonts w:ascii="Arial" w:hAnsi="Arial" w:cs="Arial"/>
                <w:color w:val="333333"/>
              </w:rPr>
              <w:t> (pp. 63–79). Routledge/Taylor &amp; Francis Group.</w:t>
            </w:r>
          </w:p>
          <w:p w14:paraId="6DDFAEAD" w14:textId="77777777" w:rsidR="00454867" w:rsidRDefault="00454867" w:rsidP="00C97318">
            <w:pPr>
              <w:pStyle w:val="ListParagraph"/>
              <w:ind w:hanging="720"/>
              <w:rPr>
                <w:rFonts w:ascii="Arial" w:hAnsi="Arial" w:cs="Arial"/>
                <w:color w:val="212121"/>
                <w:sz w:val="24"/>
                <w:szCs w:val="24"/>
                <w:shd w:val="clear" w:color="auto" w:fill="FFFFFF"/>
              </w:rPr>
            </w:pPr>
          </w:p>
          <w:p w14:paraId="56360A35" w14:textId="27FB4146" w:rsidR="00CF5499" w:rsidRPr="00FA149B" w:rsidRDefault="00CF5499" w:rsidP="00FA149B">
            <w:pPr>
              <w:ind w:left="720" w:hanging="720"/>
              <w:rPr>
                <w:rFonts w:ascii="Arial" w:eastAsia="Calibri" w:hAnsi="Arial" w:cs="Arial"/>
                <w:lang w:eastAsia="en-US"/>
              </w:rPr>
            </w:pPr>
            <w:r w:rsidRPr="00FA149B">
              <w:rPr>
                <w:rFonts w:ascii="Arial" w:eastAsia="Calibri" w:hAnsi="Arial" w:cs="Arial"/>
                <w:lang w:eastAsia="en-US"/>
              </w:rPr>
              <w:t>de Vries Robbé M., Willis G. (2017). Assessment of protective factors in clinical practice</w:t>
            </w:r>
            <w:r w:rsidR="00B43E90" w:rsidRPr="00FA149B">
              <w:rPr>
                <w:rFonts w:ascii="Arial" w:eastAsia="Calibri" w:hAnsi="Arial" w:cs="Arial"/>
                <w:lang w:eastAsia="en-US"/>
              </w:rPr>
              <w:t xml:space="preserve">. </w:t>
            </w:r>
            <w:r w:rsidRPr="00FA149B">
              <w:rPr>
                <w:rFonts w:ascii="Arial" w:eastAsia="Calibri" w:hAnsi="Arial" w:cs="Arial"/>
                <w:i/>
                <w:iCs/>
                <w:lang w:eastAsia="en-US"/>
              </w:rPr>
              <w:t>Aggression and Violent Behavior, 32</w:t>
            </w:r>
            <w:r w:rsidRPr="00FA149B">
              <w:rPr>
                <w:rFonts w:ascii="Arial" w:eastAsia="Calibri" w:hAnsi="Arial" w:cs="Arial"/>
                <w:lang w:eastAsia="en-US"/>
              </w:rPr>
              <w:t xml:space="preserve">, 1–9. </w:t>
            </w:r>
            <w:hyperlink r:id="rId13" w:history="1">
              <w:r w:rsidRPr="00FA149B">
                <w:rPr>
                  <w:rStyle w:val="Hyperlink"/>
                  <w:rFonts w:ascii="Arial" w:eastAsia="Calibri" w:hAnsi="Arial" w:cs="Arial"/>
                  <w:lang w:eastAsia="en-US"/>
                </w:rPr>
                <w:t>https://doi.org/10.1016/j.avb.2016.12.006</w:t>
              </w:r>
            </w:hyperlink>
            <w:r w:rsidRPr="00FA149B">
              <w:rPr>
                <w:rFonts w:ascii="Arial" w:eastAsia="Calibri" w:hAnsi="Arial" w:cs="Arial"/>
                <w:lang w:eastAsia="en-US"/>
              </w:rPr>
              <w:t xml:space="preserve"> </w:t>
            </w:r>
          </w:p>
          <w:p w14:paraId="08D48F4C" w14:textId="77777777" w:rsidR="00CF5499" w:rsidRPr="00763F63" w:rsidRDefault="00CF5499" w:rsidP="00763F63">
            <w:pPr>
              <w:rPr>
                <w:rFonts w:ascii="Arial" w:eastAsia="Calibri" w:hAnsi="Arial" w:cs="Arial"/>
                <w:lang w:eastAsia="en-US"/>
              </w:rPr>
            </w:pPr>
          </w:p>
          <w:p w14:paraId="72327781" w14:textId="77777777" w:rsidR="00CF5499" w:rsidRDefault="00CF5499" w:rsidP="006F47E2">
            <w:pPr>
              <w:pStyle w:val="ListParagraph"/>
              <w:ind w:hanging="720"/>
              <w:rPr>
                <w:rFonts w:ascii="Arial" w:hAnsi="Arial" w:cs="Arial"/>
                <w:sz w:val="24"/>
                <w:szCs w:val="24"/>
              </w:rPr>
            </w:pPr>
            <w:r w:rsidRPr="00702EBC">
              <w:rPr>
                <w:rFonts w:ascii="Arial" w:hAnsi="Arial" w:cs="Arial"/>
                <w:sz w:val="24"/>
                <w:szCs w:val="24"/>
              </w:rPr>
              <w:t xml:space="preserve">Fortune, Clare-Ann. (2017). The Good Lives Model: A strength-based approach for youth offenders. Aggression and Violent Behavior. 38. </w:t>
            </w:r>
            <w:hyperlink r:id="rId14" w:history="1">
              <w:r w:rsidRPr="008279DF">
                <w:rPr>
                  <w:rStyle w:val="Hyperlink"/>
                  <w:rFonts w:ascii="Arial" w:hAnsi="Arial" w:cs="Arial"/>
                  <w:sz w:val="24"/>
                  <w:szCs w:val="24"/>
                </w:rPr>
                <w:t>https://doi.org/10.1016/j.avb</w:t>
              </w:r>
            </w:hyperlink>
            <w:r>
              <w:rPr>
                <w:rFonts w:ascii="Arial" w:hAnsi="Arial" w:cs="Arial"/>
                <w:sz w:val="24"/>
                <w:szCs w:val="24"/>
              </w:rPr>
              <w:t xml:space="preserve">   </w:t>
            </w:r>
          </w:p>
          <w:p w14:paraId="746BEB37" w14:textId="77777777" w:rsidR="00B57DB5" w:rsidRPr="00EC613E" w:rsidRDefault="00B57DB5" w:rsidP="00EC613E">
            <w:pPr>
              <w:rPr>
                <w:rFonts w:ascii="Arial" w:hAnsi="Arial" w:cs="Arial"/>
              </w:rPr>
            </w:pPr>
          </w:p>
          <w:p w14:paraId="2E394274" w14:textId="77777777" w:rsidR="00FA149B" w:rsidRPr="00FA149B" w:rsidRDefault="00FA149B" w:rsidP="00FA149B">
            <w:pPr>
              <w:ind w:left="720" w:hanging="720"/>
              <w:rPr>
                <w:rFonts w:ascii="Arial" w:hAnsi="Arial" w:cs="Arial"/>
                <w:i/>
                <w:iCs/>
              </w:rPr>
            </w:pPr>
            <w:r w:rsidRPr="00F037B2">
              <w:rPr>
                <w:rFonts w:ascii="Arial" w:hAnsi="Arial" w:cs="Arial"/>
              </w:rPr>
              <w:t xml:space="preserve">Fullerton, D., Bamber, J. and Redmond, S. (2021) </w:t>
            </w:r>
            <w:r w:rsidRPr="00FA149B">
              <w:rPr>
                <w:rFonts w:ascii="Arial" w:hAnsi="Arial" w:cs="Arial"/>
                <w:i/>
                <w:iCs/>
              </w:rPr>
              <w:t>Developing effective relationships</w:t>
            </w:r>
          </w:p>
          <w:p w14:paraId="65B72E7C" w14:textId="77777777" w:rsidR="00FA149B" w:rsidRPr="00FA149B" w:rsidRDefault="00FA149B" w:rsidP="00FA149B">
            <w:pPr>
              <w:ind w:left="720"/>
              <w:rPr>
                <w:rFonts w:ascii="Arial" w:hAnsi="Arial" w:cs="Arial"/>
                <w:i/>
                <w:iCs/>
              </w:rPr>
            </w:pPr>
            <w:r w:rsidRPr="00FA149B">
              <w:rPr>
                <w:rFonts w:ascii="Arial" w:hAnsi="Arial" w:cs="Arial"/>
                <w:i/>
                <w:iCs/>
              </w:rPr>
              <w:t>between youth justice workers and young people: a synthesis of the evidence,</w:t>
            </w:r>
          </w:p>
          <w:p w14:paraId="3F7F3CCA" w14:textId="227917AF" w:rsidR="00FA149B" w:rsidRDefault="00FA149B" w:rsidP="00FA149B">
            <w:pPr>
              <w:ind w:left="720"/>
              <w:rPr>
                <w:rFonts w:ascii="Arial" w:hAnsi="Arial" w:cs="Arial"/>
              </w:rPr>
            </w:pPr>
            <w:r w:rsidRPr="00FA149B">
              <w:rPr>
                <w:rFonts w:ascii="Arial" w:hAnsi="Arial" w:cs="Arial"/>
                <w:i/>
                <w:iCs/>
              </w:rPr>
              <w:t>REPPP Review</w:t>
            </w:r>
            <w:r w:rsidRPr="00FA149B">
              <w:rPr>
                <w:rFonts w:ascii="Arial" w:hAnsi="Arial" w:cs="Arial"/>
                <w:i/>
                <w:iCs/>
              </w:rPr>
              <w:t>.</w:t>
            </w:r>
            <w:r w:rsidRPr="00F037B2">
              <w:rPr>
                <w:rFonts w:ascii="Arial" w:hAnsi="Arial" w:cs="Arial"/>
              </w:rPr>
              <w:t xml:space="preserve"> </w:t>
            </w:r>
            <w:r w:rsidRPr="00FA149B">
              <w:rPr>
                <w:rFonts w:ascii="Arial" w:hAnsi="Arial" w:cs="Arial"/>
              </w:rPr>
              <w:t>University of Limerick</w:t>
            </w:r>
            <w:r w:rsidRPr="00F037B2">
              <w:rPr>
                <w:rFonts w:ascii="Arial" w:hAnsi="Arial" w:cs="Arial"/>
              </w:rPr>
              <w:t>.</w:t>
            </w:r>
            <w:r>
              <w:rPr>
                <w:rFonts w:ascii="Arial" w:hAnsi="Arial" w:cs="Arial"/>
              </w:rPr>
              <w:t xml:space="preserve"> </w:t>
            </w:r>
            <w:hyperlink r:id="rId15" w:history="1">
              <w:r w:rsidRPr="00E85DA4">
                <w:rPr>
                  <w:rStyle w:val="Hyperlink"/>
                  <w:rFonts w:ascii="Arial" w:hAnsi="Arial" w:cs="Arial"/>
                </w:rPr>
                <w:t>http://doi.org/10.31880/10344/10045</w:t>
              </w:r>
            </w:hyperlink>
            <w:r>
              <w:rPr>
                <w:rFonts w:ascii="Arial" w:hAnsi="Arial" w:cs="Arial"/>
              </w:rPr>
              <w:t xml:space="preserve"> </w:t>
            </w:r>
            <w:r w:rsidRPr="00F037B2">
              <w:rPr>
                <w:rFonts w:ascii="Arial" w:hAnsi="Arial" w:cs="Arial"/>
              </w:rPr>
              <w:t xml:space="preserve"> </w:t>
            </w:r>
          </w:p>
          <w:p w14:paraId="18D8821C" w14:textId="77777777" w:rsidR="00FA149B" w:rsidRPr="00F037B2" w:rsidRDefault="00FA149B" w:rsidP="00FA149B">
            <w:pPr>
              <w:ind w:left="720"/>
              <w:rPr>
                <w:rFonts w:ascii="Arial" w:hAnsi="Arial" w:cs="Arial"/>
              </w:rPr>
            </w:pPr>
          </w:p>
          <w:p w14:paraId="151F916B" w14:textId="77777777" w:rsidR="00CF5499" w:rsidRDefault="00CF5499" w:rsidP="003F428A">
            <w:pPr>
              <w:pStyle w:val="ListParagraph"/>
              <w:ind w:hanging="720"/>
              <w:rPr>
                <w:rFonts w:ascii="Arial" w:hAnsi="Arial" w:cs="Arial"/>
                <w:color w:val="212121"/>
                <w:sz w:val="24"/>
                <w:szCs w:val="24"/>
                <w:shd w:val="clear" w:color="auto" w:fill="FFFFFF"/>
              </w:rPr>
            </w:pPr>
            <w:r w:rsidRPr="009951BD">
              <w:rPr>
                <w:rFonts w:ascii="Arial" w:hAnsi="Arial" w:cs="Arial"/>
                <w:color w:val="212121"/>
                <w:sz w:val="24"/>
                <w:szCs w:val="24"/>
                <w:shd w:val="clear" w:color="auto" w:fill="FFFFFF"/>
              </w:rPr>
              <w:t xml:space="preserve">Gannon, T. A., King, T., Miles, H., Lockerbie, L., &amp; Willis, G. M. (2011). Good lives sexual offender treatment for mentally disordered offenders. </w:t>
            </w:r>
            <w:r w:rsidRPr="0070013D">
              <w:rPr>
                <w:rFonts w:ascii="Arial" w:hAnsi="Arial" w:cs="Arial"/>
                <w:i/>
                <w:iCs/>
                <w:color w:val="212121"/>
                <w:sz w:val="24"/>
                <w:szCs w:val="24"/>
                <w:shd w:val="clear" w:color="auto" w:fill="FFFFFF"/>
              </w:rPr>
              <w:t>The British Journal of Forensic Practice, 13</w:t>
            </w:r>
            <w:r w:rsidRPr="009951BD">
              <w:rPr>
                <w:rFonts w:ascii="Arial" w:hAnsi="Arial" w:cs="Arial"/>
                <w:color w:val="212121"/>
                <w:sz w:val="24"/>
                <w:szCs w:val="24"/>
                <w:shd w:val="clear" w:color="auto" w:fill="FFFFFF"/>
              </w:rPr>
              <w:t>(3), 153-168.</w:t>
            </w:r>
            <w:r>
              <w:rPr>
                <w:rFonts w:ascii="Arial" w:hAnsi="Arial" w:cs="Arial"/>
                <w:color w:val="212121"/>
                <w:sz w:val="24"/>
                <w:szCs w:val="24"/>
                <w:shd w:val="clear" w:color="auto" w:fill="FFFFFF"/>
              </w:rPr>
              <w:t xml:space="preserve"> </w:t>
            </w:r>
            <w:hyperlink r:id="rId16" w:history="1">
              <w:r w:rsidRPr="008279DF">
                <w:rPr>
                  <w:rStyle w:val="Hyperlink"/>
                  <w:rFonts w:ascii="Arial" w:hAnsi="Arial" w:cs="Arial"/>
                  <w:sz w:val="24"/>
                  <w:szCs w:val="24"/>
                  <w:shd w:val="clear" w:color="auto" w:fill="FFFFFF"/>
                </w:rPr>
                <w:t>https://doi.org/10.1108/14636641111157805</w:t>
              </w:r>
            </w:hyperlink>
            <w:r>
              <w:rPr>
                <w:rFonts w:ascii="Arial" w:hAnsi="Arial" w:cs="Arial"/>
                <w:color w:val="212121"/>
                <w:sz w:val="24"/>
                <w:szCs w:val="24"/>
                <w:shd w:val="clear" w:color="auto" w:fill="FFFFFF"/>
              </w:rPr>
              <w:t xml:space="preserve"> </w:t>
            </w:r>
          </w:p>
          <w:p w14:paraId="0075B9AF" w14:textId="77777777" w:rsidR="00CF5499" w:rsidRDefault="00CF5499" w:rsidP="003F428A">
            <w:pPr>
              <w:pStyle w:val="ListParagraph"/>
              <w:ind w:hanging="720"/>
              <w:rPr>
                <w:rFonts w:ascii="Arial" w:hAnsi="Arial" w:cs="Arial"/>
                <w:color w:val="212121"/>
                <w:sz w:val="24"/>
                <w:szCs w:val="24"/>
                <w:shd w:val="clear" w:color="auto" w:fill="FFFFFF"/>
              </w:rPr>
            </w:pPr>
          </w:p>
          <w:p w14:paraId="4B9E8920" w14:textId="1720E0DC" w:rsidR="00CF5499" w:rsidRDefault="00CF5499" w:rsidP="00CF5499">
            <w:pPr>
              <w:pStyle w:val="ListParagraph"/>
              <w:ind w:hanging="720"/>
              <w:rPr>
                <w:rFonts w:ascii="Arial" w:hAnsi="Arial" w:cs="Arial"/>
                <w:sz w:val="24"/>
                <w:szCs w:val="24"/>
              </w:rPr>
            </w:pPr>
            <w:r w:rsidRPr="00667583">
              <w:rPr>
                <w:rFonts w:ascii="Arial" w:hAnsi="Arial" w:cs="Arial"/>
                <w:sz w:val="24"/>
                <w:szCs w:val="24"/>
              </w:rPr>
              <w:t xml:space="preserve">Gavrielides, T. (2015). </w:t>
            </w:r>
            <w:r w:rsidRPr="00667583">
              <w:rPr>
                <w:rFonts w:ascii="Arial" w:hAnsi="Arial" w:cs="Arial"/>
                <w:i/>
                <w:iCs/>
                <w:sz w:val="24"/>
                <w:szCs w:val="24"/>
              </w:rPr>
              <w:t>Offenders No More: An Interdisciplinary Restorative Justice</w:t>
            </w:r>
            <w:r w:rsidRPr="00667583">
              <w:rPr>
                <w:rFonts w:ascii="Arial" w:hAnsi="Arial" w:cs="Arial"/>
                <w:sz w:val="24"/>
                <w:szCs w:val="24"/>
              </w:rPr>
              <w:t xml:space="preserve"> </w:t>
            </w:r>
            <w:r w:rsidRPr="00667583">
              <w:rPr>
                <w:rFonts w:ascii="Arial" w:hAnsi="Arial" w:cs="Arial"/>
                <w:i/>
                <w:iCs/>
                <w:sz w:val="24"/>
                <w:szCs w:val="24"/>
              </w:rPr>
              <w:t>Dialogue</w:t>
            </w:r>
            <w:r>
              <w:rPr>
                <w:rFonts w:ascii="Arial" w:hAnsi="Arial" w:cs="Arial"/>
                <w:i/>
                <w:iCs/>
                <w:sz w:val="24"/>
                <w:szCs w:val="24"/>
              </w:rPr>
              <w:t>.</w:t>
            </w:r>
            <w:r w:rsidRPr="00667583">
              <w:rPr>
                <w:rFonts w:ascii="Arial" w:hAnsi="Arial" w:cs="Arial"/>
                <w:sz w:val="24"/>
                <w:szCs w:val="24"/>
              </w:rPr>
              <w:t xml:space="preserve"> Nova Science Publishers: New York</w:t>
            </w:r>
            <w:r>
              <w:rPr>
                <w:rFonts w:ascii="Arial" w:hAnsi="Arial" w:cs="Arial"/>
                <w:sz w:val="24"/>
                <w:szCs w:val="24"/>
              </w:rPr>
              <w:t xml:space="preserve">. </w:t>
            </w:r>
            <w:hyperlink r:id="rId17" w:history="1">
              <w:r w:rsidRPr="00F13A85">
                <w:rPr>
                  <w:rStyle w:val="Hyperlink"/>
                  <w:rFonts w:ascii="Arial" w:hAnsi="Arial" w:cs="Arial"/>
                  <w:sz w:val="24"/>
                  <w:szCs w:val="24"/>
                </w:rPr>
                <w:t>https://doi.org/10.1037/0735-7028.34.4.353</w:t>
              </w:r>
            </w:hyperlink>
            <w:r w:rsidRPr="00CF5499">
              <w:rPr>
                <w:rFonts w:ascii="Arial" w:hAnsi="Arial" w:cs="Arial"/>
                <w:sz w:val="24"/>
                <w:szCs w:val="24"/>
              </w:rPr>
              <w:t xml:space="preserve"> </w:t>
            </w:r>
          </w:p>
          <w:p w14:paraId="76920EF9" w14:textId="77777777" w:rsidR="00B57DB5" w:rsidRPr="00CF5499" w:rsidRDefault="00B57DB5" w:rsidP="00CF5499">
            <w:pPr>
              <w:pStyle w:val="ListParagraph"/>
              <w:ind w:hanging="720"/>
              <w:rPr>
                <w:rFonts w:ascii="Arial" w:hAnsi="Arial" w:cs="Arial"/>
                <w:sz w:val="24"/>
                <w:szCs w:val="24"/>
              </w:rPr>
            </w:pPr>
          </w:p>
          <w:p w14:paraId="2F4B386C" w14:textId="77777777" w:rsidR="00CF5499" w:rsidRPr="00FA149B" w:rsidRDefault="00CF5499" w:rsidP="00FA149B">
            <w:pPr>
              <w:ind w:left="720" w:hanging="720"/>
              <w:rPr>
                <w:rFonts w:ascii="Arial" w:eastAsia="Calibri" w:hAnsi="Arial" w:cs="Arial"/>
                <w:lang w:eastAsia="en-US"/>
              </w:rPr>
            </w:pPr>
            <w:r w:rsidRPr="00FA149B">
              <w:rPr>
                <w:rFonts w:ascii="Arial" w:eastAsia="Calibri" w:hAnsi="Arial" w:cs="Arial"/>
                <w:lang w:eastAsia="en-US"/>
              </w:rPr>
              <w:t xml:space="preserve">Kapoor A., Peterson-Badali M., Skilling T. (2018). Barriers to service provision for justice-involved youth. </w:t>
            </w:r>
            <w:r w:rsidRPr="00FA149B">
              <w:rPr>
                <w:rFonts w:ascii="Arial" w:eastAsia="Calibri" w:hAnsi="Arial" w:cs="Arial"/>
                <w:i/>
                <w:iCs/>
                <w:lang w:eastAsia="en-US"/>
              </w:rPr>
              <w:t>Criminal Justice and Behavior, 20</w:t>
            </w:r>
            <w:r w:rsidRPr="00FA149B">
              <w:rPr>
                <w:rFonts w:ascii="Arial" w:eastAsia="Calibri" w:hAnsi="Arial" w:cs="Arial"/>
                <w:lang w:eastAsia="en-US"/>
              </w:rPr>
              <w:t xml:space="preserve">, 1–20. </w:t>
            </w:r>
            <w:hyperlink r:id="rId18" w:history="1">
              <w:r w:rsidRPr="00FA149B">
                <w:rPr>
                  <w:rStyle w:val="Hyperlink"/>
                  <w:rFonts w:ascii="Arial" w:eastAsia="Calibri" w:hAnsi="Arial" w:cs="Arial"/>
                  <w:lang w:eastAsia="en-US"/>
                </w:rPr>
                <w:t>https://doi.org/10.1177/0093854818794754</w:t>
              </w:r>
            </w:hyperlink>
            <w:r w:rsidRPr="00FA149B">
              <w:rPr>
                <w:rFonts w:ascii="Arial" w:eastAsia="Calibri" w:hAnsi="Arial" w:cs="Arial"/>
                <w:lang w:eastAsia="en-US"/>
              </w:rPr>
              <w:t xml:space="preserve"> </w:t>
            </w:r>
          </w:p>
          <w:p w14:paraId="3218FEED" w14:textId="77777777" w:rsidR="00EC613E" w:rsidRPr="00FA149B" w:rsidRDefault="00EC613E" w:rsidP="00FA149B">
            <w:pPr>
              <w:ind w:left="720" w:hanging="720"/>
              <w:rPr>
                <w:rFonts w:ascii="Arial" w:eastAsia="Calibri" w:hAnsi="Arial" w:cs="Arial"/>
                <w:lang w:eastAsia="en-US"/>
              </w:rPr>
            </w:pPr>
          </w:p>
          <w:p w14:paraId="73C05C6D" w14:textId="77777777" w:rsidR="00CF5499" w:rsidRPr="00FA149B" w:rsidRDefault="00CF5499" w:rsidP="00FA149B">
            <w:pPr>
              <w:ind w:left="720" w:hanging="720"/>
              <w:rPr>
                <w:rFonts w:ascii="Arial" w:eastAsia="Calibri" w:hAnsi="Arial" w:cs="Arial"/>
                <w:lang w:eastAsia="en-US"/>
              </w:rPr>
            </w:pPr>
            <w:r w:rsidRPr="00FA149B">
              <w:rPr>
                <w:rFonts w:ascii="Arial" w:eastAsia="Calibri" w:hAnsi="Arial" w:cs="Arial"/>
                <w:lang w:eastAsia="en-US"/>
              </w:rPr>
              <w:t xml:space="preserve">Kleeven A. T. H., de Vries Robbe M., Mulder E. A., Popma A. (2020). Risk assessment in juvenile and young adult offenders: </w:t>
            </w:r>
            <w:r w:rsidRPr="00FA149B">
              <w:rPr>
                <w:rFonts w:ascii="Arial" w:eastAsia="Calibri" w:hAnsi="Arial" w:cs="Arial"/>
                <w:i/>
                <w:iCs/>
                <w:lang w:eastAsia="en-US"/>
              </w:rPr>
              <w:t>Predictive validity of the SAVRY and SAPROF-YV. Assessment,</w:t>
            </w:r>
            <w:r w:rsidRPr="00FA149B">
              <w:rPr>
                <w:rFonts w:ascii="Arial" w:eastAsia="Calibri" w:hAnsi="Arial" w:cs="Arial"/>
                <w:lang w:eastAsia="en-US"/>
              </w:rPr>
              <w:t xml:space="preserve"> 1–17. </w:t>
            </w:r>
            <w:hyperlink r:id="rId19" w:history="1">
              <w:r w:rsidRPr="00FA149B">
                <w:rPr>
                  <w:rStyle w:val="Hyperlink"/>
                  <w:rFonts w:ascii="Arial" w:eastAsia="Calibri" w:hAnsi="Arial" w:cs="Arial"/>
                  <w:lang w:eastAsia="en-US"/>
                </w:rPr>
                <w:t>https://doi.org/10.1177/1073191120959740</w:t>
              </w:r>
            </w:hyperlink>
            <w:r w:rsidRPr="00FA149B">
              <w:rPr>
                <w:rFonts w:ascii="Arial" w:eastAsia="Calibri" w:hAnsi="Arial" w:cs="Arial"/>
                <w:lang w:eastAsia="en-US"/>
              </w:rPr>
              <w:t xml:space="preserve"> </w:t>
            </w:r>
          </w:p>
          <w:p w14:paraId="75067C3C" w14:textId="77777777" w:rsidR="00EC613E" w:rsidRDefault="00EC613E" w:rsidP="00F346FB">
            <w:pPr>
              <w:rPr>
                <w:rFonts w:ascii="Arial" w:eastAsia="Calibri" w:hAnsi="Arial" w:cs="Arial"/>
                <w:lang w:eastAsia="en-US"/>
              </w:rPr>
            </w:pPr>
          </w:p>
          <w:p w14:paraId="35A6AF98" w14:textId="77777777" w:rsidR="00CF5499" w:rsidRDefault="00CF5499" w:rsidP="006F47E2">
            <w:pPr>
              <w:pStyle w:val="ListParagraph"/>
              <w:ind w:hanging="720"/>
              <w:rPr>
                <w:rFonts w:ascii="Arial" w:hAnsi="Arial" w:cs="Arial"/>
                <w:sz w:val="24"/>
                <w:szCs w:val="24"/>
              </w:rPr>
            </w:pPr>
            <w:r w:rsidRPr="003B49F0">
              <w:rPr>
                <w:rFonts w:ascii="Arial" w:hAnsi="Arial" w:cs="Arial"/>
                <w:sz w:val="24"/>
                <w:szCs w:val="24"/>
              </w:rPr>
              <w:t>Looman, J., &amp; Abracen, J. (2013). The risk need responsivity model of offender rehabilitation: Is there really a need for a paradigm shift?</w:t>
            </w:r>
            <w:r>
              <w:rPr>
                <w:rFonts w:ascii="Arial" w:hAnsi="Arial" w:cs="Arial"/>
                <w:sz w:val="24"/>
                <w:szCs w:val="24"/>
              </w:rPr>
              <w:t xml:space="preserve"> </w:t>
            </w:r>
            <w:r w:rsidRPr="003B49F0">
              <w:rPr>
                <w:rFonts w:ascii="Arial" w:hAnsi="Arial" w:cs="Arial"/>
                <w:i/>
                <w:iCs/>
                <w:sz w:val="24"/>
                <w:szCs w:val="24"/>
              </w:rPr>
              <w:t>International Journal of Behavioral Consultation and Therapy, 8(</w:t>
            </w:r>
            <w:r w:rsidRPr="003B49F0">
              <w:rPr>
                <w:rFonts w:ascii="Arial" w:hAnsi="Arial" w:cs="Arial"/>
                <w:sz w:val="24"/>
                <w:szCs w:val="24"/>
              </w:rPr>
              <w:t xml:space="preserve">3-4), 30–36. </w:t>
            </w:r>
            <w:hyperlink r:id="rId20" w:history="1">
              <w:r w:rsidRPr="008279DF">
                <w:rPr>
                  <w:rStyle w:val="Hyperlink"/>
                  <w:rFonts w:ascii="Arial" w:hAnsi="Arial" w:cs="Arial"/>
                  <w:sz w:val="24"/>
                  <w:szCs w:val="24"/>
                </w:rPr>
                <w:t>https://doi.org/10.1037/h0100980</w:t>
              </w:r>
            </w:hyperlink>
            <w:r>
              <w:rPr>
                <w:rFonts w:ascii="Arial" w:hAnsi="Arial" w:cs="Arial"/>
                <w:sz w:val="24"/>
                <w:szCs w:val="24"/>
              </w:rPr>
              <w:t xml:space="preserve"> </w:t>
            </w:r>
          </w:p>
          <w:p w14:paraId="6544B50A" w14:textId="77777777" w:rsidR="00EC613E" w:rsidRDefault="00EC613E" w:rsidP="006F47E2">
            <w:pPr>
              <w:pStyle w:val="ListParagraph"/>
              <w:ind w:hanging="720"/>
              <w:rPr>
                <w:rFonts w:ascii="Arial" w:hAnsi="Arial" w:cs="Arial"/>
                <w:sz w:val="24"/>
                <w:szCs w:val="24"/>
              </w:rPr>
            </w:pPr>
          </w:p>
          <w:p w14:paraId="56AB2692" w14:textId="77777777" w:rsidR="00CF5499" w:rsidRDefault="00CF5499" w:rsidP="00C97318">
            <w:pPr>
              <w:pStyle w:val="ListParagraph"/>
              <w:ind w:hanging="720"/>
              <w:rPr>
                <w:rFonts w:ascii="Arial" w:hAnsi="Arial" w:cs="Arial"/>
                <w:color w:val="212121"/>
                <w:sz w:val="24"/>
                <w:szCs w:val="24"/>
                <w:shd w:val="clear" w:color="auto" w:fill="FFFFFF"/>
              </w:rPr>
            </w:pPr>
            <w:r w:rsidRPr="00443F59">
              <w:rPr>
                <w:rFonts w:ascii="Arial" w:hAnsi="Arial" w:cs="Arial"/>
                <w:color w:val="212121"/>
                <w:sz w:val="24"/>
                <w:szCs w:val="24"/>
                <w:shd w:val="clear" w:color="auto" w:fill="FFFFFF"/>
              </w:rPr>
              <w:t xml:space="preserve">Morgado, A. M., &amp; da Luz Vale-Dias, M. (2013). The antisocial phenomenon in adolescence: What is literature telling us? Aggression and Violent Behavior, 18(4), 436–443. </w:t>
            </w:r>
            <w:hyperlink r:id="rId21" w:history="1">
              <w:r w:rsidRPr="008279DF">
                <w:rPr>
                  <w:rStyle w:val="Hyperlink"/>
                  <w:rFonts w:ascii="Arial" w:hAnsi="Arial" w:cs="Arial"/>
                  <w:sz w:val="24"/>
                  <w:szCs w:val="24"/>
                  <w:shd w:val="clear" w:color="auto" w:fill="FFFFFF"/>
                </w:rPr>
                <w:t>https://doi.org/10.1016/j.avb.2013.05.004</w:t>
              </w:r>
            </w:hyperlink>
            <w:r>
              <w:rPr>
                <w:rFonts w:ascii="Arial" w:hAnsi="Arial" w:cs="Arial"/>
                <w:color w:val="212121"/>
                <w:sz w:val="24"/>
                <w:szCs w:val="24"/>
                <w:shd w:val="clear" w:color="auto" w:fill="FFFFFF"/>
              </w:rPr>
              <w:t xml:space="preserve"> </w:t>
            </w:r>
          </w:p>
          <w:p w14:paraId="5985B576" w14:textId="77777777" w:rsidR="00EC613E" w:rsidRDefault="00EC613E" w:rsidP="00C97318">
            <w:pPr>
              <w:pStyle w:val="ListParagraph"/>
              <w:ind w:hanging="720"/>
              <w:rPr>
                <w:rFonts w:ascii="Arial" w:hAnsi="Arial" w:cs="Arial"/>
                <w:color w:val="212121"/>
                <w:sz w:val="24"/>
                <w:szCs w:val="24"/>
                <w:shd w:val="clear" w:color="auto" w:fill="FFFFFF"/>
              </w:rPr>
            </w:pPr>
          </w:p>
          <w:p w14:paraId="7EF38C65" w14:textId="6E7CCFD9" w:rsidR="00CF5499" w:rsidRDefault="00CF5499" w:rsidP="00EC613E">
            <w:pPr>
              <w:pStyle w:val="ListParagraph"/>
              <w:ind w:hanging="720"/>
              <w:rPr>
                <w:rFonts w:ascii="Arial" w:hAnsi="Arial" w:cs="Arial"/>
                <w:color w:val="212121"/>
                <w:sz w:val="24"/>
                <w:szCs w:val="24"/>
                <w:shd w:val="clear" w:color="auto" w:fill="FFFFFF"/>
              </w:rPr>
            </w:pPr>
            <w:r w:rsidRPr="008643F9">
              <w:rPr>
                <w:rFonts w:ascii="Arial" w:hAnsi="Arial" w:cs="Arial"/>
                <w:color w:val="212121"/>
                <w:sz w:val="24"/>
                <w:szCs w:val="24"/>
                <w:shd w:val="clear" w:color="auto" w:fill="FFFFFF"/>
              </w:rPr>
              <w:t xml:space="preserve">Prescott, D. S. (2013). Principles and programs for young </w:t>
            </w:r>
            <w:r w:rsidRPr="00EC613E">
              <w:rPr>
                <w:rFonts w:ascii="Arial" w:hAnsi="Arial" w:cs="Arial"/>
                <w:color w:val="212121"/>
                <w:sz w:val="24"/>
                <w:szCs w:val="24"/>
                <w:shd w:val="clear" w:color="auto" w:fill="FFFFFF"/>
              </w:rPr>
              <w:t xml:space="preserve">offenders. </w:t>
            </w:r>
            <w:r w:rsidRPr="00EC613E">
              <w:rPr>
                <w:rFonts w:ascii="Arial" w:hAnsi="Arial" w:cs="Arial"/>
                <w:i/>
                <w:iCs/>
                <w:color w:val="212121"/>
                <w:sz w:val="24"/>
                <w:szCs w:val="24"/>
                <w:shd w:val="clear" w:color="auto" w:fill="FFFFFF"/>
              </w:rPr>
              <w:t>Resource Material Series,</w:t>
            </w:r>
            <w:r w:rsidRPr="00EC613E">
              <w:rPr>
                <w:rFonts w:ascii="Arial" w:hAnsi="Arial" w:cs="Arial"/>
                <w:color w:val="212121"/>
                <w:sz w:val="24"/>
                <w:szCs w:val="24"/>
                <w:shd w:val="clear" w:color="auto" w:fill="FFFFFF"/>
              </w:rPr>
              <w:t xml:space="preserve"> (91), 69-79.</w:t>
            </w:r>
          </w:p>
          <w:p w14:paraId="71A6D288" w14:textId="77777777" w:rsidR="00EC613E" w:rsidRPr="00EC613E" w:rsidRDefault="00EC613E" w:rsidP="00EC613E">
            <w:pPr>
              <w:rPr>
                <w:rFonts w:ascii="Arial" w:hAnsi="Arial" w:cs="Arial"/>
                <w:color w:val="212121"/>
                <w:shd w:val="clear" w:color="auto" w:fill="FFFFFF"/>
              </w:rPr>
            </w:pPr>
          </w:p>
          <w:p w14:paraId="12E59379" w14:textId="77777777" w:rsidR="00CF5499" w:rsidRDefault="00CF5499" w:rsidP="002D3D3A">
            <w:pPr>
              <w:pStyle w:val="ListParagraph"/>
              <w:ind w:hanging="720"/>
              <w:rPr>
                <w:rFonts w:ascii="Arial" w:hAnsi="Arial" w:cs="Arial"/>
                <w:sz w:val="24"/>
                <w:szCs w:val="24"/>
              </w:rPr>
            </w:pPr>
            <w:r w:rsidRPr="003148B2">
              <w:rPr>
                <w:rFonts w:ascii="Arial" w:hAnsi="Arial" w:cs="Arial"/>
                <w:sz w:val="24"/>
                <w:szCs w:val="24"/>
              </w:rPr>
              <w:t xml:space="preserve">Ramezani, N., Bhati, A., Murphy, A., Routh, D., &amp; Taxman, F. S. (2022). Assessing the reliability and validity of the Risk-Need-Responsivity (RNR) program tool. </w:t>
            </w:r>
            <w:r w:rsidRPr="003148B2">
              <w:rPr>
                <w:rFonts w:ascii="Arial" w:hAnsi="Arial" w:cs="Arial"/>
                <w:i/>
                <w:iCs/>
                <w:sz w:val="24"/>
                <w:szCs w:val="24"/>
              </w:rPr>
              <w:t>Health &amp; justice, 10</w:t>
            </w:r>
            <w:r w:rsidRPr="003148B2">
              <w:rPr>
                <w:rFonts w:ascii="Arial" w:hAnsi="Arial" w:cs="Arial"/>
                <w:sz w:val="24"/>
                <w:szCs w:val="24"/>
              </w:rPr>
              <w:t>(1), 19.</w:t>
            </w:r>
          </w:p>
          <w:p w14:paraId="12A94CF3" w14:textId="77777777" w:rsidR="00EC613E" w:rsidRDefault="00EC613E" w:rsidP="002D3D3A">
            <w:pPr>
              <w:pStyle w:val="ListParagraph"/>
              <w:ind w:hanging="720"/>
              <w:rPr>
                <w:rFonts w:ascii="Arial" w:hAnsi="Arial" w:cs="Arial"/>
                <w:sz w:val="24"/>
                <w:szCs w:val="24"/>
              </w:rPr>
            </w:pPr>
          </w:p>
          <w:p w14:paraId="0C574966" w14:textId="77777777" w:rsidR="00CF5499" w:rsidRDefault="00CF5499" w:rsidP="006F47E2">
            <w:pPr>
              <w:pStyle w:val="ListParagraph"/>
              <w:ind w:hanging="720"/>
              <w:rPr>
                <w:rFonts w:ascii="Arial" w:hAnsi="Arial" w:cs="Arial"/>
                <w:sz w:val="24"/>
                <w:szCs w:val="24"/>
              </w:rPr>
            </w:pPr>
            <w:r w:rsidRPr="002A1BD3">
              <w:rPr>
                <w:rFonts w:ascii="Arial" w:hAnsi="Arial" w:cs="Arial"/>
                <w:sz w:val="24"/>
                <w:szCs w:val="24"/>
              </w:rPr>
              <w:t xml:space="preserve">Richards, K. (2011). What makes juvenile offenders different from adult offenders?. </w:t>
            </w:r>
            <w:r w:rsidRPr="002A1BD3">
              <w:rPr>
                <w:rFonts w:ascii="Arial" w:hAnsi="Arial" w:cs="Arial"/>
                <w:i/>
                <w:iCs/>
                <w:sz w:val="24"/>
                <w:szCs w:val="24"/>
              </w:rPr>
              <w:t>Trends and issues in crime and criminal justice</w:t>
            </w:r>
            <w:r w:rsidRPr="002A1BD3">
              <w:rPr>
                <w:rFonts w:ascii="Arial" w:hAnsi="Arial" w:cs="Arial"/>
                <w:sz w:val="24"/>
                <w:szCs w:val="24"/>
              </w:rPr>
              <w:t>, (409), 1-8.</w:t>
            </w:r>
          </w:p>
          <w:p w14:paraId="1E18B5A2" w14:textId="77777777" w:rsidR="00EC613E" w:rsidRDefault="00EC613E" w:rsidP="006F47E2">
            <w:pPr>
              <w:pStyle w:val="ListParagraph"/>
              <w:ind w:hanging="720"/>
              <w:rPr>
                <w:rFonts w:ascii="Arial" w:hAnsi="Arial" w:cs="Arial"/>
                <w:sz w:val="24"/>
                <w:szCs w:val="24"/>
              </w:rPr>
            </w:pPr>
          </w:p>
          <w:p w14:paraId="0BA789A0" w14:textId="77777777" w:rsidR="00CF5499" w:rsidRDefault="00CF5499" w:rsidP="00CF5499">
            <w:pPr>
              <w:pStyle w:val="ListParagraph"/>
              <w:ind w:hanging="720"/>
              <w:rPr>
                <w:rFonts w:ascii="Arial" w:hAnsi="Arial" w:cs="Arial"/>
                <w:sz w:val="24"/>
                <w:szCs w:val="24"/>
              </w:rPr>
            </w:pPr>
            <w:r w:rsidRPr="00DC7FE0">
              <w:rPr>
                <w:rFonts w:ascii="Arial" w:hAnsi="Arial" w:cs="Arial"/>
                <w:sz w:val="24"/>
                <w:szCs w:val="24"/>
              </w:rPr>
              <w:t xml:space="preserve">Serie, Colinda &amp; Van Damme, Lore &amp; Pleysier, Stefaan &amp; De Ruiter, Corine &amp; Put, Johan. (2021). The relationship between primary human needs of the Good Lives Model (GLM) and subjective well-being in adolescents: A multi-level meta-analysis. </w:t>
            </w:r>
            <w:r w:rsidRPr="00DC7FE0">
              <w:rPr>
                <w:rFonts w:ascii="Arial" w:hAnsi="Arial" w:cs="Arial"/>
                <w:i/>
                <w:iCs/>
                <w:sz w:val="24"/>
                <w:szCs w:val="24"/>
              </w:rPr>
              <w:t>Aggression and Violent Behavior. 61</w:t>
            </w:r>
            <w:r w:rsidRPr="00230E09">
              <w:rPr>
                <w:rFonts w:ascii="Arial" w:hAnsi="Arial" w:cs="Arial"/>
                <w:sz w:val="24"/>
                <w:szCs w:val="24"/>
              </w:rPr>
              <w:t>(1).</w:t>
            </w:r>
            <w:r w:rsidRPr="00DC7FE0">
              <w:rPr>
                <w:rFonts w:ascii="Arial" w:hAnsi="Arial" w:cs="Arial"/>
                <w:sz w:val="24"/>
                <w:szCs w:val="24"/>
              </w:rPr>
              <w:t xml:space="preserve"> </w:t>
            </w:r>
            <w:hyperlink r:id="rId22" w:history="1">
              <w:r w:rsidRPr="008279DF">
                <w:rPr>
                  <w:rStyle w:val="Hyperlink"/>
                  <w:rFonts w:ascii="Arial" w:hAnsi="Arial" w:cs="Arial"/>
                  <w:sz w:val="24"/>
                  <w:szCs w:val="24"/>
                </w:rPr>
                <w:t>https://doi.org/10.1016/j.avb.2021</w:t>
              </w:r>
            </w:hyperlink>
            <w:r>
              <w:rPr>
                <w:rFonts w:ascii="Arial" w:hAnsi="Arial" w:cs="Arial"/>
                <w:sz w:val="24"/>
                <w:szCs w:val="24"/>
              </w:rPr>
              <w:t xml:space="preserve"> </w:t>
            </w:r>
          </w:p>
          <w:p w14:paraId="60B0BFE8" w14:textId="77777777" w:rsidR="00EC613E" w:rsidRDefault="00EC613E" w:rsidP="00CF5499">
            <w:pPr>
              <w:pStyle w:val="ListParagraph"/>
              <w:ind w:hanging="720"/>
              <w:rPr>
                <w:rFonts w:ascii="Arial" w:hAnsi="Arial" w:cs="Arial"/>
                <w:sz w:val="24"/>
                <w:szCs w:val="24"/>
              </w:rPr>
            </w:pPr>
          </w:p>
          <w:p w14:paraId="3557821D" w14:textId="77777777" w:rsidR="00CF5499" w:rsidRDefault="00CF5499" w:rsidP="006F47E2">
            <w:pPr>
              <w:pStyle w:val="ListParagraph"/>
              <w:ind w:hanging="720"/>
              <w:rPr>
                <w:rFonts w:ascii="Arial" w:hAnsi="Arial" w:cs="Arial"/>
                <w:sz w:val="24"/>
                <w:szCs w:val="24"/>
              </w:rPr>
            </w:pPr>
            <w:r w:rsidRPr="005F39B9">
              <w:rPr>
                <w:rFonts w:ascii="Arial" w:hAnsi="Arial" w:cs="Arial"/>
                <w:sz w:val="24"/>
                <w:szCs w:val="24"/>
              </w:rPr>
              <w:t>Singh, J. P., Desmarais, S. L., Sellers, B. G., Hylton, T., Tirotti, M., &amp; Van Dorn, R. A. (2014). From risk assessment to risk management: Matching interventions to adolescent offenders' strengths and vulnerabilities</w:t>
            </w:r>
            <w:r w:rsidRPr="005F39B9">
              <w:rPr>
                <w:rFonts w:ascii="Arial" w:hAnsi="Arial" w:cs="Arial"/>
                <w:i/>
                <w:iCs/>
                <w:sz w:val="24"/>
                <w:szCs w:val="24"/>
              </w:rPr>
              <w:t>. Children and Youth Services Review, 47</w:t>
            </w:r>
            <w:r w:rsidRPr="005F39B9">
              <w:rPr>
                <w:rFonts w:ascii="Arial" w:hAnsi="Arial" w:cs="Arial"/>
                <w:sz w:val="24"/>
                <w:szCs w:val="24"/>
              </w:rPr>
              <w:t xml:space="preserve">(1), 1–9. </w:t>
            </w:r>
            <w:hyperlink r:id="rId23" w:history="1">
              <w:r w:rsidRPr="008279DF">
                <w:rPr>
                  <w:rStyle w:val="Hyperlink"/>
                  <w:rFonts w:ascii="Arial" w:hAnsi="Arial" w:cs="Arial"/>
                  <w:sz w:val="24"/>
                  <w:szCs w:val="24"/>
                </w:rPr>
                <w:t>https://doi.org/10.1016/j.childyouth.2013.09.015</w:t>
              </w:r>
            </w:hyperlink>
            <w:r>
              <w:rPr>
                <w:rFonts w:ascii="Arial" w:hAnsi="Arial" w:cs="Arial"/>
                <w:sz w:val="24"/>
                <w:szCs w:val="24"/>
              </w:rPr>
              <w:t xml:space="preserve"> </w:t>
            </w:r>
          </w:p>
          <w:p w14:paraId="795AE8BC" w14:textId="77777777" w:rsidR="00EC613E" w:rsidRDefault="00EC613E" w:rsidP="006F47E2">
            <w:pPr>
              <w:pStyle w:val="ListParagraph"/>
              <w:ind w:hanging="720"/>
              <w:rPr>
                <w:rFonts w:ascii="Arial" w:hAnsi="Arial" w:cs="Arial"/>
                <w:sz w:val="24"/>
                <w:szCs w:val="24"/>
              </w:rPr>
            </w:pPr>
          </w:p>
          <w:p w14:paraId="792754D8" w14:textId="39FDD5B8" w:rsidR="00CF5499" w:rsidRDefault="00CF5499" w:rsidP="00CF5499">
            <w:pPr>
              <w:pStyle w:val="ListParagraph"/>
              <w:ind w:hanging="720"/>
              <w:rPr>
                <w:rFonts w:ascii="Arial" w:hAnsi="Arial" w:cs="Arial"/>
                <w:sz w:val="24"/>
                <w:szCs w:val="24"/>
              </w:rPr>
            </w:pPr>
            <w:r w:rsidRPr="00CF5499">
              <w:rPr>
                <w:rFonts w:ascii="Arial" w:hAnsi="Arial" w:cs="Arial"/>
                <w:sz w:val="24"/>
                <w:szCs w:val="24"/>
              </w:rPr>
              <w:t xml:space="preserve">Skřivánková, P., Páv, M., Faberová, K., Perkins, D., Boukalová, H., Adam, D., Mazouchová, A., Gillernová, I., Anders, M., &amp; Kitzlerová, E. (2023). Violence risk and personality assessment in adolescents by Structured Assessment of Violence Risk in Youth (SAVRY) and high school personality questionnaire (HSPQ): Focus on protective factors strengthening. Frontiers in psychiatry, 13, 1067450. </w:t>
            </w:r>
            <w:hyperlink r:id="rId24" w:history="1">
              <w:r w:rsidRPr="00F13A85">
                <w:rPr>
                  <w:rStyle w:val="Hyperlink"/>
                  <w:rFonts w:ascii="Arial" w:hAnsi="Arial" w:cs="Arial"/>
                  <w:sz w:val="24"/>
                  <w:szCs w:val="24"/>
                </w:rPr>
                <w:t>https://doi.org/10.3389/fpsyt.2022.1067450</w:t>
              </w:r>
            </w:hyperlink>
            <w:r>
              <w:rPr>
                <w:rFonts w:ascii="Arial" w:hAnsi="Arial" w:cs="Arial"/>
                <w:sz w:val="24"/>
                <w:szCs w:val="24"/>
              </w:rPr>
              <w:t xml:space="preserve"> </w:t>
            </w:r>
          </w:p>
          <w:p w14:paraId="13E61D02" w14:textId="77777777" w:rsidR="00EC613E" w:rsidRDefault="00EC613E" w:rsidP="00CF5499">
            <w:pPr>
              <w:pStyle w:val="ListParagraph"/>
              <w:ind w:hanging="720"/>
              <w:rPr>
                <w:rFonts w:ascii="Arial" w:hAnsi="Arial" w:cs="Arial"/>
                <w:sz w:val="24"/>
                <w:szCs w:val="24"/>
              </w:rPr>
            </w:pPr>
          </w:p>
          <w:p w14:paraId="74EED927" w14:textId="77777777" w:rsidR="00CF5499" w:rsidRDefault="00CF5499" w:rsidP="00EC613E">
            <w:pPr>
              <w:ind w:left="720" w:hanging="720"/>
              <w:rPr>
                <w:rFonts w:ascii="Arial" w:eastAsia="Calibri" w:hAnsi="Arial" w:cs="Arial"/>
                <w:lang w:eastAsia="en-US"/>
              </w:rPr>
            </w:pPr>
            <w:r w:rsidRPr="007C7FBB">
              <w:rPr>
                <w:rFonts w:ascii="Arial" w:eastAsia="Calibri" w:hAnsi="Arial" w:cs="Arial"/>
                <w:lang w:eastAsia="en-US"/>
              </w:rPr>
              <w:t xml:space="preserve">Taxman F. (2014). Second generation of RNR: The importance of systemic responsivity in expanding core principles of responsivity. </w:t>
            </w:r>
            <w:r w:rsidRPr="007C7FBB">
              <w:rPr>
                <w:rFonts w:ascii="Arial" w:eastAsia="Calibri" w:hAnsi="Arial" w:cs="Arial"/>
                <w:i/>
                <w:iCs/>
                <w:lang w:eastAsia="en-US"/>
              </w:rPr>
              <w:t>Federal Probation, 78</w:t>
            </w:r>
            <w:r w:rsidRPr="007C7FBB">
              <w:rPr>
                <w:rFonts w:ascii="Arial" w:eastAsia="Calibri" w:hAnsi="Arial" w:cs="Arial"/>
                <w:lang w:eastAsia="en-US"/>
              </w:rPr>
              <w:t>, 32–40.</w:t>
            </w:r>
          </w:p>
          <w:p w14:paraId="5078F3EF" w14:textId="77777777" w:rsidR="00B57DB5" w:rsidRDefault="00B57DB5" w:rsidP="007C7FBB">
            <w:pPr>
              <w:rPr>
                <w:rFonts w:ascii="Arial" w:eastAsia="Calibri" w:hAnsi="Arial" w:cs="Arial"/>
                <w:lang w:eastAsia="en-US"/>
              </w:rPr>
            </w:pPr>
          </w:p>
          <w:p w14:paraId="31AD54FC" w14:textId="2E72697F" w:rsidR="00EC613E" w:rsidRDefault="00CF5499" w:rsidP="00EC613E">
            <w:pPr>
              <w:pStyle w:val="ListParagraph"/>
              <w:ind w:hanging="720"/>
              <w:rPr>
                <w:rFonts w:ascii="Arial" w:hAnsi="Arial" w:cs="Arial"/>
                <w:color w:val="212121"/>
                <w:sz w:val="24"/>
                <w:szCs w:val="24"/>
                <w:shd w:val="clear" w:color="auto" w:fill="FFFFFF"/>
              </w:rPr>
            </w:pPr>
            <w:r w:rsidRPr="003F428A">
              <w:rPr>
                <w:rFonts w:ascii="Arial" w:hAnsi="Arial" w:cs="Arial"/>
                <w:color w:val="212121"/>
                <w:sz w:val="24"/>
                <w:szCs w:val="24"/>
                <w:shd w:val="clear" w:color="auto" w:fill="FFFFFF"/>
              </w:rPr>
              <w:lastRenderedPageBreak/>
              <w:t>United Nations Children's Fund (UNICEF)</w:t>
            </w:r>
            <w:r>
              <w:rPr>
                <w:rFonts w:ascii="Arial" w:hAnsi="Arial" w:cs="Arial"/>
                <w:color w:val="212121"/>
                <w:sz w:val="24"/>
                <w:szCs w:val="24"/>
                <w:shd w:val="clear" w:color="auto" w:fill="FFFFFF"/>
              </w:rPr>
              <w:t>.</w:t>
            </w:r>
            <w:r w:rsidRPr="003F428A">
              <w:rPr>
                <w:rFonts w:ascii="Arial" w:hAnsi="Arial" w:cs="Arial"/>
                <w:color w:val="212121"/>
                <w:sz w:val="24"/>
                <w:szCs w:val="24"/>
                <w:shd w:val="clear" w:color="auto" w:fill="FFFFFF"/>
              </w:rPr>
              <w:t xml:space="preserve"> </w:t>
            </w:r>
            <w:r>
              <w:rPr>
                <w:rFonts w:ascii="Arial" w:hAnsi="Arial" w:cs="Arial"/>
                <w:color w:val="212121"/>
                <w:sz w:val="24"/>
                <w:szCs w:val="24"/>
                <w:shd w:val="clear" w:color="auto" w:fill="FFFFFF"/>
              </w:rPr>
              <w:t>(</w:t>
            </w:r>
            <w:r w:rsidRPr="003F428A">
              <w:rPr>
                <w:rFonts w:ascii="Arial" w:hAnsi="Arial" w:cs="Arial"/>
                <w:color w:val="212121"/>
                <w:sz w:val="24"/>
                <w:szCs w:val="24"/>
                <w:shd w:val="clear" w:color="auto" w:fill="FFFFFF"/>
              </w:rPr>
              <w:t>2013</w:t>
            </w:r>
            <w:r>
              <w:rPr>
                <w:rFonts w:ascii="Arial" w:hAnsi="Arial" w:cs="Arial"/>
                <w:color w:val="212121"/>
                <w:sz w:val="24"/>
                <w:szCs w:val="24"/>
                <w:shd w:val="clear" w:color="auto" w:fill="FFFFFF"/>
              </w:rPr>
              <w:t xml:space="preserve">). </w:t>
            </w:r>
            <w:r w:rsidRPr="003F428A">
              <w:rPr>
                <w:rFonts w:ascii="Arial" w:hAnsi="Arial" w:cs="Arial"/>
                <w:i/>
                <w:iCs/>
                <w:color w:val="212121"/>
                <w:sz w:val="24"/>
                <w:szCs w:val="24"/>
                <w:shd w:val="clear" w:color="auto" w:fill="FFFFFF"/>
              </w:rPr>
              <w:t>Juvenile justice in the CEE/CIS region: Progress, challenges, obstacles, and opportunities</w:t>
            </w:r>
            <w:r w:rsidR="00EC613E">
              <w:rPr>
                <w:rFonts w:ascii="Arial" w:hAnsi="Arial" w:cs="Arial"/>
                <w:i/>
                <w:iCs/>
                <w:color w:val="212121"/>
                <w:sz w:val="24"/>
                <w:szCs w:val="24"/>
                <w:shd w:val="clear" w:color="auto" w:fill="FFFFFF"/>
              </w:rPr>
              <w:t xml:space="preserve">. </w:t>
            </w:r>
            <w:hyperlink r:id="rId25" w:history="1">
              <w:r w:rsidR="00EC613E" w:rsidRPr="00E85DA4">
                <w:rPr>
                  <w:rStyle w:val="Hyperlink"/>
                  <w:rFonts w:ascii="Arial" w:hAnsi="Arial" w:cs="Arial"/>
                  <w:sz w:val="24"/>
                  <w:szCs w:val="24"/>
                  <w:shd w:val="clear" w:color="auto" w:fill="FFFFFF"/>
                </w:rPr>
                <w:t>https://www.unicef.org/ceecis/Juvenile_Justice_CEECIS_A4_EN_web.pdf</w:t>
              </w:r>
            </w:hyperlink>
            <w:r w:rsidR="00EC613E">
              <w:rPr>
                <w:rFonts w:ascii="Arial" w:hAnsi="Arial" w:cs="Arial"/>
                <w:color w:val="212121"/>
                <w:sz w:val="24"/>
                <w:szCs w:val="24"/>
                <w:shd w:val="clear" w:color="auto" w:fill="FFFFFF"/>
              </w:rPr>
              <w:t xml:space="preserve"> </w:t>
            </w:r>
          </w:p>
          <w:p w14:paraId="03C6775A" w14:textId="77777777" w:rsidR="00EC613E" w:rsidRPr="00EC613E" w:rsidRDefault="00EC613E" w:rsidP="00EC613E">
            <w:pPr>
              <w:rPr>
                <w:rFonts w:ascii="Arial" w:hAnsi="Arial" w:cs="Arial"/>
                <w:color w:val="212121"/>
                <w:shd w:val="clear" w:color="auto" w:fill="FFFFFF"/>
              </w:rPr>
            </w:pPr>
          </w:p>
          <w:p w14:paraId="4822F9E2" w14:textId="77777777" w:rsidR="00CF5499" w:rsidRDefault="00CF5499" w:rsidP="006F47E2">
            <w:pPr>
              <w:pStyle w:val="ListParagraph"/>
              <w:ind w:hanging="720"/>
              <w:rPr>
                <w:rFonts w:ascii="Arial" w:hAnsi="Arial" w:cs="Arial"/>
                <w:sz w:val="24"/>
                <w:szCs w:val="24"/>
              </w:rPr>
            </w:pPr>
            <w:r w:rsidRPr="00DD62F7">
              <w:rPr>
                <w:rFonts w:ascii="Arial" w:hAnsi="Arial" w:cs="Arial"/>
                <w:sz w:val="24"/>
                <w:szCs w:val="24"/>
              </w:rPr>
              <w:t>Van Damme, L</w:t>
            </w:r>
            <w:r>
              <w:rPr>
                <w:rFonts w:ascii="Arial" w:hAnsi="Arial" w:cs="Arial"/>
                <w:sz w:val="24"/>
                <w:szCs w:val="24"/>
              </w:rPr>
              <w:t>.,</w:t>
            </w:r>
            <w:r w:rsidRPr="00DD62F7">
              <w:rPr>
                <w:rFonts w:ascii="Arial" w:hAnsi="Arial" w:cs="Arial"/>
                <w:sz w:val="24"/>
                <w:szCs w:val="24"/>
              </w:rPr>
              <w:t xml:space="preserve"> Fortune, C</w:t>
            </w:r>
            <w:r>
              <w:rPr>
                <w:rFonts w:ascii="Arial" w:hAnsi="Arial" w:cs="Arial"/>
                <w:sz w:val="24"/>
                <w:szCs w:val="24"/>
              </w:rPr>
              <w:t>.,</w:t>
            </w:r>
            <w:r w:rsidRPr="00DD62F7">
              <w:rPr>
                <w:rFonts w:ascii="Arial" w:hAnsi="Arial" w:cs="Arial"/>
                <w:sz w:val="24"/>
                <w:szCs w:val="24"/>
              </w:rPr>
              <w:t xml:space="preserve"> Vandevelde, S</w:t>
            </w:r>
            <w:r>
              <w:rPr>
                <w:rFonts w:ascii="Arial" w:hAnsi="Arial" w:cs="Arial"/>
                <w:sz w:val="24"/>
                <w:szCs w:val="24"/>
              </w:rPr>
              <w:t>.,</w:t>
            </w:r>
            <w:r w:rsidRPr="00DD62F7">
              <w:rPr>
                <w:rFonts w:ascii="Arial" w:hAnsi="Arial" w:cs="Arial"/>
                <w:sz w:val="24"/>
                <w:szCs w:val="24"/>
              </w:rPr>
              <w:t xml:space="preserve"> &amp; Vanderplasschen, W. (2017). The Good Lives Model among detained female adolescents. Aggression and Violent Behavior. 37. 179-189. </w:t>
            </w:r>
            <w:hyperlink r:id="rId26" w:history="1">
              <w:r w:rsidRPr="008279DF">
                <w:rPr>
                  <w:rStyle w:val="Hyperlink"/>
                  <w:rFonts w:ascii="Arial" w:hAnsi="Arial" w:cs="Arial"/>
                  <w:sz w:val="24"/>
                  <w:szCs w:val="24"/>
                </w:rPr>
                <w:t>https://doi.org/10.1016/j.avb</w:t>
              </w:r>
            </w:hyperlink>
            <w:r>
              <w:rPr>
                <w:rFonts w:ascii="Arial" w:hAnsi="Arial" w:cs="Arial"/>
                <w:sz w:val="24"/>
                <w:szCs w:val="24"/>
              </w:rPr>
              <w:t xml:space="preserve"> </w:t>
            </w:r>
          </w:p>
          <w:p w14:paraId="198B2982" w14:textId="77777777" w:rsidR="00EC613E" w:rsidRDefault="00EC613E" w:rsidP="006F47E2">
            <w:pPr>
              <w:pStyle w:val="ListParagraph"/>
              <w:ind w:hanging="720"/>
              <w:rPr>
                <w:rFonts w:ascii="Arial" w:hAnsi="Arial" w:cs="Arial"/>
                <w:sz w:val="24"/>
                <w:szCs w:val="24"/>
              </w:rPr>
            </w:pPr>
          </w:p>
          <w:p w14:paraId="00D91F15" w14:textId="77777777" w:rsidR="00CF5499" w:rsidRDefault="00CF5499" w:rsidP="003F428A">
            <w:pPr>
              <w:pStyle w:val="ListParagraph"/>
              <w:ind w:hanging="720"/>
              <w:rPr>
                <w:rFonts w:ascii="Arial" w:hAnsi="Arial" w:cs="Arial"/>
                <w:color w:val="212121"/>
                <w:sz w:val="24"/>
                <w:szCs w:val="24"/>
                <w:shd w:val="clear" w:color="auto" w:fill="FFFFFF"/>
              </w:rPr>
            </w:pPr>
            <w:r w:rsidRPr="005C3E91">
              <w:rPr>
                <w:rFonts w:ascii="Arial" w:hAnsi="Arial" w:cs="Arial"/>
                <w:color w:val="212121"/>
                <w:sz w:val="24"/>
                <w:szCs w:val="24"/>
                <w:shd w:val="clear" w:color="auto" w:fill="FFFFFF"/>
              </w:rPr>
              <w:t xml:space="preserve">Ward, T. (2012). The good lives model of offender rehabilitation: Basic assumptions, aetiological commitments, and practice implications. In </w:t>
            </w:r>
            <w:r w:rsidRPr="00E53B7E">
              <w:rPr>
                <w:rFonts w:ascii="Arial" w:hAnsi="Arial" w:cs="Arial"/>
                <w:i/>
                <w:iCs/>
                <w:color w:val="212121"/>
                <w:sz w:val="24"/>
                <w:szCs w:val="24"/>
                <w:shd w:val="clear" w:color="auto" w:fill="FFFFFF"/>
              </w:rPr>
              <w:t>Offender Supervision</w:t>
            </w:r>
            <w:r w:rsidRPr="005C3E91">
              <w:rPr>
                <w:rFonts w:ascii="Arial" w:hAnsi="Arial" w:cs="Arial"/>
                <w:color w:val="212121"/>
                <w:sz w:val="24"/>
                <w:szCs w:val="24"/>
                <w:shd w:val="clear" w:color="auto" w:fill="FFFFFF"/>
              </w:rPr>
              <w:t xml:space="preserve"> (pp. 41-64). Willan.</w:t>
            </w:r>
            <w:r>
              <w:rPr>
                <w:rFonts w:ascii="Arial" w:hAnsi="Arial" w:cs="Arial"/>
                <w:color w:val="212121"/>
                <w:sz w:val="24"/>
                <w:szCs w:val="24"/>
                <w:shd w:val="clear" w:color="auto" w:fill="FFFFFF"/>
              </w:rPr>
              <w:t xml:space="preserve"> </w:t>
            </w:r>
          </w:p>
          <w:p w14:paraId="20C71FF6" w14:textId="77777777" w:rsidR="00EC613E" w:rsidRDefault="00EC613E" w:rsidP="003F428A">
            <w:pPr>
              <w:pStyle w:val="ListParagraph"/>
              <w:ind w:hanging="720"/>
              <w:rPr>
                <w:rFonts w:ascii="Arial" w:hAnsi="Arial" w:cs="Arial"/>
                <w:color w:val="212121"/>
                <w:sz w:val="24"/>
                <w:szCs w:val="24"/>
                <w:shd w:val="clear" w:color="auto" w:fill="FFFFFF"/>
              </w:rPr>
            </w:pPr>
          </w:p>
          <w:p w14:paraId="248A2326" w14:textId="77777777" w:rsidR="00CF5499" w:rsidRDefault="00CF5499" w:rsidP="003F428A">
            <w:pPr>
              <w:pStyle w:val="ListParagraph"/>
              <w:ind w:hanging="720"/>
              <w:rPr>
                <w:rFonts w:ascii="Arial" w:hAnsi="Arial" w:cs="Arial"/>
                <w:color w:val="212121"/>
                <w:sz w:val="24"/>
                <w:szCs w:val="24"/>
                <w:shd w:val="clear" w:color="auto" w:fill="FFFFFF"/>
              </w:rPr>
            </w:pPr>
            <w:r w:rsidRPr="0070013D">
              <w:rPr>
                <w:rFonts w:ascii="Arial" w:hAnsi="Arial" w:cs="Arial"/>
                <w:color w:val="212121"/>
                <w:sz w:val="24"/>
                <w:szCs w:val="24"/>
                <w:shd w:val="clear" w:color="auto" w:fill="FFFFFF"/>
              </w:rPr>
              <w:t xml:space="preserve">Ward, T. (2016). Dynamic risk factors: Scientific kinds or predictive constructs. </w:t>
            </w:r>
            <w:r w:rsidRPr="0070013D">
              <w:rPr>
                <w:rFonts w:ascii="Arial" w:hAnsi="Arial" w:cs="Arial"/>
                <w:i/>
                <w:iCs/>
                <w:color w:val="212121"/>
                <w:sz w:val="24"/>
                <w:szCs w:val="24"/>
                <w:shd w:val="clear" w:color="auto" w:fill="FFFFFF"/>
              </w:rPr>
              <w:t>Psychology, Crime &amp; Law, 22</w:t>
            </w:r>
            <w:r w:rsidRPr="0070013D">
              <w:rPr>
                <w:rFonts w:ascii="Arial" w:hAnsi="Arial" w:cs="Arial"/>
                <w:color w:val="212121"/>
                <w:sz w:val="24"/>
                <w:szCs w:val="24"/>
                <w:shd w:val="clear" w:color="auto" w:fill="FFFFFF"/>
              </w:rPr>
              <w:t>(1-2), 2-16.</w:t>
            </w:r>
            <w:r>
              <w:rPr>
                <w:rFonts w:ascii="Arial" w:hAnsi="Arial" w:cs="Arial"/>
                <w:color w:val="212121"/>
                <w:sz w:val="24"/>
                <w:szCs w:val="24"/>
                <w:shd w:val="clear" w:color="auto" w:fill="FFFFFF"/>
              </w:rPr>
              <w:t xml:space="preserve"> </w:t>
            </w:r>
            <w:hyperlink r:id="rId27" w:history="1">
              <w:r w:rsidRPr="008279DF">
                <w:rPr>
                  <w:rStyle w:val="Hyperlink"/>
                  <w:rFonts w:ascii="Arial" w:hAnsi="Arial" w:cs="Arial"/>
                  <w:sz w:val="24"/>
                  <w:szCs w:val="24"/>
                  <w:shd w:val="clear" w:color="auto" w:fill="FFFFFF"/>
                </w:rPr>
                <w:t>https://doi.org/10.1080/1068316X.2015.1109094</w:t>
              </w:r>
            </w:hyperlink>
            <w:r>
              <w:rPr>
                <w:rFonts w:ascii="Arial" w:hAnsi="Arial" w:cs="Arial"/>
                <w:color w:val="212121"/>
                <w:sz w:val="24"/>
                <w:szCs w:val="24"/>
                <w:shd w:val="clear" w:color="auto" w:fill="FFFFFF"/>
              </w:rPr>
              <w:t xml:space="preserve"> </w:t>
            </w:r>
          </w:p>
          <w:p w14:paraId="367E1A81" w14:textId="77777777" w:rsidR="00EC613E" w:rsidRDefault="00EC613E" w:rsidP="003F428A">
            <w:pPr>
              <w:pStyle w:val="ListParagraph"/>
              <w:ind w:hanging="720"/>
              <w:rPr>
                <w:rFonts w:ascii="Arial" w:hAnsi="Arial" w:cs="Arial"/>
                <w:color w:val="212121"/>
                <w:sz w:val="24"/>
                <w:szCs w:val="24"/>
                <w:shd w:val="clear" w:color="auto" w:fill="FFFFFF"/>
              </w:rPr>
            </w:pPr>
          </w:p>
          <w:p w14:paraId="62733D53" w14:textId="77777777" w:rsidR="00CF5499" w:rsidRDefault="00CF5499" w:rsidP="006F47E2">
            <w:pPr>
              <w:pStyle w:val="ListParagraph"/>
              <w:ind w:hanging="720"/>
              <w:rPr>
                <w:rFonts w:ascii="Arial" w:hAnsi="Arial" w:cs="Arial"/>
                <w:sz w:val="24"/>
                <w:szCs w:val="24"/>
              </w:rPr>
            </w:pPr>
            <w:r w:rsidRPr="006F47E2">
              <w:rPr>
                <w:rFonts w:ascii="Arial" w:hAnsi="Arial" w:cs="Arial"/>
                <w:sz w:val="24"/>
                <w:szCs w:val="24"/>
              </w:rPr>
              <w:t xml:space="preserve">Ward, T. and Stewart, C.A. (2003) The Treatment of Sex Offenders: Risk Management and Good Lives. </w:t>
            </w:r>
            <w:r w:rsidRPr="006F47E2">
              <w:rPr>
                <w:rFonts w:ascii="Arial" w:hAnsi="Arial" w:cs="Arial"/>
                <w:i/>
                <w:iCs/>
                <w:sz w:val="24"/>
                <w:szCs w:val="24"/>
              </w:rPr>
              <w:t>Professional Psychology: Research and Practice, 34</w:t>
            </w:r>
            <w:r w:rsidRPr="006F47E2">
              <w:rPr>
                <w:rFonts w:ascii="Arial" w:hAnsi="Arial" w:cs="Arial"/>
                <w:sz w:val="24"/>
                <w:szCs w:val="24"/>
              </w:rPr>
              <w:t>, 353-360.</w:t>
            </w:r>
          </w:p>
          <w:p w14:paraId="039EF98D" w14:textId="77777777" w:rsidR="00EC613E" w:rsidRPr="006F47E2" w:rsidRDefault="00EC613E" w:rsidP="006F47E2">
            <w:pPr>
              <w:pStyle w:val="ListParagraph"/>
              <w:ind w:hanging="720"/>
              <w:rPr>
                <w:rFonts w:ascii="Arial" w:hAnsi="Arial" w:cs="Arial"/>
                <w:sz w:val="24"/>
                <w:szCs w:val="24"/>
              </w:rPr>
            </w:pPr>
          </w:p>
          <w:p w14:paraId="7A047A4B" w14:textId="77777777" w:rsidR="00CF5499" w:rsidRDefault="00CF5499" w:rsidP="00C97318">
            <w:pPr>
              <w:pStyle w:val="ListParagraph"/>
              <w:ind w:hanging="720"/>
              <w:rPr>
                <w:rFonts w:ascii="Arial" w:hAnsi="Arial" w:cs="Arial"/>
                <w:sz w:val="24"/>
                <w:szCs w:val="24"/>
              </w:rPr>
            </w:pPr>
            <w:r w:rsidRPr="001803B7">
              <w:rPr>
                <w:rFonts w:ascii="Arial" w:hAnsi="Arial" w:cs="Arial"/>
                <w:sz w:val="24"/>
                <w:szCs w:val="24"/>
              </w:rPr>
              <w:t xml:space="preserve">Ward, T., &amp; Brown, M. (2004). The Good Lives Model and conceptual issues in offender rehabilitation. </w:t>
            </w:r>
            <w:r w:rsidRPr="00A40567">
              <w:rPr>
                <w:rFonts w:ascii="Arial" w:hAnsi="Arial" w:cs="Arial"/>
                <w:i/>
                <w:iCs/>
                <w:sz w:val="24"/>
                <w:szCs w:val="24"/>
              </w:rPr>
              <w:t>Psychology, Crime &amp; Law, 10</w:t>
            </w:r>
            <w:r w:rsidRPr="001803B7">
              <w:rPr>
                <w:rFonts w:ascii="Arial" w:hAnsi="Arial" w:cs="Arial"/>
                <w:sz w:val="24"/>
                <w:szCs w:val="24"/>
              </w:rPr>
              <w:t xml:space="preserve">(3), 243–257. </w:t>
            </w:r>
            <w:hyperlink r:id="rId28" w:history="1">
              <w:r w:rsidRPr="008279DF">
                <w:rPr>
                  <w:rStyle w:val="Hyperlink"/>
                  <w:rFonts w:ascii="Arial" w:hAnsi="Arial" w:cs="Arial"/>
                  <w:sz w:val="24"/>
                  <w:szCs w:val="24"/>
                </w:rPr>
                <w:t>https://doi.org/10.1080/10683160410001662744</w:t>
              </w:r>
            </w:hyperlink>
            <w:r>
              <w:rPr>
                <w:rFonts w:ascii="Arial" w:hAnsi="Arial" w:cs="Arial"/>
                <w:sz w:val="24"/>
                <w:szCs w:val="24"/>
              </w:rPr>
              <w:t xml:space="preserve"> </w:t>
            </w:r>
          </w:p>
          <w:p w14:paraId="78ACE867" w14:textId="77777777" w:rsidR="00EC613E" w:rsidRDefault="00EC613E" w:rsidP="00C97318">
            <w:pPr>
              <w:pStyle w:val="ListParagraph"/>
              <w:ind w:hanging="720"/>
              <w:rPr>
                <w:rFonts w:ascii="Arial" w:hAnsi="Arial" w:cs="Arial"/>
                <w:sz w:val="24"/>
                <w:szCs w:val="24"/>
              </w:rPr>
            </w:pPr>
          </w:p>
          <w:p w14:paraId="18D48F60" w14:textId="77777777" w:rsidR="00CF5499" w:rsidRDefault="00CF5499" w:rsidP="00C97318">
            <w:pPr>
              <w:pStyle w:val="ListParagraph"/>
              <w:ind w:hanging="720"/>
              <w:rPr>
                <w:rFonts w:ascii="Arial" w:hAnsi="Arial" w:cs="Arial"/>
                <w:sz w:val="24"/>
                <w:szCs w:val="24"/>
              </w:rPr>
            </w:pPr>
            <w:r w:rsidRPr="00004CE8">
              <w:rPr>
                <w:rFonts w:ascii="Arial" w:hAnsi="Arial" w:cs="Arial"/>
                <w:sz w:val="24"/>
                <w:szCs w:val="24"/>
              </w:rPr>
              <w:t xml:space="preserve">Ward, T., &amp; Fortune, C.-A. (2013). The Good Lives Model: Aligning Risk Reduction with Promoting Offenders’ Personal Goals. </w:t>
            </w:r>
            <w:r w:rsidRPr="00004CE8">
              <w:rPr>
                <w:rFonts w:ascii="Arial" w:hAnsi="Arial" w:cs="Arial"/>
                <w:i/>
                <w:iCs/>
                <w:sz w:val="24"/>
                <w:szCs w:val="24"/>
              </w:rPr>
              <w:t>European Journal of Probation, 5</w:t>
            </w:r>
            <w:r w:rsidRPr="00004CE8">
              <w:rPr>
                <w:rFonts w:ascii="Arial" w:hAnsi="Arial" w:cs="Arial"/>
                <w:sz w:val="24"/>
                <w:szCs w:val="24"/>
              </w:rPr>
              <w:t xml:space="preserve">(2), 29-46. </w:t>
            </w:r>
            <w:hyperlink r:id="rId29" w:history="1">
              <w:r w:rsidRPr="008279DF">
                <w:rPr>
                  <w:rStyle w:val="Hyperlink"/>
                  <w:rFonts w:ascii="Arial" w:hAnsi="Arial" w:cs="Arial"/>
                  <w:sz w:val="24"/>
                  <w:szCs w:val="24"/>
                </w:rPr>
                <w:t>https://doi.org/10.1177/206622031300500203</w:t>
              </w:r>
            </w:hyperlink>
            <w:r>
              <w:rPr>
                <w:rFonts w:ascii="Arial" w:hAnsi="Arial" w:cs="Arial"/>
                <w:sz w:val="24"/>
                <w:szCs w:val="24"/>
              </w:rPr>
              <w:t xml:space="preserve"> </w:t>
            </w:r>
          </w:p>
          <w:p w14:paraId="2B7EA633" w14:textId="77777777" w:rsidR="00EC613E" w:rsidRDefault="00EC613E" w:rsidP="00C97318">
            <w:pPr>
              <w:pStyle w:val="ListParagraph"/>
              <w:ind w:hanging="720"/>
              <w:rPr>
                <w:rFonts w:ascii="Arial" w:hAnsi="Arial" w:cs="Arial"/>
                <w:sz w:val="24"/>
                <w:szCs w:val="24"/>
              </w:rPr>
            </w:pPr>
          </w:p>
          <w:p w14:paraId="2D8D20BB" w14:textId="77777777" w:rsidR="00CF5499" w:rsidRDefault="00CF5499" w:rsidP="003F428A">
            <w:pPr>
              <w:pStyle w:val="ListParagraph"/>
              <w:ind w:hanging="720"/>
              <w:rPr>
                <w:rFonts w:ascii="Arial" w:hAnsi="Arial" w:cs="Arial"/>
                <w:color w:val="323232"/>
                <w:shd w:val="clear" w:color="auto" w:fill="FFFFFF"/>
              </w:rPr>
            </w:pPr>
            <w:r w:rsidRPr="00416025">
              <w:rPr>
                <w:rFonts w:ascii="Arial" w:hAnsi="Arial" w:cs="Arial"/>
                <w:color w:val="212121"/>
                <w:sz w:val="24"/>
                <w:szCs w:val="24"/>
                <w:shd w:val="clear" w:color="auto" w:fill="FFFFFF"/>
              </w:rPr>
              <w:t xml:space="preserve">Ward, T., &amp; Marshall, W. L. (2004). Good lives, aetiology and the rehabilitation of sex offenders: A bridging theory. </w:t>
            </w:r>
            <w:r w:rsidRPr="0070013D">
              <w:rPr>
                <w:rFonts w:ascii="Arial" w:hAnsi="Arial" w:cs="Arial"/>
                <w:i/>
                <w:iCs/>
                <w:color w:val="212121"/>
                <w:sz w:val="24"/>
                <w:szCs w:val="24"/>
                <w:shd w:val="clear" w:color="auto" w:fill="FFFFFF"/>
              </w:rPr>
              <w:t>Journal of Sexual aggression, 10</w:t>
            </w:r>
            <w:r w:rsidRPr="00416025">
              <w:rPr>
                <w:rFonts w:ascii="Arial" w:hAnsi="Arial" w:cs="Arial"/>
                <w:color w:val="212121"/>
                <w:sz w:val="24"/>
                <w:szCs w:val="24"/>
                <w:shd w:val="clear" w:color="auto" w:fill="FFFFFF"/>
              </w:rPr>
              <w:t>(2), 153-169.</w:t>
            </w:r>
            <w:r>
              <w:rPr>
                <w:rFonts w:ascii="Arial" w:hAnsi="Arial" w:cs="Arial"/>
                <w:color w:val="212121"/>
                <w:sz w:val="24"/>
                <w:szCs w:val="24"/>
                <w:shd w:val="clear" w:color="auto" w:fill="FFFFFF"/>
              </w:rPr>
              <w:t xml:space="preserve"> </w:t>
            </w:r>
            <w:hyperlink r:id="rId30" w:history="1">
              <w:r w:rsidRPr="004B4565">
                <w:rPr>
                  <w:rStyle w:val="Hyperlink"/>
                  <w:rFonts w:ascii="Arial" w:hAnsi="Arial" w:cs="Arial"/>
                  <w:sz w:val="24"/>
                  <w:szCs w:val="24"/>
                  <w:shd w:val="clear" w:color="auto" w:fill="FFFFFF"/>
                </w:rPr>
                <w:t>https://doi.org/10.1080/13552600412331290102</w:t>
              </w:r>
            </w:hyperlink>
            <w:r>
              <w:rPr>
                <w:rFonts w:ascii="Arial" w:hAnsi="Arial" w:cs="Arial"/>
                <w:color w:val="323232"/>
                <w:shd w:val="clear" w:color="auto" w:fill="FFFFFF"/>
              </w:rPr>
              <w:t xml:space="preserve"> </w:t>
            </w:r>
          </w:p>
          <w:p w14:paraId="7CA6AAAC" w14:textId="77777777" w:rsidR="00EC613E" w:rsidRDefault="00EC613E" w:rsidP="003F428A">
            <w:pPr>
              <w:pStyle w:val="ListParagraph"/>
              <w:ind w:hanging="720"/>
              <w:rPr>
                <w:rFonts w:ascii="Arial" w:hAnsi="Arial" w:cs="Arial"/>
                <w:color w:val="323232"/>
                <w:shd w:val="clear" w:color="auto" w:fill="FFFFFF"/>
              </w:rPr>
            </w:pPr>
          </w:p>
          <w:p w14:paraId="1A2D6B05" w14:textId="77777777" w:rsidR="00CF5499" w:rsidRDefault="00CF5499" w:rsidP="003F428A">
            <w:pPr>
              <w:pStyle w:val="ListParagraph"/>
              <w:ind w:hanging="720"/>
              <w:rPr>
                <w:rFonts w:ascii="Arial" w:hAnsi="Arial" w:cs="Arial"/>
                <w:color w:val="212121"/>
                <w:sz w:val="24"/>
                <w:szCs w:val="24"/>
                <w:shd w:val="clear" w:color="auto" w:fill="FFFFFF"/>
              </w:rPr>
            </w:pPr>
            <w:r w:rsidRPr="00B11224">
              <w:rPr>
                <w:rFonts w:ascii="Arial" w:hAnsi="Arial" w:cs="Arial"/>
                <w:color w:val="212121"/>
                <w:sz w:val="24"/>
                <w:szCs w:val="24"/>
                <w:shd w:val="clear" w:color="auto" w:fill="FFFFFF"/>
              </w:rPr>
              <w:t xml:space="preserve">Ward, T., Mann, R. E., &amp; Gannon, T. A. (2007). The good lives model of offender rehabilitation: Clinical implications. </w:t>
            </w:r>
            <w:r w:rsidRPr="00B11224">
              <w:rPr>
                <w:rFonts w:ascii="Arial" w:hAnsi="Arial" w:cs="Arial"/>
                <w:i/>
                <w:iCs/>
                <w:color w:val="212121"/>
                <w:sz w:val="24"/>
                <w:szCs w:val="24"/>
                <w:shd w:val="clear" w:color="auto" w:fill="FFFFFF"/>
              </w:rPr>
              <w:t>Aggression and violent behavior, 12</w:t>
            </w:r>
            <w:r w:rsidRPr="00B11224">
              <w:rPr>
                <w:rFonts w:ascii="Arial" w:hAnsi="Arial" w:cs="Arial"/>
                <w:color w:val="212121"/>
                <w:sz w:val="24"/>
                <w:szCs w:val="24"/>
                <w:shd w:val="clear" w:color="auto" w:fill="FFFFFF"/>
              </w:rPr>
              <w:t>(1), 87-107.</w:t>
            </w:r>
            <w:hyperlink r:id="rId31" w:history="1">
              <w:r w:rsidRPr="008279DF">
                <w:rPr>
                  <w:rStyle w:val="Hyperlink"/>
                  <w:rFonts w:ascii="Arial" w:hAnsi="Arial" w:cs="Arial"/>
                  <w:sz w:val="24"/>
                  <w:szCs w:val="24"/>
                  <w:shd w:val="clear" w:color="auto" w:fill="FFFFFF"/>
                </w:rPr>
                <w:t>https://doi.org/10.1016/j.avb.2006.03.004</w:t>
              </w:r>
            </w:hyperlink>
            <w:r>
              <w:rPr>
                <w:rFonts w:ascii="Arial" w:hAnsi="Arial" w:cs="Arial"/>
                <w:color w:val="212121"/>
                <w:sz w:val="24"/>
                <w:szCs w:val="24"/>
                <w:shd w:val="clear" w:color="auto" w:fill="FFFFFF"/>
              </w:rPr>
              <w:t xml:space="preserve"> </w:t>
            </w:r>
          </w:p>
          <w:p w14:paraId="1C545CD3" w14:textId="4E940B66" w:rsidR="00CF5499" w:rsidRPr="00CF5499" w:rsidRDefault="00CF5499" w:rsidP="00CF5499">
            <w:pPr>
              <w:pStyle w:val="ListParagraph"/>
              <w:ind w:hanging="720"/>
              <w:rPr>
                <w:rFonts w:ascii="Arial" w:hAnsi="Arial" w:cs="Arial"/>
                <w:sz w:val="24"/>
                <w:szCs w:val="24"/>
              </w:rPr>
            </w:pPr>
          </w:p>
        </w:tc>
      </w:tr>
    </w:tbl>
    <w:p w14:paraId="38339D17" w14:textId="77777777" w:rsidR="009E10F9" w:rsidRDefault="009E10F9" w:rsidP="009E10F9">
      <w:pPr>
        <w:jc w:val="both"/>
        <w:rPr>
          <w:rFonts w:ascii="Arial" w:hAnsi="Arial" w:cs="Arial"/>
        </w:rPr>
      </w:pPr>
    </w:p>
    <w:p w14:paraId="2F1E3BB8" w14:textId="77777777" w:rsidR="009E10F9" w:rsidRDefault="009E10F9" w:rsidP="009E10F9">
      <w:pPr>
        <w:jc w:val="both"/>
        <w:rPr>
          <w:rFonts w:ascii="Arial" w:hAnsi="Arial" w:cs="Arial"/>
        </w:rPr>
      </w:pPr>
    </w:p>
    <w:p w14:paraId="35E5DCCF" w14:textId="77777777" w:rsidR="009E10F9" w:rsidRDefault="009E10F9" w:rsidP="009E10F9">
      <w:pPr>
        <w:jc w:val="both"/>
        <w:rPr>
          <w:rFonts w:ascii="Arial" w:hAnsi="Arial" w:cs="Arial"/>
        </w:rPr>
      </w:pPr>
    </w:p>
    <w:p w14:paraId="4E54B84E" w14:textId="77777777" w:rsidR="002A36C9" w:rsidRDefault="002A36C9"/>
    <w:sectPr w:rsidR="002A36C9">
      <w:footerReference w:type="even" r:id="rId32"/>
      <w:footerReference w:type="default" r:id="rId33"/>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B2B8C4" w14:textId="77777777" w:rsidR="009218AC" w:rsidRDefault="009218AC">
      <w:r>
        <w:separator/>
      </w:r>
    </w:p>
  </w:endnote>
  <w:endnote w:type="continuationSeparator" w:id="0">
    <w:p w14:paraId="45968EC6" w14:textId="77777777" w:rsidR="009218AC" w:rsidRDefault="009218AC">
      <w:r>
        <w:continuationSeparator/>
      </w:r>
    </w:p>
  </w:endnote>
  <w:endnote w:type="continuationNotice" w:id="1">
    <w:p w14:paraId="1EFDE1E5" w14:textId="77777777" w:rsidR="000259F4" w:rsidRDefault="000259F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6EA968" w14:textId="77777777" w:rsidR="00C63A8D" w:rsidRDefault="00447680" w:rsidP="00C63A8D">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2</w:t>
    </w:r>
    <w:r>
      <w:rPr>
        <w:rStyle w:val="PageNumber"/>
      </w:rPr>
      <w:fldChar w:fldCharType="end"/>
    </w:r>
  </w:p>
  <w:p w14:paraId="5F65F4EA" w14:textId="77777777" w:rsidR="00C63A8D" w:rsidRDefault="00C63A8D" w:rsidP="00C63A8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F4E755" w14:textId="77777777" w:rsidR="00C63A8D" w:rsidRDefault="00447680" w:rsidP="00C63A8D">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223612">
      <w:rPr>
        <w:rStyle w:val="PageNumber"/>
        <w:noProof/>
      </w:rPr>
      <w:t>6</w:t>
    </w:r>
    <w:r>
      <w:rPr>
        <w:rStyle w:val="PageNumber"/>
      </w:rPr>
      <w:fldChar w:fldCharType="end"/>
    </w:r>
  </w:p>
  <w:p w14:paraId="5E5B75E1" w14:textId="77777777" w:rsidR="00C63A8D" w:rsidRDefault="00C63A8D" w:rsidP="00C63A8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102ABA" w14:textId="77777777" w:rsidR="009218AC" w:rsidRDefault="009218AC">
      <w:r>
        <w:separator/>
      </w:r>
    </w:p>
  </w:footnote>
  <w:footnote w:type="continuationSeparator" w:id="0">
    <w:p w14:paraId="3A13F3B5" w14:textId="77777777" w:rsidR="009218AC" w:rsidRDefault="009218AC">
      <w:r>
        <w:continuationSeparator/>
      </w:r>
    </w:p>
  </w:footnote>
  <w:footnote w:type="continuationNotice" w:id="1">
    <w:p w14:paraId="6B42634B" w14:textId="77777777" w:rsidR="000259F4" w:rsidRDefault="000259F4"/>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FEE1A36"/>
    <w:multiLevelType w:val="hybridMultilevel"/>
    <w:tmpl w:val="9F3C5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96218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2"/>
    <w:compatSetting w:name="useWord2013TrackBottomHyphenation" w:uri="http://schemas.microsoft.com/office/word" w:val="1"/>
  </w:compat>
  <w:rsids>
    <w:rsidRoot w:val="009E10F9"/>
    <w:rsid w:val="00004CE8"/>
    <w:rsid w:val="00022437"/>
    <w:rsid w:val="00023FBD"/>
    <w:rsid w:val="000259F4"/>
    <w:rsid w:val="0003399D"/>
    <w:rsid w:val="000348A6"/>
    <w:rsid w:val="000363A3"/>
    <w:rsid w:val="00045B17"/>
    <w:rsid w:val="00065F33"/>
    <w:rsid w:val="000B404A"/>
    <w:rsid w:val="000C776E"/>
    <w:rsid w:val="000D3E65"/>
    <w:rsid w:val="000D66A5"/>
    <w:rsid w:val="000E64DA"/>
    <w:rsid w:val="000F5955"/>
    <w:rsid w:val="000F5ADD"/>
    <w:rsid w:val="00105648"/>
    <w:rsid w:val="00150FF0"/>
    <w:rsid w:val="001521B8"/>
    <w:rsid w:val="001522E1"/>
    <w:rsid w:val="00153B76"/>
    <w:rsid w:val="001617AE"/>
    <w:rsid w:val="00164C2D"/>
    <w:rsid w:val="0016599C"/>
    <w:rsid w:val="001803B7"/>
    <w:rsid w:val="00186027"/>
    <w:rsid w:val="00196085"/>
    <w:rsid w:val="00196968"/>
    <w:rsid w:val="001C12F4"/>
    <w:rsid w:val="001C5E4A"/>
    <w:rsid w:val="001D10B3"/>
    <w:rsid w:val="001D2066"/>
    <w:rsid w:val="001D5C70"/>
    <w:rsid w:val="001E36F5"/>
    <w:rsid w:val="00210378"/>
    <w:rsid w:val="00215DBC"/>
    <w:rsid w:val="002208C1"/>
    <w:rsid w:val="00223612"/>
    <w:rsid w:val="002301DA"/>
    <w:rsid w:val="00230E09"/>
    <w:rsid w:val="0023469B"/>
    <w:rsid w:val="0024107D"/>
    <w:rsid w:val="00244226"/>
    <w:rsid w:val="00253918"/>
    <w:rsid w:val="00257B10"/>
    <w:rsid w:val="002709DE"/>
    <w:rsid w:val="002756F9"/>
    <w:rsid w:val="00295B38"/>
    <w:rsid w:val="002A1BD3"/>
    <w:rsid w:val="002A36C9"/>
    <w:rsid w:val="002C6DF4"/>
    <w:rsid w:val="002D0F2A"/>
    <w:rsid w:val="002D3D3A"/>
    <w:rsid w:val="002E207D"/>
    <w:rsid w:val="002E474C"/>
    <w:rsid w:val="0030708A"/>
    <w:rsid w:val="00310EF4"/>
    <w:rsid w:val="003148B2"/>
    <w:rsid w:val="00334AB5"/>
    <w:rsid w:val="0036154F"/>
    <w:rsid w:val="00361B52"/>
    <w:rsid w:val="003720F4"/>
    <w:rsid w:val="00374478"/>
    <w:rsid w:val="00381F13"/>
    <w:rsid w:val="003A6D79"/>
    <w:rsid w:val="003B2364"/>
    <w:rsid w:val="003B49F0"/>
    <w:rsid w:val="003C5264"/>
    <w:rsid w:val="003E24B7"/>
    <w:rsid w:val="003F428A"/>
    <w:rsid w:val="0040165A"/>
    <w:rsid w:val="00415064"/>
    <w:rsid w:val="00416025"/>
    <w:rsid w:val="00426969"/>
    <w:rsid w:val="004302B7"/>
    <w:rsid w:val="00430AAC"/>
    <w:rsid w:val="004373A2"/>
    <w:rsid w:val="00443F59"/>
    <w:rsid w:val="00444AF7"/>
    <w:rsid w:val="00447680"/>
    <w:rsid w:val="00454867"/>
    <w:rsid w:val="004655CA"/>
    <w:rsid w:val="0047105F"/>
    <w:rsid w:val="00481B34"/>
    <w:rsid w:val="0048339A"/>
    <w:rsid w:val="00490865"/>
    <w:rsid w:val="00497AD4"/>
    <w:rsid w:val="004A073D"/>
    <w:rsid w:val="004A2A63"/>
    <w:rsid w:val="004A4FCC"/>
    <w:rsid w:val="004B2F08"/>
    <w:rsid w:val="004B426C"/>
    <w:rsid w:val="004B4565"/>
    <w:rsid w:val="004B5922"/>
    <w:rsid w:val="004C0F2F"/>
    <w:rsid w:val="004C5FE6"/>
    <w:rsid w:val="004F3881"/>
    <w:rsid w:val="004F4219"/>
    <w:rsid w:val="005134CC"/>
    <w:rsid w:val="00521D9E"/>
    <w:rsid w:val="005340F9"/>
    <w:rsid w:val="005369AF"/>
    <w:rsid w:val="00571B43"/>
    <w:rsid w:val="00572661"/>
    <w:rsid w:val="005749BB"/>
    <w:rsid w:val="00577774"/>
    <w:rsid w:val="00581836"/>
    <w:rsid w:val="005C3E91"/>
    <w:rsid w:val="005D0C48"/>
    <w:rsid w:val="005E1F75"/>
    <w:rsid w:val="005E34DB"/>
    <w:rsid w:val="005F2A6A"/>
    <w:rsid w:val="005F39B9"/>
    <w:rsid w:val="005F6430"/>
    <w:rsid w:val="00613328"/>
    <w:rsid w:val="006405AB"/>
    <w:rsid w:val="00647302"/>
    <w:rsid w:val="006503D0"/>
    <w:rsid w:val="00667583"/>
    <w:rsid w:val="00685585"/>
    <w:rsid w:val="006A4379"/>
    <w:rsid w:val="006A4EC6"/>
    <w:rsid w:val="006C7528"/>
    <w:rsid w:val="006D0BA6"/>
    <w:rsid w:val="006E61C5"/>
    <w:rsid w:val="006F47E2"/>
    <w:rsid w:val="0070013D"/>
    <w:rsid w:val="00702EBC"/>
    <w:rsid w:val="00723291"/>
    <w:rsid w:val="00724428"/>
    <w:rsid w:val="00740FA3"/>
    <w:rsid w:val="00750F30"/>
    <w:rsid w:val="00756B3D"/>
    <w:rsid w:val="0076192B"/>
    <w:rsid w:val="00763F63"/>
    <w:rsid w:val="00784C04"/>
    <w:rsid w:val="0079736C"/>
    <w:rsid w:val="007A4477"/>
    <w:rsid w:val="007A7E58"/>
    <w:rsid w:val="007B62B8"/>
    <w:rsid w:val="007C7FBB"/>
    <w:rsid w:val="007D091A"/>
    <w:rsid w:val="007D2001"/>
    <w:rsid w:val="007E6450"/>
    <w:rsid w:val="007E7508"/>
    <w:rsid w:val="007F459D"/>
    <w:rsid w:val="007F492C"/>
    <w:rsid w:val="007F4982"/>
    <w:rsid w:val="0080168B"/>
    <w:rsid w:val="00805C29"/>
    <w:rsid w:val="00861763"/>
    <w:rsid w:val="008643F9"/>
    <w:rsid w:val="00876D6C"/>
    <w:rsid w:val="00880B06"/>
    <w:rsid w:val="00892351"/>
    <w:rsid w:val="008A67A2"/>
    <w:rsid w:val="008C1B8E"/>
    <w:rsid w:val="008C59A3"/>
    <w:rsid w:val="008C79D7"/>
    <w:rsid w:val="008E3ACB"/>
    <w:rsid w:val="008E6471"/>
    <w:rsid w:val="008F3AFA"/>
    <w:rsid w:val="008F3EE6"/>
    <w:rsid w:val="009211ED"/>
    <w:rsid w:val="009218AC"/>
    <w:rsid w:val="00927F3F"/>
    <w:rsid w:val="009312E4"/>
    <w:rsid w:val="0094288F"/>
    <w:rsid w:val="00950F17"/>
    <w:rsid w:val="00956A64"/>
    <w:rsid w:val="00976162"/>
    <w:rsid w:val="009818BA"/>
    <w:rsid w:val="00982567"/>
    <w:rsid w:val="00982BEA"/>
    <w:rsid w:val="00985278"/>
    <w:rsid w:val="00991612"/>
    <w:rsid w:val="009951BD"/>
    <w:rsid w:val="009A0F00"/>
    <w:rsid w:val="009A2143"/>
    <w:rsid w:val="009D59A2"/>
    <w:rsid w:val="009E10F9"/>
    <w:rsid w:val="009E6755"/>
    <w:rsid w:val="00A024DA"/>
    <w:rsid w:val="00A102B5"/>
    <w:rsid w:val="00A317AA"/>
    <w:rsid w:val="00A36276"/>
    <w:rsid w:val="00A40567"/>
    <w:rsid w:val="00A54A9A"/>
    <w:rsid w:val="00A55E3E"/>
    <w:rsid w:val="00A64FCA"/>
    <w:rsid w:val="00A72F60"/>
    <w:rsid w:val="00A8234B"/>
    <w:rsid w:val="00A85709"/>
    <w:rsid w:val="00A9315E"/>
    <w:rsid w:val="00A93728"/>
    <w:rsid w:val="00AA0A2D"/>
    <w:rsid w:val="00AB7B22"/>
    <w:rsid w:val="00AC16C0"/>
    <w:rsid w:val="00AD1D09"/>
    <w:rsid w:val="00B11224"/>
    <w:rsid w:val="00B15D0E"/>
    <w:rsid w:val="00B43E90"/>
    <w:rsid w:val="00B4447A"/>
    <w:rsid w:val="00B54AB5"/>
    <w:rsid w:val="00B57DB5"/>
    <w:rsid w:val="00B610D7"/>
    <w:rsid w:val="00B85D25"/>
    <w:rsid w:val="00C13A5E"/>
    <w:rsid w:val="00C25AEA"/>
    <w:rsid w:val="00C3322F"/>
    <w:rsid w:val="00C34E91"/>
    <w:rsid w:val="00C45968"/>
    <w:rsid w:val="00C46A37"/>
    <w:rsid w:val="00C63A8D"/>
    <w:rsid w:val="00C66CFD"/>
    <w:rsid w:val="00C67E02"/>
    <w:rsid w:val="00C7193D"/>
    <w:rsid w:val="00C8718A"/>
    <w:rsid w:val="00C97318"/>
    <w:rsid w:val="00CC0DAF"/>
    <w:rsid w:val="00CC382B"/>
    <w:rsid w:val="00CC52A0"/>
    <w:rsid w:val="00CD7079"/>
    <w:rsid w:val="00CE2AD4"/>
    <w:rsid w:val="00CF1E28"/>
    <w:rsid w:val="00CF5499"/>
    <w:rsid w:val="00D14A91"/>
    <w:rsid w:val="00D22D7A"/>
    <w:rsid w:val="00D447B6"/>
    <w:rsid w:val="00D72337"/>
    <w:rsid w:val="00D77841"/>
    <w:rsid w:val="00DA6B48"/>
    <w:rsid w:val="00DB6B98"/>
    <w:rsid w:val="00DC73C0"/>
    <w:rsid w:val="00DC7FE0"/>
    <w:rsid w:val="00DD62F7"/>
    <w:rsid w:val="00DE1B92"/>
    <w:rsid w:val="00DE56BE"/>
    <w:rsid w:val="00DF42C3"/>
    <w:rsid w:val="00E02F47"/>
    <w:rsid w:val="00E1606E"/>
    <w:rsid w:val="00E17D54"/>
    <w:rsid w:val="00E41099"/>
    <w:rsid w:val="00E53B7E"/>
    <w:rsid w:val="00E5484A"/>
    <w:rsid w:val="00E60464"/>
    <w:rsid w:val="00E73943"/>
    <w:rsid w:val="00EB11D7"/>
    <w:rsid w:val="00EC613E"/>
    <w:rsid w:val="00F029F4"/>
    <w:rsid w:val="00F13046"/>
    <w:rsid w:val="00F346FB"/>
    <w:rsid w:val="00F36617"/>
    <w:rsid w:val="00F83302"/>
    <w:rsid w:val="00F86126"/>
    <w:rsid w:val="00FA149B"/>
    <w:rsid w:val="00FB1A6B"/>
    <w:rsid w:val="00FD04DE"/>
    <w:rsid w:val="00FE59A0"/>
    <w:rsid w:val="00FE7393"/>
    <w:rsid w:val="00FF0EA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F8317D"/>
  <w15:docId w15:val="{1BEB2188-6BBF-42AE-B948-BD71B0F9C8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10F9"/>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9E10F9"/>
    <w:rPr>
      <w:color w:val="0000FF"/>
      <w:u w:val="single"/>
    </w:rPr>
  </w:style>
  <w:style w:type="paragraph" w:styleId="Footer">
    <w:name w:val="footer"/>
    <w:basedOn w:val="Normal"/>
    <w:link w:val="FooterChar"/>
    <w:rsid w:val="009E10F9"/>
    <w:pPr>
      <w:tabs>
        <w:tab w:val="center" w:pos="4153"/>
        <w:tab w:val="right" w:pos="8306"/>
      </w:tabs>
    </w:pPr>
  </w:style>
  <w:style w:type="character" w:customStyle="1" w:styleId="FooterChar">
    <w:name w:val="Footer Char"/>
    <w:basedOn w:val="DefaultParagraphFont"/>
    <w:link w:val="Footer"/>
    <w:rsid w:val="009E10F9"/>
    <w:rPr>
      <w:rFonts w:ascii="Times New Roman" w:eastAsia="Times New Roman" w:hAnsi="Times New Roman" w:cs="Times New Roman"/>
      <w:sz w:val="24"/>
      <w:szCs w:val="24"/>
      <w:lang w:eastAsia="en-GB"/>
    </w:rPr>
  </w:style>
  <w:style w:type="character" w:styleId="PageNumber">
    <w:name w:val="page number"/>
    <w:basedOn w:val="DefaultParagraphFont"/>
    <w:rsid w:val="009E10F9"/>
  </w:style>
  <w:style w:type="paragraph" w:customStyle="1" w:styleId="Formlabel">
    <w:name w:val="Form label"/>
    <w:basedOn w:val="BodyText"/>
    <w:rsid w:val="009E10F9"/>
    <w:pPr>
      <w:spacing w:before="60" w:after="60"/>
    </w:pPr>
    <w:rPr>
      <w:rFonts w:ascii="Arial" w:hAnsi="Arial" w:cs="Arial"/>
      <w:sz w:val="20"/>
    </w:rPr>
  </w:style>
  <w:style w:type="paragraph" w:styleId="ListParagraph">
    <w:name w:val="List Paragraph"/>
    <w:basedOn w:val="Normal"/>
    <w:uiPriority w:val="34"/>
    <w:qFormat/>
    <w:rsid w:val="009E10F9"/>
    <w:pPr>
      <w:spacing w:after="200" w:line="276" w:lineRule="auto"/>
      <w:ind w:left="720"/>
      <w:contextualSpacing/>
    </w:pPr>
    <w:rPr>
      <w:rFonts w:ascii="Calibri" w:eastAsia="Calibri" w:hAnsi="Calibri"/>
      <w:sz w:val="22"/>
      <w:szCs w:val="22"/>
      <w:lang w:eastAsia="en-US"/>
    </w:rPr>
  </w:style>
  <w:style w:type="paragraph" w:styleId="BodyText">
    <w:name w:val="Body Text"/>
    <w:basedOn w:val="Normal"/>
    <w:link w:val="BodyTextChar"/>
    <w:uiPriority w:val="99"/>
    <w:semiHidden/>
    <w:unhideWhenUsed/>
    <w:rsid w:val="009E10F9"/>
    <w:pPr>
      <w:spacing w:after="120"/>
    </w:pPr>
  </w:style>
  <w:style w:type="character" w:customStyle="1" w:styleId="BodyTextChar">
    <w:name w:val="Body Text Char"/>
    <w:basedOn w:val="DefaultParagraphFont"/>
    <w:link w:val="BodyText"/>
    <w:uiPriority w:val="99"/>
    <w:semiHidden/>
    <w:rsid w:val="009E10F9"/>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A0F00"/>
    <w:pPr>
      <w:tabs>
        <w:tab w:val="center" w:pos="4513"/>
        <w:tab w:val="right" w:pos="9026"/>
      </w:tabs>
    </w:pPr>
  </w:style>
  <w:style w:type="character" w:customStyle="1" w:styleId="HeaderChar">
    <w:name w:val="Header Char"/>
    <w:basedOn w:val="DefaultParagraphFont"/>
    <w:link w:val="Header"/>
    <w:uiPriority w:val="99"/>
    <w:rsid w:val="009A0F00"/>
    <w:rPr>
      <w:rFonts w:ascii="Times New Roman" w:eastAsia="Times New Roman" w:hAnsi="Times New Roman" w:cs="Times New Roman"/>
      <w:sz w:val="24"/>
      <w:szCs w:val="24"/>
      <w:lang w:eastAsia="en-GB"/>
    </w:rPr>
  </w:style>
  <w:style w:type="table" w:styleId="TableGrid">
    <w:name w:val="Table Grid"/>
    <w:basedOn w:val="TableNormal"/>
    <w:rsid w:val="00A36276"/>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1E36F5"/>
    <w:rPr>
      <w:color w:val="605E5C"/>
      <w:shd w:val="clear" w:color="auto" w:fill="E1DFDD"/>
    </w:rPr>
  </w:style>
  <w:style w:type="character" w:customStyle="1" w:styleId="ref-journal">
    <w:name w:val="ref-journal"/>
    <w:basedOn w:val="DefaultParagraphFont"/>
    <w:rsid w:val="00740FA3"/>
  </w:style>
  <w:style w:type="character" w:styleId="Emphasis">
    <w:name w:val="Emphasis"/>
    <w:basedOn w:val="DefaultParagraphFont"/>
    <w:uiPriority w:val="20"/>
    <w:qFormat/>
    <w:rsid w:val="0045486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7823117">
      <w:bodyDiv w:val="1"/>
      <w:marLeft w:val="0"/>
      <w:marRight w:val="0"/>
      <w:marTop w:val="0"/>
      <w:marBottom w:val="0"/>
      <w:divBdr>
        <w:top w:val="none" w:sz="0" w:space="0" w:color="auto"/>
        <w:left w:val="none" w:sz="0" w:space="0" w:color="auto"/>
        <w:bottom w:val="none" w:sz="0" w:space="0" w:color="auto"/>
        <w:right w:val="none" w:sz="0" w:space="0" w:color="auto"/>
      </w:divBdr>
      <w:divsChild>
        <w:div w:id="653025193">
          <w:marLeft w:val="0"/>
          <w:marRight w:val="0"/>
          <w:marTop w:val="0"/>
          <w:marBottom w:val="0"/>
          <w:divBdr>
            <w:top w:val="single" w:sz="2" w:space="0" w:color="D9D9E3"/>
            <w:left w:val="single" w:sz="2" w:space="0" w:color="D9D9E3"/>
            <w:bottom w:val="single" w:sz="2" w:space="0" w:color="D9D9E3"/>
            <w:right w:val="single" w:sz="2" w:space="0" w:color="D9D9E3"/>
          </w:divBdr>
          <w:divsChild>
            <w:div w:id="1121337706">
              <w:marLeft w:val="0"/>
              <w:marRight w:val="0"/>
              <w:marTop w:val="100"/>
              <w:marBottom w:val="100"/>
              <w:divBdr>
                <w:top w:val="single" w:sz="2" w:space="0" w:color="D9D9E3"/>
                <w:left w:val="single" w:sz="2" w:space="0" w:color="D9D9E3"/>
                <w:bottom w:val="single" w:sz="2" w:space="0" w:color="D9D9E3"/>
                <w:right w:val="single" w:sz="2" w:space="0" w:color="D9D9E3"/>
              </w:divBdr>
              <w:divsChild>
                <w:div w:id="1098990869">
                  <w:marLeft w:val="0"/>
                  <w:marRight w:val="0"/>
                  <w:marTop w:val="0"/>
                  <w:marBottom w:val="0"/>
                  <w:divBdr>
                    <w:top w:val="single" w:sz="2" w:space="0" w:color="D9D9E3"/>
                    <w:left w:val="single" w:sz="2" w:space="0" w:color="D9D9E3"/>
                    <w:bottom w:val="single" w:sz="2" w:space="0" w:color="D9D9E3"/>
                    <w:right w:val="single" w:sz="2" w:space="0" w:color="D9D9E3"/>
                  </w:divBdr>
                  <w:divsChild>
                    <w:div w:id="43333754">
                      <w:marLeft w:val="0"/>
                      <w:marRight w:val="0"/>
                      <w:marTop w:val="0"/>
                      <w:marBottom w:val="0"/>
                      <w:divBdr>
                        <w:top w:val="single" w:sz="2" w:space="0" w:color="D9D9E3"/>
                        <w:left w:val="single" w:sz="2" w:space="0" w:color="D9D9E3"/>
                        <w:bottom w:val="single" w:sz="2" w:space="0" w:color="D9D9E3"/>
                        <w:right w:val="single" w:sz="2" w:space="0" w:color="D9D9E3"/>
                      </w:divBdr>
                      <w:divsChild>
                        <w:div w:id="1824732474">
                          <w:marLeft w:val="0"/>
                          <w:marRight w:val="0"/>
                          <w:marTop w:val="0"/>
                          <w:marBottom w:val="0"/>
                          <w:divBdr>
                            <w:top w:val="single" w:sz="2" w:space="0" w:color="D9D9E3"/>
                            <w:left w:val="single" w:sz="2" w:space="0" w:color="D9D9E3"/>
                            <w:bottom w:val="single" w:sz="2" w:space="0" w:color="D9D9E3"/>
                            <w:right w:val="single" w:sz="2" w:space="0" w:color="D9D9E3"/>
                          </w:divBdr>
                          <w:divsChild>
                            <w:div w:id="68767852">
                              <w:marLeft w:val="0"/>
                              <w:marRight w:val="0"/>
                              <w:marTop w:val="0"/>
                              <w:marBottom w:val="0"/>
                              <w:divBdr>
                                <w:top w:val="single" w:sz="2" w:space="0" w:color="D9D9E3"/>
                                <w:left w:val="single" w:sz="2" w:space="0" w:color="D9D9E3"/>
                                <w:bottom w:val="single" w:sz="2" w:space="0" w:color="D9D9E3"/>
                                <w:right w:val="single" w:sz="2" w:space="0" w:color="D9D9E3"/>
                              </w:divBdr>
                              <w:divsChild>
                                <w:div w:id="1914966878">
                                  <w:marLeft w:val="0"/>
                                  <w:marRight w:val="0"/>
                                  <w:marTop w:val="0"/>
                                  <w:marBottom w:val="0"/>
                                  <w:divBdr>
                                    <w:top w:val="single" w:sz="2" w:space="0" w:color="D9D9E3"/>
                                    <w:left w:val="single" w:sz="2" w:space="0" w:color="D9D9E3"/>
                                    <w:bottom w:val="single" w:sz="2" w:space="0" w:color="D9D9E3"/>
                                    <w:right w:val="single" w:sz="2" w:space="0" w:color="D9D9E3"/>
                                  </w:divBdr>
                                  <w:divsChild>
                                    <w:div w:id="4924545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74218864">
      <w:bodyDiv w:val="1"/>
      <w:marLeft w:val="0"/>
      <w:marRight w:val="0"/>
      <w:marTop w:val="0"/>
      <w:marBottom w:val="0"/>
      <w:divBdr>
        <w:top w:val="none" w:sz="0" w:space="0" w:color="auto"/>
        <w:left w:val="none" w:sz="0" w:space="0" w:color="auto"/>
        <w:bottom w:val="none" w:sz="0" w:space="0" w:color="auto"/>
        <w:right w:val="none" w:sz="0" w:space="0" w:color="auto"/>
      </w:divBdr>
      <w:divsChild>
        <w:div w:id="1840269881">
          <w:marLeft w:val="0"/>
          <w:marRight w:val="0"/>
          <w:marTop w:val="0"/>
          <w:marBottom w:val="0"/>
          <w:divBdr>
            <w:top w:val="none" w:sz="0" w:space="0" w:color="auto"/>
            <w:left w:val="none" w:sz="0" w:space="0" w:color="auto"/>
            <w:bottom w:val="none" w:sz="0" w:space="0" w:color="auto"/>
            <w:right w:val="none" w:sz="0" w:space="0" w:color="auto"/>
          </w:divBdr>
          <w:divsChild>
            <w:div w:id="1533689664">
              <w:marLeft w:val="0"/>
              <w:marRight w:val="0"/>
              <w:marTop w:val="0"/>
              <w:marBottom w:val="0"/>
              <w:divBdr>
                <w:top w:val="none" w:sz="0" w:space="0" w:color="auto"/>
                <w:left w:val="none" w:sz="0" w:space="0" w:color="auto"/>
                <w:bottom w:val="none" w:sz="0" w:space="0" w:color="auto"/>
                <w:right w:val="none" w:sz="0" w:space="0" w:color="auto"/>
              </w:divBdr>
            </w:div>
            <w:div w:id="84158022">
              <w:marLeft w:val="0"/>
              <w:marRight w:val="0"/>
              <w:marTop w:val="0"/>
              <w:marBottom w:val="0"/>
              <w:divBdr>
                <w:top w:val="none" w:sz="0" w:space="0" w:color="auto"/>
                <w:left w:val="none" w:sz="0" w:space="0" w:color="auto"/>
                <w:bottom w:val="none" w:sz="0" w:space="0" w:color="auto"/>
                <w:right w:val="none" w:sz="0" w:space="0" w:color="auto"/>
              </w:divBdr>
            </w:div>
          </w:divsChild>
        </w:div>
        <w:div w:id="24911221">
          <w:marLeft w:val="0"/>
          <w:marRight w:val="0"/>
          <w:marTop w:val="0"/>
          <w:marBottom w:val="0"/>
          <w:divBdr>
            <w:top w:val="none" w:sz="0" w:space="0" w:color="auto"/>
            <w:left w:val="none" w:sz="0" w:space="0" w:color="auto"/>
            <w:bottom w:val="none" w:sz="0" w:space="0" w:color="auto"/>
            <w:right w:val="none" w:sz="0" w:space="0" w:color="auto"/>
          </w:divBdr>
        </w:div>
      </w:divsChild>
    </w:div>
    <w:div w:id="526796321">
      <w:bodyDiv w:val="1"/>
      <w:marLeft w:val="0"/>
      <w:marRight w:val="0"/>
      <w:marTop w:val="0"/>
      <w:marBottom w:val="0"/>
      <w:divBdr>
        <w:top w:val="none" w:sz="0" w:space="0" w:color="auto"/>
        <w:left w:val="none" w:sz="0" w:space="0" w:color="auto"/>
        <w:bottom w:val="none" w:sz="0" w:space="0" w:color="auto"/>
        <w:right w:val="none" w:sz="0" w:space="0" w:color="auto"/>
      </w:divBdr>
      <w:divsChild>
        <w:div w:id="2028554509">
          <w:marLeft w:val="0"/>
          <w:marRight w:val="0"/>
          <w:marTop w:val="0"/>
          <w:marBottom w:val="0"/>
          <w:divBdr>
            <w:top w:val="none" w:sz="0" w:space="0" w:color="auto"/>
            <w:left w:val="none" w:sz="0" w:space="0" w:color="auto"/>
            <w:bottom w:val="none" w:sz="0" w:space="0" w:color="auto"/>
            <w:right w:val="none" w:sz="0" w:space="0" w:color="auto"/>
          </w:divBdr>
        </w:div>
      </w:divsChild>
    </w:div>
    <w:div w:id="704139934">
      <w:bodyDiv w:val="1"/>
      <w:marLeft w:val="0"/>
      <w:marRight w:val="0"/>
      <w:marTop w:val="0"/>
      <w:marBottom w:val="0"/>
      <w:divBdr>
        <w:top w:val="none" w:sz="0" w:space="0" w:color="auto"/>
        <w:left w:val="none" w:sz="0" w:space="0" w:color="auto"/>
        <w:bottom w:val="none" w:sz="0" w:space="0" w:color="auto"/>
        <w:right w:val="none" w:sz="0" w:space="0" w:color="auto"/>
      </w:divBdr>
    </w:div>
    <w:div w:id="818494180">
      <w:bodyDiv w:val="1"/>
      <w:marLeft w:val="0"/>
      <w:marRight w:val="0"/>
      <w:marTop w:val="0"/>
      <w:marBottom w:val="0"/>
      <w:divBdr>
        <w:top w:val="none" w:sz="0" w:space="0" w:color="auto"/>
        <w:left w:val="none" w:sz="0" w:space="0" w:color="auto"/>
        <w:bottom w:val="none" w:sz="0" w:space="0" w:color="auto"/>
        <w:right w:val="none" w:sz="0" w:space="0" w:color="auto"/>
      </w:divBdr>
    </w:div>
    <w:div w:id="881752239">
      <w:bodyDiv w:val="1"/>
      <w:marLeft w:val="0"/>
      <w:marRight w:val="0"/>
      <w:marTop w:val="0"/>
      <w:marBottom w:val="0"/>
      <w:divBdr>
        <w:top w:val="none" w:sz="0" w:space="0" w:color="auto"/>
        <w:left w:val="none" w:sz="0" w:space="0" w:color="auto"/>
        <w:bottom w:val="none" w:sz="0" w:space="0" w:color="auto"/>
        <w:right w:val="none" w:sz="0" w:space="0" w:color="auto"/>
      </w:divBdr>
    </w:div>
    <w:div w:id="1077750168">
      <w:bodyDiv w:val="1"/>
      <w:marLeft w:val="0"/>
      <w:marRight w:val="0"/>
      <w:marTop w:val="0"/>
      <w:marBottom w:val="0"/>
      <w:divBdr>
        <w:top w:val="none" w:sz="0" w:space="0" w:color="auto"/>
        <w:left w:val="none" w:sz="0" w:space="0" w:color="auto"/>
        <w:bottom w:val="none" w:sz="0" w:space="0" w:color="auto"/>
        <w:right w:val="none" w:sz="0" w:space="0" w:color="auto"/>
      </w:divBdr>
    </w:div>
    <w:div w:id="1086268505">
      <w:bodyDiv w:val="1"/>
      <w:marLeft w:val="0"/>
      <w:marRight w:val="0"/>
      <w:marTop w:val="0"/>
      <w:marBottom w:val="0"/>
      <w:divBdr>
        <w:top w:val="none" w:sz="0" w:space="0" w:color="auto"/>
        <w:left w:val="none" w:sz="0" w:space="0" w:color="auto"/>
        <w:bottom w:val="none" w:sz="0" w:space="0" w:color="auto"/>
        <w:right w:val="none" w:sz="0" w:space="0" w:color="auto"/>
      </w:divBdr>
    </w:div>
    <w:div w:id="1138181693">
      <w:bodyDiv w:val="1"/>
      <w:marLeft w:val="0"/>
      <w:marRight w:val="0"/>
      <w:marTop w:val="0"/>
      <w:marBottom w:val="0"/>
      <w:divBdr>
        <w:top w:val="none" w:sz="0" w:space="0" w:color="auto"/>
        <w:left w:val="none" w:sz="0" w:space="0" w:color="auto"/>
        <w:bottom w:val="none" w:sz="0" w:space="0" w:color="auto"/>
        <w:right w:val="none" w:sz="0" w:space="0" w:color="auto"/>
      </w:divBdr>
      <w:divsChild>
        <w:div w:id="1133475456">
          <w:marLeft w:val="0"/>
          <w:marRight w:val="0"/>
          <w:marTop w:val="0"/>
          <w:marBottom w:val="0"/>
          <w:divBdr>
            <w:top w:val="none" w:sz="0" w:space="0" w:color="auto"/>
            <w:left w:val="none" w:sz="0" w:space="0" w:color="auto"/>
            <w:bottom w:val="none" w:sz="0" w:space="0" w:color="auto"/>
            <w:right w:val="none" w:sz="0" w:space="0" w:color="auto"/>
          </w:divBdr>
          <w:divsChild>
            <w:div w:id="1825580466">
              <w:marLeft w:val="0"/>
              <w:marRight w:val="0"/>
              <w:marTop w:val="0"/>
              <w:marBottom w:val="0"/>
              <w:divBdr>
                <w:top w:val="none" w:sz="0" w:space="0" w:color="auto"/>
                <w:left w:val="none" w:sz="0" w:space="0" w:color="auto"/>
                <w:bottom w:val="none" w:sz="0" w:space="0" w:color="auto"/>
                <w:right w:val="none" w:sz="0" w:space="0" w:color="auto"/>
              </w:divBdr>
              <w:divsChild>
                <w:div w:id="2002659280">
                  <w:marLeft w:val="0"/>
                  <w:marRight w:val="0"/>
                  <w:marTop w:val="0"/>
                  <w:marBottom w:val="0"/>
                  <w:divBdr>
                    <w:top w:val="none" w:sz="0" w:space="0" w:color="auto"/>
                    <w:left w:val="none" w:sz="0" w:space="0" w:color="auto"/>
                    <w:bottom w:val="none" w:sz="0" w:space="0" w:color="auto"/>
                    <w:right w:val="none" w:sz="0" w:space="0" w:color="auto"/>
                  </w:divBdr>
                  <w:divsChild>
                    <w:div w:id="1238789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3494228">
      <w:bodyDiv w:val="1"/>
      <w:marLeft w:val="0"/>
      <w:marRight w:val="0"/>
      <w:marTop w:val="0"/>
      <w:marBottom w:val="0"/>
      <w:divBdr>
        <w:top w:val="none" w:sz="0" w:space="0" w:color="auto"/>
        <w:left w:val="none" w:sz="0" w:space="0" w:color="auto"/>
        <w:bottom w:val="none" w:sz="0" w:space="0" w:color="auto"/>
        <w:right w:val="none" w:sz="0" w:space="0" w:color="auto"/>
      </w:divBdr>
    </w:div>
    <w:div w:id="1615745388">
      <w:bodyDiv w:val="1"/>
      <w:marLeft w:val="0"/>
      <w:marRight w:val="0"/>
      <w:marTop w:val="0"/>
      <w:marBottom w:val="0"/>
      <w:divBdr>
        <w:top w:val="none" w:sz="0" w:space="0" w:color="auto"/>
        <w:left w:val="none" w:sz="0" w:space="0" w:color="auto"/>
        <w:bottom w:val="none" w:sz="0" w:space="0" w:color="auto"/>
        <w:right w:val="none" w:sz="0" w:space="0" w:color="auto"/>
      </w:divBdr>
      <w:divsChild>
        <w:div w:id="1530991576">
          <w:marLeft w:val="0"/>
          <w:marRight w:val="0"/>
          <w:marTop w:val="0"/>
          <w:marBottom w:val="0"/>
          <w:divBdr>
            <w:top w:val="single" w:sz="6" w:space="0" w:color="5B616B"/>
            <w:left w:val="single" w:sz="6" w:space="0" w:color="5B616B"/>
            <w:bottom w:val="single" w:sz="6" w:space="0" w:color="5B616B"/>
            <w:right w:val="single" w:sz="6" w:space="0" w:color="5B616B"/>
          </w:divBdr>
        </w:div>
      </w:divsChild>
    </w:div>
    <w:div w:id="1749188132">
      <w:bodyDiv w:val="1"/>
      <w:marLeft w:val="0"/>
      <w:marRight w:val="0"/>
      <w:marTop w:val="0"/>
      <w:marBottom w:val="0"/>
      <w:divBdr>
        <w:top w:val="none" w:sz="0" w:space="0" w:color="auto"/>
        <w:left w:val="none" w:sz="0" w:space="0" w:color="auto"/>
        <w:bottom w:val="none" w:sz="0" w:space="0" w:color="auto"/>
        <w:right w:val="none" w:sz="0" w:space="0" w:color="auto"/>
      </w:divBdr>
    </w:div>
    <w:div w:id="1921063974">
      <w:bodyDiv w:val="1"/>
      <w:marLeft w:val="0"/>
      <w:marRight w:val="0"/>
      <w:marTop w:val="0"/>
      <w:marBottom w:val="0"/>
      <w:divBdr>
        <w:top w:val="none" w:sz="0" w:space="0" w:color="auto"/>
        <w:left w:val="none" w:sz="0" w:space="0" w:color="auto"/>
        <w:bottom w:val="none" w:sz="0" w:space="0" w:color="auto"/>
        <w:right w:val="none" w:sz="0" w:space="0" w:color="auto"/>
      </w:divBdr>
    </w:div>
    <w:div w:id="2005668426">
      <w:bodyDiv w:val="1"/>
      <w:marLeft w:val="0"/>
      <w:marRight w:val="0"/>
      <w:marTop w:val="0"/>
      <w:marBottom w:val="0"/>
      <w:divBdr>
        <w:top w:val="none" w:sz="0" w:space="0" w:color="auto"/>
        <w:left w:val="none" w:sz="0" w:space="0" w:color="auto"/>
        <w:bottom w:val="none" w:sz="0" w:space="0" w:color="auto"/>
        <w:right w:val="none" w:sz="0" w:space="0" w:color="auto"/>
      </w:divBdr>
      <w:divsChild>
        <w:div w:id="1241864241">
          <w:marLeft w:val="0"/>
          <w:marRight w:val="0"/>
          <w:marTop w:val="0"/>
          <w:marBottom w:val="0"/>
          <w:divBdr>
            <w:top w:val="none" w:sz="0" w:space="0" w:color="auto"/>
            <w:left w:val="none" w:sz="0" w:space="0" w:color="auto"/>
            <w:bottom w:val="none" w:sz="0" w:space="0" w:color="auto"/>
            <w:right w:val="none" w:sz="0" w:space="0" w:color="auto"/>
          </w:divBdr>
          <w:divsChild>
            <w:div w:id="692145680">
              <w:marLeft w:val="0"/>
              <w:marRight w:val="0"/>
              <w:marTop w:val="0"/>
              <w:marBottom w:val="0"/>
              <w:divBdr>
                <w:top w:val="none" w:sz="0" w:space="0" w:color="auto"/>
                <w:left w:val="none" w:sz="0" w:space="0" w:color="auto"/>
                <w:bottom w:val="none" w:sz="0" w:space="0" w:color="auto"/>
                <w:right w:val="none" w:sz="0" w:space="0" w:color="auto"/>
              </w:divBdr>
              <w:divsChild>
                <w:div w:id="1932423781">
                  <w:marLeft w:val="0"/>
                  <w:marRight w:val="0"/>
                  <w:marTop w:val="0"/>
                  <w:marBottom w:val="0"/>
                  <w:divBdr>
                    <w:top w:val="none" w:sz="0" w:space="0" w:color="auto"/>
                    <w:left w:val="none" w:sz="0" w:space="0" w:color="auto"/>
                    <w:bottom w:val="none" w:sz="0" w:space="0" w:color="auto"/>
                    <w:right w:val="none" w:sz="0" w:space="0" w:color="auto"/>
                  </w:divBdr>
                  <w:divsChild>
                    <w:div w:id="1451784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936077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avb.2016.12.006" TargetMode="External"/><Relationship Id="rId18" Type="http://schemas.openxmlformats.org/officeDocument/2006/relationships/hyperlink" Target="https://doi.org/10.1177/0093854818794754" TargetMode="External"/><Relationship Id="rId26" Type="http://schemas.openxmlformats.org/officeDocument/2006/relationships/hyperlink" Target="https://doi.org/10.1016/j.avb" TargetMode="External"/><Relationship Id="rId3" Type="http://schemas.openxmlformats.org/officeDocument/2006/relationships/customXml" Target="../customXml/item3.xml"/><Relationship Id="rId21" Type="http://schemas.openxmlformats.org/officeDocument/2006/relationships/hyperlink" Target="https://doi.org/10.1016/j.avb.2013.05.004"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doi.org/10.1177/0093854890017001004" TargetMode="External"/><Relationship Id="rId17" Type="http://schemas.openxmlformats.org/officeDocument/2006/relationships/hyperlink" Target="https://doi.org/10.1037/0735-7028.34.4.353" TargetMode="External"/><Relationship Id="rId25" Type="http://schemas.openxmlformats.org/officeDocument/2006/relationships/hyperlink" Target="https://www.unicef.org/ceecis/Juvenile_Justice_CEECIS_A4_EN_web.pdf" TargetMode="External"/><Relationship Id="rId33"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doi.org/10.1108/14636641111157805" TargetMode="External"/><Relationship Id="rId20" Type="http://schemas.openxmlformats.org/officeDocument/2006/relationships/hyperlink" Target="https://doi.org/10.1037/h0100980" TargetMode="External"/><Relationship Id="rId29" Type="http://schemas.openxmlformats.org/officeDocument/2006/relationships/hyperlink" Target="https://doi.org/10.1177/206622031300500203"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oi.org/10.3138/cjccj.49.4.439" TargetMode="External"/><Relationship Id="rId24" Type="http://schemas.openxmlformats.org/officeDocument/2006/relationships/hyperlink" Target="https://doi.org/10.3389/fpsyt.2022.1067450" TargetMode="External"/><Relationship Id="rId32"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doi.org/10.31880/10344/10045" TargetMode="External"/><Relationship Id="rId23" Type="http://schemas.openxmlformats.org/officeDocument/2006/relationships/hyperlink" Target="https://doi.org/10.1016/j.childyouth.2013.09.015" TargetMode="External"/><Relationship Id="rId28" Type="http://schemas.openxmlformats.org/officeDocument/2006/relationships/hyperlink" Target="https://doi.org/10.1080/10683160410001662744" TargetMode="External"/><Relationship Id="rId10" Type="http://schemas.openxmlformats.org/officeDocument/2006/relationships/endnotes" Target="endnotes.xml"/><Relationship Id="rId19" Type="http://schemas.openxmlformats.org/officeDocument/2006/relationships/hyperlink" Target="https://doi.org/10.1177/1073191120959740" TargetMode="External"/><Relationship Id="rId31" Type="http://schemas.openxmlformats.org/officeDocument/2006/relationships/hyperlink" Target="https://doi.org/10.1016/j.avb.2006.03.004"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016/j.avb" TargetMode="External"/><Relationship Id="rId22" Type="http://schemas.openxmlformats.org/officeDocument/2006/relationships/hyperlink" Target="https://doi.org/10.1016/j.avb.2021" TargetMode="External"/><Relationship Id="rId27" Type="http://schemas.openxmlformats.org/officeDocument/2006/relationships/hyperlink" Target="https://doi.org/10.1080/1068316X.2015.1109094" TargetMode="External"/><Relationship Id="rId30" Type="http://schemas.openxmlformats.org/officeDocument/2006/relationships/hyperlink" Target="https://doi.org/10.1080/13552600412331290102" TargetMode="External"/><Relationship Id="rId35" Type="http://schemas.openxmlformats.org/officeDocument/2006/relationships/theme" Target="theme/theme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5" ma:contentTypeDescription="Create a new document." ma:contentTypeScope="" ma:versionID="e0ea6924180cf088d4f51dedc1f96aa3">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84d711fa1e340a8bce1606c88f504fc3"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LengthInSecond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ServiceGenerationTime" ma:index="21" nillable="true" ma:displayName="MediaServiceGenerationTime" ma:hidden="true" ma:internalName="MediaServiceGenerationTime" ma:readOnly="true">
      <xsd:simpleType>
        <xsd:restriction base="dms:Text"/>
      </xsd:simpleType>
    </xsd:element>
    <xsd:element name="MediaServiceEventHashCode" ma:index="22"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2BA373-933D-4572-AAA1-70E03ECDF29D}">
  <ds:schemaRefs>
    <ds:schemaRef ds:uri="http://schemas.microsoft.com/sharepoint/v3/contenttype/forms"/>
  </ds:schemaRefs>
</ds:datastoreItem>
</file>

<file path=customXml/itemProps2.xml><?xml version="1.0" encoding="utf-8"?>
<ds:datastoreItem xmlns:ds="http://schemas.openxmlformats.org/officeDocument/2006/customXml" ds:itemID="{BA8F682A-2AA4-41BB-A324-26F75B98A6A8}">
  <ds:schemaRefs>
    <ds:schemaRef ds:uri="http://purl.org/dc/dcmitype/"/>
    <ds:schemaRef ds:uri="be49ff73-cec0-4379-9da8-63ff3cc411bb"/>
    <ds:schemaRef ds:uri="http://purl.org/dc/elements/1.1/"/>
    <ds:schemaRef ds:uri="http://www.w3.org/XML/1998/namespace"/>
    <ds:schemaRef ds:uri="http://purl.org/dc/terms/"/>
    <ds:schemaRef ds:uri="http://schemas.microsoft.com/office/infopath/2007/PartnerControls"/>
    <ds:schemaRef ds:uri="http://schemas.microsoft.com/office/2006/documentManagement/types"/>
    <ds:schemaRef ds:uri="http://schemas.openxmlformats.org/package/2006/metadata/core-properties"/>
    <ds:schemaRef ds:uri="90b58af8-24e5-4252-ab67-b2f2985aee88"/>
    <ds:schemaRef ds:uri="http://schemas.microsoft.com/office/2006/metadata/properties"/>
  </ds:schemaRefs>
</ds:datastoreItem>
</file>

<file path=customXml/itemProps3.xml><?xml version="1.0" encoding="utf-8"?>
<ds:datastoreItem xmlns:ds="http://schemas.openxmlformats.org/officeDocument/2006/customXml" ds:itemID="{76E537C1-8445-4BAC-A99A-5A41F54C250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315E040-5AD5-4C1D-8A24-12EA6145D2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1021</TotalTime>
  <Pages>11</Pages>
  <Words>4516</Words>
  <Characters>25744</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Phelps</dc:creator>
  <cp:keywords/>
  <dc:description/>
  <cp:lastModifiedBy>Claudia Varallo (2100048)</cp:lastModifiedBy>
  <cp:revision>186</cp:revision>
  <dcterms:created xsi:type="dcterms:W3CDTF">2023-12-30T12:19:00Z</dcterms:created>
  <dcterms:modified xsi:type="dcterms:W3CDTF">2024-01-07T21:59:00Z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