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B8472" w14:textId="77777777" w:rsidR="00ED7C07" w:rsidRPr="006F4A7B" w:rsidRDefault="00ED7C07" w:rsidP="00296288">
      <w:pPr>
        <w:jc w:val="center"/>
        <w:rPr>
          <w:rFonts w:ascii="Arial" w:hAnsi="Arial" w:cs="Arial"/>
          <w:b/>
        </w:rPr>
      </w:pPr>
    </w:p>
    <w:p w14:paraId="21E4D53E" w14:textId="4DEF9A3B" w:rsidR="00ED7C07" w:rsidRPr="006F4A7B" w:rsidRDefault="00ED7C07" w:rsidP="00296288">
      <w:pPr>
        <w:jc w:val="center"/>
        <w:rPr>
          <w:rFonts w:ascii="Arial" w:hAnsi="Arial" w:cs="Arial"/>
          <w:b/>
        </w:rPr>
      </w:pPr>
      <w:r w:rsidRPr="006F4A7B">
        <w:rPr>
          <w:rFonts w:ascii="Arial" w:hAnsi="Arial" w:cs="Arial"/>
          <w:b/>
        </w:rPr>
        <w:t>An Evaluation of the Environmental Factors Impacting the Organisation and its HR strategy.</w:t>
      </w:r>
    </w:p>
    <w:sdt>
      <w:sdtPr>
        <w:rPr>
          <w:rFonts w:ascii="Arial" w:eastAsiaTheme="minorEastAsia" w:hAnsi="Arial" w:cs="Arial"/>
          <w:color w:val="auto"/>
          <w:sz w:val="24"/>
          <w:szCs w:val="24"/>
          <w:lang w:val="en-GB"/>
        </w:rPr>
        <w:id w:val="-2039269484"/>
        <w:docPartObj>
          <w:docPartGallery w:val="Table of Contents"/>
          <w:docPartUnique/>
        </w:docPartObj>
      </w:sdtPr>
      <w:sdtEndPr>
        <w:rPr>
          <w:b/>
          <w:bCs/>
          <w:noProof/>
        </w:rPr>
      </w:sdtEndPr>
      <w:sdtContent>
        <w:p w14:paraId="1A95D802" w14:textId="3A074048" w:rsidR="00D44806" w:rsidRPr="00621031" w:rsidRDefault="00D44806">
          <w:pPr>
            <w:pStyle w:val="TOCHeading"/>
            <w:rPr>
              <w:rFonts w:ascii="Arial" w:hAnsi="Arial" w:cs="Arial"/>
              <w:color w:val="auto"/>
              <w:sz w:val="24"/>
              <w:szCs w:val="24"/>
            </w:rPr>
          </w:pPr>
          <w:r w:rsidRPr="00621031">
            <w:rPr>
              <w:rFonts w:ascii="Arial" w:hAnsi="Arial" w:cs="Arial"/>
              <w:color w:val="auto"/>
              <w:sz w:val="24"/>
              <w:szCs w:val="24"/>
            </w:rPr>
            <w:t>Contents</w:t>
          </w:r>
        </w:p>
        <w:p w14:paraId="5F245564" w14:textId="61F6C3EB" w:rsidR="005023EB" w:rsidRPr="006F4A7B" w:rsidRDefault="00D44806">
          <w:pPr>
            <w:pStyle w:val="TOC3"/>
            <w:tabs>
              <w:tab w:val="right" w:leader="dot" w:pos="8290"/>
            </w:tabs>
            <w:rPr>
              <w:rFonts w:ascii="Arial" w:hAnsi="Arial" w:cs="Arial"/>
              <w:noProof/>
              <w:lang w:val="en-US"/>
            </w:rPr>
          </w:pPr>
          <w:r w:rsidRPr="006F4A7B">
            <w:rPr>
              <w:rFonts w:ascii="Arial" w:hAnsi="Arial" w:cs="Arial"/>
            </w:rPr>
            <w:fldChar w:fldCharType="begin"/>
          </w:r>
          <w:r w:rsidRPr="006F4A7B">
            <w:rPr>
              <w:rFonts w:ascii="Arial" w:hAnsi="Arial" w:cs="Arial"/>
            </w:rPr>
            <w:instrText xml:space="preserve"> TOC \o "1-3" \h \z \u </w:instrText>
          </w:r>
          <w:r w:rsidRPr="006F4A7B">
            <w:rPr>
              <w:rFonts w:ascii="Arial" w:hAnsi="Arial" w:cs="Arial"/>
            </w:rPr>
            <w:fldChar w:fldCharType="separate"/>
          </w:r>
          <w:hyperlink w:anchor="_Toc499986866" w:history="1">
            <w:r w:rsidR="005023EB" w:rsidRPr="006F4A7B">
              <w:rPr>
                <w:rStyle w:val="Hyperlink"/>
                <w:rFonts w:ascii="Arial" w:hAnsi="Arial" w:cs="Arial"/>
                <w:noProof/>
              </w:rPr>
              <w:t>1.Introduction</w:t>
            </w:r>
            <w:r w:rsidR="005023EB" w:rsidRPr="006F4A7B">
              <w:rPr>
                <w:rFonts w:ascii="Arial" w:hAnsi="Arial" w:cs="Arial"/>
                <w:noProof/>
                <w:webHidden/>
              </w:rPr>
              <w:tab/>
            </w:r>
            <w:r w:rsidR="005023EB" w:rsidRPr="006F4A7B">
              <w:rPr>
                <w:rFonts w:ascii="Arial" w:hAnsi="Arial" w:cs="Arial"/>
                <w:noProof/>
                <w:webHidden/>
              </w:rPr>
              <w:fldChar w:fldCharType="begin"/>
            </w:r>
            <w:r w:rsidR="005023EB" w:rsidRPr="006F4A7B">
              <w:rPr>
                <w:rFonts w:ascii="Arial" w:hAnsi="Arial" w:cs="Arial"/>
                <w:noProof/>
                <w:webHidden/>
              </w:rPr>
              <w:instrText xml:space="preserve"> PAGEREF _Toc499986866 \h </w:instrText>
            </w:r>
            <w:r w:rsidR="005023EB" w:rsidRPr="006F4A7B">
              <w:rPr>
                <w:rFonts w:ascii="Arial" w:hAnsi="Arial" w:cs="Arial"/>
                <w:noProof/>
                <w:webHidden/>
              </w:rPr>
            </w:r>
            <w:r w:rsidR="005023EB" w:rsidRPr="006F4A7B">
              <w:rPr>
                <w:rFonts w:ascii="Arial" w:hAnsi="Arial" w:cs="Arial"/>
                <w:noProof/>
                <w:webHidden/>
              </w:rPr>
              <w:fldChar w:fldCharType="separate"/>
            </w:r>
            <w:r w:rsidR="005023EB" w:rsidRPr="006F4A7B">
              <w:rPr>
                <w:rFonts w:ascii="Arial" w:hAnsi="Arial" w:cs="Arial"/>
                <w:noProof/>
                <w:webHidden/>
              </w:rPr>
              <w:t>1</w:t>
            </w:r>
            <w:r w:rsidR="005023EB" w:rsidRPr="006F4A7B">
              <w:rPr>
                <w:rFonts w:ascii="Arial" w:hAnsi="Arial" w:cs="Arial"/>
                <w:noProof/>
                <w:webHidden/>
              </w:rPr>
              <w:fldChar w:fldCharType="end"/>
            </w:r>
          </w:hyperlink>
        </w:p>
        <w:p w14:paraId="0FECB7EB" w14:textId="62D7E70D" w:rsidR="005023EB" w:rsidRPr="006F4A7B" w:rsidRDefault="000E237C">
          <w:pPr>
            <w:pStyle w:val="TOC3"/>
            <w:tabs>
              <w:tab w:val="right" w:leader="dot" w:pos="8290"/>
            </w:tabs>
            <w:rPr>
              <w:rFonts w:ascii="Arial" w:hAnsi="Arial" w:cs="Arial"/>
              <w:noProof/>
              <w:lang w:val="en-US"/>
            </w:rPr>
          </w:pPr>
          <w:hyperlink w:anchor="_Toc499986867" w:history="1">
            <w:r w:rsidR="005023EB" w:rsidRPr="006F4A7B">
              <w:rPr>
                <w:rStyle w:val="Hyperlink"/>
                <w:rFonts w:ascii="Arial" w:hAnsi="Arial" w:cs="Arial"/>
                <w:noProof/>
              </w:rPr>
              <w:t>2.Evaluation of the environmental factors impacting Amazon and its HR strategy</w:t>
            </w:r>
            <w:r w:rsidR="005023EB" w:rsidRPr="006F4A7B">
              <w:rPr>
                <w:rFonts w:ascii="Arial" w:hAnsi="Arial" w:cs="Arial"/>
                <w:noProof/>
                <w:webHidden/>
              </w:rPr>
              <w:tab/>
            </w:r>
            <w:r w:rsidR="005023EB" w:rsidRPr="006F4A7B">
              <w:rPr>
                <w:rFonts w:ascii="Arial" w:hAnsi="Arial" w:cs="Arial"/>
                <w:noProof/>
                <w:webHidden/>
              </w:rPr>
              <w:fldChar w:fldCharType="begin"/>
            </w:r>
            <w:r w:rsidR="005023EB" w:rsidRPr="006F4A7B">
              <w:rPr>
                <w:rFonts w:ascii="Arial" w:hAnsi="Arial" w:cs="Arial"/>
                <w:noProof/>
                <w:webHidden/>
              </w:rPr>
              <w:instrText xml:space="preserve"> PAGEREF _Toc499986867 \h </w:instrText>
            </w:r>
            <w:r w:rsidR="005023EB" w:rsidRPr="006F4A7B">
              <w:rPr>
                <w:rFonts w:ascii="Arial" w:hAnsi="Arial" w:cs="Arial"/>
                <w:noProof/>
                <w:webHidden/>
              </w:rPr>
            </w:r>
            <w:r w:rsidR="005023EB" w:rsidRPr="006F4A7B">
              <w:rPr>
                <w:rFonts w:ascii="Arial" w:hAnsi="Arial" w:cs="Arial"/>
                <w:noProof/>
                <w:webHidden/>
              </w:rPr>
              <w:fldChar w:fldCharType="separate"/>
            </w:r>
            <w:r w:rsidR="005023EB" w:rsidRPr="006F4A7B">
              <w:rPr>
                <w:rFonts w:ascii="Arial" w:hAnsi="Arial" w:cs="Arial"/>
                <w:noProof/>
                <w:webHidden/>
              </w:rPr>
              <w:t>1</w:t>
            </w:r>
            <w:r w:rsidR="005023EB" w:rsidRPr="006F4A7B">
              <w:rPr>
                <w:rFonts w:ascii="Arial" w:hAnsi="Arial" w:cs="Arial"/>
                <w:noProof/>
                <w:webHidden/>
              </w:rPr>
              <w:fldChar w:fldCharType="end"/>
            </w:r>
          </w:hyperlink>
        </w:p>
        <w:p w14:paraId="07587D01" w14:textId="39D6B2D5" w:rsidR="005023EB" w:rsidRPr="006F4A7B" w:rsidRDefault="000E237C">
          <w:pPr>
            <w:pStyle w:val="TOC3"/>
            <w:tabs>
              <w:tab w:val="right" w:leader="dot" w:pos="8290"/>
            </w:tabs>
            <w:rPr>
              <w:rFonts w:ascii="Arial" w:hAnsi="Arial" w:cs="Arial"/>
              <w:noProof/>
              <w:lang w:val="en-US"/>
            </w:rPr>
          </w:pPr>
          <w:hyperlink w:anchor="_Toc499986868" w:history="1">
            <w:r w:rsidR="005023EB" w:rsidRPr="006F4A7B">
              <w:rPr>
                <w:rStyle w:val="Hyperlink"/>
                <w:rFonts w:ascii="Arial" w:hAnsi="Arial" w:cs="Arial"/>
                <w:noProof/>
              </w:rPr>
              <w:t>3. Conclusion and recommendations</w:t>
            </w:r>
            <w:r w:rsidR="005023EB" w:rsidRPr="006F4A7B">
              <w:rPr>
                <w:rFonts w:ascii="Arial" w:hAnsi="Arial" w:cs="Arial"/>
                <w:noProof/>
                <w:webHidden/>
              </w:rPr>
              <w:tab/>
            </w:r>
            <w:r w:rsidR="005023EB" w:rsidRPr="006F4A7B">
              <w:rPr>
                <w:rFonts w:ascii="Arial" w:hAnsi="Arial" w:cs="Arial"/>
                <w:noProof/>
                <w:webHidden/>
              </w:rPr>
              <w:fldChar w:fldCharType="begin"/>
            </w:r>
            <w:r w:rsidR="005023EB" w:rsidRPr="006F4A7B">
              <w:rPr>
                <w:rFonts w:ascii="Arial" w:hAnsi="Arial" w:cs="Arial"/>
                <w:noProof/>
                <w:webHidden/>
              </w:rPr>
              <w:instrText xml:space="preserve"> PAGEREF _Toc499986868 \h </w:instrText>
            </w:r>
            <w:r w:rsidR="005023EB" w:rsidRPr="006F4A7B">
              <w:rPr>
                <w:rFonts w:ascii="Arial" w:hAnsi="Arial" w:cs="Arial"/>
                <w:noProof/>
                <w:webHidden/>
              </w:rPr>
            </w:r>
            <w:r w:rsidR="005023EB" w:rsidRPr="006F4A7B">
              <w:rPr>
                <w:rFonts w:ascii="Arial" w:hAnsi="Arial" w:cs="Arial"/>
                <w:noProof/>
                <w:webHidden/>
              </w:rPr>
              <w:fldChar w:fldCharType="separate"/>
            </w:r>
            <w:r w:rsidR="005023EB" w:rsidRPr="006F4A7B">
              <w:rPr>
                <w:rFonts w:ascii="Arial" w:hAnsi="Arial" w:cs="Arial"/>
                <w:noProof/>
                <w:webHidden/>
              </w:rPr>
              <w:t>4</w:t>
            </w:r>
            <w:r w:rsidR="005023EB" w:rsidRPr="006F4A7B">
              <w:rPr>
                <w:rFonts w:ascii="Arial" w:hAnsi="Arial" w:cs="Arial"/>
                <w:noProof/>
                <w:webHidden/>
              </w:rPr>
              <w:fldChar w:fldCharType="end"/>
            </w:r>
          </w:hyperlink>
        </w:p>
        <w:p w14:paraId="68C03F8A" w14:textId="15617368" w:rsidR="005023EB" w:rsidRPr="006F4A7B" w:rsidRDefault="000E237C">
          <w:pPr>
            <w:pStyle w:val="TOC3"/>
            <w:tabs>
              <w:tab w:val="right" w:leader="dot" w:pos="8290"/>
            </w:tabs>
            <w:rPr>
              <w:rFonts w:ascii="Arial" w:hAnsi="Arial" w:cs="Arial"/>
              <w:noProof/>
              <w:lang w:val="en-US"/>
            </w:rPr>
          </w:pPr>
          <w:hyperlink w:anchor="_Toc499986869" w:history="1">
            <w:r w:rsidR="005023EB" w:rsidRPr="006F4A7B">
              <w:rPr>
                <w:rStyle w:val="Hyperlink"/>
                <w:rFonts w:ascii="Arial" w:hAnsi="Arial" w:cs="Arial"/>
                <w:noProof/>
              </w:rPr>
              <w:t>REFERENCES</w:t>
            </w:r>
            <w:r w:rsidR="005023EB" w:rsidRPr="006F4A7B">
              <w:rPr>
                <w:rFonts w:ascii="Arial" w:hAnsi="Arial" w:cs="Arial"/>
                <w:noProof/>
                <w:webHidden/>
              </w:rPr>
              <w:tab/>
            </w:r>
            <w:r w:rsidR="005023EB" w:rsidRPr="006F4A7B">
              <w:rPr>
                <w:rFonts w:ascii="Arial" w:hAnsi="Arial" w:cs="Arial"/>
                <w:noProof/>
                <w:webHidden/>
              </w:rPr>
              <w:fldChar w:fldCharType="begin"/>
            </w:r>
            <w:r w:rsidR="005023EB" w:rsidRPr="006F4A7B">
              <w:rPr>
                <w:rFonts w:ascii="Arial" w:hAnsi="Arial" w:cs="Arial"/>
                <w:noProof/>
                <w:webHidden/>
              </w:rPr>
              <w:instrText xml:space="preserve"> PAGEREF _Toc499986869 \h </w:instrText>
            </w:r>
            <w:r w:rsidR="005023EB" w:rsidRPr="006F4A7B">
              <w:rPr>
                <w:rFonts w:ascii="Arial" w:hAnsi="Arial" w:cs="Arial"/>
                <w:noProof/>
                <w:webHidden/>
              </w:rPr>
            </w:r>
            <w:r w:rsidR="005023EB" w:rsidRPr="006F4A7B">
              <w:rPr>
                <w:rFonts w:ascii="Arial" w:hAnsi="Arial" w:cs="Arial"/>
                <w:noProof/>
                <w:webHidden/>
              </w:rPr>
              <w:fldChar w:fldCharType="separate"/>
            </w:r>
            <w:r w:rsidR="005023EB" w:rsidRPr="006F4A7B">
              <w:rPr>
                <w:rFonts w:ascii="Arial" w:hAnsi="Arial" w:cs="Arial"/>
                <w:noProof/>
                <w:webHidden/>
              </w:rPr>
              <w:t>5</w:t>
            </w:r>
            <w:r w:rsidR="005023EB" w:rsidRPr="006F4A7B">
              <w:rPr>
                <w:rFonts w:ascii="Arial" w:hAnsi="Arial" w:cs="Arial"/>
                <w:noProof/>
                <w:webHidden/>
              </w:rPr>
              <w:fldChar w:fldCharType="end"/>
            </w:r>
          </w:hyperlink>
        </w:p>
        <w:p w14:paraId="018C7B5A" w14:textId="73640518" w:rsidR="00D44806" w:rsidRDefault="00D44806">
          <w:r w:rsidRPr="006F4A7B">
            <w:rPr>
              <w:rFonts w:ascii="Arial" w:hAnsi="Arial" w:cs="Arial"/>
              <w:b/>
              <w:bCs/>
              <w:noProof/>
            </w:rPr>
            <w:fldChar w:fldCharType="end"/>
          </w:r>
        </w:p>
      </w:sdtContent>
    </w:sdt>
    <w:p w14:paraId="62D57E78" w14:textId="2580F6DD" w:rsidR="00ED7C07" w:rsidRPr="000A33A9" w:rsidRDefault="00ED7C07">
      <w:pPr>
        <w:rPr>
          <w:rFonts w:ascii="Times New Roman" w:hAnsi="Times New Roman" w:cs="Times New Roman"/>
          <w:b/>
          <w:sz w:val="20"/>
          <w:szCs w:val="20"/>
        </w:rPr>
      </w:pPr>
    </w:p>
    <w:p w14:paraId="5F8B5599" w14:textId="3193DF1D" w:rsidR="00D44806" w:rsidRPr="00621031" w:rsidRDefault="006F4A7B" w:rsidP="00297DD5">
      <w:pPr>
        <w:pStyle w:val="Heading3"/>
        <w:rPr>
          <w:rFonts w:ascii="Arial" w:hAnsi="Arial" w:cs="Arial"/>
          <w:color w:val="auto"/>
        </w:rPr>
      </w:pPr>
      <w:r w:rsidRPr="00621031">
        <w:rPr>
          <w:rFonts w:ascii="Arial" w:hAnsi="Arial" w:cs="Arial"/>
          <w:color w:val="auto"/>
        </w:rPr>
        <w:t>1. Introduction</w:t>
      </w:r>
    </w:p>
    <w:p w14:paraId="1317B3D1" w14:textId="77777777" w:rsidR="00525331" w:rsidRPr="006F4A7B" w:rsidRDefault="00525331" w:rsidP="00525331">
      <w:pPr>
        <w:jc w:val="both"/>
        <w:rPr>
          <w:rFonts w:ascii="Arial" w:hAnsi="Arial" w:cs="Arial"/>
        </w:rPr>
      </w:pPr>
    </w:p>
    <w:p w14:paraId="33619E5B" w14:textId="7065F93E" w:rsidR="00ED7C07" w:rsidRPr="006F4A7B" w:rsidRDefault="00ED7C07" w:rsidP="00525331">
      <w:pPr>
        <w:jc w:val="both"/>
        <w:rPr>
          <w:rFonts w:ascii="Arial" w:hAnsi="Arial" w:cs="Arial"/>
        </w:rPr>
      </w:pPr>
      <w:r w:rsidRPr="006F4A7B">
        <w:rPr>
          <w:rFonts w:ascii="Arial" w:hAnsi="Arial" w:cs="Arial"/>
        </w:rPr>
        <w:t xml:space="preserve">This report presents an evaluation of central environmental factors, which the CEO and senior management team of Amazon must focus upon. Positioned at a strategic level, this report seeks to discuss the nature of environmental factors present within the macro environment but also the impact of such on the organisation. This discussion in turn cumulates with </w:t>
      </w:r>
      <w:r w:rsidR="00AE3AF2" w:rsidRPr="006F4A7B">
        <w:rPr>
          <w:rFonts w:ascii="Arial" w:hAnsi="Arial" w:cs="Arial"/>
        </w:rPr>
        <w:t xml:space="preserve">recommendations directed towards the senior management team with regards to future HR strategy. Throughout the report, strategic tools and appraisal are used in order to determine the nature of the environment faced by the global, technological giant Amazon. </w:t>
      </w:r>
    </w:p>
    <w:p w14:paraId="2795284A" w14:textId="77777777" w:rsidR="00E37378" w:rsidRPr="006F4A7B" w:rsidRDefault="00E37378" w:rsidP="00E37378">
      <w:pPr>
        <w:jc w:val="both"/>
        <w:rPr>
          <w:rFonts w:ascii="Arial" w:hAnsi="Arial" w:cs="Arial"/>
        </w:rPr>
      </w:pPr>
    </w:p>
    <w:p w14:paraId="4783AC0E" w14:textId="30DEB7E9" w:rsidR="00D44806" w:rsidRPr="006F4A7B" w:rsidRDefault="006F4A7B" w:rsidP="00D44806">
      <w:pPr>
        <w:pStyle w:val="Heading3"/>
        <w:rPr>
          <w:rFonts w:ascii="Arial" w:hAnsi="Arial" w:cs="Arial"/>
        </w:rPr>
      </w:pPr>
      <w:bookmarkStart w:id="0" w:name="_Toc499986867"/>
      <w:r w:rsidRPr="00621031">
        <w:rPr>
          <w:rFonts w:ascii="Arial" w:hAnsi="Arial" w:cs="Arial"/>
          <w:color w:val="auto"/>
        </w:rPr>
        <w:t xml:space="preserve">2. </w:t>
      </w:r>
      <w:r w:rsidRPr="0053476B">
        <w:rPr>
          <w:rFonts w:ascii="Arial" w:hAnsi="Arial" w:cs="Arial"/>
          <w:color w:val="auto"/>
        </w:rPr>
        <w:t>Evaluation</w:t>
      </w:r>
      <w:r w:rsidR="00D44806" w:rsidRPr="0053476B">
        <w:rPr>
          <w:rFonts w:ascii="Arial" w:hAnsi="Arial" w:cs="Arial"/>
          <w:color w:val="auto"/>
        </w:rPr>
        <w:t xml:space="preserve"> of the environmental factors impacting Amazon and its HR strategy</w:t>
      </w:r>
      <w:bookmarkEnd w:id="0"/>
    </w:p>
    <w:p w14:paraId="00039E4E" w14:textId="77777777" w:rsidR="00D44806" w:rsidRPr="006F4A7B" w:rsidRDefault="00D44806" w:rsidP="00E37378">
      <w:pPr>
        <w:jc w:val="both"/>
        <w:rPr>
          <w:rFonts w:ascii="Arial" w:hAnsi="Arial" w:cs="Arial"/>
        </w:rPr>
      </w:pPr>
    </w:p>
    <w:p w14:paraId="2037617F" w14:textId="25CC154E" w:rsidR="00E37378" w:rsidRPr="006F4A7B" w:rsidRDefault="00E37378" w:rsidP="00E37378">
      <w:pPr>
        <w:jc w:val="both"/>
        <w:rPr>
          <w:rFonts w:ascii="Arial" w:hAnsi="Arial" w:cs="Arial"/>
        </w:rPr>
      </w:pPr>
      <w:r w:rsidRPr="006F4A7B">
        <w:rPr>
          <w:rFonts w:ascii="Arial" w:hAnsi="Arial" w:cs="Arial"/>
        </w:rPr>
        <w:t xml:space="preserve">Amazon is a technological giant founded in 1994 by Jeff Bezos who remains the current CEO to date. Despite being the largest online retailer in the world with revenues of $136 billion, Amazon </w:t>
      </w:r>
      <w:r w:rsidR="00FD0C86" w:rsidRPr="006F4A7B">
        <w:rPr>
          <w:rFonts w:ascii="Arial" w:hAnsi="Arial" w:cs="Arial"/>
        </w:rPr>
        <w:t>is</w:t>
      </w:r>
      <w:r w:rsidRPr="006F4A7B">
        <w:rPr>
          <w:rFonts w:ascii="Arial" w:hAnsi="Arial" w:cs="Arial"/>
        </w:rPr>
        <w:t xml:space="preserve"> not immune to changes in the macro environment</w:t>
      </w:r>
      <w:r w:rsidR="00FD0C86" w:rsidRPr="006F4A7B">
        <w:rPr>
          <w:rFonts w:ascii="Arial" w:hAnsi="Arial" w:cs="Arial"/>
        </w:rPr>
        <w:t>,</w:t>
      </w:r>
      <w:r w:rsidRPr="006F4A7B">
        <w:rPr>
          <w:rFonts w:ascii="Arial" w:hAnsi="Arial" w:cs="Arial"/>
        </w:rPr>
        <w:t xml:space="preserve"> which require a continual strategic focus. With current projections seeing Amazon’s move into cloud technology soaring 42%, Amazon are an example of an organisation who continually sense, seize and reconfigure based on opportunities present in the external business environment</w:t>
      </w:r>
      <w:r w:rsidR="00D44806" w:rsidRPr="006F4A7B">
        <w:rPr>
          <w:rFonts w:ascii="Arial" w:hAnsi="Arial" w:cs="Arial"/>
        </w:rPr>
        <w:t xml:space="preserve"> (Novet,2017)</w:t>
      </w:r>
      <w:r w:rsidRPr="006F4A7B">
        <w:rPr>
          <w:rFonts w:ascii="Arial" w:hAnsi="Arial" w:cs="Arial"/>
        </w:rPr>
        <w:t xml:space="preserve">. </w:t>
      </w:r>
      <w:r w:rsidR="00FD0C86" w:rsidRPr="006F4A7B">
        <w:rPr>
          <w:rFonts w:ascii="Arial" w:hAnsi="Arial" w:cs="Arial"/>
        </w:rPr>
        <w:t>Conducting a strategic environmental assessment, antecedents and performance outcomes of the strategic environment need to be considered in order to account for the complexity that exists (</w:t>
      </w:r>
      <w:proofErr w:type="spellStart"/>
      <w:r w:rsidR="00FD0C86" w:rsidRPr="006F4A7B">
        <w:rPr>
          <w:rFonts w:ascii="Arial" w:hAnsi="Arial" w:cs="Arial"/>
        </w:rPr>
        <w:t>Schoenherr</w:t>
      </w:r>
      <w:proofErr w:type="spellEnd"/>
      <w:r w:rsidR="00FD0C86" w:rsidRPr="006F4A7B">
        <w:rPr>
          <w:rFonts w:ascii="Arial" w:hAnsi="Arial" w:cs="Arial"/>
        </w:rPr>
        <w:t xml:space="preserve"> et al, 2014). Using a traditional strategic framework of Political, Economic, Social and Technological (PEST) this traditional framework is used in order to </w:t>
      </w:r>
      <w:r w:rsidR="00C564FA" w:rsidRPr="006F4A7B">
        <w:rPr>
          <w:rFonts w:ascii="Arial" w:hAnsi="Arial" w:cs="Arial"/>
        </w:rPr>
        <w:t>shape discussion. This is in turn supported by a range of additional frameworks utilised to draw out the complexity and inter-connected natu</w:t>
      </w:r>
      <w:r w:rsidR="004E3E72" w:rsidRPr="006F4A7B">
        <w:rPr>
          <w:rFonts w:ascii="Arial" w:hAnsi="Arial" w:cs="Arial"/>
        </w:rPr>
        <w:t>re of the external environment (</w:t>
      </w:r>
      <w:proofErr w:type="spellStart"/>
      <w:r w:rsidR="004E3E72" w:rsidRPr="006F4A7B">
        <w:rPr>
          <w:rFonts w:ascii="Arial" w:hAnsi="Arial" w:cs="Arial"/>
        </w:rPr>
        <w:t>Breja</w:t>
      </w:r>
      <w:proofErr w:type="spellEnd"/>
      <w:r w:rsidR="004E3E72" w:rsidRPr="006F4A7B">
        <w:rPr>
          <w:rFonts w:ascii="Arial" w:hAnsi="Arial" w:cs="Arial"/>
        </w:rPr>
        <w:t xml:space="preserve">, </w:t>
      </w:r>
      <w:proofErr w:type="spellStart"/>
      <w:r w:rsidR="004E3E72" w:rsidRPr="006F4A7B">
        <w:rPr>
          <w:rFonts w:ascii="Arial" w:hAnsi="Arial" w:cs="Arial"/>
        </w:rPr>
        <w:t>Banwet</w:t>
      </w:r>
      <w:proofErr w:type="spellEnd"/>
      <w:r w:rsidR="004E3E72" w:rsidRPr="006F4A7B">
        <w:rPr>
          <w:rFonts w:ascii="Arial" w:hAnsi="Arial" w:cs="Arial"/>
        </w:rPr>
        <w:t xml:space="preserve"> &amp; </w:t>
      </w:r>
      <w:proofErr w:type="spellStart"/>
      <w:r w:rsidR="004E3E72" w:rsidRPr="006F4A7B">
        <w:rPr>
          <w:rFonts w:ascii="Arial" w:hAnsi="Arial" w:cs="Arial"/>
        </w:rPr>
        <w:t>Iyer</w:t>
      </w:r>
      <w:proofErr w:type="spellEnd"/>
      <w:r w:rsidR="004E3E72" w:rsidRPr="006F4A7B">
        <w:rPr>
          <w:rFonts w:ascii="Arial" w:hAnsi="Arial" w:cs="Arial"/>
        </w:rPr>
        <w:t xml:space="preserve">, 2016). </w:t>
      </w:r>
      <w:r w:rsidR="00A43C8A" w:rsidRPr="006F4A7B">
        <w:rPr>
          <w:rFonts w:ascii="Arial" w:hAnsi="Arial" w:cs="Arial"/>
        </w:rPr>
        <w:t xml:space="preserve">Figure 1 illustrates the growth of the company and their continued rise. </w:t>
      </w:r>
    </w:p>
    <w:p w14:paraId="5BE12003" w14:textId="694AEA3C" w:rsidR="00A43C8A" w:rsidRPr="006F4A7B" w:rsidRDefault="00A43C8A" w:rsidP="00E37378">
      <w:pPr>
        <w:jc w:val="both"/>
        <w:rPr>
          <w:rFonts w:ascii="Arial" w:hAnsi="Arial" w:cs="Arial"/>
        </w:rPr>
      </w:pPr>
      <w:r w:rsidRPr="006F4A7B">
        <w:rPr>
          <w:rFonts w:ascii="Arial" w:hAnsi="Arial" w:cs="Arial"/>
          <w:noProof/>
          <w:lang w:eastAsia="en-GB"/>
        </w:rPr>
        <w:lastRenderedPageBreak/>
        <mc:AlternateContent>
          <mc:Choice Requires="wps">
            <w:drawing>
              <wp:anchor distT="0" distB="0" distL="114300" distR="114300" simplePos="0" relativeHeight="251663360" behindDoc="0" locked="0" layoutInCell="1" allowOverlap="1" wp14:anchorId="7A09010C" wp14:editId="467A0FDC">
                <wp:simplePos x="0" y="0"/>
                <wp:positionH relativeFrom="column">
                  <wp:posOffset>685800</wp:posOffset>
                </wp:positionH>
                <wp:positionV relativeFrom="paragraph">
                  <wp:posOffset>3180715</wp:posOffset>
                </wp:positionV>
                <wp:extent cx="3961130" cy="260985"/>
                <wp:effectExtent l="0" t="0" r="0" b="0"/>
                <wp:wrapTight wrapText="bothSides">
                  <wp:wrapPolygon edited="0">
                    <wp:start x="0" y="0"/>
                    <wp:lineTo x="0" y="20571"/>
                    <wp:lineTo x="21468" y="20571"/>
                    <wp:lineTo x="2146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961130" cy="26098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txbx>
                        <w:txbxContent>
                          <w:p w14:paraId="312E4003" w14:textId="1E14A5CD" w:rsidR="00A43C8A" w:rsidRPr="00A43C8A" w:rsidRDefault="00A43C8A" w:rsidP="00A43C8A">
                            <w:pPr>
                              <w:pStyle w:val="Caption"/>
                              <w:jc w:val="center"/>
                              <w:rPr>
                                <w:rFonts w:ascii="Times New Roman" w:hAnsi="Times New Roman" w:cs="Times New Roman"/>
                                <w:b w:val="0"/>
                                <w:noProof/>
                                <w:color w:val="auto"/>
                                <w:sz w:val="20"/>
                                <w:szCs w:val="20"/>
                                <w:lang w:val="en-US"/>
                              </w:rPr>
                            </w:pPr>
                            <w:r w:rsidRPr="00A43C8A">
                              <w:rPr>
                                <w:b w:val="0"/>
                                <w:color w:val="auto"/>
                              </w:rPr>
                              <w:t xml:space="preserve">Figure </w:t>
                            </w:r>
                            <w:r w:rsidRPr="00A43C8A">
                              <w:rPr>
                                <w:b w:val="0"/>
                                <w:color w:val="auto"/>
                              </w:rPr>
                              <w:fldChar w:fldCharType="begin"/>
                            </w:r>
                            <w:r w:rsidRPr="00A43C8A">
                              <w:rPr>
                                <w:b w:val="0"/>
                                <w:color w:val="auto"/>
                              </w:rPr>
                              <w:instrText xml:space="preserve"> SEQ Figure \* ARABIC </w:instrText>
                            </w:r>
                            <w:r w:rsidRPr="00A43C8A">
                              <w:rPr>
                                <w:b w:val="0"/>
                                <w:color w:val="auto"/>
                              </w:rPr>
                              <w:fldChar w:fldCharType="separate"/>
                            </w:r>
                            <w:r w:rsidRPr="00A43C8A">
                              <w:rPr>
                                <w:b w:val="0"/>
                                <w:noProof/>
                                <w:color w:val="auto"/>
                              </w:rPr>
                              <w:t>1</w:t>
                            </w:r>
                            <w:r w:rsidRPr="00A43C8A">
                              <w:rPr>
                                <w:b w:val="0"/>
                                <w:color w:val="auto"/>
                              </w:rPr>
                              <w:fldChar w:fldCharType="end"/>
                            </w:r>
                            <w:r w:rsidRPr="00A43C8A">
                              <w:rPr>
                                <w:b w:val="0"/>
                                <w:color w:val="auto"/>
                              </w:rPr>
                              <w:t>: Amazon's Growth (</w:t>
                            </w:r>
                            <w:proofErr w:type="spellStart"/>
                            <w:r w:rsidRPr="00A43C8A">
                              <w:rPr>
                                <w:b w:val="0"/>
                                <w:color w:val="auto"/>
                              </w:rPr>
                              <w:t>Rosoff</w:t>
                            </w:r>
                            <w:proofErr w:type="spellEnd"/>
                            <w:r w:rsidRPr="00A43C8A">
                              <w:rPr>
                                <w:b w:val="0"/>
                                <w:color w:val="auto"/>
                              </w:rPr>
                              <w:t>, 2016: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09010C" id="_x0000_t202" coordsize="21600,21600" o:spt="202" path="m,l,21600r21600,l21600,xe">
                <v:stroke joinstyle="miter"/>
                <v:path gradientshapeok="t" o:connecttype="rect"/>
              </v:shapetype>
              <v:shape id="Text Box 4" o:spid="_x0000_s1026" type="#_x0000_t202" style="position:absolute;left:0;text-align:left;margin-left:54pt;margin-top:250.45pt;width:311.9pt;height:20.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" stroked="f">
                <v:textbox style="mso-fit-shape-to-text:t" inset="0,0,0,0">
                  <w:txbxContent>
                    <w:p w14:paraId="312E4003" w14:textId="1E14A5CD" w:rsidR="00A43C8A" w:rsidRPr="00A43C8A" w:rsidRDefault="00A43C8A" w:rsidP="00A43C8A">
                      <w:pPr>
                        <w:pStyle w:val="Caption"/>
                        <w:jc w:val="center"/>
                        <w:rPr>
                          <w:rFonts w:ascii="Times New Roman" w:hAnsi="Times New Roman" w:cs="Times New Roman"/>
                          <w:b w:val="0"/>
                          <w:noProof/>
                          <w:color w:val="auto"/>
                          <w:sz w:val="20"/>
                          <w:szCs w:val="20"/>
                          <w:lang w:val="en-US"/>
                        </w:rPr>
                      </w:pPr>
                      <w:r w:rsidRPr="00A43C8A">
                        <w:rPr>
                          <w:b w:val="0"/>
                          <w:color w:val="auto"/>
                        </w:rPr>
                        <w:t xml:space="preserve">Figure </w:t>
                      </w:r>
                      <w:r w:rsidRPr="00A43C8A">
                        <w:rPr>
                          <w:b w:val="0"/>
                          <w:color w:val="auto"/>
                        </w:rPr>
                        <w:fldChar w:fldCharType="begin"/>
                      </w:r>
                      <w:r w:rsidRPr="00A43C8A">
                        <w:rPr>
                          <w:b w:val="0"/>
                          <w:color w:val="auto"/>
                        </w:rPr>
                        <w:instrText xml:space="preserve"> SEQ Figure \* ARABIC </w:instrText>
                      </w:r>
                      <w:r w:rsidRPr="00A43C8A">
                        <w:rPr>
                          <w:b w:val="0"/>
                          <w:color w:val="auto"/>
                        </w:rPr>
                        <w:fldChar w:fldCharType="separate"/>
                      </w:r>
                      <w:r w:rsidRPr="00A43C8A">
                        <w:rPr>
                          <w:b w:val="0"/>
                          <w:noProof/>
                          <w:color w:val="auto"/>
                        </w:rPr>
                        <w:t>1</w:t>
                      </w:r>
                      <w:r w:rsidRPr="00A43C8A">
                        <w:rPr>
                          <w:b w:val="0"/>
                          <w:color w:val="auto"/>
                        </w:rPr>
                        <w:fldChar w:fldCharType="end"/>
                      </w:r>
                      <w:r w:rsidRPr="00A43C8A">
                        <w:rPr>
                          <w:b w:val="0"/>
                          <w:color w:val="auto"/>
                        </w:rPr>
                        <w:t>: Amazon's Growth (</w:t>
                      </w:r>
                      <w:proofErr w:type="spellStart"/>
                      <w:r w:rsidRPr="00A43C8A">
                        <w:rPr>
                          <w:b w:val="0"/>
                          <w:color w:val="auto"/>
                        </w:rPr>
                        <w:t>Rosoff</w:t>
                      </w:r>
                      <w:proofErr w:type="spellEnd"/>
                      <w:r w:rsidRPr="00A43C8A">
                        <w:rPr>
                          <w:b w:val="0"/>
                          <w:color w:val="auto"/>
                        </w:rPr>
                        <w:t>, 2016: 1)</w:t>
                      </w:r>
                    </w:p>
                  </w:txbxContent>
                </v:textbox>
                <w10:wrap type="tight"/>
              </v:shape>
            </w:pict>
          </mc:Fallback>
        </mc:AlternateContent>
      </w:r>
      <w:r w:rsidRPr="006F4A7B">
        <w:rPr>
          <w:rFonts w:ascii="Arial" w:hAnsi="Arial" w:cs="Arial"/>
          <w:noProof/>
          <w:lang w:eastAsia="en-GB"/>
        </w:rPr>
        <w:drawing>
          <wp:anchor distT="0" distB="0" distL="114300" distR="114300" simplePos="0" relativeHeight="251661312" behindDoc="0" locked="0" layoutInCell="1" allowOverlap="1" wp14:anchorId="6C2F6694" wp14:editId="2B466447">
            <wp:simplePos x="0" y="0"/>
            <wp:positionH relativeFrom="column">
              <wp:posOffset>685800</wp:posOffset>
            </wp:positionH>
            <wp:positionV relativeFrom="paragraph">
              <wp:posOffset>152400</wp:posOffset>
            </wp:positionV>
            <wp:extent cx="3961130" cy="2971165"/>
            <wp:effectExtent l="0" t="0" r="1270" b="635"/>
            <wp:wrapTight wrapText="bothSides">
              <wp:wrapPolygon edited="0">
                <wp:start x="0" y="0"/>
                <wp:lineTo x="0" y="21420"/>
                <wp:lineTo x="21468" y="21420"/>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129_amazon_bi.png"/>
                    <pic:cNvPicPr/>
                  </pic:nvPicPr>
                  <pic:blipFill>
                    <a:blip r:embed="rId7">
                      <a:extLst>
                        <a:ext uri="{28A0092B-C50C-407E-A947-70E740481C1C}">
                          <a14:useLocalDpi xmlns:a14="http://schemas.microsoft.com/office/drawing/2010/main" val="0"/>
                        </a:ext>
                      </a:extLst>
                    </a:blip>
                    <a:stretch>
                      <a:fillRect/>
                    </a:stretch>
                  </pic:blipFill>
                  <pic:spPr>
                    <a:xfrm>
                      <a:off x="0" y="0"/>
                      <a:ext cx="3961130" cy="2971165"/>
                    </a:xfrm>
                    <a:prstGeom prst="rect">
                      <a:avLst/>
                    </a:prstGeom>
                  </pic:spPr>
                </pic:pic>
              </a:graphicData>
            </a:graphic>
            <wp14:sizeRelH relativeFrom="page">
              <wp14:pctWidth>0</wp14:pctWidth>
            </wp14:sizeRelH>
            <wp14:sizeRelV relativeFrom="page">
              <wp14:pctHeight>0</wp14:pctHeight>
            </wp14:sizeRelV>
          </wp:anchor>
        </w:drawing>
      </w:r>
    </w:p>
    <w:p w14:paraId="246F4CF1" w14:textId="4B1518BE" w:rsidR="00A43C8A" w:rsidRPr="006F4A7B" w:rsidRDefault="00A43C8A" w:rsidP="00E37378">
      <w:pPr>
        <w:jc w:val="both"/>
        <w:rPr>
          <w:rFonts w:ascii="Arial" w:hAnsi="Arial" w:cs="Arial"/>
        </w:rPr>
      </w:pPr>
    </w:p>
    <w:p w14:paraId="4681BB4E" w14:textId="77777777" w:rsidR="00A43C8A" w:rsidRPr="006F4A7B" w:rsidRDefault="00A43C8A" w:rsidP="00E37378">
      <w:pPr>
        <w:jc w:val="both"/>
        <w:rPr>
          <w:rFonts w:ascii="Arial" w:hAnsi="Arial" w:cs="Arial"/>
        </w:rPr>
      </w:pPr>
    </w:p>
    <w:p w14:paraId="79FB6C0F" w14:textId="77777777" w:rsidR="00A43C8A" w:rsidRPr="006F4A7B" w:rsidRDefault="00A43C8A" w:rsidP="00E37378">
      <w:pPr>
        <w:jc w:val="both"/>
        <w:rPr>
          <w:rFonts w:ascii="Arial" w:hAnsi="Arial" w:cs="Arial"/>
        </w:rPr>
      </w:pPr>
    </w:p>
    <w:p w14:paraId="3D6D7BA7" w14:textId="77777777" w:rsidR="00A43C8A" w:rsidRPr="006F4A7B" w:rsidRDefault="00A43C8A" w:rsidP="00E37378">
      <w:pPr>
        <w:jc w:val="both"/>
        <w:rPr>
          <w:rFonts w:ascii="Arial" w:hAnsi="Arial" w:cs="Arial"/>
        </w:rPr>
      </w:pPr>
    </w:p>
    <w:p w14:paraId="2C2D876B" w14:textId="77777777" w:rsidR="00A43C8A" w:rsidRPr="006F4A7B" w:rsidRDefault="00A43C8A" w:rsidP="00E37378">
      <w:pPr>
        <w:jc w:val="both"/>
        <w:rPr>
          <w:rFonts w:ascii="Arial" w:hAnsi="Arial" w:cs="Arial"/>
        </w:rPr>
      </w:pPr>
    </w:p>
    <w:p w14:paraId="69B0CDDD" w14:textId="77777777" w:rsidR="00A43C8A" w:rsidRPr="006F4A7B" w:rsidRDefault="00A43C8A" w:rsidP="00E37378">
      <w:pPr>
        <w:jc w:val="both"/>
        <w:rPr>
          <w:rFonts w:ascii="Arial" w:hAnsi="Arial" w:cs="Arial"/>
        </w:rPr>
      </w:pPr>
    </w:p>
    <w:p w14:paraId="3ED687C1" w14:textId="77777777" w:rsidR="00A43C8A" w:rsidRPr="006F4A7B" w:rsidRDefault="00A43C8A" w:rsidP="00E37378">
      <w:pPr>
        <w:jc w:val="both"/>
        <w:rPr>
          <w:rFonts w:ascii="Arial" w:hAnsi="Arial" w:cs="Arial"/>
        </w:rPr>
      </w:pPr>
    </w:p>
    <w:p w14:paraId="4722C33E" w14:textId="77777777" w:rsidR="00A43C8A" w:rsidRPr="006F4A7B" w:rsidRDefault="00A43C8A" w:rsidP="00E37378">
      <w:pPr>
        <w:jc w:val="both"/>
        <w:rPr>
          <w:rFonts w:ascii="Arial" w:hAnsi="Arial" w:cs="Arial"/>
        </w:rPr>
      </w:pPr>
    </w:p>
    <w:p w14:paraId="1BA8E9FB" w14:textId="77777777" w:rsidR="00A43C8A" w:rsidRPr="006F4A7B" w:rsidRDefault="00A43C8A" w:rsidP="00E37378">
      <w:pPr>
        <w:jc w:val="both"/>
        <w:rPr>
          <w:rFonts w:ascii="Arial" w:hAnsi="Arial" w:cs="Arial"/>
        </w:rPr>
      </w:pPr>
    </w:p>
    <w:p w14:paraId="3A250E76" w14:textId="77777777" w:rsidR="00A43C8A" w:rsidRPr="006F4A7B" w:rsidRDefault="00A43C8A" w:rsidP="00E37378">
      <w:pPr>
        <w:jc w:val="both"/>
        <w:rPr>
          <w:rFonts w:ascii="Arial" w:hAnsi="Arial" w:cs="Arial"/>
        </w:rPr>
      </w:pPr>
    </w:p>
    <w:p w14:paraId="3AA89B43" w14:textId="77777777" w:rsidR="00A43C8A" w:rsidRPr="006F4A7B" w:rsidRDefault="00A43C8A" w:rsidP="00E37378">
      <w:pPr>
        <w:jc w:val="both"/>
        <w:rPr>
          <w:rFonts w:ascii="Arial" w:hAnsi="Arial" w:cs="Arial"/>
        </w:rPr>
      </w:pPr>
    </w:p>
    <w:p w14:paraId="71591D5F" w14:textId="77777777" w:rsidR="00A43C8A" w:rsidRPr="006F4A7B" w:rsidRDefault="00A43C8A" w:rsidP="00E37378">
      <w:pPr>
        <w:jc w:val="both"/>
        <w:rPr>
          <w:rFonts w:ascii="Arial" w:hAnsi="Arial" w:cs="Arial"/>
        </w:rPr>
      </w:pPr>
    </w:p>
    <w:p w14:paraId="02C8C305" w14:textId="77777777" w:rsidR="00A43C8A" w:rsidRPr="006F4A7B" w:rsidRDefault="00A43C8A" w:rsidP="00E37378">
      <w:pPr>
        <w:jc w:val="both"/>
        <w:rPr>
          <w:rFonts w:ascii="Arial" w:hAnsi="Arial" w:cs="Arial"/>
        </w:rPr>
      </w:pPr>
    </w:p>
    <w:p w14:paraId="6AEE53E1" w14:textId="77777777" w:rsidR="00A43C8A" w:rsidRPr="006F4A7B" w:rsidRDefault="00A43C8A" w:rsidP="00E37378">
      <w:pPr>
        <w:jc w:val="both"/>
        <w:rPr>
          <w:rFonts w:ascii="Arial" w:hAnsi="Arial" w:cs="Arial"/>
        </w:rPr>
      </w:pPr>
    </w:p>
    <w:p w14:paraId="5414E05E" w14:textId="77777777" w:rsidR="00A43C8A" w:rsidRPr="006F4A7B" w:rsidRDefault="00A43C8A" w:rsidP="00E37378">
      <w:pPr>
        <w:jc w:val="both"/>
        <w:rPr>
          <w:rFonts w:ascii="Arial" w:hAnsi="Arial" w:cs="Arial"/>
        </w:rPr>
      </w:pPr>
    </w:p>
    <w:p w14:paraId="3FF049D8" w14:textId="77777777" w:rsidR="00A43C8A" w:rsidRPr="006F4A7B" w:rsidRDefault="00A43C8A" w:rsidP="00E37378">
      <w:pPr>
        <w:jc w:val="both"/>
        <w:rPr>
          <w:rFonts w:ascii="Arial" w:hAnsi="Arial" w:cs="Arial"/>
        </w:rPr>
      </w:pPr>
    </w:p>
    <w:p w14:paraId="004DB931" w14:textId="77777777" w:rsidR="00A43C8A" w:rsidRPr="006F4A7B" w:rsidRDefault="00A43C8A" w:rsidP="00E37378">
      <w:pPr>
        <w:jc w:val="both"/>
        <w:rPr>
          <w:rFonts w:ascii="Arial" w:hAnsi="Arial" w:cs="Arial"/>
        </w:rPr>
      </w:pPr>
    </w:p>
    <w:p w14:paraId="40C6387C" w14:textId="77777777" w:rsidR="00A43C8A" w:rsidRPr="006F4A7B" w:rsidRDefault="00A43C8A" w:rsidP="00E37378">
      <w:pPr>
        <w:jc w:val="both"/>
        <w:rPr>
          <w:rFonts w:ascii="Arial" w:hAnsi="Arial" w:cs="Arial"/>
        </w:rPr>
      </w:pPr>
    </w:p>
    <w:p w14:paraId="0F71C2EB" w14:textId="77777777" w:rsidR="00A43C8A" w:rsidRPr="006F4A7B" w:rsidRDefault="00A43C8A" w:rsidP="00E37378">
      <w:pPr>
        <w:jc w:val="both"/>
        <w:rPr>
          <w:rFonts w:ascii="Arial" w:hAnsi="Arial" w:cs="Arial"/>
        </w:rPr>
      </w:pPr>
    </w:p>
    <w:p w14:paraId="1A4F7961" w14:textId="77777777" w:rsidR="00A43C8A" w:rsidRPr="006F4A7B" w:rsidRDefault="00A43C8A" w:rsidP="00E37378">
      <w:pPr>
        <w:jc w:val="both"/>
        <w:rPr>
          <w:rFonts w:ascii="Arial" w:hAnsi="Arial" w:cs="Arial"/>
        </w:rPr>
      </w:pPr>
    </w:p>
    <w:p w14:paraId="75F04711" w14:textId="77777777" w:rsidR="00A43C8A" w:rsidRPr="006F4A7B" w:rsidRDefault="00A43C8A" w:rsidP="00E37378">
      <w:pPr>
        <w:jc w:val="both"/>
        <w:rPr>
          <w:rFonts w:ascii="Arial" w:hAnsi="Arial" w:cs="Arial"/>
        </w:rPr>
      </w:pPr>
    </w:p>
    <w:p w14:paraId="1DE3464C" w14:textId="77777777" w:rsidR="00A43C8A" w:rsidRPr="006F4A7B" w:rsidRDefault="00A43C8A" w:rsidP="00E37378">
      <w:pPr>
        <w:jc w:val="both"/>
        <w:rPr>
          <w:rFonts w:ascii="Arial" w:hAnsi="Arial" w:cs="Arial"/>
        </w:rPr>
      </w:pPr>
    </w:p>
    <w:p w14:paraId="22DB2E51" w14:textId="77777777" w:rsidR="00C564FA" w:rsidRPr="006F4A7B" w:rsidRDefault="00C564FA" w:rsidP="00E37378">
      <w:pPr>
        <w:jc w:val="both"/>
        <w:rPr>
          <w:rFonts w:ascii="Arial" w:hAnsi="Arial" w:cs="Arial"/>
        </w:rPr>
      </w:pPr>
    </w:p>
    <w:p w14:paraId="361E3A2F" w14:textId="77777777" w:rsidR="00D44806" w:rsidRPr="006F4A7B" w:rsidRDefault="00D44806" w:rsidP="00E37378">
      <w:pPr>
        <w:jc w:val="both"/>
        <w:rPr>
          <w:rFonts w:ascii="Arial" w:hAnsi="Arial" w:cs="Arial"/>
        </w:rPr>
      </w:pPr>
    </w:p>
    <w:p w14:paraId="2476668C" w14:textId="41C9273E" w:rsidR="00C564FA" w:rsidRPr="006F4A7B" w:rsidRDefault="00C564FA" w:rsidP="00E37378">
      <w:pPr>
        <w:jc w:val="both"/>
        <w:rPr>
          <w:rFonts w:ascii="Arial" w:hAnsi="Arial" w:cs="Arial"/>
        </w:rPr>
      </w:pPr>
      <w:r w:rsidRPr="006F4A7B">
        <w:rPr>
          <w:rFonts w:ascii="Arial" w:hAnsi="Arial" w:cs="Arial"/>
        </w:rPr>
        <w:t>To begin, the dynamic capabilities framework provides a useful platform upon which it is possible to illustrate the dynamic nature of the external business environment (</w:t>
      </w:r>
      <w:proofErr w:type="spellStart"/>
      <w:r w:rsidRPr="006F4A7B">
        <w:rPr>
          <w:rFonts w:ascii="Arial" w:hAnsi="Arial" w:cs="Arial"/>
        </w:rPr>
        <w:t>Teece</w:t>
      </w:r>
      <w:proofErr w:type="spellEnd"/>
      <w:r w:rsidRPr="006F4A7B">
        <w:rPr>
          <w:rFonts w:ascii="Arial" w:hAnsi="Arial" w:cs="Arial"/>
        </w:rPr>
        <w:t xml:space="preserve">, 2014; </w:t>
      </w:r>
      <w:proofErr w:type="spellStart"/>
      <w:r w:rsidRPr="006F4A7B">
        <w:rPr>
          <w:rFonts w:ascii="Arial" w:hAnsi="Arial" w:cs="Arial"/>
        </w:rPr>
        <w:t>Wilden</w:t>
      </w:r>
      <w:proofErr w:type="spellEnd"/>
      <w:r w:rsidRPr="006F4A7B">
        <w:rPr>
          <w:rFonts w:ascii="Arial" w:hAnsi="Arial" w:cs="Arial"/>
        </w:rPr>
        <w:t xml:space="preserve"> et al, 2013). Dynamic capabilities are those capabilities, which extend beyond traditional capabilities and value and draw from dynamism present in the external business en</w:t>
      </w:r>
      <w:r w:rsidR="004E3E72" w:rsidRPr="006F4A7B">
        <w:rPr>
          <w:rFonts w:ascii="Arial" w:hAnsi="Arial" w:cs="Arial"/>
        </w:rPr>
        <w:t xml:space="preserve">vironment. Shaped around </w:t>
      </w:r>
      <w:proofErr w:type="spellStart"/>
      <w:r w:rsidR="004E3E72" w:rsidRPr="006F4A7B">
        <w:rPr>
          <w:rFonts w:ascii="Arial" w:hAnsi="Arial" w:cs="Arial"/>
        </w:rPr>
        <w:t>Teece</w:t>
      </w:r>
      <w:proofErr w:type="spellEnd"/>
      <w:r w:rsidR="004E3E72" w:rsidRPr="006F4A7B">
        <w:rPr>
          <w:rFonts w:ascii="Arial" w:hAnsi="Arial" w:cs="Arial"/>
        </w:rPr>
        <w:t xml:space="preserve">, Pisano and </w:t>
      </w:r>
      <w:proofErr w:type="spellStart"/>
      <w:r w:rsidR="004E3E72" w:rsidRPr="006F4A7B">
        <w:rPr>
          <w:rFonts w:ascii="Arial" w:hAnsi="Arial" w:cs="Arial"/>
        </w:rPr>
        <w:t>Shuen’s</w:t>
      </w:r>
      <w:proofErr w:type="spellEnd"/>
      <w:r w:rsidRPr="006F4A7B">
        <w:rPr>
          <w:rFonts w:ascii="Arial" w:hAnsi="Arial" w:cs="Arial"/>
        </w:rPr>
        <w:t xml:space="preserve"> (1997) original framework, three processes exist which guide and direct such action: sensing, seizing and reconfiguration. Of these, the starting point rests with the ability of an organisation such as Amazon to sense opportunities within their wider environment and then seize such before their competitors. Regularly positioned as a superior </w:t>
      </w:r>
      <w:r w:rsidR="003934ED" w:rsidRPr="006F4A7B">
        <w:rPr>
          <w:rFonts w:ascii="Arial" w:hAnsi="Arial" w:cs="Arial"/>
        </w:rPr>
        <w:t>company, which sets trends as opposed to following</w:t>
      </w:r>
      <w:r w:rsidRPr="006F4A7B">
        <w:rPr>
          <w:rFonts w:ascii="Arial" w:hAnsi="Arial" w:cs="Arial"/>
        </w:rPr>
        <w:t xml:space="preserve"> them, Amazon orchestrate their strategic action to deal with environmental turbulence to their advantage (</w:t>
      </w:r>
      <w:proofErr w:type="spellStart"/>
      <w:r w:rsidRPr="006F4A7B">
        <w:rPr>
          <w:rFonts w:ascii="Arial" w:hAnsi="Arial" w:cs="Arial"/>
        </w:rPr>
        <w:t>Wilden</w:t>
      </w:r>
      <w:proofErr w:type="spellEnd"/>
      <w:r w:rsidRPr="006F4A7B">
        <w:rPr>
          <w:rFonts w:ascii="Arial" w:hAnsi="Arial" w:cs="Arial"/>
        </w:rPr>
        <w:t xml:space="preserve"> &amp; </w:t>
      </w:r>
      <w:proofErr w:type="spellStart"/>
      <w:r w:rsidRPr="006F4A7B">
        <w:rPr>
          <w:rFonts w:ascii="Arial" w:hAnsi="Arial" w:cs="Arial"/>
        </w:rPr>
        <w:t>Gudergan</w:t>
      </w:r>
      <w:proofErr w:type="spellEnd"/>
      <w:r w:rsidRPr="006F4A7B">
        <w:rPr>
          <w:rFonts w:ascii="Arial" w:hAnsi="Arial" w:cs="Arial"/>
        </w:rPr>
        <w:t xml:space="preserve">, 2015).  This aligns to the thinking of </w:t>
      </w:r>
      <w:proofErr w:type="spellStart"/>
      <w:r w:rsidRPr="006F4A7B">
        <w:rPr>
          <w:rFonts w:ascii="Arial" w:hAnsi="Arial" w:cs="Arial"/>
        </w:rPr>
        <w:t>Wilden</w:t>
      </w:r>
      <w:proofErr w:type="spellEnd"/>
      <w:r w:rsidRPr="006F4A7B">
        <w:rPr>
          <w:rFonts w:ascii="Arial" w:hAnsi="Arial" w:cs="Arial"/>
        </w:rPr>
        <w:t xml:space="preserve"> and </w:t>
      </w:r>
      <w:proofErr w:type="spellStart"/>
      <w:r w:rsidRPr="006F4A7B">
        <w:rPr>
          <w:rFonts w:ascii="Arial" w:hAnsi="Arial" w:cs="Arial"/>
        </w:rPr>
        <w:t>Gudergan</w:t>
      </w:r>
      <w:proofErr w:type="spellEnd"/>
      <w:r w:rsidRPr="006F4A7B">
        <w:rPr>
          <w:rFonts w:ascii="Arial" w:hAnsi="Arial" w:cs="Arial"/>
        </w:rPr>
        <w:t xml:space="preserve"> (2015) who highlight the importance of developing technological capabilities despite environmental turbulence. </w:t>
      </w:r>
    </w:p>
    <w:p w14:paraId="65049ACE" w14:textId="77777777" w:rsidR="003934ED" w:rsidRPr="006F4A7B" w:rsidRDefault="003934ED" w:rsidP="00E37378">
      <w:pPr>
        <w:jc w:val="both"/>
        <w:rPr>
          <w:rFonts w:ascii="Arial" w:hAnsi="Arial" w:cs="Arial"/>
        </w:rPr>
      </w:pPr>
    </w:p>
    <w:p w14:paraId="34D7DC8D" w14:textId="6548BF10" w:rsidR="005E1DD3" w:rsidRPr="006F4A7B" w:rsidRDefault="003934ED" w:rsidP="00E37378">
      <w:pPr>
        <w:jc w:val="both"/>
        <w:rPr>
          <w:rFonts w:ascii="Arial" w:hAnsi="Arial" w:cs="Arial"/>
        </w:rPr>
      </w:pPr>
      <w:r w:rsidRPr="006F4A7B">
        <w:rPr>
          <w:rFonts w:ascii="Arial" w:hAnsi="Arial" w:cs="Arial"/>
        </w:rPr>
        <w:t xml:space="preserve">Changes and trends within the political environment </w:t>
      </w:r>
      <w:r w:rsidR="00083C05" w:rsidRPr="006F4A7B">
        <w:rPr>
          <w:rFonts w:ascii="Arial" w:hAnsi="Arial" w:cs="Arial"/>
        </w:rPr>
        <w:t>have an impact on Amazon largely due to their multinational status. Political influence largely focuses upon governmental activity and Amazon must be able to respond to governmental activity in order to align to cultural and political dynamics. Considerations in the political environment include the extent to which the country is politically stable (the more stable it is the potentially more opportuni</w:t>
      </w:r>
      <w:r w:rsidR="00F12D86" w:rsidRPr="006F4A7B">
        <w:rPr>
          <w:rFonts w:ascii="Arial" w:hAnsi="Arial" w:cs="Arial"/>
        </w:rPr>
        <w:t xml:space="preserve">stic it is as a strategic move). </w:t>
      </w:r>
      <w:r w:rsidR="00204DBF" w:rsidRPr="006F4A7B">
        <w:rPr>
          <w:rFonts w:ascii="Arial" w:hAnsi="Arial" w:cs="Arial"/>
        </w:rPr>
        <w:t xml:space="preserve">Other </w:t>
      </w:r>
      <w:r w:rsidR="00F12D86" w:rsidRPr="006F4A7B">
        <w:rPr>
          <w:rFonts w:ascii="Arial" w:hAnsi="Arial" w:cs="Arial"/>
        </w:rPr>
        <w:t xml:space="preserve">political environment </w:t>
      </w:r>
      <w:r w:rsidR="00204DBF" w:rsidRPr="006F4A7B">
        <w:rPr>
          <w:rFonts w:ascii="Arial" w:hAnsi="Arial" w:cs="Arial"/>
        </w:rPr>
        <w:t xml:space="preserve">factors to be taken into consideration include </w:t>
      </w:r>
      <w:r w:rsidR="00F12D86" w:rsidRPr="006F4A7B">
        <w:rPr>
          <w:rFonts w:ascii="Arial" w:hAnsi="Arial" w:cs="Arial"/>
        </w:rPr>
        <w:t>the extent to which governments are receptive and supportive of the moves of Amazon and the extent to which attention is increasingly directed towards security. A current trend thus aligns to a focus on cyber security and this has been driven in recent years by a number of high profile hacking attempts</w:t>
      </w:r>
      <w:r w:rsidR="005E1DD3" w:rsidRPr="006F4A7B">
        <w:rPr>
          <w:rFonts w:ascii="Arial" w:hAnsi="Arial" w:cs="Arial"/>
        </w:rPr>
        <w:t xml:space="preserve"> </w:t>
      </w:r>
      <w:r w:rsidR="005E1DD3" w:rsidRPr="006F4A7B">
        <w:rPr>
          <w:rFonts w:ascii="Arial" w:hAnsi="Arial" w:cs="Arial"/>
        </w:rPr>
        <w:lastRenderedPageBreak/>
        <w:t>(</w:t>
      </w:r>
      <w:proofErr w:type="spellStart"/>
      <w:r w:rsidR="005E1DD3" w:rsidRPr="006F4A7B">
        <w:rPr>
          <w:rFonts w:ascii="Arial" w:hAnsi="Arial" w:cs="Arial"/>
        </w:rPr>
        <w:t>Cavelty</w:t>
      </w:r>
      <w:proofErr w:type="spellEnd"/>
      <w:r w:rsidR="005E1DD3" w:rsidRPr="006F4A7B">
        <w:rPr>
          <w:rFonts w:ascii="Arial" w:hAnsi="Arial" w:cs="Arial"/>
        </w:rPr>
        <w:t xml:space="preserve"> &amp; </w:t>
      </w:r>
      <w:proofErr w:type="spellStart"/>
      <w:r w:rsidR="005E1DD3" w:rsidRPr="006F4A7B">
        <w:rPr>
          <w:rFonts w:ascii="Arial" w:hAnsi="Arial" w:cs="Arial"/>
        </w:rPr>
        <w:t>Mauer</w:t>
      </w:r>
      <w:proofErr w:type="spellEnd"/>
      <w:r w:rsidR="005E1DD3" w:rsidRPr="006F4A7B">
        <w:rPr>
          <w:rFonts w:ascii="Arial" w:hAnsi="Arial" w:cs="Arial"/>
        </w:rPr>
        <w:t>, 2016)</w:t>
      </w:r>
      <w:r w:rsidR="00F12D86" w:rsidRPr="006F4A7B">
        <w:rPr>
          <w:rFonts w:ascii="Arial" w:hAnsi="Arial" w:cs="Arial"/>
        </w:rPr>
        <w:t xml:space="preserve">. </w:t>
      </w:r>
      <w:r w:rsidR="00817BEC" w:rsidRPr="006F4A7B">
        <w:rPr>
          <w:rFonts w:ascii="Arial" w:hAnsi="Arial" w:cs="Arial"/>
        </w:rPr>
        <w:t xml:space="preserve">Existing across a range of countries, Amazon have to deal with dynamism and turbulence across different economies and thus whilst they may face increased competition from the Chinese government following investments in Chinese firms, in the UK, the government are widely encouraging Amazon to develop and invest to support economic stability. </w:t>
      </w:r>
    </w:p>
    <w:p w14:paraId="7FE4AA3E" w14:textId="77777777" w:rsidR="005E1DD3" w:rsidRPr="006F4A7B" w:rsidRDefault="005E1DD3" w:rsidP="00E37378">
      <w:pPr>
        <w:jc w:val="both"/>
        <w:rPr>
          <w:rFonts w:ascii="Arial" w:hAnsi="Arial" w:cs="Arial"/>
        </w:rPr>
      </w:pPr>
    </w:p>
    <w:p w14:paraId="7CB3B250" w14:textId="32D1C645" w:rsidR="003934ED" w:rsidRPr="006F4A7B" w:rsidRDefault="00817BEC" w:rsidP="00E37378">
      <w:pPr>
        <w:jc w:val="both"/>
        <w:rPr>
          <w:rFonts w:ascii="Arial" w:hAnsi="Arial" w:cs="Arial"/>
        </w:rPr>
      </w:pPr>
      <w:r w:rsidRPr="006F4A7B">
        <w:rPr>
          <w:rFonts w:ascii="Arial" w:hAnsi="Arial" w:cs="Arial"/>
        </w:rPr>
        <w:t>The expansion into new markets is an important strategic consideration and one that is increasingly shaped by the identification of the BRICS economies (Brazil, Russia, India, China and South Afri</w:t>
      </w:r>
      <w:r w:rsidR="005B3E81" w:rsidRPr="006F4A7B">
        <w:rPr>
          <w:rFonts w:ascii="Arial" w:hAnsi="Arial" w:cs="Arial"/>
        </w:rPr>
        <w:t>ca). Whilst these economies offer opportunity they also offer threats with varying levels of political stability and support. China is of particular interest to Amazon due to it being predicted to be the world’s largest economy in terms of wealth, power and influence by 2050 and thus this is a market Amazon cannot afford to engage with</w:t>
      </w:r>
      <w:r w:rsidR="005E1DD3" w:rsidRPr="006F4A7B">
        <w:rPr>
          <w:rFonts w:ascii="Arial" w:hAnsi="Arial" w:cs="Arial"/>
        </w:rPr>
        <w:t xml:space="preserve"> (Wilson &amp; </w:t>
      </w:r>
      <w:proofErr w:type="spellStart"/>
      <w:r w:rsidR="005E1DD3" w:rsidRPr="006F4A7B">
        <w:rPr>
          <w:rFonts w:ascii="Arial" w:hAnsi="Arial" w:cs="Arial"/>
        </w:rPr>
        <w:t>Purushothaman</w:t>
      </w:r>
      <w:proofErr w:type="spellEnd"/>
      <w:r w:rsidR="005E1DD3" w:rsidRPr="006F4A7B">
        <w:rPr>
          <w:rFonts w:ascii="Arial" w:hAnsi="Arial" w:cs="Arial"/>
        </w:rPr>
        <w:t>, 2003)</w:t>
      </w:r>
      <w:r w:rsidR="005B3E81" w:rsidRPr="006F4A7B">
        <w:rPr>
          <w:rFonts w:ascii="Arial" w:hAnsi="Arial" w:cs="Arial"/>
        </w:rPr>
        <w:t xml:space="preserve">. However, the Chinese government are restricted in their approach to some technological developments i.e. social media and thus this may influence the strategic direction Amazon take within China. </w:t>
      </w:r>
      <w:r w:rsidR="003F2B06" w:rsidRPr="006F4A7B">
        <w:rPr>
          <w:rFonts w:ascii="Arial" w:hAnsi="Arial" w:cs="Arial"/>
        </w:rPr>
        <w:t>Relating to political influence and the interconnectedness of such, a change management framework can be applied here to understand the dimensions of the strategic environment. McKinsey’s 7s framework</w:t>
      </w:r>
      <w:r w:rsidR="00A43C8A" w:rsidRPr="006F4A7B">
        <w:rPr>
          <w:rFonts w:ascii="Arial" w:hAnsi="Arial" w:cs="Arial"/>
        </w:rPr>
        <w:t xml:space="preserve"> (See figure 2)</w:t>
      </w:r>
      <w:r w:rsidR="003F2B06" w:rsidRPr="006F4A7B">
        <w:rPr>
          <w:rFonts w:ascii="Arial" w:hAnsi="Arial" w:cs="Arial"/>
        </w:rPr>
        <w:t xml:space="preserve"> depicts a thinking similar to that of the butterfly effect where one small change can have a big impact elsewhere</w:t>
      </w:r>
      <w:r w:rsidR="005E1DD3" w:rsidRPr="006F4A7B">
        <w:rPr>
          <w:rFonts w:ascii="Arial" w:hAnsi="Arial" w:cs="Arial"/>
        </w:rPr>
        <w:t xml:space="preserve"> (</w:t>
      </w:r>
      <w:proofErr w:type="spellStart"/>
      <w:r w:rsidR="005E1DD3" w:rsidRPr="006F4A7B">
        <w:rPr>
          <w:rFonts w:ascii="Arial" w:hAnsi="Arial" w:cs="Arial"/>
        </w:rPr>
        <w:t>Hanafizadeh</w:t>
      </w:r>
      <w:proofErr w:type="spellEnd"/>
      <w:r w:rsidR="005E1DD3" w:rsidRPr="006F4A7B">
        <w:rPr>
          <w:rFonts w:ascii="Arial" w:hAnsi="Arial" w:cs="Arial"/>
        </w:rPr>
        <w:t xml:space="preserve"> &amp; </w:t>
      </w:r>
      <w:proofErr w:type="spellStart"/>
      <w:r w:rsidR="005E1DD3" w:rsidRPr="006F4A7B">
        <w:rPr>
          <w:rFonts w:ascii="Arial" w:hAnsi="Arial" w:cs="Arial"/>
        </w:rPr>
        <w:t>Ravasan</w:t>
      </w:r>
      <w:proofErr w:type="spellEnd"/>
      <w:r w:rsidR="005E1DD3" w:rsidRPr="006F4A7B">
        <w:rPr>
          <w:rFonts w:ascii="Arial" w:hAnsi="Arial" w:cs="Arial"/>
        </w:rPr>
        <w:t>, 2011)</w:t>
      </w:r>
      <w:r w:rsidR="003F2B06" w:rsidRPr="006F4A7B">
        <w:rPr>
          <w:rFonts w:ascii="Arial" w:hAnsi="Arial" w:cs="Arial"/>
        </w:rPr>
        <w:t xml:space="preserve">. Thus, relating this to political influence, any political uncertainty in one part of the world can substantially impact </w:t>
      </w:r>
      <w:r w:rsidR="005E5F48" w:rsidRPr="006F4A7B">
        <w:rPr>
          <w:rFonts w:ascii="Arial" w:hAnsi="Arial" w:cs="Arial"/>
        </w:rPr>
        <w:t>decisions made elsewhere. A current consideration for example is the impact of BREXIT on Amazon’s operations in the UK. Whilst the full impact is still to be seen, it has been considered that BREXIT will have an impact on data rules and policies between the UK and the EU</w:t>
      </w:r>
      <w:r w:rsidR="00183747" w:rsidRPr="006F4A7B">
        <w:rPr>
          <w:rFonts w:ascii="Arial" w:hAnsi="Arial" w:cs="Arial"/>
        </w:rPr>
        <w:t>,</w:t>
      </w:r>
      <w:r w:rsidR="005E5F48" w:rsidRPr="006F4A7B">
        <w:rPr>
          <w:rFonts w:ascii="Arial" w:hAnsi="Arial" w:cs="Arial"/>
        </w:rPr>
        <w:t xml:space="preserve"> which is likely to result in a renegotiation of terms taking place regarding Amazon’s cloud computing business</w:t>
      </w:r>
      <w:r w:rsidR="00204DBF" w:rsidRPr="006F4A7B">
        <w:rPr>
          <w:rFonts w:ascii="Arial" w:hAnsi="Arial" w:cs="Arial"/>
        </w:rPr>
        <w:t xml:space="preserve"> (Eversheds-Sutherland, 2017)</w:t>
      </w:r>
      <w:r w:rsidR="005E5F48" w:rsidRPr="006F4A7B">
        <w:rPr>
          <w:rFonts w:ascii="Arial" w:hAnsi="Arial" w:cs="Arial"/>
        </w:rPr>
        <w:t xml:space="preserve">. </w:t>
      </w:r>
      <w:r w:rsidR="00F1773C" w:rsidRPr="006F4A7B">
        <w:rPr>
          <w:rFonts w:ascii="Arial" w:hAnsi="Arial" w:cs="Arial"/>
        </w:rPr>
        <w:t xml:space="preserve">Relating this to the HR strategy of the organisation, cultural competence becomes central to understand the importance of different countries and their projections, something </w:t>
      </w:r>
      <w:r w:rsidR="0000393E" w:rsidRPr="006F4A7B">
        <w:rPr>
          <w:rFonts w:ascii="Arial" w:hAnsi="Arial" w:cs="Arial"/>
        </w:rPr>
        <w:t>that</w:t>
      </w:r>
      <w:r w:rsidR="00F1773C" w:rsidRPr="006F4A7B">
        <w:rPr>
          <w:rFonts w:ascii="Arial" w:hAnsi="Arial" w:cs="Arial"/>
        </w:rPr>
        <w:t xml:space="preserve"> is also inter-related to social considerations in the wider</w:t>
      </w:r>
      <w:r w:rsidR="005E1DD3" w:rsidRPr="006F4A7B">
        <w:rPr>
          <w:rFonts w:ascii="Arial" w:hAnsi="Arial" w:cs="Arial"/>
        </w:rPr>
        <w:t xml:space="preserve"> external business environment (Whitman, 2016). </w:t>
      </w:r>
    </w:p>
    <w:p w14:paraId="5DFBFD07" w14:textId="133CCD27" w:rsidR="00A43C8A" w:rsidRPr="006F4A7B" w:rsidRDefault="00A43C8A" w:rsidP="00E37378">
      <w:pPr>
        <w:jc w:val="both"/>
        <w:rPr>
          <w:rFonts w:ascii="Arial" w:hAnsi="Arial" w:cs="Arial"/>
        </w:rPr>
      </w:pPr>
      <w:r w:rsidRPr="006F4A7B">
        <w:rPr>
          <w:rFonts w:ascii="Arial" w:hAnsi="Arial" w:cs="Arial"/>
          <w:noProof/>
          <w:lang w:eastAsia="en-GB"/>
        </w:rPr>
        <mc:AlternateContent>
          <mc:Choice Requires="wps">
            <w:drawing>
              <wp:anchor distT="0" distB="0" distL="114300" distR="114300" simplePos="0" relativeHeight="251660288" behindDoc="0" locked="0" layoutInCell="1" allowOverlap="1" wp14:anchorId="1E970E50" wp14:editId="240CCEEF">
                <wp:simplePos x="0" y="0"/>
                <wp:positionH relativeFrom="column">
                  <wp:posOffset>1143000</wp:posOffset>
                </wp:positionH>
                <wp:positionV relativeFrom="paragraph">
                  <wp:posOffset>2641600</wp:posOffset>
                </wp:positionV>
                <wp:extent cx="3325495" cy="260985"/>
                <wp:effectExtent l="0" t="0" r="0" b="0"/>
                <wp:wrapTight wrapText="bothSides">
                  <wp:wrapPolygon edited="0">
                    <wp:start x="0" y="0"/>
                    <wp:lineTo x="0" y="20571"/>
                    <wp:lineTo x="21447" y="20571"/>
                    <wp:lineTo x="2144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325495" cy="260985"/>
                        </a:xfrm>
                        <a:prstGeom prst="rect">
                          <a:avLst/>
                        </a:prstGeom>
                        <a:solidFill>
                          <a:prstClr val="white"/>
                        </a:solid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txbx>
                        <w:txbxContent>
                          <w:p w14:paraId="2113D841" w14:textId="37D4AB61" w:rsidR="00A43C8A" w:rsidRPr="00A43C8A" w:rsidRDefault="00A43C8A" w:rsidP="00A43C8A">
                            <w:pPr>
                              <w:pStyle w:val="Caption"/>
                              <w:jc w:val="center"/>
                              <w:rPr>
                                <w:rFonts w:ascii="Times New Roman" w:hAnsi="Times New Roman" w:cs="Times New Roman"/>
                                <w:b w:val="0"/>
                                <w:noProof/>
                                <w:color w:val="auto"/>
                                <w:sz w:val="20"/>
                                <w:szCs w:val="20"/>
                                <w:lang w:val="en-US"/>
                              </w:rPr>
                            </w:pPr>
                            <w:r w:rsidRPr="00A43C8A">
                              <w:rPr>
                                <w:b w:val="0"/>
                                <w:color w:val="auto"/>
                              </w:rPr>
                              <w:t xml:space="preserve">Figure </w:t>
                            </w:r>
                            <w:r>
                              <w:rPr>
                                <w:b w:val="0"/>
                                <w:color w:val="auto"/>
                              </w:rPr>
                              <w:t>2</w:t>
                            </w:r>
                            <w:r w:rsidRPr="00A43C8A">
                              <w:rPr>
                                <w:b w:val="0"/>
                                <w:color w:val="auto"/>
                              </w:rPr>
                              <w:t>: McKinsey 7s (</w:t>
                            </w:r>
                            <w:proofErr w:type="spellStart"/>
                            <w:r w:rsidRPr="00A43C8A">
                              <w:rPr>
                                <w:b w:val="0"/>
                                <w:color w:val="auto"/>
                              </w:rPr>
                              <w:t>Hanafizadeh</w:t>
                            </w:r>
                            <w:proofErr w:type="spellEnd"/>
                            <w:r w:rsidRPr="00A43C8A">
                              <w:rPr>
                                <w:b w:val="0"/>
                                <w:color w:val="auto"/>
                              </w:rPr>
                              <w:t xml:space="preserve"> &amp; </w:t>
                            </w:r>
                            <w:proofErr w:type="spellStart"/>
                            <w:r w:rsidRPr="00A43C8A">
                              <w:rPr>
                                <w:b w:val="0"/>
                                <w:color w:val="auto"/>
                              </w:rPr>
                              <w:t>Ravasan</w:t>
                            </w:r>
                            <w:proofErr w:type="spellEnd"/>
                            <w:r w:rsidRPr="00A43C8A">
                              <w:rPr>
                                <w:b w:val="0"/>
                                <w:color w:val="auto"/>
                              </w:rPr>
                              <w:t>, 2011: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970E50" id="Text Box 2" o:spid="_x0000_s1027" type="#_x0000_t202" style="position:absolute;left:0;text-align:left;margin-left:90pt;margin-top:208pt;width:261.85pt;height:2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" stroked="f">
                <v:textbox style="mso-fit-shape-to-text:t" inset="0,0,0,0">
                  <w:txbxContent>
                    <w:p w14:paraId="2113D841" w14:textId="37D4AB61" w:rsidR="00A43C8A" w:rsidRPr="00A43C8A" w:rsidRDefault="00A43C8A" w:rsidP="00A43C8A">
                      <w:pPr>
                        <w:pStyle w:val="Caption"/>
                        <w:jc w:val="center"/>
                        <w:rPr>
                          <w:rFonts w:ascii="Times New Roman" w:hAnsi="Times New Roman" w:cs="Times New Roman"/>
                          <w:b w:val="0"/>
                          <w:noProof/>
                          <w:color w:val="auto"/>
                          <w:sz w:val="20"/>
                          <w:szCs w:val="20"/>
                          <w:lang w:val="en-US"/>
                        </w:rPr>
                      </w:pPr>
                      <w:r w:rsidRPr="00A43C8A">
                        <w:rPr>
                          <w:b w:val="0"/>
                          <w:color w:val="auto"/>
                        </w:rPr>
                        <w:t xml:space="preserve">Figure </w:t>
                      </w:r>
                      <w:r>
                        <w:rPr>
                          <w:b w:val="0"/>
                          <w:color w:val="auto"/>
                        </w:rPr>
                        <w:t>2</w:t>
                      </w:r>
                      <w:r w:rsidRPr="00A43C8A">
                        <w:rPr>
                          <w:b w:val="0"/>
                          <w:color w:val="auto"/>
                        </w:rPr>
                        <w:t>: McKinsey 7s (</w:t>
                      </w:r>
                      <w:proofErr w:type="spellStart"/>
                      <w:r w:rsidRPr="00A43C8A">
                        <w:rPr>
                          <w:b w:val="0"/>
                          <w:color w:val="auto"/>
                        </w:rPr>
                        <w:t>Hanafizadeh</w:t>
                      </w:r>
                      <w:proofErr w:type="spellEnd"/>
                      <w:r w:rsidRPr="00A43C8A">
                        <w:rPr>
                          <w:b w:val="0"/>
                          <w:color w:val="auto"/>
                        </w:rPr>
                        <w:t xml:space="preserve"> &amp; </w:t>
                      </w:r>
                      <w:proofErr w:type="spellStart"/>
                      <w:r w:rsidRPr="00A43C8A">
                        <w:rPr>
                          <w:b w:val="0"/>
                          <w:color w:val="auto"/>
                        </w:rPr>
                        <w:t>Ravasan</w:t>
                      </w:r>
                      <w:proofErr w:type="spellEnd"/>
                      <w:r w:rsidRPr="00A43C8A">
                        <w:rPr>
                          <w:b w:val="0"/>
                          <w:color w:val="auto"/>
                        </w:rPr>
                        <w:t>, 2011: 1)</w:t>
                      </w:r>
                    </w:p>
                  </w:txbxContent>
                </v:textbox>
                <w10:wrap type="tight"/>
              </v:shape>
            </w:pict>
          </mc:Fallback>
        </mc:AlternateContent>
      </w:r>
      <w:r w:rsidRPr="006F4A7B">
        <w:rPr>
          <w:rFonts w:ascii="Arial" w:hAnsi="Arial" w:cs="Arial"/>
          <w:noProof/>
          <w:lang w:eastAsia="en-GB"/>
        </w:rPr>
        <w:drawing>
          <wp:anchor distT="0" distB="0" distL="114300" distR="114300" simplePos="0" relativeHeight="251658240" behindDoc="0" locked="0" layoutInCell="1" allowOverlap="1" wp14:anchorId="6D1301DF" wp14:editId="1794131C">
            <wp:simplePos x="0" y="0"/>
            <wp:positionH relativeFrom="column">
              <wp:posOffset>1143000</wp:posOffset>
            </wp:positionH>
            <wp:positionV relativeFrom="paragraph">
              <wp:posOffset>107950</wp:posOffset>
            </wp:positionV>
            <wp:extent cx="3325495" cy="2476500"/>
            <wp:effectExtent l="0" t="0" r="1905" b="12700"/>
            <wp:wrapTight wrapText="bothSides">
              <wp:wrapPolygon edited="0">
                <wp:start x="0" y="0"/>
                <wp:lineTo x="0" y="21489"/>
                <wp:lineTo x="21447" y="21489"/>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kinsey-7s-model.png"/>
                    <pic:cNvPicPr/>
                  </pic:nvPicPr>
                  <pic:blipFill>
                    <a:blip r:embed="rId8">
                      <a:extLst>
                        <a:ext uri="{28A0092B-C50C-407E-A947-70E740481C1C}">
                          <a14:useLocalDpi xmlns:a14="http://schemas.microsoft.com/office/drawing/2010/main" val="0"/>
                        </a:ext>
                      </a:extLst>
                    </a:blip>
                    <a:stretch>
                      <a:fillRect/>
                    </a:stretch>
                  </pic:blipFill>
                  <pic:spPr>
                    <a:xfrm>
                      <a:off x="0" y="0"/>
                      <a:ext cx="3325495" cy="2476500"/>
                    </a:xfrm>
                    <a:prstGeom prst="rect">
                      <a:avLst/>
                    </a:prstGeom>
                  </pic:spPr>
                </pic:pic>
              </a:graphicData>
            </a:graphic>
            <wp14:sizeRelH relativeFrom="page">
              <wp14:pctWidth>0</wp14:pctWidth>
            </wp14:sizeRelH>
            <wp14:sizeRelV relativeFrom="page">
              <wp14:pctHeight>0</wp14:pctHeight>
            </wp14:sizeRelV>
          </wp:anchor>
        </w:drawing>
      </w:r>
    </w:p>
    <w:p w14:paraId="2726D9A6" w14:textId="628F2D5D" w:rsidR="00A43C8A" w:rsidRPr="006F4A7B" w:rsidRDefault="00A43C8A" w:rsidP="00E37378">
      <w:pPr>
        <w:jc w:val="both"/>
        <w:rPr>
          <w:rFonts w:ascii="Arial" w:hAnsi="Arial" w:cs="Arial"/>
        </w:rPr>
      </w:pPr>
    </w:p>
    <w:p w14:paraId="6170C1DF" w14:textId="77777777" w:rsidR="00CD2252" w:rsidRPr="006F4A7B" w:rsidRDefault="00CD2252" w:rsidP="00E37378">
      <w:pPr>
        <w:jc w:val="both"/>
        <w:rPr>
          <w:rFonts w:ascii="Arial" w:hAnsi="Arial" w:cs="Arial"/>
        </w:rPr>
      </w:pPr>
    </w:p>
    <w:p w14:paraId="06AFEFFD" w14:textId="77777777" w:rsidR="00A43C8A" w:rsidRPr="006F4A7B" w:rsidRDefault="00A43C8A" w:rsidP="00E37378">
      <w:pPr>
        <w:jc w:val="both"/>
        <w:rPr>
          <w:rFonts w:ascii="Arial" w:hAnsi="Arial" w:cs="Arial"/>
        </w:rPr>
      </w:pPr>
    </w:p>
    <w:p w14:paraId="26967376" w14:textId="77777777" w:rsidR="00A43C8A" w:rsidRPr="006F4A7B" w:rsidRDefault="00A43C8A" w:rsidP="00E37378">
      <w:pPr>
        <w:jc w:val="both"/>
        <w:rPr>
          <w:rFonts w:ascii="Arial" w:hAnsi="Arial" w:cs="Arial"/>
        </w:rPr>
      </w:pPr>
    </w:p>
    <w:p w14:paraId="74D83255" w14:textId="77777777" w:rsidR="00A43C8A" w:rsidRPr="006F4A7B" w:rsidRDefault="00A43C8A" w:rsidP="00E37378">
      <w:pPr>
        <w:jc w:val="both"/>
        <w:rPr>
          <w:rFonts w:ascii="Arial" w:hAnsi="Arial" w:cs="Arial"/>
        </w:rPr>
      </w:pPr>
    </w:p>
    <w:p w14:paraId="250FD720" w14:textId="77777777" w:rsidR="00A43C8A" w:rsidRPr="006F4A7B" w:rsidRDefault="00A43C8A" w:rsidP="00E37378">
      <w:pPr>
        <w:jc w:val="both"/>
        <w:rPr>
          <w:rFonts w:ascii="Arial" w:hAnsi="Arial" w:cs="Arial"/>
        </w:rPr>
      </w:pPr>
    </w:p>
    <w:p w14:paraId="6BBC9DFF" w14:textId="77777777" w:rsidR="00A43C8A" w:rsidRPr="006F4A7B" w:rsidRDefault="00A43C8A" w:rsidP="00E37378">
      <w:pPr>
        <w:jc w:val="both"/>
        <w:rPr>
          <w:rFonts w:ascii="Arial" w:hAnsi="Arial" w:cs="Arial"/>
        </w:rPr>
      </w:pPr>
    </w:p>
    <w:p w14:paraId="3E062265" w14:textId="77777777" w:rsidR="00A43C8A" w:rsidRPr="006F4A7B" w:rsidRDefault="00A43C8A" w:rsidP="00E37378">
      <w:pPr>
        <w:jc w:val="both"/>
        <w:rPr>
          <w:rFonts w:ascii="Arial" w:hAnsi="Arial" w:cs="Arial"/>
        </w:rPr>
      </w:pPr>
    </w:p>
    <w:p w14:paraId="0C623FC1" w14:textId="77777777" w:rsidR="00A43C8A" w:rsidRPr="006F4A7B" w:rsidRDefault="00A43C8A" w:rsidP="00E37378">
      <w:pPr>
        <w:jc w:val="both"/>
        <w:rPr>
          <w:rFonts w:ascii="Arial" w:hAnsi="Arial" w:cs="Arial"/>
        </w:rPr>
      </w:pPr>
    </w:p>
    <w:p w14:paraId="30349865" w14:textId="77777777" w:rsidR="00A43C8A" w:rsidRPr="006F4A7B" w:rsidRDefault="00A43C8A" w:rsidP="00E37378">
      <w:pPr>
        <w:jc w:val="both"/>
        <w:rPr>
          <w:rFonts w:ascii="Arial" w:hAnsi="Arial" w:cs="Arial"/>
        </w:rPr>
      </w:pPr>
    </w:p>
    <w:p w14:paraId="6CC726E4" w14:textId="77777777" w:rsidR="00A43C8A" w:rsidRPr="006F4A7B" w:rsidRDefault="00A43C8A" w:rsidP="00E37378">
      <w:pPr>
        <w:jc w:val="both"/>
        <w:rPr>
          <w:rFonts w:ascii="Arial" w:hAnsi="Arial" w:cs="Arial"/>
        </w:rPr>
      </w:pPr>
    </w:p>
    <w:p w14:paraId="2F2BEE9E" w14:textId="77777777" w:rsidR="00A43C8A" w:rsidRPr="006F4A7B" w:rsidRDefault="00A43C8A" w:rsidP="00E37378">
      <w:pPr>
        <w:jc w:val="both"/>
        <w:rPr>
          <w:rFonts w:ascii="Arial" w:hAnsi="Arial" w:cs="Arial"/>
        </w:rPr>
      </w:pPr>
    </w:p>
    <w:p w14:paraId="436DEB8E" w14:textId="77777777" w:rsidR="00A43C8A" w:rsidRPr="006F4A7B" w:rsidRDefault="00A43C8A" w:rsidP="00E37378">
      <w:pPr>
        <w:jc w:val="both"/>
        <w:rPr>
          <w:rFonts w:ascii="Arial" w:hAnsi="Arial" w:cs="Arial"/>
        </w:rPr>
      </w:pPr>
    </w:p>
    <w:p w14:paraId="6AF27D5A" w14:textId="77777777" w:rsidR="00A43C8A" w:rsidRPr="006F4A7B" w:rsidRDefault="00A43C8A" w:rsidP="00E37378">
      <w:pPr>
        <w:jc w:val="both"/>
        <w:rPr>
          <w:rFonts w:ascii="Arial" w:hAnsi="Arial" w:cs="Arial"/>
        </w:rPr>
      </w:pPr>
    </w:p>
    <w:p w14:paraId="73BFCC92" w14:textId="77777777" w:rsidR="00A43C8A" w:rsidRPr="006F4A7B" w:rsidRDefault="00A43C8A" w:rsidP="00E37378">
      <w:pPr>
        <w:jc w:val="both"/>
        <w:rPr>
          <w:rFonts w:ascii="Arial" w:hAnsi="Arial" w:cs="Arial"/>
        </w:rPr>
      </w:pPr>
    </w:p>
    <w:p w14:paraId="2017E604" w14:textId="77777777" w:rsidR="00A43C8A" w:rsidRPr="006F4A7B" w:rsidRDefault="00A43C8A" w:rsidP="00E37378">
      <w:pPr>
        <w:jc w:val="both"/>
        <w:rPr>
          <w:rFonts w:ascii="Arial" w:hAnsi="Arial" w:cs="Arial"/>
        </w:rPr>
      </w:pPr>
    </w:p>
    <w:p w14:paraId="4FDFED5C" w14:textId="77777777" w:rsidR="00A43C8A" w:rsidRPr="006F4A7B" w:rsidRDefault="00A43C8A" w:rsidP="00E37378">
      <w:pPr>
        <w:jc w:val="both"/>
        <w:rPr>
          <w:rFonts w:ascii="Arial" w:hAnsi="Arial" w:cs="Arial"/>
        </w:rPr>
      </w:pPr>
    </w:p>
    <w:p w14:paraId="5CA1CE51" w14:textId="77777777" w:rsidR="00A43C8A" w:rsidRPr="006F4A7B" w:rsidRDefault="00A43C8A" w:rsidP="00E37378">
      <w:pPr>
        <w:jc w:val="both"/>
        <w:rPr>
          <w:rFonts w:ascii="Arial" w:hAnsi="Arial" w:cs="Arial"/>
        </w:rPr>
      </w:pPr>
    </w:p>
    <w:p w14:paraId="4674E8D8" w14:textId="77777777" w:rsidR="00A43C8A" w:rsidRPr="006F4A7B" w:rsidRDefault="00A43C8A" w:rsidP="00E37378">
      <w:pPr>
        <w:jc w:val="both"/>
        <w:rPr>
          <w:rFonts w:ascii="Arial" w:hAnsi="Arial" w:cs="Arial"/>
        </w:rPr>
      </w:pPr>
    </w:p>
    <w:p w14:paraId="207D895D" w14:textId="0409FF51" w:rsidR="005D1071" w:rsidRPr="006F4A7B" w:rsidRDefault="00CD2252" w:rsidP="00E37378">
      <w:pPr>
        <w:jc w:val="both"/>
        <w:rPr>
          <w:rFonts w:ascii="Arial" w:hAnsi="Arial" w:cs="Arial"/>
        </w:rPr>
      </w:pPr>
      <w:r w:rsidRPr="006F4A7B">
        <w:rPr>
          <w:rFonts w:ascii="Arial" w:hAnsi="Arial" w:cs="Arial"/>
        </w:rPr>
        <w:lastRenderedPageBreak/>
        <w:t>Economic factors contribute to environmental conditions that can make the difference between a strategic opportunity and a strategic threat. Performance is thus dependent upon economic success and growth and there are a number of significant factors that can be identified which influence strategic tactics</w:t>
      </w:r>
      <w:r w:rsidR="005E1DD3" w:rsidRPr="006F4A7B">
        <w:rPr>
          <w:rFonts w:ascii="Arial" w:hAnsi="Arial" w:cs="Arial"/>
        </w:rPr>
        <w:t xml:space="preserve"> (</w:t>
      </w:r>
      <w:proofErr w:type="spellStart"/>
      <w:r w:rsidR="005E1DD3" w:rsidRPr="006F4A7B">
        <w:rPr>
          <w:rFonts w:ascii="Arial" w:hAnsi="Arial" w:cs="Arial"/>
        </w:rPr>
        <w:t>Gawer</w:t>
      </w:r>
      <w:proofErr w:type="spellEnd"/>
      <w:r w:rsidR="005E1DD3" w:rsidRPr="006F4A7B">
        <w:rPr>
          <w:rFonts w:ascii="Arial" w:hAnsi="Arial" w:cs="Arial"/>
        </w:rPr>
        <w:t>, 2011)</w:t>
      </w:r>
      <w:r w:rsidRPr="006F4A7B">
        <w:rPr>
          <w:rFonts w:ascii="Arial" w:hAnsi="Arial" w:cs="Arial"/>
        </w:rPr>
        <w:t xml:space="preserve">. Economic stability is a central environmental factor and one that supports Amazon’s own stability. Amazon’s actions in developed markets form a stable basis that allows them to invest in other markets, which may be less economically, stable but </w:t>
      </w:r>
      <w:r w:rsidR="0053476B">
        <w:rPr>
          <w:rFonts w:ascii="Arial" w:hAnsi="Arial" w:cs="Arial"/>
        </w:rPr>
        <w:t>perhaps provide more opportunities</w:t>
      </w:r>
      <w:r w:rsidRPr="006F4A7B">
        <w:rPr>
          <w:rFonts w:ascii="Arial" w:hAnsi="Arial" w:cs="Arial"/>
        </w:rPr>
        <w:t xml:space="preserve">. Aligned to this, rising wealth in developing economies such as the BRICS economies presents substantial opportunity to Amazon and their ability to tap into and seize such opportunities is important for competitive success. However, aligned to this way of thinking, a threat of a recession/economic downturn in China for example could greatly indicate a threat to the organisation and thus they are susceptible to change fuelled by economic differences. An element of risk thus comes into play when considering strategic implications of decisions made. Amazon as a company need to take opportunities in riskier markets and balance this with firmer, more stable decisions in developed economies. Strategy formulation thus relates to a balance between the two. </w:t>
      </w:r>
      <w:r w:rsidR="005D1071" w:rsidRPr="006F4A7B">
        <w:rPr>
          <w:rFonts w:ascii="Arial" w:hAnsi="Arial" w:cs="Arial"/>
        </w:rPr>
        <w:t>A consideration of economic factors is more than just the extent to which an e</w:t>
      </w:r>
      <w:r w:rsidR="0026002B" w:rsidRPr="006F4A7B">
        <w:rPr>
          <w:rFonts w:ascii="Arial" w:hAnsi="Arial" w:cs="Arial"/>
        </w:rPr>
        <w:t>conomy is developed/developing in relation to its stability but also in relation to its exchange rates. The online nature of Amazon can mean the company save money on exchange rates and yet, rate fluctuations can cause an instability which requires continuous monitoring. This monitoring of the economic environment in terms of inflation, exchange rates and interest rates support a commitment to taking risks when the time is optimum</w:t>
      </w:r>
      <w:r w:rsidR="005E1DD3" w:rsidRPr="006F4A7B">
        <w:rPr>
          <w:rFonts w:ascii="Arial" w:hAnsi="Arial" w:cs="Arial"/>
        </w:rPr>
        <w:t xml:space="preserve"> (Chen et al, 2016)</w:t>
      </w:r>
      <w:r w:rsidR="0026002B" w:rsidRPr="006F4A7B">
        <w:rPr>
          <w:rFonts w:ascii="Arial" w:hAnsi="Arial" w:cs="Arial"/>
        </w:rPr>
        <w:t xml:space="preserve">. </w:t>
      </w:r>
      <w:r w:rsidR="00F1773C" w:rsidRPr="006F4A7B">
        <w:rPr>
          <w:rFonts w:ascii="Arial" w:hAnsi="Arial" w:cs="Arial"/>
        </w:rPr>
        <w:t>Aligned to their HR strategy, Amazon must focus upon hiring those individuals who are able to continuously change and thus respond to dynamism present. Thinking about the micro-foundations of strategic success, Amazon need to invest in their employees to equip them with the skills needed to respond confidently to changes</w:t>
      </w:r>
      <w:r w:rsidR="007022AF" w:rsidRPr="006F4A7B">
        <w:rPr>
          <w:rFonts w:ascii="Arial" w:hAnsi="Arial" w:cs="Arial"/>
        </w:rPr>
        <w:t>,</w:t>
      </w:r>
      <w:r w:rsidR="00F1773C" w:rsidRPr="006F4A7B">
        <w:rPr>
          <w:rFonts w:ascii="Arial" w:hAnsi="Arial" w:cs="Arial"/>
        </w:rPr>
        <w:t xml:space="preserve"> which may take place in the</w:t>
      </w:r>
      <w:r w:rsidR="005E1DD3" w:rsidRPr="006F4A7B">
        <w:rPr>
          <w:rFonts w:ascii="Arial" w:hAnsi="Arial" w:cs="Arial"/>
        </w:rPr>
        <w:t xml:space="preserve"> external business environment (Morris, Hammond &amp; Snell, 2014). </w:t>
      </w:r>
    </w:p>
    <w:p w14:paraId="256D5FF4" w14:textId="77777777" w:rsidR="007022AF" w:rsidRPr="006F4A7B" w:rsidRDefault="007022AF" w:rsidP="00E37378">
      <w:pPr>
        <w:jc w:val="both"/>
        <w:rPr>
          <w:rFonts w:ascii="Arial" w:hAnsi="Arial" w:cs="Arial"/>
        </w:rPr>
      </w:pPr>
    </w:p>
    <w:p w14:paraId="7006E456" w14:textId="65CF1FA0" w:rsidR="007022AF" w:rsidRPr="006F4A7B" w:rsidRDefault="00DA2BC1" w:rsidP="00E37378">
      <w:pPr>
        <w:jc w:val="both"/>
        <w:rPr>
          <w:rFonts w:ascii="Arial" w:hAnsi="Arial" w:cs="Arial"/>
        </w:rPr>
      </w:pPr>
      <w:r w:rsidRPr="006F4A7B">
        <w:rPr>
          <w:rFonts w:ascii="Arial" w:hAnsi="Arial" w:cs="Arial"/>
        </w:rPr>
        <w:t>Social environmental factors perhaps provide the most difficult environmental factors in terms of their impact and potential response to such. Increased consumerism across the global economy drives a great opportunity for Amazon but this opportunity may be met with social concern surrounding the impact Amazon can have e.g. in terms of their treatment of workers across the supply chain</w:t>
      </w:r>
      <w:r w:rsidR="005E1DD3" w:rsidRPr="006F4A7B">
        <w:rPr>
          <w:rFonts w:ascii="Arial" w:hAnsi="Arial" w:cs="Arial"/>
        </w:rPr>
        <w:t xml:space="preserve"> (Bauer et al, 2012)</w:t>
      </w:r>
      <w:r w:rsidRPr="006F4A7B">
        <w:rPr>
          <w:rFonts w:ascii="Arial" w:hAnsi="Arial" w:cs="Arial"/>
        </w:rPr>
        <w:t xml:space="preserve">. In the past, Amazon have faced criticism for </w:t>
      </w:r>
      <w:r w:rsidR="00886788" w:rsidRPr="006F4A7B">
        <w:rPr>
          <w:rFonts w:ascii="Arial" w:hAnsi="Arial" w:cs="Arial"/>
        </w:rPr>
        <w:t>their</w:t>
      </w:r>
      <w:r w:rsidRPr="006F4A7B">
        <w:rPr>
          <w:rFonts w:ascii="Arial" w:hAnsi="Arial" w:cs="Arial"/>
        </w:rPr>
        <w:t xml:space="preserve"> treatment of workers and thus this is an environmental condition they mus</w:t>
      </w:r>
      <w:r w:rsidR="0017189F" w:rsidRPr="006F4A7B">
        <w:rPr>
          <w:rFonts w:ascii="Arial" w:hAnsi="Arial" w:cs="Arial"/>
        </w:rPr>
        <w:t xml:space="preserve">t be able to openly respond to and thus feed into their HR strategy. Further, socio-cultural factors relate to the extent to which Amazon </w:t>
      </w:r>
      <w:r w:rsidR="0000393E" w:rsidRPr="006F4A7B">
        <w:rPr>
          <w:rFonts w:ascii="Arial" w:hAnsi="Arial" w:cs="Arial"/>
        </w:rPr>
        <w:t>adept</w:t>
      </w:r>
      <w:r w:rsidR="0017189F" w:rsidRPr="006F4A7B">
        <w:rPr>
          <w:rFonts w:ascii="Arial" w:hAnsi="Arial" w:cs="Arial"/>
        </w:rPr>
        <w:t xml:space="preserve"> with emphasis largely being placed on standardisation due to the business model Amazon follow. Expansion in this vein lies with the ability to gain economies of scale and support growth/standardisation across the e-commerce platform. With this in mind, cultural adaption at a personal level is needed especially from employees but perhaps not from the business model itself. The social environment is driving a move towards the online environment and as a result of this, a substantial opportunity exists for Amazon to lead the way. Leading however requires an understanding of people and the need for Amazon to consider people in their </w:t>
      </w:r>
      <w:r w:rsidR="0000393E" w:rsidRPr="006F4A7B">
        <w:rPr>
          <w:rFonts w:ascii="Arial" w:hAnsi="Arial" w:cs="Arial"/>
        </w:rPr>
        <w:t>decision-making</w:t>
      </w:r>
      <w:r w:rsidR="0017189F" w:rsidRPr="006F4A7B">
        <w:rPr>
          <w:rFonts w:ascii="Arial" w:hAnsi="Arial" w:cs="Arial"/>
        </w:rPr>
        <w:t xml:space="preserve">. Engagement with stakeholders could thus support success here with Hayes (2014) highlighting the importance of determining the power and influence of stakeholders and feeding this into the strategic appraisal of the organisation. Amazon </w:t>
      </w:r>
      <w:r w:rsidR="0000393E" w:rsidRPr="006F4A7B">
        <w:rPr>
          <w:rFonts w:ascii="Arial" w:hAnsi="Arial" w:cs="Arial"/>
        </w:rPr>
        <w:t>has</w:t>
      </w:r>
      <w:r w:rsidR="0017189F" w:rsidRPr="006F4A7B">
        <w:rPr>
          <w:rFonts w:ascii="Arial" w:hAnsi="Arial" w:cs="Arial"/>
        </w:rPr>
        <w:t xml:space="preserve"> a great deal of stakeholders and their sociocultural foundation supports strategic </w:t>
      </w:r>
      <w:r w:rsidR="0000393E" w:rsidRPr="006F4A7B">
        <w:rPr>
          <w:rFonts w:ascii="Arial" w:hAnsi="Arial" w:cs="Arial"/>
        </w:rPr>
        <w:t>decision</w:t>
      </w:r>
      <w:r w:rsidR="0017189F" w:rsidRPr="006F4A7B">
        <w:rPr>
          <w:rFonts w:ascii="Arial" w:hAnsi="Arial" w:cs="Arial"/>
        </w:rPr>
        <w:t xml:space="preserve"> making here. </w:t>
      </w:r>
    </w:p>
    <w:p w14:paraId="4762A726" w14:textId="77777777" w:rsidR="0000393E" w:rsidRPr="006F4A7B" w:rsidRDefault="0000393E" w:rsidP="00E37378">
      <w:pPr>
        <w:jc w:val="both"/>
        <w:rPr>
          <w:rFonts w:ascii="Arial" w:hAnsi="Arial" w:cs="Arial"/>
        </w:rPr>
      </w:pPr>
    </w:p>
    <w:p w14:paraId="2EB32D94" w14:textId="7CE40680" w:rsidR="0000393E" w:rsidRDefault="0000393E" w:rsidP="00E37378">
      <w:pPr>
        <w:jc w:val="both"/>
        <w:rPr>
          <w:rFonts w:ascii="Arial" w:hAnsi="Arial" w:cs="Arial"/>
        </w:rPr>
      </w:pPr>
      <w:r w:rsidRPr="006F4A7B">
        <w:rPr>
          <w:rFonts w:ascii="Arial" w:hAnsi="Arial" w:cs="Arial"/>
        </w:rPr>
        <w:lastRenderedPageBreak/>
        <w:t>As a technological company, it can be argued that the external environmental condition, which has the most impact, is that of technological factors in the external business environment. Technological advancement and progression led by Amazon has the power to influence competitor action and yet in addition, Amazon is also susceptible to technological changes elsewhere. Rapid technological development offers both opportunity and threat to Amazon, and importantly, Amazon have to be able to feed this into their HR strategy to gain the technological competence and capabilities needed to stay ahead of competition. This is however coupled with the threat of cybercrime and the threat this may cause to technological stability. Significant investment in both people and technology is needed to support the long-term viability of Amazon and their ability to remain as market leader. Change here relates to continuous, adaptable change. In relation to the thinking of Porter (2008) and his five forces model, Amazon are able to limit the threat of new entry due to the sheer power they have in the market thus making entry costs for others difficult. Brand expectations align to this competitive strength and therefore as a result, Amazon has to ensure that they are focused upon remaining one step of others. Relating this back to the development of dynamic capabilities, the seizing of technological opportunities becomes central to growth to maintain competitive position. Amazon must therefore invest in individuals who have the capacity to take on knowledge</w:t>
      </w:r>
      <w:r w:rsidR="000E383C" w:rsidRPr="006F4A7B">
        <w:rPr>
          <w:rFonts w:ascii="Arial" w:hAnsi="Arial" w:cs="Arial"/>
        </w:rPr>
        <w:t>,</w:t>
      </w:r>
      <w:r w:rsidRPr="006F4A7B">
        <w:rPr>
          <w:rFonts w:ascii="Arial" w:hAnsi="Arial" w:cs="Arial"/>
        </w:rPr>
        <w:t xml:space="preserve"> but to also tran</w:t>
      </w:r>
      <w:r w:rsidR="005E1DD3" w:rsidRPr="006F4A7B">
        <w:rPr>
          <w:rFonts w:ascii="Arial" w:hAnsi="Arial" w:cs="Arial"/>
        </w:rPr>
        <w:t>sfer this across the workforce (</w:t>
      </w:r>
      <w:proofErr w:type="spellStart"/>
      <w:r w:rsidR="005E1DD3" w:rsidRPr="006F4A7B">
        <w:rPr>
          <w:rFonts w:ascii="Arial" w:hAnsi="Arial" w:cs="Arial"/>
        </w:rPr>
        <w:t>Anitha</w:t>
      </w:r>
      <w:proofErr w:type="spellEnd"/>
      <w:r w:rsidR="005E1DD3" w:rsidRPr="006F4A7B">
        <w:rPr>
          <w:rFonts w:ascii="Arial" w:hAnsi="Arial" w:cs="Arial"/>
        </w:rPr>
        <w:t xml:space="preserve"> &amp; Begum, 2016). </w:t>
      </w:r>
    </w:p>
    <w:p w14:paraId="0C330EE0" w14:textId="3D789169" w:rsidR="006F4A7B" w:rsidRPr="006F4A7B" w:rsidRDefault="006F4A7B" w:rsidP="00E37378">
      <w:pPr>
        <w:jc w:val="both"/>
        <w:rPr>
          <w:rFonts w:ascii="Arial" w:hAnsi="Arial" w:cs="Arial"/>
        </w:rPr>
      </w:pPr>
    </w:p>
    <w:p w14:paraId="5BAD1A2F" w14:textId="77777777" w:rsidR="0000393E" w:rsidRPr="006F4A7B" w:rsidRDefault="0000393E" w:rsidP="00E37378">
      <w:pPr>
        <w:jc w:val="both"/>
        <w:rPr>
          <w:rFonts w:ascii="Arial" w:hAnsi="Arial" w:cs="Arial"/>
        </w:rPr>
      </w:pPr>
    </w:p>
    <w:p w14:paraId="5CBFEFF0" w14:textId="34254088" w:rsidR="00D44806" w:rsidRPr="006F4A7B" w:rsidRDefault="005023EB" w:rsidP="00297DD5">
      <w:pPr>
        <w:pStyle w:val="Heading3"/>
        <w:rPr>
          <w:rFonts w:ascii="Arial" w:hAnsi="Arial" w:cs="Arial"/>
        </w:rPr>
      </w:pPr>
      <w:bookmarkStart w:id="1" w:name="_Toc499986868"/>
      <w:r w:rsidRPr="00C0681A">
        <w:rPr>
          <w:color w:val="auto"/>
        </w:rPr>
        <w:t>3</w:t>
      </w:r>
      <w:r w:rsidRPr="006F4A7B">
        <w:rPr>
          <w:rFonts w:ascii="Arial" w:hAnsi="Arial" w:cs="Arial"/>
        </w:rPr>
        <w:t xml:space="preserve">. </w:t>
      </w:r>
      <w:r w:rsidR="00D44806" w:rsidRPr="00C0681A">
        <w:rPr>
          <w:rFonts w:ascii="Arial" w:hAnsi="Arial" w:cs="Arial"/>
          <w:color w:val="auto"/>
        </w:rPr>
        <w:t>Conclusion and recommendations</w:t>
      </w:r>
      <w:bookmarkEnd w:id="1"/>
    </w:p>
    <w:p w14:paraId="13A16C83" w14:textId="77777777" w:rsidR="00D44806" w:rsidRPr="006F4A7B" w:rsidRDefault="00D44806" w:rsidP="00E37378">
      <w:pPr>
        <w:jc w:val="both"/>
        <w:rPr>
          <w:rFonts w:ascii="Arial" w:hAnsi="Arial" w:cs="Arial"/>
        </w:rPr>
      </w:pPr>
    </w:p>
    <w:p w14:paraId="1479885F" w14:textId="43E71870" w:rsidR="0000393E" w:rsidRPr="006F4A7B" w:rsidRDefault="0063520E" w:rsidP="00E37378">
      <w:pPr>
        <w:jc w:val="both"/>
        <w:rPr>
          <w:rFonts w:ascii="Arial" w:hAnsi="Arial" w:cs="Arial"/>
        </w:rPr>
      </w:pPr>
      <w:r w:rsidRPr="006F4A7B">
        <w:rPr>
          <w:rFonts w:ascii="Arial" w:hAnsi="Arial" w:cs="Arial"/>
        </w:rPr>
        <w:t xml:space="preserve">Stemming from the strategic analysis </w:t>
      </w:r>
      <w:r w:rsidR="0086373B" w:rsidRPr="006F4A7B">
        <w:rPr>
          <w:rFonts w:ascii="Arial" w:hAnsi="Arial" w:cs="Arial"/>
        </w:rPr>
        <w:t xml:space="preserve">conducted above, the final part of this essay focuses upon recommendations directed towards the senior management team in terms of their HR strategy. </w:t>
      </w:r>
      <w:r w:rsidR="00FB4A7C" w:rsidRPr="006F4A7B">
        <w:rPr>
          <w:rFonts w:ascii="Arial" w:hAnsi="Arial" w:cs="Arial"/>
        </w:rPr>
        <w:t xml:space="preserve">The first recommendation considers the importance of emotional intelligence and the need to develop this not only in the Senior Management Team but also in employees within the firm. Emotional intelligence </w:t>
      </w:r>
      <w:r w:rsidR="00C016F7" w:rsidRPr="006F4A7B">
        <w:rPr>
          <w:rFonts w:ascii="Arial" w:hAnsi="Arial" w:cs="Arial"/>
        </w:rPr>
        <w:t xml:space="preserve">(Goleman, </w:t>
      </w:r>
      <w:proofErr w:type="spellStart"/>
      <w:r w:rsidR="00C016F7" w:rsidRPr="006F4A7B">
        <w:rPr>
          <w:rFonts w:ascii="Arial" w:hAnsi="Arial" w:cs="Arial"/>
        </w:rPr>
        <w:t>Boyatzis</w:t>
      </w:r>
      <w:proofErr w:type="spellEnd"/>
      <w:r w:rsidR="00C016F7" w:rsidRPr="006F4A7B">
        <w:rPr>
          <w:rFonts w:ascii="Arial" w:hAnsi="Arial" w:cs="Arial"/>
        </w:rPr>
        <w:t>, McKee, 2013</w:t>
      </w:r>
      <w:r w:rsidR="00FB4A7C" w:rsidRPr="006F4A7B">
        <w:rPr>
          <w:rFonts w:ascii="Arial" w:hAnsi="Arial" w:cs="Arial"/>
        </w:rPr>
        <w:t xml:space="preserve">) sees a commitment to the recognition of emotions and different feelings across the firm. This type of capability can support an organisational culture capable of dealing with environmental factors and dynamism faced. For Amazon, technological competence, the sharing of knowledge and the creation of a work environment where change is the norm is central to strategic success and thus this essay argues this comes down to individuals within the firm. Individuals must therefore be fostered to have the emotional intelligence and the capacity to deal with change and be responsive to changes around them. </w:t>
      </w:r>
    </w:p>
    <w:p w14:paraId="2CFEBA42" w14:textId="77777777" w:rsidR="0056431F" w:rsidRPr="006F4A7B" w:rsidRDefault="0056431F" w:rsidP="00E37378">
      <w:pPr>
        <w:jc w:val="both"/>
        <w:rPr>
          <w:rFonts w:ascii="Arial" w:hAnsi="Arial" w:cs="Arial"/>
        </w:rPr>
      </w:pPr>
    </w:p>
    <w:p w14:paraId="433C354B" w14:textId="5B712B33" w:rsidR="0056431F" w:rsidRPr="006F4A7B" w:rsidRDefault="0056431F" w:rsidP="00E37378">
      <w:pPr>
        <w:jc w:val="both"/>
        <w:rPr>
          <w:rFonts w:ascii="Arial" w:hAnsi="Arial" w:cs="Arial"/>
        </w:rPr>
      </w:pPr>
      <w:r w:rsidRPr="006F4A7B">
        <w:rPr>
          <w:rFonts w:ascii="Arial" w:hAnsi="Arial" w:cs="Arial"/>
        </w:rPr>
        <w:t xml:space="preserve">A second recommendation refers to the need to be one-step ahead in terms of their talent management strategy. </w:t>
      </w:r>
      <w:r w:rsidR="00F325D4" w:rsidRPr="006F4A7B">
        <w:rPr>
          <w:rFonts w:ascii="Arial" w:hAnsi="Arial" w:cs="Arial"/>
        </w:rPr>
        <w:t xml:space="preserve">Amazon </w:t>
      </w:r>
      <w:r w:rsidR="008766D9" w:rsidRPr="006F4A7B">
        <w:rPr>
          <w:rFonts w:ascii="Arial" w:hAnsi="Arial" w:cs="Arial"/>
        </w:rPr>
        <w:t>needs</w:t>
      </w:r>
      <w:r w:rsidR="00F325D4" w:rsidRPr="006F4A7B">
        <w:rPr>
          <w:rFonts w:ascii="Arial" w:hAnsi="Arial" w:cs="Arial"/>
        </w:rPr>
        <w:t xml:space="preserve"> to have a forward thinking talent management strategy in place in order to remain competitive. An understanding of what skills are needed must be considered but importantly cultural fit must also exist. For example; whilst skills may be able to be developed, cultural fit with Amazon is important to ensure that this is where their competitive advantage can come from. This aligns to the original thinking of Barney (1991) who supports the need to compete on the basis of </w:t>
      </w:r>
      <w:r w:rsidR="008766D9" w:rsidRPr="006F4A7B">
        <w:rPr>
          <w:rFonts w:ascii="Arial" w:hAnsi="Arial" w:cs="Arial"/>
        </w:rPr>
        <w:t>something, which</w:t>
      </w:r>
      <w:r w:rsidR="00F325D4" w:rsidRPr="006F4A7B">
        <w:rPr>
          <w:rFonts w:ascii="Arial" w:hAnsi="Arial" w:cs="Arial"/>
        </w:rPr>
        <w:t xml:space="preserve"> is valuable, rare, </w:t>
      </w:r>
      <w:r w:rsidR="008766D9" w:rsidRPr="006F4A7B">
        <w:rPr>
          <w:rFonts w:ascii="Arial" w:hAnsi="Arial" w:cs="Arial"/>
        </w:rPr>
        <w:t>inimitable</w:t>
      </w:r>
      <w:r w:rsidR="00F325D4" w:rsidRPr="006F4A7B">
        <w:rPr>
          <w:rFonts w:ascii="Arial" w:hAnsi="Arial" w:cs="Arial"/>
        </w:rPr>
        <w:t xml:space="preserve"> and non-substitutable. Developing this through the </w:t>
      </w:r>
      <w:r w:rsidR="008766D9" w:rsidRPr="006F4A7B">
        <w:rPr>
          <w:rFonts w:ascii="Arial" w:hAnsi="Arial" w:cs="Arial"/>
        </w:rPr>
        <w:t>workforce</w:t>
      </w:r>
      <w:r w:rsidR="00F325D4" w:rsidRPr="006F4A7B">
        <w:rPr>
          <w:rFonts w:ascii="Arial" w:hAnsi="Arial" w:cs="Arial"/>
        </w:rPr>
        <w:t xml:space="preserve"> is critical to future success. </w:t>
      </w:r>
    </w:p>
    <w:p w14:paraId="67846F1A" w14:textId="77777777" w:rsidR="005E1DD3" w:rsidRPr="006F4A7B" w:rsidRDefault="005E1DD3" w:rsidP="00E37378">
      <w:pPr>
        <w:jc w:val="both"/>
        <w:rPr>
          <w:rFonts w:ascii="Arial" w:hAnsi="Arial" w:cs="Arial"/>
          <w:b/>
        </w:rPr>
      </w:pPr>
    </w:p>
    <w:p w14:paraId="42B0E716" w14:textId="77777777" w:rsidR="008766D9" w:rsidRPr="006F4A7B" w:rsidRDefault="008766D9">
      <w:pPr>
        <w:rPr>
          <w:rFonts w:ascii="Arial" w:hAnsi="Arial" w:cs="Arial"/>
          <w:b/>
        </w:rPr>
      </w:pPr>
      <w:r w:rsidRPr="006F4A7B">
        <w:rPr>
          <w:rFonts w:ascii="Arial" w:hAnsi="Arial" w:cs="Arial"/>
          <w:b/>
        </w:rPr>
        <w:br w:type="page"/>
      </w:r>
    </w:p>
    <w:p w14:paraId="4DA34937" w14:textId="58F178B7" w:rsidR="00FD0C86" w:rsidRPr="00C0681A" w:rsidRDefault="00FD0C86" w:rsidP="00D43298">
      <w:pPr>
        <w:pStyle w:val="Heading3"/>
        <w:rPr>
          <w:rFonts w:ascii="Arial" w:hAnsi="Arial" w:cs="Arial"/>
          <w:color w:val="auto"/>
        </w:rPr>
      </w:pPr>
      <w:bookmarkStart w:id="2" w:name="_Toc499986869"/>
      <w:r w:rsidRPr="00C0681A">
        <w:rPr>
          <w:rFonts w:ascii="Arial" w:hAnsi="Arial" w:cs="Arial"/>
          <w:color w:val="auto"/>
        </w:rPr>
        <w:lastRenderedPageBreak/>
        <w:t>REFERENCES</w:t>
      </w:r>
      <w:bookmarkEnd w:id="2"/>
      <w:r w:rsidRPr="00C0681A">
        <w:rPr>
          <w:rFonts w:ascii="Arial" w:hAnsi="Arial" w:cs="Arial"/>
          <w:color w:val="auto"/>
        </w:rPr>
        <w:t xml:space="preserve"> </w:t>
      </w:r>
      <w:bookmarkStart w:id="3" w:name="_GoBack"/>
      <w:bookmarkEnd w:id="3"/>
    </w:p>
    <w:p w14:paraId="7BD0FB46" w14:textId="77777777" w:rsidR="00FD0C86" w:rsidRPr="006F4A7B" w:rsidRDefault="00FD0C86" w:rsidP="00D43298">
      <w:pPr>
        <w:rPr>
          <w:rFonts w:ascii="Arial" w:hAnsi="Arial" w:cs="Arial"/>
        </w:rPr>
      </w:pPr>
    </w:p>
    <w:p w14:paraId="7C8B90DF" w14:textId="408FCBA6" w:rsidR="005E1DD3" w:rsidRPr="006F4A7B" w:rsidRDefault="005E1DD3" w:rsidP="00D43298">
      <w:pPr>
        <w:rPr>
          <w:rFonts w:ascii="Arial" w:hAnsi="Arial" w:cs="Arial"/>
        </w:rPr>
      </w:pPr>
      <w:proofErr w:type="spellStart"/>
      <w:r w:rsidRPr="006F4A7B">
        <w:rPr>
          <w:rFonts w:ascii="Arial" w:hAnsi="Arial" w:cs="Arial"/>
        </w:rPr>
        <w:t>Anitha</w:t>
      </w:r>
      <w:proofErr w:type="spellEnd"/>
      <w:r w:rsidRPr="006F4A7B">
        <w:rPr>
          <w:rFonts w:ascii="Arial" w:hAnsi="Arial" w:cs="Arial"/>
        </w:rPr>
        <w:t>, J., &amp; Begum, F. N. (2016). Role of organisational culture and employee commitment in employee retention. </w:t>
      </w:r>
      <w:r w:rsidRPr="006F4A7B">
        <w:rPr>
          <w:rFonts w:ascii="Arial" w:hAnsi="Arial" w:cs="Arial"/>
          <w:i/>
          <w:iCs/>
        </w:rPr>
        <w:t>ASBM Journal of Management</w:t>
      </w:r>
      <w:r w:rsidRPr="006F4A7B">
        <w:rPr>
          <w:rFonts w:ascii="Arial" w:hAnsi="Arial" w:cs="Arial"/>
        </w:rPr>
        <w:t>, </w:t>
      </w:r>
      <w:r w:rsidRPr="006F4A7B">
        <w:rPr>
          <w:rFonts w:ascii="Arial" w:hAnsi="Arial" w:cs="Arial"/>
          <w:i/>
          <w:iCs/>
        </w:rPr>
        <w:t>9</w:t>
      </w:r>
      <w:r w:rsidRPr="006F4A7B">
        <w:rPr>
          <w:rFonts w:ascii="Arial" w:hAnsi="Arial" w:cs="Arial"/>
        </w:rPr>
        <w:t>(1), 17.</w:t>
      </w:r>
    </w:p>
    <w:p w14:paraId="5EA72371" w14:textId="77777777" w:rsidR="005E1DD3" w:rsidRPr="006F4A7B" w:rsidRDefault="005E1DD3" w:rsidP="00D43298">
      <w:pPr>
        <w:rPr>
          <w:rFonts w:ascii="Arial" w:hAnsi="Arial" w:cs="Arial"/>
        </w:rPr>
      </w:pPr>
    </w:p>
    <w:p w14:paraId="617C6ADA" w14:textId="758528C2" w:rsidR="004E3E72" w:rsidRPr="006F4A7B" w:rsidRDefault="004E3E72" w:rsidP="00D43298">
      <w:pPr>
        <w:rPr>
          <w:rFonts w:ascii="Arial" w:hAnsi="Arial" w:cs="Arial"/>
        </w:rPr>
      </w:pPr>
      <w:r w:rsidRPr="006F4A7B">
        <w:rPr>
          <w:rFonts w:ascii="Arial" w:hAnsi="Arial" w:cs="Arial"/>
        </w:rPr>
        <w:t>Barney, J. (1991). Firm resources and sustained competitive advantage. </w:t>
      </w:r>
      <w:r w:rsidRPr="006F4A7B">
        <w:rPr>
          <w:rFonts w:ascii="Arial" w:hAnsi="Arial" w:cs="Arial"/>
          <w:i/>
          <w:iCs/>
        </w:rPr>
        <w:t>Journal of management</w:t>
      </w:r>
      <w:r w:rsidRPr="006F4A7B">
        <w:rPr>
          <w:rFonts w:ascii="Arial" w:hAnsi="Arial" w:cs="Arial"/>
        </w:rPr>
        <w:t>, </w:t>
      </w:r>
      <w:r w:rsidRPr="006F4A7B">
        <w:rPr>
          <w:rFonts w:ascii="Arial" w:hAnsi="Arial" w:cs="Arial"/>
          <w:i/>
          <w:iCs/>
        </w:rPr>
        <w:t>17</w:t>
      </w:r>
      <w:r w:rsidRPr="006F4A7B">
        <w:rPr>
          <w:rFonts w:ascii="Arial" w:hAnsi="Arial" w:cs="Arial"/>
        </w:rPr>
        <w:t>(1), 99-120.</w:t>
      </w:r>
    </w:p>
    <w:p w14:paraId="4D078E93" w14:textId="77777777" w:rsidR="005E1DD3" w:rsidRPr="006F4A7B" w:rsidRDefault="005E1DD3" w:rsidP="00D43298">
      <w:pPr>
        <w:rPr>
          <w:rFonts w:ascii="Arial" w:hAnsi="Arial" w:cs="Arial"/>
        </w:rPr>
      </w:pPr>
    </w:p>
    <w:p w14:paraId="1506BF5F" w14:textId="345A9D43" w:rsidR="005E1DD3" w:rsidRPr="006F4A7B" w:rsidRDefault="005E1DD3" w:rsidP="00D43298">
      <w:pPr>
        <w:rPr>
          <w:rFonts w:ascii="Arial" w:hAnsi="Arial" w:cs="Arial"/>
        </w:rPr>
      </w:pPr>
      <w:r w:rsidRPr="006F4A7B">
        <w:rPr>
          <w:rFonts w:ascii="Arial" w:hAnsi="Arial" w:cs="Arial"/>
        </w:rPr>
        <w:t xml:space="preserve">Bauer, M. A., </w:t>
      </w:r>
      <w:proofErr w:type="spellStart"/>
      <w:r w:rsidRPr="006F4A7B">
        <w:rPr>
          <w:rFonts w:ascii="Arial" w:hAnsi="Arial" w:cs="Arial"/>
        </w:rPr>
        <w:t>Wilkie</w:t>
      </w:r>
      <w:proofErr w:type="spellEnd"/>
      <w:r w:rsidRPr="006F4A7B">
        <w:rPr>
          <w:rFonts w:ascii="Arial" w:hAnsi="Arial" w:cs="Arial"/>
        </w:rPr>
        <w:t xml:space="preserve">, J. E., Kim, J. K., &amp; </w:t>
      </w:r>
      <w:proofErr w:type="spellStart"/>
      <w:r w:rsidRPr="006F4A7B">
        <w:rPr>
          <w:rFonts w:ascii="Arial" w:hAnsi="Arial" w:cs="Arial"/>
        </w:rPr>
        <w:t>Bodenhausen</w:t>
      </w:r>
      <w:proofErr w:type="spellEnd"/>
      <w:r w:rsidRPr="006F4A7B">
        <w:rPr>
          <w:rFonts w:ascii="Arial" w:hAnsi="Arial" w:cs="Arial"/>
        </w:rPr>
        <w:t>, G. V. (2012). Cuing consumerism: Situational materialism undermines personal and social well-being. </w:t>
      </w:r>
      <w:r w:rsidRPr="006F4A7B">
        <w:rPr>
          <w:rFonts w:ascii="Arial" w:hAnsi="Arial" w:cs="Arial"/>
          <w:i/>
          <w:iCs/>
        </w:rPr>
        <w:t>Psychological Science</w:t>
      </w:r>
      <w:r w:rsidRPr="006F4A7B">
        <w:rPr>
          <w:rFonts w:ascii="Arial" w:hAnsi="Arial" w:cs="Arial"/>
        </w:rPr>
        <w:t>, </w:t>
      </w:r>
      <w:r w:rsidRPr="006F4A7B">
        <w:rPr>
          <w:rFonts w:ascii="Arial" w:hAnsi="Arial" w:cs="Arial"/>
          <w:i/>
          <w:iCs/>
        </w:rPr>
        <w:t>23</w:t>
      </w:r>
      <w:r w:rsidRPr="006F4A7B">
        <w:rPr>
          <w:rFonts w:ascii="Arial" w:hAnsi="Arial" w:cs="Arial"/>
        </w:rPr>
        <w:t>(5), 517-523.</w:t>
      </w:r>
    </w:p>
    <w:p w14:paraId="35F58627" w14:textId="77777777" w:rsidR="005E1DD3" w:rsidRPr="006F4A7B" w:rsidRDefault="005E1DD3" w:rsidP="00D43298">
      <w:pPr>
        <w:rPr>
          <w:rFonts w:ascii="Arial" w:hAnsi="Arial" w:cs="Arial"/>
        </w:rPr>
      </w:pPr>
    </w:p>
    <w:p w14:paraId="2DB847C4" w14:textId="0F7EABD8" w:rsidR="004E3E72" w:rsidRPr="006F4A7B" w:rsidRDefault="004E3E72" w:rsidP="00D43298">
      <w:pPr>
        <w:rPr>
          <w:rFonts w:ascii="Arial" w:hAnsi="Arial" w:cs="Arial"/>
        </w:rPr>
      </w:pPr>
      <w:proofErr w:type="spellStart"/>
      <w:r w:rsidRPr="006F4A7B">
        <w:rPr>
          <w:rFonts w:ascii="Arial" w:hAnsi="Arial" w:cs="Arial"/>
        </w:rPr>
        <w:t>Breja</w:t>
      </w:r>
      <w:proofErr w:type="spellEnd"/>
      <w:r w:rsidRPr="006F4A7B">
        <w:rPr>
          <w:rFonts w:ascii="Arial" w:hAnsi="Arial" w:cs="Arial"/>
        </w:rPr>
        <w:t xml:space="preserve">, S. K., </w:t>
      </w:r>
      <w:proofErr w:type="spellStart"/>
      <w:r w:rsidRPr="006F4A7B">
        <w:rPr>
          <w:rFonts w:ascii="Arial" w:hAnsi="Arial" w:cs="Arial"/>
        </w:rPr>
        <w:t>Banwet</w:t>
      </w:r>
      <w:proofErr w:type="spellEnd"/>
      <w:r w:rsidRPr="006F4A7B">
        <w:rPr>
          <w:rFonts w:ascii="Arial" w:hAnsi="Arial" w:cs="Arial"/>
        </w:rPr>
        <w:t xml:space="preserve">, D. K., &amp; </w:t>
      </w:r>
      <w:proofErr w:type="spellStart"/>
      <w:r w:rsidRPr="006F4A7B">
        <w:rPr>
          <w:rFonts w:ascii="Arial" w:hAnsi="Arial" w:cs="Arial"/>
        </w:rPr>
        <w:t>Iyer</w:t>
      </w:r>
      <w:proofErr w:type="spellEnd"/>
      <w:r w:rsidRPr="006F4A7B">
        <w:rPr>
          <w:rFonts w:ascii="Arial" w:hAnsi="Arial" w:cs="Arial"/>
        </w:rPr>
        <w:t>, K. C. (2016). Towards sustainable excellence: strategic analysis of Deming Prize winning companies. </w:t>
      </w:r>
      <w:r w:rsidRPr="006F4A7B">
        <w:rPr>
          <w:rFonts w:ascii="Arial" w:hAnsi="Arial" w:cs="Arial"/>
          <w:i/>
          <w:iCs/>
        </w:rPr>
        <w:t>The TQM Journal</w:t>
      </w:r>
      <w:r w:rsidRPr="006F4A7B">
        <w:rPr>
          <w:rFonts w:ascii="Arial" w:hAnsi="Arial" w:cs="Arial"/>
        </w:rPr>
        <w:t>, </w:t>
      </w:r>
      <w:r w:rsidRPr="006F4A7B">
        <w:rPr>
          <w:rFonts w:ascii="Arial" w:hAnsi="Arial" w:cs="Arial"/>
          <w:i/>
          <w:iCs/>
        </w:rPr>
        <w:t>28</w:t>
      </w:r>
      <w:r w:rsidRPr="006F4A7B">
        <w:rPr>
          <w:rFonts w:ascii="Arial" w:hAnsi="Arial" w:cs="Arial"/>
        </w:rPr>
        <w:t>(3), 390-410.</w:t>
      </w:r>
    </w:p>
    <w:p w14:paraId="27285D76" w14:textId="77777777" w:rsidR="005E1DD3" w:rsidRPr="006F4A7B" w:rsidRDefault="005E1DD3" w:rsidP="00D43298">
      <w:pPr>
        <w:rPr>
          <w:rFonts w:ascii="Arial" w:hAnsi="Arial" w:cs="Arial"/>
        </w:rPr>
      </w:pPr>
    </w:p>
    <w:p w14:paraId="2E2AC31E" w14:textId="0F9DD3ED" w:rsidR="005E1DD3" w:rsidRPr="006F4A7B" w:rsidRDefault="005E1DD3" w:rsidP="00D43298">
      <w:pPr>
        <w:rPr>
          <w:rFonts w:ascii="Arial" w:hAnsi="Arial" w:cs="Arial"/>
        </w:rPr>
      </w:pPr>
      <w:proofErr w:type="spellStart"/>
      <w:r w:rsidRPr="006F4A7B">
        <w:rPr>
          <w:rFonts w:ascii="Arial" w:hAnsi="Arial" w:cs="Arial"/>
        </w:rPr>
        <w:t>Cavelty</w:t>
      </w:r>
      <w:proofErr w:type="spellEnd"/>
      <w:r w:rsidRPr="006F4A7B">
        <w:rPr>
          <w:rFonts w:ascii="Arial" w:hAnsi="Arial" w:cs="Arial"/>
        </w:rPr>
        <w:t xml:space="preserve">, M. D., &amp; </w:t>
      </w:r>
      <w:proofErr w:type="spellStart"/>
      <w:r w:rsidRPr="006F4A7B">
        <w:rPr>
          <w:rFonts w:ascii="Arial" w:hAnsi="Arial" w:cs="Arial"/>
        </w:rPr>
        <w:t>Mauer</w:t>
      </w:r>
      <w:proofErr w:type="spellEnd"/>
      <w:r w:rsidRPr="006F4A7B">
        <w:rPr>
          <w:rFonts w:ascii="Arial" w:hAnsi="Arial" w:cs="Arial"/>
        </w:rPr>
        <w:t>, V. (2016). </w:t>
      </w:r>
      <w:r w:rsidRPr="006F4A7B">
        <w:rPr>
          <w:rFonts w:ascii="Arial" w:hAnsi="Arial" w:cs="Arial"/>
          <w:i/>
          <w:iCs/>
        </w:rPr>
        <w:t>Power and security in the information age: Investigating the role of the state in cyberspace</w:t>
      </w:r>
      <w:r w:rsidRPr="006F4A7B">
        <w:rPr>
          <w:rFonts w:ascii="Arial" w:hAnsi="Arial" w:cs="Arial"/>
        </w:rPr>
        <w:t>. Routledge.</w:t>
      </w:r>
    </w:p>
    <w:p w14:paraId="529642CB" w14:textId="77777777" w:rsidR="005E1DD3" w:rsidRPr="006F4A7B" w:rsidRDefault="005E1DD3" w:rsidP="00D43298">
      <w:pPr>
        <w:rPr>
          <w:rFonts w:ascii="Arial" w:hAnsi="Arial" w:cs="Arial"/>
        </w:rPr>
      </w:pPr>
    </w:p>
    <w:p w14:paraId="38C3E9CF" w14:textId="3AA62DD3" w:rsidR="005E1DD3" w:rsidRPr="006F4A7B" w:rsidRDefault="005E1DD3" w:rsidP="00D43298">
      <w:pPr>
        <w:rPr>
          <w:rFonts w:ascii="Arial" w:hAnsi="Arial" w:cs="Arial"/>
        </w:rPr>
      </w:pPr>
      <w:r w:rsidRPr="006F4A7B">
        <w:rPr>
          <w:rFonts w:ascii="Arial" w:hAnsi="Arial" w:cs="Arial"/>
        </w:rPr>
        <w:t xml:space="preserve">Chen, P. F., Lee, C. C., Lee, C. C., &amp; Huang, J. X. (2016). A Dynamic Analysis of Exchange Rate Exposure: The impact of China's </w:t>
      </w:r>
      <w:proofErr w:type="spellStart"/>
      <w:r w:rsidRPr="006F4A7B">
        <w:rPr>
          <w:rFonts w:ascii="Arial" w:hAnsi="Arial" w:cs="Arial"/>
        </w:rPr>
        <w:t>Renminbi</w:t>
      </w:r>
      <w:proofErr w:type="spellEnd"/>
      <w:r w:rsidRPr="006F4A7B">
        <w:rPr>
          <w:rFonts w:ascii="Arial" w:hAnsi="Arial" w:cs="Arial"/>
        </w:rPr>
        <w:t>. </w:t>
      </w:r>
      <w:r w:rsidRPr="006F4A7B">
        <w:rPr>
          <w:rFonts w:ascii="Arial" w:hAnsi="Arial" w:cs="Arial"/>
          <w:i/>
          <w:iCs/>
        </w:rPr>
        <w:t>The World Economy</w:t>
      </w:r>
      <w:r w:rsidRPr="006F4A7B">
        <w:rPr>
          <w:rFonts w:ascii="Arial" w:hAnsi="Arial" w:cs="Arial"/>
        </w:rPr>
        <w:t>, </w:t>
      </w:r>
      <w:r w:rsidRPr="006F4A7B">
        <w:rPr>
          <w:rFonts w:ascii="Arial" w:hAnsi="Arial" w:cs="Arial"/>
          <w:i/>
          <w:iCs/>
        </w:rPr>
        <w:t>39</w:t>
      </w:r>
      <w:r w:rsidRPr="006F4A7B">
        <w:rPr>
          <w:rFonts w:ascii="Arial" w:hAnsi="Arial" w:cs="Arial"/>
        </w:rPr>
        <w:t>(1), 132-157.</w:t>
      </w:r>
    </w:p>
    <w:p w14:paraId="698D5829" w14:textId="77777777" w:rsidR="005E1DD3" w:rsidRPr="006F4A7B" w:rsidRDefault="005E1DD3" w:rsidP="00D43298">
      <w:pPr>
        <w:rPr>
          <w:rFonts w:ascii="Arial" w:hAnsi="Arial" w:cs="Arial"/>
        </w:rPr>
      </w:pPr>
    </w:p>
    <w:p w14:paraId="4578959A" w14:textId="0E0B3343" w:rsidR="00204DBF" w:rsidRPr="006F4A7B" w:rsidRDefault="00204DBF" w:rsidP="00D43298">
      <w:pPr>
        <w:rPr>
          <w:rFonts w:ascii="Arial" w:hAnsi="Arial" w:cs="Arial"/>
        </w:rPr>
      </w:pPr>
      <w:r w:rsidRPr="006F4A7B">
        <w:rPr>
          <w:rFonts w:ascii="Arial" w:hAnsi="Arial" w:cs="Arial"/>
        </w:rPr>
        <w:t xml:space="preserve">Eversheds-Sutherland, (2017) </w:t>
      </w:r>
      <w:proofErr w:type="spellStart"/>
      <w:r w:rsidRPr="006F4A7B">
        <w:rPr>
          <w:rFonts w:ascii="Arial" w:hAnsi="Arial" w:cs="Arial"/>
        </w:rPr>
        <w:t>Brexit</w:t>
      </w:r>
      <w:proofErr w:type="spellEnd"/>
      <w:r w:rsidRPr="006F4A7B">
        <w:rPr>
          <w:rFonts w:ascii="Arial" w:hAnsi="Arial" w:cs="Arial"/>
        </w:rPr>
        <w:t xml:space="preserve">: the impact on general data protection regulation. Available at:  </w:t>
      </w:r>
      <w:hyperlink r:id="rId9" w:history="1">
        <w:r w:rsidRPr="00C0681A">
          <w:rPr>
            <w:rStyle w:val="Hyperlink"/>
            <w:rFonts w:ascii="Arial" w:hAnsi="Arial" w:cs="Arial"/>
            <w:color w:val="auto"/>
          </w:rPr>
          <w:t>https://www.eversheds-sutherland.com/global/en/what/articles/index.page?ArticleID=en/Data-Protection/brexit_impact_on_gdpr_170616</w:t>
        </w:r>
      </w:hyperlink>
      <w:r w:rsidRPr="006F4A7B">
        <w:rPr>
          <w:rFonts w:ascii="Arial" w:hAnsi="Arial" w:cs="Arial"/>
        </w:rPr>
        <w:t xml:space="preserve">  Accessed on 2/12/2017</w:t>
      </w:r>
    </w:p>
    <w:p w14:paraId="2FAD0CF4" w14:textId="77777777" w:rsidR="00204DBF" w:rsidRPr="006F4A7B" w:rsidRDefault="00204DBF" w:rsidP="00D43298">
      <w:pPr>
        <w:rPr>
          <w:rFonts w:ascii="Arial" w:hAnsi="Arial" w:cs="Arial"/>
        </w:rPr>
      </w:pPr>
    </w:p>
    <w:p w14:paraId="5D21D919" w14:textId="1AAB10B7" w:rsidR="005E1DD3" w:rsidRPr="006F4A7B" w:rsidRDefault="005E1DD3" w:rsidP="00D43298">
      <w:pPr>
        <w:rPr>
          <w:rFonts w:ascii="Arial" w:hAnsi="Arial" w:cs="Arial"/>
        </w:rPr>
      </w:pPr>
      <w:proofErr w:type="spellStart"/>
      <w:r w:rsidRPr="006F4A7B">
        <w:rPr>
          <w:rFonts w:ascii="Arial" w:hAnsi="Arial" w:cs="Arial"/>
        </w:rPr>
        <w:t>Gawer</w:t>
      </w:r>
      <w:proofErr w:type="spellEnd"/>
      <w:r w:rsidRPr="006F4A7B">
        <w:rPr>
          <w:rFonts w:ascii="Arial" w:hAnsi="Arial" w:cs="Arial"/>
        </w:rPr>
        <w:t>, A. (Ed.). (2011). </w:t>
      </w:r>
      <w:r w:rsidRPr="006F4A7B">
        <w:rPr>
          <w:rFonts w:ascii="Arial" w:hAnsi="Arial" w:cs="Arial"/>
          <w:i/>
          <w:iCs/>
        </w:rPr>
        <w:t>Platforms, markets and innovation</w:t>
      </w:r>
      <w:r w:rsidRPr="006F4A7B">
        <w:rPr>
          <w:rFonts w:ascii="Arial" w:hAnsi="Arial" w:cs="Arial"/>
        </w:rPr>
        <w:t>. Edward Elgar Publishing.</w:t>
      </w:r>
    </w:p>
    <w:p w14:paraId="6E7C04BE" w14:textId="77777777" w:rsidR="005E1DD3" w:rsidRPr="006F4A7B" w:rsidRDefault="005E1DD3" w:rsidP="00D43298">
      <w:pPr>
        <w:rPr>
          <w:rFonts w:ascii="Arial" w:hAnsi="Arial" w:cs="Arial"/>
        </w:rPr>
      </w:pPr>
    </w:p>
    <w:p w14:paraId="10E05291" w14:textId="0166F73A" w:rsidR="00C016F7" w:rsidRPr="006F4A7B" w:rsidRDefault="00C016F7" w:rsidP="00D43298">
      <w:pPr>
        <w:rPr>
          <w:rFonts w:ascii="Arial" w:hAnsi="Arial" w:cs="Arial"/>
        </w:rPr>
      </w:pPr>
      <w:r w:rsidRPr="006F4A7B">
        <w:rPr>
          <w:rFonts w:ascii="Arial" w:hAnsi="Arial" w:cs="Arial"/>
        </w:rPr>
        <w:t xml:space="preserve">Goleman, D., </w:t>
      </w:r>
      <w:proofErr w:type="spellStart"/>
      <w:r w:rsidRPr="006F4A7B">
        <w:rPr>
          <w:rFonts w:ascii="Arial" w:hAnsi="Arial" w:cs="Arial"/>
        </w:rPr>
        <w:t>Boyatzis</w:t>
      </w:r>
      <w:proofErr w:type="spellEnd"/>
      <w:r w:rsidRPr="006F4A7B">
        <w:rPr>
          <w:rFonts w:ascii="Arial" w:hAnsi="Arial" w:cs="Arial"/>
        </w:rPr>
        <w:t>, R. E., &amp; McKee, A. (2013). </w:t>
      </w:r>
      <w:r w:rsidRPr="006F4A7B">
        <w:rPr>
          <w:rFonts w:ascii="Arial" w:hAnsi="Arial" w:cs="Arial"/>
          <w:i/>
          <w:iCs/>
        </w:rPr>
        <w:t>Primal leadership: Unleashing the power of emotional intelligence</w:t>
      </w:r>
      <w:r w:rsidRPr="006F4A7B">
        <w:rPr>
          <w:rFonts w:ascii="Arial" w:hAnsi="Arial" w:cs="Arial"/>
        </w:rPr>
        <w:t>. Harvard Business Press.</w:t>
      </w:r>
    </w:p>
    <w:p w14:paraId="0A4B8252" w14:textId="77777777" w:rsidR="005E1DD3" w:rsidRPr="006F4A7B" w:rsidRDefault="005E1DD3" w:rsidP="00D43298">
      <w:pPr>
        <w:rPr>
          <w:rFonts w:ascii="Arial" w:hAnsi="Arial" w:cs="Arial"/>
        </w:rPr>
      </w:pPr>
    </w:p>
    <w:p w14:paraId="0DD32CEE" w14:textId="23343EBB" w:rsidR="005E1DD3" w:rsidRPr="006F4A7B" w:rsidRDefault="005E1DD3" w:rsidP="00D43298">
      <w:pPr>
        <w:rPr>
          <w:rFonts w:ascii="Arial" w:hAnsi="Arial" w:cs="Arial"/>
        </w:rPr>
      </w:pPr>
      <w:proofErr w:type="spellStart"/>
      <w:r w:rsidRPr="006F4A7B">
        <w:rPr>
          <w:rFonts w:ascii="Arial" w:hAnsi="Arial" w:cs="Arial"/>
        </w:rPr>
        <w:t>Hanafizadeh</w:t>
      </w:r>
      <w:proofErr w:type="spellEnd"/>
      <w:r w:rsidRPr="006F4A7B">
        <w:rPr>
          <w:rFonts w:ascii="Arial" w:hAnsi="Arial" w:cs="Arial"/>
        </w:rPr>
        <w:t xml:space="preserve">, P., &amp; </w:t>
      </w:r>
      <w:proofErr w:type="spellStart"/>
      <w:r w:rsidRPr="006F4A7B">
        <w:rPr>
          <w:rFonts w:ascii="Arial" w:hAnsi="Arial" w:cs="Arial"/>
        </w:rPr>
        <w:t>Ravasan</w:t>
      </w:r>
      <w:proofErr w:type="spellEnd"/>
      <w:r w:rsidRPr="006F4A7B">
        <w:rPr>
          <w:rFonts w:ascii="Arial" w:hAnsi="Arial" w:cs="Arial"/>
        </w:rPr>
        <w:t>, A. Z. (2011). A McKinsey 7S model-based framework for ERP readiness assessment. </w:t>
      </w:r>
      <w:r w:rsidRPr="006F4A7B">
        <w:rPr>
          <w:rFonts w:ascii="Arial" w:hAnsi="Arial" w:cs="Arial"/>
          <w:i/>
          <w:iCs/>
        </w:rPr>
        <w:t>International Journal of Enterprise Information Systems (IJEIS)</w:t>
      </w:r>
      <w:r w:rsidRPr="006F4A7B">
        <w:rPr>
          <w:rFonts w:ascii="Arial" w:hAnsi="Arial" w:cs="Arial"/>
        </w:rPr>
        <w:t>, </w:t>
      </w:r>
      <w:r w:rsidRPr="006F4A7B">
        <w:rPr>
          <w:rFonts w:ascii="Arial" w:hAnsi="Arial" w:cs="Arial"/>
          <w:i/>
          <w:iCs/>
        </w:rPr>
        <w:t>7</w:t>
      </w:r>
      <w:r w:rsidRPr="006F4A7B">
        <w:rPr>
          <w:rFonts w:ascii="Arial" w:hAnsi="Arial" w:cs="Arial"/>
        </w:rPr>
        <w:t>(4), 23-63.</w:t>
      </w:r>
    </w:p>
    <w:p w14:paraId="26574F25" w14:textId="77777777" w:rsidR="005E1DD3" w:rsidRPr="006F4A7B" w:rsidRDefault="005E1DD3" w:rsidP="00D43298">
      <w:pPr>
        <w:rPr>
          <w:rFonts w:ascii="Arial" w:hAnsi="Arial" w:cs="Arial"/>
        </w:rPr>
      </w:pPr>
    </w:p>
    <w:p w14:paraId="69BE642E" w14:textId="77777777" w:rsidR="005E1DD3" w:rsidRPr="006F4A7B" w:rsidRDefault="005E1DD3" w:rsidP="00D43298">
      <w:pPr>
        <w:rPr>
          <w:rFonts w:ascii="Arial" w:hAnsi="Arial" w:cs="Arial"/>
        </w:rPr>
      </w:pPr>
      <w:r w:rsidRPr="006F4A7B">
        <w:rPr>
          <w:rFonts w:ascii="Arial" w:hAnsi="Arial" w:cs="Arial"/>
        </w:rPr>
        <w:t>Hayes, J. (2014). </w:t>
      </w:r>
      <w:r w:rsidRPr="006F4A7B">
        <w:rPr>
          <w:rFonts w:ascii="Arial" w:hAnsi="Arial" w:cs="Arial"/>
          <w:i/>
          <w:iCs/>
        </w:rPr>
        <w:t>The theory and practice of change management</w:t>
      </w:r>
      <w:r w:rsidRPr="006F4A7B">
        <w:rPr>
          <w:rFonts w:ascii="Arial" w:hAnsi="Arial" w:cs="Arial"/>
        </w:rPr>
        <w:t>. Palgrave Macmillan.</w:t>
      </w:r>
    </w:p>
    <w:p w14:paraId="26CEE3C9" w14:textId="77777777" w:rsidR="005E1DD3" w:rsidRPr="006F4A7B" w:rsidRDefault="005E1DD3" w:rsidP="00D43298">
      <w:pPr>
        <w:rPr>
          <w:rFonts w:ascii="Arial" w:hAnsi="Arial" w:cs="Arial"/>
        </w:rPr>
      </w:pPr>
    </w:p>
    <w:p w14:paraId="5CADD5B2" w14:textId="4F121E13" w:rsidR="005E1DD3" w:rsidRPr="006F4A7B" w:rsidRDefault="005E1DD3" w:rsidP="00D43298">
      <w:pPr>
        <w:rPr>
          <w:rFonts w:ascii="Arial" w:hAnsi="Arial" w:cs="Arial"/>
        </w:rPr>
      </w:pPr>
      <w:r w:rsidRPr="006F4A7B">
        <w:rPr>
          <w:rFonts w:ascii="Arial" w:hAnsi="Arial" w:cs="Arial"/>
        </w:rPr>
        <w:t xml:space="preserve">Morris, S., Hammond, R., &amp; Snell, S. (2014). A </w:t>
      </w:r>
      <w:proofErr w:type="spellStart"/>
      <w:r w:rsidRPr="006F4A7B">
        <w:rPr>
          <w:rFonts w:ascii="Arial" w:hAnsi="Arial" w:cs="Arial"/>
        </w:rPr>
        <w:t>microfoundations</w:t>
      </w:r>
      <w:proofErr w:type="spellEnd"/>
      <w:r w:rsidRPr="006F4A7B">
        <w:rPr>
          <w:rFonts w:ascii="Arial" w:hAnsi="Arial" w:cs="Arial"/>
        </w:rPr>
        <w:t xml:space="preserve"> approach to transnational capabilities: The role of knowledge search in an ever-changing world. </w:t>
      </w:r>
      <w:r w:rsidRPr="006F4A7B">
        <w:rPr>
          <w:rFonts w:ascii="Arial" w:hAnsi="Arial" w:cs="Arial"/>
          <w:i/>
          <w:iCs/>
        </w:rPr>
        <w:t>Journal of International Business Studies</w:t>
      </w:r>
      <w:r w:rsidRPr="006F4A7B">
        <w:rPr>
          <w:rFonts w:ascii="Arial" w:hAnsi="Arial" w:cs="Arial"/>
        </w:rPr>
        <w:t>, </w:t>
      </w:r>
      <w:r w:rsidRPr="006F4A7B">
        <w:rPr>
          <w:rFonts w:ascii="Arial" w:hAnsi="Arial" w:cs="Arial"/>
          <w:i/>
          <w:iCs/>
        </w:rPr>
        <w:t>45</w:t>
      </w:r>
      <w:r w:rsidRPr="006F4A7B">
        <w:rPr>
          <w:rFonts w:ascii="Arial" w:hAnsi="Arial" w:cs="Arial"/>
        </w:rPr>
        <w:t>(4), 405-427.</w:t>
      </w:r>
    </w:p>
    <w:p w14:paraId="53B44AB0" w14:textId="7383E226" w:rsidR="005E1DD3" w:rsidRPr="006F4A7B" w:rsidRDefault="005E1DD3" w:rsidP="00D43298">
      <w:pPr>
        <w:rPr>
          <w:rFonts w:ascii="Arial" w:hAnsi="Arial" w:cs="Arial"/>
        </w:rPr>
      </w:pPr>
    </w:p>
    <w:p w14:paraId="2587D2AD" w14:textId="59FFCD55" w:rsidR="00D44806" w:rsidRPr="006F4A7B" w:rsidRDefault="00D44806" w:rsidP="00D43298">
      <w:pPr>
        <w:rPr>
          <w:rFonts w:ascii="Arial" w:hAnsi="Arial" w:cs="Arial"/>
        </w:rPr>
      </w:pPr>
      <w:proofErr w:type="spellStart"/>
      <w:r w:rsidRPr="006F4A7B">
        <w:rPr>
          <w:rFonts w:ascii="Arial" w:hAnsi="Arial" w:cs="Arial"/>
        </w:rPr>
        <w:t>Novet</w:t>
      </w:r>
      <w:proofErr w:type="spellEnd"/>
      <w:r w:rsidRPr="006F4A7B">
        <w:rPr>
          <w:rFonts w:ascii="Arial" w:hAnsi="Arial" w:cs="Arial"/>
        </w:rPr>
        <w:t xml:space="preserve">, J (107) Amazon cloud revenue soars 42%, topping analyst estimates. Available at: </w:t>
      </w:r>
      <w:hyperlink r:id="rId10" w:history="1">
        <w:r w:rsidRPr="00C0681A">
          <w:rPr>
            <w:rStyle w:val="Hyperlink"/>
            <w:rFonts w:ascii="Arial" w:hAnsi="Arial" w:cs="Arial"/>
            <w:color w:val="auto"/>
          </w:rPr>
          <w:t xml:space="preserve">https://www.cnbc.com/2017/10/26/aws-earnings-and-revenue-q3-2017.html </w:t>
        </w:r>
        <w:r w:rsidRPr="00C0681A">
          <w:rPr>
            <w:rStyle w:val="Hyperlink"/>
            <w:rFonts w:ascii="Arial" w:hAnsi="Arial" w:cs="Arial"/>
            <w:color w:val="auto"/>
            <w:u w:val="none"/>
          </w:rPr>
          <w:t xml:space="preserve"> </w:t>
        </w:r>
        <w:r w:rsidRPr="006F4A7B">
          <w:rPr>
            <w:rStyle w:val="Hyperlink"/>
            <w:rFonts w:ascii="Arial" w:hAnsi="Arial" w:cs="Arial"/>
            <w:color w:val="auto"/>
            <w:u w:val="none"/>
          </w:rPr>
          <w:t>Accessed on 2/12/2017</w:t>
        </w:r>
      </w:hyperlink>
    </w:p>
    <w:p w14:paraId="5A41B87D" w14:textId="7C46FA03" w:rsidR="00D44806" w:rsidRPr="006F4A7B" w:rsidRDefault="00D44806" w:rsidP="00D43298">
      <w:pPr>
        <w:rPr>
          <w:rFonts w:ascii="Arial" w:hAnsi="Arial" w:cs="Arial"/>
        </w:rPr>
      </w:pPr>
    </w:p>
    <w:p w14:paraId="49F2412C" w14:textId="77777777" w:rsidR="00D44806" w:rsidRPr="006F4A7B" w:rsidRDefault="00D44806" w:rsidP="00D43298">
      <w:pPr>
        <w:rPr>
          <w:rFonts w:ascii="Arial" w:hAnsi="Arial" w:cs="Arial"/>
        </w:rPr>
      </w:pPr>
    </w:p>
    <w:p w14:paraId="3B5C28C3" w14:textId="77777777" w:rsidR="005E1DD3" w:rsidRPr="006F4A7B" w:rsidRDefault="005E1DD3" w:rsidP="00D43298">
      <w:pPr>
        <w:rPr>
          <w:rFonts w:ascii="Arial" w:hAnsi="Arial" w:cs="Arial"/>
        </w:rPr>
      </w:pPr>
      <w:r w:rsidRPr="006F4A7B">
        <w:rPr>
          <w:rFonts w:ascii="Arial" w:hAnsi="Arial" w:cs="Arial"/>
        </w:rPr>
        <w:lastRenderedPageBreak/>
        <w:t>Porter, M. E. (2008). </w:t>
      </w:r>
      <w:r w:rsidRPr="006F4A7B">
        <w:rPr>
          <w:rFonts w:ascii="Arial" w:hAnsi="Arial" w:cs="Arial"/>
          <w:i/>
          <w:iCs/>
        </w:rPr>
        <w:t xml:space="preserve">Competitive strategy: Techniques for </w:t>
      </w:r>
      <w:proofErr w:type="spellStart"/>
      <w:r w:rsidRPr="006F4A7B">
        <w:rPr>
          <w:rFonts w:ascii="Arial" w:hAnsi="Arial" w:cs="Arial"/>
          <w:i/>
          <w:iCs/>
        </w:rPr>
        <w:t>analyzing</w:t>
      </w:r>
      <w:proofErr w:type="spellEnd"/>
      <w:r w:rsidRPr="006F4A7B">
        <w:rPr>
          <w:rFonts w:ascii="Arial" w:hAnsi="Arial" w:cs="Arial"/>
          <w:i/>
          <w:iCs/>
        </w:rPr>
        <w:t xml:space="preserve"> industries and competitors</w:t>
      </w:r>
      <w:r w:rsidRPr="006F4A7B">
        <w:rPr>
          <w:rFonts w:ascii="Arial" w:hAnsi="Arial" w:cs="Arial"/>
        </w:rPr>
        <w:t>. Simon and Schuster.</w:t>
      </w:r>
    </w:p>
    <w:p w14:paraId="4CFA85F2" w14:textId="77777777" w:rsidR="00296288" w:rsidRPr="006F4A7B" w:rsidRDefault="00296288" w:rsidP="00D43298">
      <w:pPr>
        <w:rPr>
          <w:rFonts w:ascii="Arial" w:hAnsi="Arial" w:cs="Arial"/>
        </w:rPr>
      </w:pPr>
    </w:p>
    <w:p w14:paraId="41F17E43" w14:textId="0A163330" w:rsidR="00296288" w:rsidRPr="006F4A7B" w:rsidRDefault="00296288" w:rsidP="00D43298">
      <w:pPr>
        <w:rPr>
          <w:rFonts w:ascii="Arial" w:hAnsi="Arial" w:cs="Arial"/>
        </w:rPr>
      </w:pPr>
      <w:proofErr w:type="spellStart"/>
      <w:r w:rsidRPr="006F4A7B">
        <w:rPr>
          <w:rFonts w:ascii="Arial" w:hAnsi="Arial" w:cs="Arial"/>
        </w:rPr>
        <w:t>Rosoff</w:t>
      </w:r>
      <w:proofErr w:type="spellEnd"/>
      <w:r w:rsidRPr="006F4A7B">
        <w:rPr>
          <w:rFonts w:ascii="Arial" w:hAnsi="Arial" w:cs="Arial"/>
        </w:rPr>
        <w:t>, M (2016) Simple chart that shoes Amazon’s relentless focus on long-term growth [online]. Available from:</w:t>
      </w:r>
    </w:p>
    <w:p w14:paraId="46AD86B9" w14:textId="362BEB53" w:rsidR="00296288" w:rsidRPr="006F4A7B" w:rsidRDefault="00296288" w:rsidP="00D43298">
      <w:pPr>
        <w:rPr>
          <w:rFonts w:ascii="Arial" w:hAnsi="Arial" w:cs="Arial"/>
        </w:rPr>
      </w:pPr>
      <w:r w:rsidRPr="006F4A7B">
        <w:rPr>
          <w:rFonts w:ascii="Arial" w:hAnsi="Arial" w:cs="Arial"/>
        </w:rPr>
        <w:t xml:space="preserve">http://uk.businessinsider.com/amazon-revenue-vs-profit-2016-1?r=US&amp;IR=T [Accessed 26.11.17]. </w:t>
      </w:r>
    </w:p>
    <w:p w14:paraId="0518A0D6" w14:textId="77777777" w:rsidR="005E1DD3" w:rsidRPr="006F4A7B" w:rsidRDefault="005E1DD3" w:rsidP="00D43298">
      <w:pPr>
        <w:rPr>
          <w:rFonts w:ascii="Arial" w:hAnsi="Arial" w:cs="Arial"/>
        </w:rPr>
      </w:pPr>
    </w:p>
    <w:p w14:paraId="6E5D533A" w14:textId="77777777" w:rsidR="00FD0C86" w:rsidRPr="006F4A7B" w:rsidRDefault="00FD0C86" w:rsidP="00D43298">
      <w:pPr>
        <w:rPr>
          <w:rFonts w:ascii="Arial" w:hAnsi="Arial" w:cs="Arial"/>
        </w:rPr>
      </w:pPr>
      <w:proofErr w:type="spellStart"/>
      <w:r w:rsidRPr="006F4A7B">
        <w:rPr>
          <w:rFonts w:ascii="Arial" w:hAnsi="Arial" w:cs="Arial"/>
        </w:rPr>
        <w:t>Schoenherr</w:t>
      </w:r>
      <w:proofErr w:type="spellEnd"/>
      <w:r w:rsidRPr="006F4A7B">
        <w:rPr>
          <w:rFonts w:ascii="Arial" w:hAnsi="Arial" w:cs="Arial"/>
        </w:rPr>
        <w:t xml:space="preserve">, T., Modi, S. B., </w:t>
      </w:r>
      <w:proofErr w:type="spellStart"/>
      <w:r w:rsidRPr="006F4A7B">
        <w:rPr>
          <w:rFonts w:ascii="Arial" w:hAnsi="Arial" w:cs="Arial"/>
        </w:rPr>
        <w:t>Talluri</w:t>
      </w:r>
      <w:proofErr w:type="spellEnd"/>
      <w:r w:rsidRPr="006F4A7B">
        <w:rPr>
          <w:rFonts w:ascii="Arial" w:hAnsi="Arial" w:cs="Arial"/>
        </w:rPr>
        <w:t xml:space="preserve">, S., &amp; </w:t>
      </w:r>
      <w:proofErr w:type="spellStart"/>
      <w:r w:rsidRPr="006F4A7B">
        <w:rPr>
          <w:rFonts w:ascii="Arial" w:hAnsi="Arial" w:cs="Arial"/>
        </w:rPr>
        <w:t>Hult</w:t>
      </w:r>
      <w:proofErr w:type="spellEnd"/>
      <w:r w:rsidRPr="006F4A7B">
        <w:rPr>
          <w:rFonts w:ascii="Arial" w:hAnsi="Arial" w:cs="Arial"/>
        </w:rPr>
        <w:t>, G. T. M. (2014). Antecedents and performance outcomes of strategic environmental sourcing: an investigation of resource</w:t>
      </w:r>
      <w:r w:rsidRPr="006F4A7B">
        <w:rPr>
          <w:rFonts w:ascii="Cambria Math" w:hAnsi="Cambria Math" w:cs="Cambria Math"/>
        </w:rPr>
        <w:t>‐</w:t>
      </w:r>
      <w:r w:rsidRPr="006F4A7B">
        <w:rPr>
          <w:rFonts w:ascii="Arial" w:hAnsi="Arial" w:cs="Arial"/>
        </w:rPr>
        <w:t>based process and contingency effects. </w:t>
      </w:r>
      <w:r w:rsidRPr="006F4A7B">
        <w:rPr>
          <w:rFonts w:ascii="Arial" w:hAnsi="Arial" w:cs="Arial"/>
          <w:i/>
          <w:iCs/>
        </w:rPr>
        <w:t>Journal of Business Logistics</w:t>
      </w:r>
      <w:r w:rsidRPr="006F4A7B">
        <w:rPr>
          <w:rFonts w:ascii="Arial" w:hAnsi="Arial" w:cs="Arial"/>
        </w:rPr>
        <w:t>, </w:t>
      </w:r>
      <w:r w:rsidRPr="006F4A7B">
        <w:rPr>
          <w:rFonts w:ascii="Arial" w:hAnsi="Arial" w:cs="Arial"/>
          <w:i/>
          <w:iCs/>
        </w:rPr>
        <w:t>35</w:t>
      </w:r>
      <w:r w:rsidRPr="006F4A7B">
        <w:rPr>
          <w:rFonts w:ascii="Arial" w:hAnsi="Arial" w:cs="Arial"/>
        </w:rPr>
        <w:t>(3), 172-190.</w:t>
      </w:r>
    </w:p>
    <w:p w14:paraId="1CDEF4BB" w14:textId="77777777" w:rsidR="005E1DD3" w:rsidRPr="006F4A7B" w:rsidRDefault="005E1DD3" w:rsidP="00D43298">
      <w:pPr>
        <w:rPr>
          <w:rFonts w:ascii="Arial" w:hAnsi="Arial" w:cs="Arial"/>
        </w:rPr>
      </w:pPr>
    </w:p>
    <w:p w14:paraId="174FE549" w14:textId="77777777" w:rsidR="00C564FA" w:rsidRPr="006F4A7B" w:rsidRDefault="00C564FA" w:rsidP="00D43298">
      <w:pPr>
        <w:rPr>
          <w:rFonts w:ascii="Arial" w:hAnsi="Arial" w:cs="Arial"/>
        </w:rPr>
      </w:pPr>
      <w:proofErr w:type="spellStart"/>
      <w:r w:rsidRPr="006F4A7B">
        <w:rPr>
          <w:rFonts w:ascii="Arial" w:hAnsi="Arial" w:cs="Arial"/>
        </w:rPr>
        <w:t>Teece</w:t>
      </w:r>
      <w:proofErr w:type="spellEnd"/>
      <w:r w:rsidRPr="006F4A7B">
        <w:rPr>
          <w:rFonts w:ascii="Arial" w:hAnsi="Arial" w:cs="Arial"/>
        </w:rPr>
        <w:t>, D. J. (2014). A dynamic capabilities-based entrepreneurial theory of the multinational enterprise. </w:t>
      </w:r>
      <w:r w:rsidRPr="006F4A7B">
        <w:rPr>
          <w:rFonts w:ascii="Arial" w:hAnsi="Arial" w:cs="Arial"/>
          <w:i/>
          <w:iCs/>
        </w:rPr>
        <w:t>Journal of International Business Studies</w:t>
      </w:r>
      <w:r w:rsidRPr="006F4A7B">
        <w:rPr>
          <w:rFonts w:ascii="Arial" w:hAnsi="Arial" w:cs="Arial"/>
        </w:rPr>
        <w:t>, </w:t>
      </w:r>
      <w:r w:rsidRPr="006F4A7B">
        <w:rPr>
          <w:rFonts w:ascii="Arial" w:hAnsi="Arial" w:cs="Arial"/>
          <w:i/>
          <w:iCs/>
        </w:rPr>
        <w:t>45</w:t>
      </w:r>
      <w:r w:rsidRPr="006F4A7B">
        <w:rPr>
          <w:rFonts w:ascii="Arial" w:hAnsi="Arial" w:cs="Arial"/>
        </w:rPr>
        <w:t>(1), 8-37.</w:t>
      </w:r>
    </w:p>
    <w:p w14:paraId="305F6C3F" w14:textId="77777777" w:rsidR="005E1DD3" w:rsidRPr="006F4A7B" w:rsidRDefault="005E1DD3" w:rsidP="00D43298">
      <w:pPr>
        <w:rPr>
          <w:rFonts w:ascii="Arial" w:hAnsi="Arial" w:cs="Arial"/>
        </w:rPr>
      </w:pPr>
    </w:p>
    <w:p w14:paraId="10799776" w14:textId="592E62E3" w:rsidR="004E3E72" w:rsidRPr="006F4A7B" w:rsidRDefault="004E3E72" w:rsidP="00D43298">
      <w:pPr>
        <w:rPr>
          <w:rFonts w:ascii="Arial" w:hAnsi="Arial" w:cs="Arial"/>
        </w:rPr>
      </w:pPr>
      <w:proofErr w:type="spellStart"/>
      <w:r w:rsidRPr="006F4A7B">
        <w:rPr>
          <w:rFonts w:ascii="Arial" w:hAnsi="Arial" w:cs="Arial"/>
        </w:rPr>
        <w:t>Teece</w:t>
      </w:r>
      <w:proofErr w:type="spellEnd"/>
      <w:r w:rsidRPr="006F4A7B">
        <w:rPr>
          <w:rFonts w:ascii="Arial" w:hAnsi="Arial" w:cs="Arial"/>
        </w:rPr>
        <w:t xml:space="preserve">, D. J., Pisano, G., &amp; </w:t>
      </w:r>
      <w:proofErr w:type="spellStart"/>
      <w:r w:rsidRPr="006F4A7B">
        <w:rPr>
          <w:rFonts w:ascii="Arial" w:hAnsi="Arial" w:cs="Arial"/>
        </w:rPr>
        <w:t>Shuen</w:t>
      </w:r>
      <w:proofErr w:type="spellEnd"/>
      <w:r w:rsidRPr="006F4A7B">
        <w:rPr>
          <w:rFonts w:ascii="Arial" w:hAnsi="Arial" w:cs="Arial"/>
        </w:rPr>
        <w:t>, A. (1997). Dynamic capabilities and strategic management. </w:t>
      </w:r>
      <w:r w:rsidRPr="006F4A7B">
        <w:rPr>
          <w:rFonts w:ascii="Arial" w:hAnsi="Arial" w:cs="Arial"/>
          <w:i/>
          <w:iCs/>
        </w:rPr>
        <w:t>Strategic management journal</w:t>
      </w:r>
      <w:r w:rsidRPr="006F4A7B">
        <w:rPr>
          <w:rFonts w:ascii="Arial" w:hAnsi="Arial" w:cs="Arial"/>
        </w:rPr>
        <w:t>, 509-533.</w:t>
      </w:r>
    </w:p>
    <w:p w14:paraId="57C87D35" w14:textId="77777777" w:rsidR="005E1DD3" w:rsidRPr="006F4A7B" w:rsidRDefault="005E1DD3" w:rsidP="00D43298">
      <w:pPr>
        <w:rPr>
          <w:rFonts w:ascii="Arial" w:hAnsi="Arial" w:cs="Arial"/>
        </w:rPr>
      </w:pPr>
    </w:p>
    <w:p w14:paraId="203A3724" w14:textId="36D94191" w:rsidR="00C564FA" w:rsidRPr="006F4A7B" w:rsidRDefault="00C564FA" w:rsidP="00D43298">
      <w:pPr>
        <w:rPr>
          <w:rFonts w:ascii="Arial" w:hAnsi="Arial" w:cs="Arial"/>
        </w:rPr>
      </w:pPr>
      <w:proofErr w:type="spellStart"/>
      <w:r w:rsidRPr="006F4A7B">
        <w:rPr>
          <w:rFonts w:ascii="Arial" w:hAnsi="Arial" w:cs="Arial"/>
        </w:rPr>
        <w:t>Wilden</w:t>
      </w:r>
      <w:proofErr w:type="spellEnd"/>
      <w:r w:rsidRPr="006F4A7B">
        <w:rPr>
          <w:rFonts w:ascii="Arial" w:hAnsi="Arial" w:cs="Arial"/>
        </w:rPr>
        <w:t xml:space="preserve">, R., </w:t>
      </w:r>
      <w:proofErr w:type="spellStart"/>
      <w:r w:rsidRPr="006F4A7B">
        <w:rPr>
          <w:rFonts w:ascii="Arial" w:hAnsi="Arial" w:cs="Arial"/>
        </w:rPr>
        <w:t>Gudergan</w:t>
      </w:r>
      <w:proofErr w:type="spellEnd"/>
      <w:r w:rsidRPr="006F4A7B">
        <w:rPr>
          <w:rFonts w:ascii="Arial" w:hAnsi="Arial" w:cs="Arial"/>
        </w:rPr>
        <w:t>, S. P., Nielsen, B. B., &amp; Lings, I. (2013). Dynamic capabilities and performance: strategy, structure and environment. </w:t>
      </w:r>
      <w:r w:rsidRPr="006F4A7B">
        <w:rPr>
          <w:rFonts w:ascii="Arial" w:hAnsi="Arial" w:cs="Arial"/>
          <w:i/>
          <w:iCs/>
        </w:rPr>
        <w:t>Long Range Planning</w:t>
      </w:r>
      <w:r w:rsidRPr="006F4A7B">
        <w:rPr>
          <w:rFonts w:ascii="Arial" w:hAnsi="Arial" w:cs="Arial"/>
        </w:rPr>
        <w:t>, </w:t>
      </w:r>
      <w:r w:rsidRPr="006F4A7B">
        <w:rPr>
          <w:rFonts w:ascii="Arial" w:hAnsi="Arial" w:cs="Arial"/>
          <w:i/>
          <w:iCs/>
        </w:rPr>
        <w:t>46</w:t>
      </w:r>
      <w:r w:rsidRPr="006F4A7B">
        <w:rPr>
          <w:rFonts w:ascii="Arial" w:hAnsi="Arial" w:cs="Arial"/>
        </w:rPr>
        <w:t>(1), 72-96.</w:t>
      </w:r>
    </w:p>
    <w:p w14:paraId="41784FAB" w14:textId="77777777" w:rsidR="005E1DD3" w:rsidRPr="006F4A7B" w:rsidRDefault="005E1DD3" w:rsidP="00D43298">
      <w:pPr>
        <w:rPr>
          <w:rFonts w:ascii="Arial" w:hAnsi="Arial" w:cs="Arial"/>
        </w:rPr>
      </w:pPr>
    </w:p>
    <w:p w14:paraId="51B3E3DB" w14:textId="7721E968" w:rsidR="005E1DD3" w:rsidRPr="006F4A7B" w:rsidRDefault="005E1DD3" w:rsidP="00D43298">
      <w:pPr>
        <w:rPr>
          <w:rFonts w:ascii="Arial" w:hAnsi="Arial" w:cs="Arial"/>
        </w:rPr>
      </w:pPr>
      <w:r w:rsidRPr="006F4A7B">
        <w:rPr>
          <w:rFonts w:ascii="Arial" w:hAnsi="Arial" w:cs="Arial"/>
        </w:rPr>
        <w:t xml:space="preserve">Whitman, R. G. (2016). </w:t>
      </w:r>
      <w:proofErr w:type="spellStart"/>
      <w:r w:rsidRPr="006F4A7B">
        <w:rPr>
          <w:rFonts w:ascii="Arial" w:hAnsi="Arial" w:cs="Arial"/>
        </w:rPr>
        <w:t>Brexit</w:t>
      </w:r>
      <w:proofErr w:type="spellEnd"/>
      <w:r w:rsidRPr="006F4A7B">
        <w:rPr>
          <w:rFonts w:ascii="Arial" w:hAnsi="Arial" w:cs="Arial"/>
        </w:rPr>
        <w:t xml:space="preserve"> or </w:t>
      </w:r>
      <w:proofErr w:type="spellStart"/>
      <w:r w:rsidRPr="006F4A7B">
        <w:rPr>
          <w:rFonts w:ascii="Arial" w:hAnsi="Arial" w:cs="Arial"/>
        </w:rPr>
        <w:t>Bremain</w:t>
      </w:r>
      <w:proofErr w:type="spellEnd"/>
      <w:r w:rsidRPr="006F4A7B">
        <w:rPr>
          <w:rFonts w:ascii="Arial" w:hAnsi="Arial" w:cs="Arial"/>
        </w:rPr>
        <w:t>: what future for the UK's European diplomatic strategy</w:t>
      </w:r>
      <w:proofErr w:type="gramStart"/>
      <w:r w:rsidRPr="006F4A7B">
        <w:rPr>
          <w:rFonts w:ascii="Arial" w:hAnsi="Arial" w:cs="Arial"/>
        </w:rPr>
        <w:t>?.</w:t>
      </w:r>
      <w:proofErr w:type="gramEnd"/>
      <w:r w:rsidRPr="006F4A7B">
        <w:rPr>
          <w:rFonts w:ascii="Arial" w:hAnsi="Arial" w:cs="Arial"/>
        </w:rPr>
        <w:t> </w:t>
      </w:r>
      <w:r w:rsidRPr="006F4A7B">
        <w:rPr>
          <w:rFonts w:ascii="Arial" w:hAnsi="Arial" w:cs="Arial"/>
          <w:i/>
          <w:iCs/>
        </w:rPr>
        <w:t>International Affairs</w:t>
      </w:r>
      <w:r w:rsidRPr="006F4A7B">
        <w:rPr>
          <w:rFonts w:ascii="Arial" w:hAnsi="Arial" w:cs="Arial"/>
        </w:rPr>
        <w:t>, </w:t>
      </w:r>
      <w:r w:rsidRPr="006F4A7B">
        <w:rPr>
          <w:rFonts w:ascii="Arial" w:hAnsi="Arial" w:cs="Arial"/>
          <w:i/>
          <w:iCs/>
        </w:rPr>
        <w:t>92</w:t>
      </w:r>
      <w:r w:rsidRPr="006F4A7B">
        <w:rPr>
          <w:rFonts w:ascii="Arial" w:hAnsi="Arial" w:cs="Arial"/>
        </w:rPr>
        <w:t>(3), 509-529.</w:t>
      </w:r>
    </w:p>
    <w:p w14:paraId="3F951ECD" w14:textId="77777777" w:rsidR="005E1DD3" w:rsidRPr="006F4A7B" w:rsidRDefault="005E1DD3" w:rsidP="00D43298">
      <w:pPr>
        <w:rPr>
          <w:rFonts w:ascii="Arial" w:hAnsi="Arial" w:cs="Arial"/>
        </w:rPr>
      </w:pPr>
    </w:p>
    <w:p w14:paraId="63BD32C8" w14:textId="77777777" w:rsidR="00C564FA" w:rsidRPr="006F4A7B" w:rsidRDefault="00C564FA" w:rsidP="00D43298">
      <w:pPr>
        <w:rPr>
          <w:rFonts w:ascii="Arial" w:hAnsi="Arial" w:cs="Arial"/>
        </w:rPr>
      </w:pPr>
      <w:proofErr w:type="spellStart"/>
      <w:r w:rsidRPr="006F4A7B">
        <w:rPr>
          <w:rFonts w:ascii="Arial" w:hAnsi="Arial" w:cs="Arial"/>
        </w:rPr>
        <w:t>Wilden</w:t>
      </w:r>
      <w:proofErr w:type="spellEnd"/>
      <w:r w:rsidRPr="006F4A7B">
        <w:rPr>
          <w:rFonts w:ascii="Arial" w:hAnsi="Arial" w:cs="Arial"/>
        </w:rPr>
        <w:t xml:space="preserve">, R., &amp; </w:t>
      </w:r>
      <w:proofErr w:type="spellStart"/>
      <w:r w:rsidRPr="006F4A7B">
        <w:rPr>
          <w:rFonts w:ascii="Arial" w:hAnsi="Arial" w:cs="Arial"/>
        </w:rPr>
        <w:t>Gudergan</w:t>
      </w:r>
      <w:proofErr w:type="spellEnd"/>
      <w:r w:rsidRPr="006F4A7B">
        <w:rPr>
          <w:rFonts w:ascii="Arial" w:hAnsi="Arial" w:cs="Arial"/>
        </w:rPr>
        <w:t>, S. P. (2015). The impact of dynamic capabilities on operational marketing and technological capabilities: investigating the role of environmental turbulence. </w:t>
      </w:r>
      <w:r w:rsidRPr="006F4A7B">
        <w:rPr>
          <w:rFonts w:ascii="Arial" w:hAnsi="Arial" w:cs="Arial"/>
          <w:i/>
          <w:iCs/>
        </w:rPr>
        <w:t>Journal of the Academy of Marketing Science</w:t>
      </w:r>
      <w:r w:rsidRPr="006F4A7B">
        <w:rPr>
          <w:rFonts w:ascii="Arial" w:hAnsi="Arial" w:cs="Arial"/>
        </w:rPr>
        <w:t>, </w:t>
      </w:r>
      <w:r w:rsidRPr="006F4A7B">
        <w:rPr>
          <w:rFonts w:ascii="Arial" w:hAnsi="Arial" w:cs="Arial"/>
          <w:i/>
          <w:iCs/>
        </w:rPr>
        <w:t>43</w:t>
      </w:r>
      <w:r w:rsidRPr="006F4A7B">
        <w:rPr>
          <w:rFonts w:ascii="Arial" w:hAnsi="Arial" w:cs="Arial"/>
        </w:rPr>
        <w:t>(2), 181-199.</w:t>
      </w:r>
    </w:p>
    <w:p w14:paraId="56CB637B" w14:textId="77777777" w:rsidR="005E1DD3" w:rsidRPr="006F4A7B" w:rsidRDefault="005E1DD3" w:rsidP="00D43298">
      <w:pPr>
        <w:rPr>
          <w:rFonts w:ascii="Arial" w:hAnsi="Arial" w:cs="Arial"/>
        </w:rPr>
      </w:pPr>
    </w:p>
    <w:p w14:paraId="0DBEA527" w14:textId="77777777" w:rsidR="005E1DD3" w:rsidRPr="006F4A7B" w:rsidRDefault="005E1DD3" w:rsidP="00D43298">
      <w:pPr>
        <w:rPr>
          <w:rFonts w:ascii="Arial" w:hAnsi="Arial" w:cs="Arial"/>
        </w:rPr>
      </w:pPr>
      <w:r w:rsidRPr="006F4A7B">
        <w:rPr>
          <w:rFonts w:ascii="Arial" w:hAnsi="Arial" w:cs="Arial"/>
        </w:rPr>
        <w:t xml:space="preserve">Wilson, D., &amp; </w:t>
      </w:r>
      <w:proofErr w:type="spellStart"/>
      <w:r w:rsidRPr="006F4A7B">
        <w:rPr>
          <w:rFonts w:ascii="Arial" w:hAnsi="Arial" w:cs="Arial"/>
        </w:rPr>
        <w:t>Purushothaman</w:t>
      </w:r>
      <w:proofErr w:type="spellEnd"/>
      <w:r w:rsidRPr="006F4A7B">
        <w:rPr>
          <w:rFonts w:ascii="Arial" w:hAnsi="Arial" w:cs="Arial"/>
        </w:rPr>
        <w:t>, R. (2003). </w:t>
      </w:r>
      <w:r w:rsidRPr="006F4A7B">
        <w:rPr>
          <w:rFonts w:ascii="Arial" w:hAnsi="Arial" w:cs="Arial"/>
          <w:i/>
          <w:iCs/>
        </w:rPr>
        <w:t>Dreaming with BRICs: The path to 2050</w:t>
      </w:r>
      <w:r w:rsidRPr="006F4A7B">
        <w:rPr>
          <w:rFonts w:ascii="Arial" w:hAnsi="Arial" w:cs="Arial"/>
        </w:rPr>
        <w:t> (Vol. 99). New York, NY: Goldman, Sachs &amp; Company.</w:t>
      </w:r>
    </w:p>
    <w:p w14:paraId="500772D2" w14:textId="77777777" w:rsidR="005E1DD3" w:rsidRPr="006F4A7B" w:rsidRDefault="005E1DD3" w:rsidP="00D43298">
      <w:pPr>
        <w:rPr>
          <w:rFonts w:ascii="Arial" w:hAnsi="Arial" w:cs="Arial"/>
        </w:rPr>
      </w:pPr>
    </w:p>
    <w:p w14:paraId="56CB605A" w14:textId="77777777" w:rsidR="00C564FA" w:rsidRPr="006F4A7B" w:rsidRDefault="00C564FA" w:rsidP="00D43298">
      <w:pPr>
        <w:rPr>
          <w:rFonts w:ascii="Arial" w:hAnsi="Arial" w:cs="Arial"/>
        </w:rPr>
      </w:pPr>
    </w:p>
    <w:p w14:paraId="19FDA9DB" w14:textId="77777777" w:rsidR="00C564FA" w:rsidRPr="006F4A7B" w:rsidRDefault="00C564FA" w:rsidP="00C564FA">
      <w:pPr>
        <w:jc w:val="both"/>
        <w:rPr>
          <w:rFonts w:ascii="Arial" w:hAnsi="Arial" w:cs="Arial"/>
        </w:rPr>
      </w:pPr>
    </w:p>
    <w:p w14:paraId="538D1C15" w14:textId="77777777" w:rsidR="00C564FA" w:rsidRPr="006F4A7B" w:rsidRDefault="00C564FA" w:rsidP="00FD0C86">
      <w:pPr>
        <w:jc w:val="both"/>
        <w:rPr>
          <w:rFonts w:ascii="Arial" w:hAnsi="Arial" w:cs="Arial"/>
        </w:rPr>
      </w:pPr>
    </w:p>
    <w:p w14:paraId="35043026" w14:textId="77777777" w:rsidR="00FD0C86" w:rsidRPr="006F4A7B" w:rsidRDefault="00FD0C86" w:rsidP="00E37378">
      <w:pPr>
        <w:jc w:val="both"/>
        <w:rPr>
          <w:rFonts w:ascii="Arial" w:hAnsi="Arial" w:cs="Arial"/>
        </w:rPr>
      </w:pPr>
    </w:p>
    <w:sectPr w:rsidR="00FD0C86" w:rsidRPr="006F4A7B" w:rsidSect="00D63463">
      <w:footerReference w:type="even" r:id="rId11"/>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322FC" w14:textId="77777777" w:rsidR="00EA2AE0" w:rsidRDefault="00EA2AE0" w:rsidP="0000393E">
      <w:r>
        <w:separator/>
      </w:r>
    </w:p>
  </w:endnote>
  <w:endnote w:type="continuationSeparator" w:id="0">
    <w:p w14:paraId="3475743A" w14:textId="77777777" w:rsidR="00EA2AE0" w:rsidRDefault="00EA2AE0" w:rsidP="00003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4BB29" w14:textId="77777777" w:rsidR="00A43C8A" w:rsidRDefault="00A43C8A" w:rsidP="006352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3CA939" w14:textId="77777777" w:rsidR="00A43C8A" w:rsidRDefault="00A43C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26467" w14:textId="2055C387" w:rsidR="00A43C8A" w:rsidRDefault="00A43C8A" w:rsidP="006352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237C">
      <w:rPr>
        <w:rStyle w:val="PageNumber"/>
        <w:noProof/>
      </w:rPr>
      <w:t>5</w:t>
    </w:r>
    <w:r>
      <w:rPr>
        <w:rStyle w:val="PageNumber"/>
      </w:rPr>
      <w:fldChar w:fldCharType="end"/>
    </w:r>
  </w:p>
  <w:p w14:paraId="7EB7BCC9" w14:textId="77777777" w:rsidR="00A43C8A" w:rsidRDefault="00A43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8C3F" w14:textId="77777777" w:rsidR="00EA2AE0" w:rsidRDefault="00EA2AE0" w:rsidP="0000393E">
      <w:r>
        <w:separator/>
      </w:r>
    </w:p>
  </w:footnote>
  <w:footnote w:type="continuationSeparator" w:id="0">
    <w:p w14:paraId="68424302" w14:textId="77777777" w:rsidR="00EA2AE0" w:rsidRDefault="00EA2AE0" w:rsidP="000039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7"/>
    <w:rsid w:val="0000393E"/>
    <w:rsid w:val="00083C05"/>
    <w:rsid w:val="000A33A9"/>
    <w:rsid w:val="000E237C"/>
    <w:rsid w:val="000E383C"/>
    <w:rsid w:val="0017189F"/>
    <w:rsid w:val="00183747"/>
    <w:rsid w:val="001F38F0"/>
    <w:rsid w:val="00204DBF"/>
    <w:rsid w:val="0026002B"/>
    <w:rsid w:val="00296288"/>
    <w:rsid w:val="00297DD5"/>
    <w:rsid w:val="002A7F1A"/>
    <w:rsid w:val="002C55EA"/>
    <w:rsid w:val="003660B5"/>
    <w:rsid w:val="003934ED"/>
    <w:rsid w:val="003F2B06"/>
    <w:rsid w:val="004B4248"/>
    <w:rsid w:val="004E3E72"/>
    <w:rsid w:val="005023EB"/>
    <w:rsid w:val="00525331"/>
    <w:rsid w:val="0053476B"/>
    <w:rsid w:val="0056431F"/>
    <w:rsid w:val="00573955"/>
    <w:rsid w:val="005B3E81"/>
    <w:rsid w:val="005D1071"/>
    <w:rsid w:val="005E1DD3"/>
    <w:rsid w:val="005E5F48"/>
    <w:rsid w:val="00621031"/>
    <w:rsid w:val="0063520E"/>
    <w:rsid w:val="00650950"/>
    <w:rsid w:val="0065397B"/>
    <w:rsid w:val="006F4A7B"/>
    <w:rsid w:val="007022AF"/>
    <w:rsid w:val="007221FE"/>
    <w:rsid w:val="007907EB"/>
    <w:rsid w:val="008178D8"/>
    <w:rsid w:val="00817BEC"/>
    <w:rsid w:val="0086373B"/>
    <w:rsid w:val="008766D9"/>
    <w:rsid w:val="00886788"/>
    <w:rsid w:val="008C2EB7"/>
    <w:rsid w:val="00A43C8A"/>
    <w:rsid w:val="00A5226E"/>
    <w:rsid w:val="00AE3AF2"/>
    <w:rsid w:val="00B31526"/>
    <w:rsid w:val="00B441BF"/>
    <w:rsid w:val="00B806BE"/>
    <w:rsid w:val="00C016F7"/>
    <w:rsid w:val="00C0681A"/>
    <w:rsid w:val="00C1469F"/>
    <w:rsid w:val="00C564FA"/>
    <w:rsid w:val="00CD2252"/>
    <w:rsid w:val="00D43298"/>
    <w:rsid w:val="00D44806"/>
    <w:rsid w:val="00D63463"/>
    <w:rsid w:val="00DA2BC1"/>
    <w:rsid w:val="00DE0A00"/>
    <w:rsid w:val="00E37378"/>
    <w:rsid w:val="00E448E0"/>
    <w:rsid w:val="00E708BB"/>
    <w:rsid w:val="00EA2AE0"/>
    <w:rsid w:val="00ED7C07"/>
    <w:rsid w:val="00F12D86"/>
    <w:rsid w:val="00F1773C"/>
    <w:rsid w:val="00F325D4"/>
    <w:rsid w:val="00FB4A7C"/>
    <w:rsid w:val="00FD0C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CC3ABC3"/>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480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4480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4480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0393E"/>
    <w:pPr>
      <w:tabs>
        <w:tab w:val="center" w:pos="4320"/>
        <w:tab w:val="right" w:pos="8640"/>
      </w:tabs>
    </w:pPr>
  </w:style>
  <w:style w:type="character" w:customStyle="1" w:styleId="FooterChar">
    <w:name w:val="Footer Char"/>
    <w:basedOn w:val="DefaultParagraphFont"/>
    <w:link w:val="Footer"/>
    <w:uiPriority w:val="99"/>
    <w:rsid w:val="0000393E"/>
  </w:style>
  <w:style w:type="character" w:styleId="PageNumber">
    <w:name w:val="page number"/>
    <w:basedOn w:val="DefaultParagraphFont"/>
    <w:uiPriority w:val="99"/>
    <w:semiHidden/>
    <w:unhideWhenUsed/>
    <w:rsid w:val="0000393E"/>
  </w:style>
  <w:style w:type="paragraph" w:styleId="BalloonText">
    <w:name w:val="Balloon Text"/>
    <w:basedOn w:val="Normal"/>
    <w:link w:val="BalloonTextChar"/>
    <w:uiPriority w:val="99"/>
    <w:semiHidden/>
    <w:unhideWhenUsed/>
    <w:rsid w:val="00A43C8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3C8A"/>
    <w:rPr>
      <w:rFonts w:ascii="Lucida Grande" w:hAnsi="Lucida Grande" w:cs="Lucida Grande"/>
      <w:sz w:val="18"/>
      <w:szCs w:val="18"/>
    </w:rPr>
  </w:style>
  <w:style w:type="paragraph" w:styleId="Caption">
    <w:name w:val="caption"/>
    <w:basedOn w:val="Normal"/>
    <w:next w:val="Normal"/>
    <w:uiPriority w:val="35"/>
    <w:unhideWhenUsed/>
    <w:qFormat/>
    <w:rsid w:val="00A43C8A"/>
    <w:pPr>
      <w:spacing w:after="200"/>
    </w:pPr>
    <w:rPr>
      <w:b/>
      <w:bCs/>
      <w:color w:val="4F81BD" w:themeColor="accent1"/>
      <w:sz w:val="18"/>
      <w:szCs w:val="18"/>
    </w:rPr>
  </w:style>
  <w:style w:type="character" w:styleId="CommentReference">
    <w:name w:val="annotation reference"/>
    <w:basedOn w:val="DefaultParagraphFont"/>
    <w:uiPriority w:val="99"/>
    <w:semiHidden/>
    <w:unhideWhenUsed/>
    <w:rsid w:val="001F38F0"/>
    <w:rPr>
      <w:sz w:val="16"/>
      <w:szCs w:val="16"/>
    </w:rPr>
  </w:style>
  <w:style w:type="paragraph" w:styleId="CommentText">
    <w:name w:val="annotation text"/>
    <w:basedOn w:val="Normal"/>
    <w:link w:val="CommentTextChar"/>
    <w:uiPriority w:val="99"/>
    <w:semiHidden/>
    <w:unhideWhenUsed/>
    <w:rsid w:val="001F38F0"/>
    <w:rPr>
      <w:sz w:val="20"/>
      <w:szCs w:val="20"/>
    </w:rPr>
  </w:style>
  <w:style w:type="character" w:customStyle="1" w:styleId="CommentTextChar">
    <w:name w:val="Comment Text Char"/>
    <w:basedOn w:val="DefaultParagraphFont"/>
    <w:link w:val="CommentText"/>
    <w:uiPriority w:val="99"/>
    <w:semiHidden/>
    <w:rsid w:val="001F38F0"/>
    <w:rPr>
      <w:sz w:val="20"/>
      <w:szCs w:val="20"/>
    </w:rPr>
  </w:style>
  <w:style w:type="paragraph" w:styleId="CommentSubject">
    <w:name w:val="annotation subject"/>
    <w:basedOn w:val="CommentText"/>
    <w:next w:val="CommentText"/>
    <w:link w:val="CommentSubjectChar"/>
    <w:uiPriority w:val="99"/>
    <w:semiHidden/>
    <w:unhideWhenUsed/>
    <w:rsid w:val="001F38F0"/>
    <w:rPr>
      <w:b/>
      <w:bCs/>
    </w:rPr>
  </w:style>
  <w:style w:type="character" w:customStyle="1" w:styleId="CommentSubjectChar">
    <w:name w:val="Comment Subject Char"/>
    <w:basedOn w:val="CommentTextChar"/>
    <w:link w:val="CommentSubject"/>
    <w:uiPriority w:val="99"/>
    <w:semiHidden/>
    <w:rsid w:val="001F38F0"/>
    <w:rPr>
      <w:b/>
      <w:bCs/>
      <w:sz w:val="20"/>
      <w:szCs w:val="20"/>
    </w:rPr>
  </w:style>
  <w:style w:type="paragraph" w:styleId="Header">
    <w:name w:val="header"/>
    <w:basedOn w:val="Normal"/>
    <w:link w:val="HeaderChar"/>
    <w:uiPriority w:val="99"/>
    <w:unhideWhenUsed/>
    <w:rsid w:val="008C2EB7"/>
    <w:pPr>
      <w:tabs>
        <w:tab w:val="center" w:pos="4513"/>
        <w:tab w:val="right" w:pos="9026"/>
      </w:tabs>
    </w:pPr>
  </w:style>
  <w:style w:type="character" w:customStyle="1" w:styleId="HeaderChar">
    <w:name w:val="Header Char"/>
    <w:basedOn w:val="DefaultParagraphFont"/>
    <w:link w:val="Header"/>
    <w:uiPriority w:val="99"/>
    <w:rsid w:val="008C2EB7"/>
  </w:style>
  <w:style w:type="paragraph" w:styleId="NoSpacing">
    <w:name w:val="No Spacing"/>
    <w:uiPriority w:val="1"/>
    <w:qFormat/>
    <w:rsid w:val="00D44806"/>
  </w:style>
  <w:style w:type="character" w:customStyle="1" w:styleId="Heading1Char">
    <w:name w:val="Heading 1 Char"/>
    <w:basedOn w:val="DefaultParagraphFont"/>
    <w:link w:val="Heading1"/>
    <w:uiPriority w:val="9"/>
    <w:rsid w:val="00D4480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4480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44806"/>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unhideWhenUsed/>
    <w:qFormat/>
    <w:rsid w:val="00D44806"/>
    <w:pPr>
      <w:spacing w:line="259" w:lineRule="auto"/>
      <w:outlineLvl w:val="9"/>
    </w:pPr>
    <w:rPr>
      <w:lang w:val="en-US"/>
    </w:rPr>
  </w:style>
  <w:style w:type="paragraph" w:styleId="TOC3">
    <w:name w:val="toc 3"/>
    <w:basedOn w:val="Normal"/>
    <w:next w:val="Normal"/>
    <w:autoRedefine/>
    <w:uiPriority w:val="39"/>
    <w:unhideWhenUsed/>
    <w:rsid w:val="00D44806"/>
    <w:pPr>
      <w:spacing w:after="100"/>
      <w:ind w:left="480"/>
    </w:pPr>
  </w:style>
  <w:style w:type="character" w:styleId="Hyperlink">
    <w:name w:val="Hyperlink"/>
    <w:basedOn w:val="DefaultParagraphFont"/>
    <w:uiPriority w:val="99"/>
    <w:unhideWhenUsed/>
    <w:rsid w:val="00D44806"/>
    <w:rPr>
      <w:color w:val="0000FF" w:themeColor="hyperlink"/>
      <w:u w:val="single"/>
    </w:rPr>
  </w:style>
  <w:style w:type="character" w:customStyle="1" w:styleId="UnresolvedMention">
    <w:name w:val="Unresolved Mention"/>
    <w:basedOn w:val="DefaultParagraphFont"/>
    <w:uiPriority w:val="99"/>
    <w:semiHidden/>
    <w:unhideWhenUsed/>
    <w:rsid w:val="00D4480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47126">
      <w:bodyDiv w:val="1"/>
      <w:marLeft w:val="0"/>
      <w:marRight w:val="0"/>
      <w:marTop w:val="0"/>
      <w:marBottom w:val="0"/>
      <w:divBdr>
        <w:top w:val="none" w:sz="0" w:space="0" w:color="auto"/>
        <w:left w:val="none" w:sz="0" w:space="0" w:color="auto"/>
        <w:bottom w:val="none" w:sz="0" w:space="0" w:color="auto"/>
        <w:right w:val="none" w:sz="0" w:space="0" w:color="auto"/>
      </w:divBdr>
    </w:div>
    <w:div w:id="41484547">
      <w:bodyDiv w:val="1"/>
      <w:marLeft w:val="0"/>
      <w:marRight w:val="0"/>
      <w:marTop w:val="0"/>
      <w:marBottom w:val="0"/>
      <w:divBdr>
        <w:top w:val="none" w:sz="0" w:space="0" w:color="auto"/>
        <w:left w:val="none" w:sz="0" w:space="0" w:color="auto"/>
        <w:bottom w:val="none" w:sz="0" w:space="0" w:color="auto"/>
        <w:right w:val="none" w:sz="0" w:space="0" w:color="auto"/>
      </w:divBdr>
    </w:div>
    <w:div w:id="125970732">
      <w:bodyDiv w:val="1"/>
      <w:marLeft w:val="0"/>
      <w:marRight w:val="0"/>
      <w:marTop w:val="0"/>
      <w:marBottom w:val="0"/>
      <w:divBdr>
        <w:top w:val="none" w:sz="0" w:space="0" w:color="auto"/>
        <w:left w:val="none" w:sz="0" w:space="0" w:color="auto"/>
        <w:bottom w:val="none" w:sz="0" w:space="0" w:color="auto"/>
        <w:right w:val="none" w:sz="0" w:space="0" w:color="auto"/>
      </w:divBdr>
    </w:div>
    <w:div w:id="145782290">
      <w:bodyDiv w:val="1"/>
      <w:marLeft w:val="0"/>
      <w:marRight w:val="0"/>
      <w:marTop w:val="0"/>
      <w:marBottom w:val="0"/>
      <w:divBdr>
        <w:top w:val="none" w:sz="0" w:space="0" w:color="auto"/>
        <w:left w:val="none" w:sz="0" w:space="0" w:color="auto"/>
        <w:bottom w:val="none" w:sz="0" w:space="0" w:color="auto"/>
        <w:right w:val="none" w:sz="0" w:space="0" w:color="auto"/>
      </w:divBdr>
    </w:div>
    <w:div w:id="184708061">
      <w:bodyDiv w:val="1"/>
      <w:marLeft w:val="0"/>
      <w:marRight w:val="0"/>
      <w:marTop w:val="0"/>
      <w:marBottom w:val="0"/>
      <w:divBdr>
        <w:top w:val="none" w:sz="0" w:space="0" w:color="auto"/>
        <w:left w:val="none" w:sz="0" w:space="0" w:color="auto"/>
        <w:bottom w:val="none" w:sz="0" w:space="0" w:color="auto"/>
        <w:right w:val="none" w:sz="0" w:space="0" w:color="auto"/>
      </w:divBdr>
    </w:div>
    <w:div w:id="228005910">
      <w:bodyDiv w:val="1"/>
      <w:marLeft w:val="0"/>
      <w:marRight w:val="0"/>
      <w:marTop w:val="0"/>
      <w:marBottom w:val="0"/>
      <w:divBdr>
        <w:top w:val="none" w:sz="0" w:space="0" w:color="auto"/>
        <w:left w:val="none" w:sz="0" w:space="0" w:color="auto"/>
        <w:bottom w:val="none" w:sz="0" w:space="0" w:color="auto"/>
        <w:right w:val="none" w:sz="0" w:space="0" w:color="auto"/>
      </w:divBdr>
    </w:div>
    <w:div w:id="342047952">
      <w:bodyDiv w:val="1"/>
      <w:marLeft w:val="0"/>
      <w:marRight w:val="0"/>
      <w:marTop w:val="0"/>
      <w:marBottom w:val="0"/>
      <w:divBdr>
        <w:top w:val="none" w:sz="0" w:space="0" w:color="auto"/>
        <w:left w:val="none" w:sz="0" w:space="0" w:color="auto"/>
        <w:bottom w:val="none" w:sz="0" w:space="0" w:color="auto"/>
        <w:right w:val="none" w:sz="0" w:space="0" w:color="auto"/>
      </w:divBdr>
    </w:div>
    <w:div w:id="434449406">
      <w:bodyDiv w:val="1"/>
      <w:marLeft w:val="0"/>
      <w:marRight w:val="0"/>
      <w:marTop w:val="0"/>
      <w:marBottom w:val="0"/>
      <w:divBdr>
        <w:top w:val="none" w:sz="0" w:space="0" w:color="auto"/>
        <w:left w:val="none" w:sz="0" w:space="0" w:color="auto"/>
        <w:bottom w:val="none" w:sz="0" w:space="0" w:color="auto"/>
        <w:right w:val="none" w:sz="0" w:space="0" w:color="auto"/>
      </w:divBdr>
    </w:div>
    <w:div w:id="459804794">
      <w:bodyDiv w:val="1"/>
      <w:marLeft w:val="0"/>
      <w:marRight w:val="0"/>
      <w:marTop w:val="0"/>
      <w:marBottom w:val="0"/>
      <w:divBdr>
        <w:top w:val="none" w:sz="0" w:space="0" w:color="auto"/>
        <w:left w:val="none" w:sz="0" w:space="0" w:color="auto"/>
        <w:bottom w:val="none" w:sz="0" w:space="0" w:color="auto"/>
        <w:right w:val="none" w:sz="0" w:space="0" w:color="auto"/>
      </w:divBdr>
    </w:div>
    <w:div w:id="490871253">
      <w:bodyDiv w:val="1"/>
      <w:marLeft w:val="0"/>
      <w:marRight w:val="0"/>
      <w:marTop w:val="0"/>
      <w:marBottom w:val="0"/>
      <w:divBdr>
        <w:top w:val="none" w:sz="0" w:space="0" w:color="auto"/>
        <w:left w:val="none" w:sz="0" w:space="0" w:color="auto"/>
        <w:bottom w:val="none" w:sz="0" w:space="0" w:color="auto"/>
        <w:right w:val="none" w:sz="0" w:space="0" w:color="auto"/>
      </w:divBdr>
    </w:div>
    <w:div w:id="649750111">
      <w:bodyDiv w:val="1"/>
      <w:marLeft w:val="0"/>
      <w:marRight w:val="0"/>
      <w:marTop w:val="0"/>
      <w:marBottom w:val="0"/>
      <w:divBdr>
        <w:top w:val="none" w:sz="0" w:space="0" w:color="auto"/>
        <w:left w:val="none" w:sz="0" w:space="0" w:color="auto"/>
        <w:bottom w:val="none" w:sz="0" w:space="0" w:color="auto"/>
        <w:right w:val="none" w:sz="0" w:space="0" w:color="auto"/>
      </w:divBdr>
    </w:div>
    <w:div w:id="665472180">
      <w:bodyDiv w:val="1"/>
      <w:marLeft w:val="0"/>
      <w:marRight w:val="0"/>
      <w:marTop w:val="0"/>
      <w:marBottom w:val="0"/>
      <w:divBdr>
        <w:top w:val="none" w:sz="0" w:space="0" w:color="auto"/>
        <w:left w:val="none" w:sz="0" w:space="0" w:color="auto"/>
        <w:bottom w:val="none" w:sz="0" w:space="0" w:color="auto"/>
        <w:right w:val="none" w:sz="0" w:space="0" w:color="auto"/>
      </w:divBdr>
    </w:div>
    <w:div w:id="740062506">
      <w:bodyDiv w:val="1"/>
      <w:marLeft w:val="0"/>
      <w:marRight w:val="0"/>
      <w:marTop w:val="0"/>
      <w:marBottom w:val="0"/>
      <w:divBdr>
        <w:top w:val="none" w:sz="0" w:space="0" w:color="auto"/>
        <w:left w:val="none" w:sz="0" w:space="0" w:color="auto"/>
        <w:bottom w:val="none" w:sz="0" w:space="0" w:color="auto"/>
        <w:right w:val="none" w:sz="0" w:space="0" w:color="auto"/>
      </w:divBdr>
    </w:div>
    <w:div w:id="794370211">
      <w:bodyDiv w:val="1"/>
      <w:marLeft w:val="0"/>
      <w:marRight w:val="0"/>
      <w:marTop w:val="0"/>
      <w:marBottom w:val="0"/>
      <w:divBdr>
        <w:top w:val="none" w:sz="0" w:space="0" w:color="auto"/>
        <w:left w:val="none" w:sz="0" w:space="0" w:color="auto"/>
        <w:bottom w:val="none" w:sz="0" w:space="0" w:color="auto"/>
        <w:right w:val="none" w:sz="0" w:space="0" w:color="auto"/>
      </w:divBdr>
    </w:div>
    <w:div w:id="810945307">
      <w:bodyDiv w:val="1"/>
      <w:marLeft w:val="0"/>
      <w:marRight w:val="0"/>
      <w:marTop w:val="0"/>
      <w:marBottom w:val="0"/>
      <w:divBdr>
        <w:top w:val="none" w:sz="0" w:space="0" w:color="auto"/>
        <w:left w:val="none" w:sz="0" w:space="0" w:color="auto"/>
        <w:bottom w:val="none" w:sz="0" w:space="0" w:color="auto"/>
        <w:right w:val="none" w:sz="0" w:space="0" w:color="auto"/>
      </w:divBdr>
    </w:div>
    <w:div w:id="875964669">
      <w:bodyDiv w:val="1"/>
      <w:marLeft w:val="0"/>
      <w:marRight w:val="0"/>
      <w:marTop w:val="0"/>
      <w:marBottom w:val="0"/>
      <w:divBdr>
        <w:top w:val="none" w:sz="0" w:space="0" w:color="auto"/>
        <w:left w:val="none" w:sz="0" w:space="0" w:color="auto"/>
        <w:bottom w:val="none" w:sz="0" w:space="0" w:color="auto"/>
        <w:right w:val="none" w:sz="0" w:space="0" w:color="auto"/>
      </w:divBdr>
    </w:div>
    <w:div w:id="918296668">
      <w:bodyDiv w:val="1"/>
      <w:marLeft w:val="0"/>
      <w:marRight w:val="0"/>
      <w:marTop w:val="0"/>
      <w:marBottom w:val="0"/>
      <w:divBdr>
        <w:top w:val="none" w:sz="0" w:space="0" w:color="auto"/>
        <w:left w:val="none" w:sz="0" w:space="0" w:color="auto"/>
        <w:bottom w:val="none" w:sz="0" w:space="0" w:color="auto"/>
        <w:right w:val="none" w:sz="0" w:space="0" w:color="auto"/>
      </w:divBdr>
    </w:div>
    <w:div w:id="1000624180">
      <w:bodyDiv w:val="1"/>
      <w:marLeft w:val="0"/>
      <w:marRight w:val="0"/>
      <w:marTop w:val="0"/>
      <w:marBottom w:val="0"/>
      <w:divBdr>
        <w:top w:val="none" w:sz="0" w:space="0" w:color="auto"/>
        <w:left w:val="none" w:sz="0" w:space="0" w:color="auto"/>
        <w:bottom w:val="none" w:sz="0" w:space="0" w:color="auto"/>
        <w:right w:val="none" w:sz="0" w:space="0" w:color="auto"/>
      </w:divBdr>
    </w:div>
    <w:div w:id="1038823163">
      <w:bodyDiv w:val="1"/>
      <w:marLeft w:val="0"/>
      <w:marRight w:val="0"/>
      <w:marTop w:val="0"/>
      <w:marBottom w:val="0"/>
      <w:divBdr>
        <w:top w:val="none" w:sz="0" w:space="0" w:color="auto"/>
        <w:left w:val="none" w:sz="0" w:space="0" w:color="auto"/>
        <w:bottom w:val="none" w:sz="0" w:space="0" w:color="auto"/>
        <w:right w:val="none" w:sz="0" w:space="0" w:color="auto"/>
      </w:divBdr>
    </w:div>
    <w:div w:id="1071729071">
      <w:bodyDiv w:val="1"/>
      <w:marLeft w:val="0"/>
      <w:marRight w:val="0"/>
      <w:marTop w:val="0"/>
      <w:marBottom w:val="0"/>
      <w:divBdr>
        <w:top w:val="none" w:sz="0" w:space="0" w:color="auto"/>
        <w:left w:val="none" w:sz="0" w:space="0" w:color="auto"/>
        <w:bottom w:val="none" w:sz="0" w:space="0" w:color="auto"/>
        <w:right w:val="none" w:sz="0" w:space="0" w:color="auto"/>
      </w:divBdr>
    </w:div>
    <w:div w:id="1090347155">
      <w:bodyDiv w:val="1"/>
      <w:marLeft w:val="0"/>
      <w:marRight w:val="0"/>
      <w:marTop w:val="0"/>
      <w:marBottom w:val="0"/>
      <w:divBdr>
        <w:top w:val="none" w:sz="0" w:space="0" w:color="auto"/>
        <w:left w:val="none" w:sz="0" w:space="0" w:color="auto"/>
        <w:bottom w:val="none" w:sz="0" w:space="0" w:color="auto"/>
        <w:right w:val="none" w:sz="0" w:space="0" w:color="auto"/>
      </w:divBdr>
    </w:div>
    <w:div w:id="1127090518">
      <w:bodyDiv w:val="1"/>
      <w:marLeft w:val="0"/>
      <w:marRight w:val="0"/>
      <w:marTop w:val="0"/>
      <w:marBottom w:val="0"/>
      <w:divBdr>
        <w:top w:val="none" w:sz="0" w:space="0" w:color="auto"/>
        <w:left w:val="none" w:sz="0" w:space="0" w:color="auto"/>
        <w:bottom w:val="none" w:sz="0" w:space="0" w:color="auto"/>
        <w:right w:val="none" w:sz="0" w:space="0" w:color="auto"/>
      </w:divBdr>
    </w:div>
    <w:div w:id="1288242780">
      <w:bodyDiv w:val="1"/>
      <w:marLeft w:val="0"/>
      <w:marRight w:val="0"/>
      <w:marTop w:val="0"/>
      <w:marBottom w:val="0"/>
      <w:divBdr>
        <w:top w:val="none" w:sz="0" w:space="0" w:color="auto"/>
        <w:left w:val="none" w:sz="0" w:space="0" w:color="auto"/>
        <w:bottom w:val="none" w:sz="0" w:space="0" w:color="auto"/>
        <w:right w:val="none" w:sz="0" w:space="0" w:color="auto"/>
      </w:divBdr>
    </w:div>
    <w:div w:id="1300693896">
      <w:bodyDiv w:val="1"/>
      <w:marLeft w:val="0"/>
      <w:marRight w:val="0"/>
      <w:marTop w:val="0"/>
      <w:marBottom w:val="0"/>
      <w:divBdr>
        <w:top w:val="none" w:sz="0" w:space="0" w:color="auto"/>
        <w:left w:val="none" w:sz="0" w:space="0" w:color="auto"/>
        <w:bottom w:val="none" w:sz="0" w:space="0" w:color="auto"/>
        <w:right w:val="none" w:sz="0" w:space="0" w:color="auto"/>
      </w:divBdr>
    </w:div>
    <w:div w:id="1310279691">
      <w:bodyDiv w:val="1"/>
      <w:marLeft w:val="0"/>
      <w:marRight w:val="0"/>
      <w:marTop w:val="0"/>
      <w:marBottom w:val="0"/>
      <w:divBdr>
        <w:top w:val="none" w:sz="0" w:space="0" w:color="auto"/>
        <w:left w:val="none" w:sz="0" w:space="0" w:color="auto"/>
        <w:bottom w:val="none" w:sz="0" w:space="0" w:color="auto"/>
        <w:right w:val="none" w:sz="0" w:space="0" w:color="auto"/>
      </w:divBdr>
    </w:div>
    <w:div w:id="1365205729">
      <w:bodyDiv w:val="1"/>
      <w:marLeft w:val="0"/>
      <w:marRight w:val="0"/>
      <w:marTop w:val="0"/>
      <w:marBottom w:val="0"/>
      <w:divBdr>
        <w:top w:val="none" w:sz="0" w:space="0" w:color="auto"/>
        <w:left w:val="none" w:sz="0" w:space="0" w:color="auto"/>
        <w:bottom w:val="none" w:sz="0" w:space="0" w:color="auto"/>
        <w:right w:val="none" w:sz="0" w:space="0" w:color="auto"/>
      </w:divBdr>
    </w:div>
    <w:div w:id="1488670371">
      <w:bodyDiv w:val="1"/>
      <w:marLeft w:val="0"/>
      <w:marRight w:val="0"/>
      <w:marTop w:val="0"/>
      <w:marBottom w:val="0"/>
      <w:divBdr>
        <w:top w:val="none" w:sz="0" w:space="0" w:color="auto"/>
        <w:left w:val="none" w:sz="0" w:space="0" w:color="auto"/>
        <w:bottom w:val="none" w:sz="0" w:space="0" w:color="auto"/>
        <w:right w:val="none" w:sz="0" w:space="0" w:color="auto"/>
      </w:divBdr>
    </w:div>
    <w:div w:id="1564950007">
      <w:bodyDiv w:val="1"/>
      <w:marLeft w:val="0"/>
      <w:marRight w:val="0"/>
      <w:marTop w:val="0"/>
      <w:marBottom w:val="0"/>
      <w:divBdr>
        <w:top w:val="none" w:sz="0" w:space="0" w:color="auto"/>
        <w:left w:val="none" w:sz="0" w:space="0" w:color="auto"/>
        <w:bottom w:val="none" w:sz="0" w:space="0" w:color="auto"/>
        <w:right w:val="none" w:sz="0" w:space="0" w:color="auto"/>
      </w:divBdr>
    </w:div>
    <w:div w:id="1644655814">
      <w:bodyDiv w:val="1"/>
      <w:marLeft w:val="0"/>
      <w:marRight w:val="0"/>
      <w:marTop w:val="0"/>
      <w:marBottom w:val="0"/>
      <w:divBdr>
        <w:top w:val="none" w:sz="0" w:space="0" w:color="auto"/>
        <w:left w:val="none" w:sz="0" w:space="0" w:color="auto"/>
        <w:bottom w:val="none" w:sz="0" w:space="0" w:color="auto"/>
        <w:right w:val="none" w:sz="0" w:space="0" w:color="auto"/>
      </w:divBdr>
    </w:div>
    <w:div w:id="1668828620">
      <w:bodyDiv w:val="1"/>
      <w:marLeft w:val="0"/>
      <w:marRight w:val="0"/>
      <w:marTop w:val="0"/>
      <w:marBottom w:val="0"/>
      <w:divBdr>
        <w:top w:val="none" w:sz="0" w:space="0" w:color="auto"/>
        <w:left w:val="none" w:sz="0" w:space="0" w:color="auto"/>
        <w:bottom w:val="none" w:sz="0" w:space="0" w:color="auto"/>
        <w:right w:val="none" w:sz="0" w:space="0" w:color="auto"/>
      </w:divBdr>
    </w:div>
    <w:div w:id="1755197757">
      <w:bodyDiv w:val="1"/>
      <w:marLeft w:val="0"/>
      <w:marRight w:val="0"/>
      <w:marTop w:val="0"/>
      <w:marBottom w:val="0"/>
      <w:divBdr>
        <w:top w:val="none" w:sz="0" w:space="0" w:color="auto"/>
        <w:left w:val="none" w:sz="0" w:space="0" w:color="auto"/>
        <w:bottom w:val="none" w:sz="0" w:space="0" w:color="auto"/>
        <w:right w:val="none" w:sz="0" w:space="0" w:color="auto"/>
      </w:divBdr>
    </w:div>
    <w:div w:id="1817988403">
      <w:bodyDiv w:val="1"/>
      <w:marLeft w:val="0"/>
      <w:marRight w:val="0"/>
      <w:marTop w:val="0"/>
      <w:marBottom w:val="0"/>
      <w:divBdr>
        <w:top w:val="none" w:sz="0" w:space="0" w:color="auto"/>
        <w:left w:val="none" w:sz="0" w:space="0" w:color="auto"/>
        <w:bottom w:val="none" w:sz="0" w:space="0" w:color="auto"/>
        <w:right w:val="none" w:sz="0" w:space="0" w:color="auto"/>
      </w:divBdr>
    </w:div>
    <w:div w:id="1877616955">
      <w:bodyDiv w:val="1"/>
      <w:marLeft w:val="0"/>
      <w:marRight w:val="0"/>
      <w:marTop w:val="0"/>
      <w:marBottom w:val="0"/>
      <w:divBdr>
        <w:top w:val="none" w:sz="0" w:space="0" w:color="auto"/>
        <w:left w:val="none" w:sz="0" w:space="0" w:color="auto"/>
        <w:bottom w:val="none" w:sz="0" w:space="0" w:color="auto"/>
        <w:right w:val="none" w:sz="0" w:space="0" w:color="auto"/>
      </w:divBdr>
    </w:div>
    <w:div w:id="1906574139">
      <w:bodyDiv w:val="1"/>
      <w:marLeft w:val="0"/>
      <w:marRight w:val="0"/>
      <w:marTop w:val="0"/>
      <w:marBottom w:val="0"/>
      <w:divBdr>
        <w:top w:val="none" w:sz="0" w:space="0" w:color="auto"/>
        <w:left w:val="none" w:sz="0" w:space="0" w:color="auto"/>
        <w:bottom w:val="none" w:sz="0" w:space="0" w:color="auto"/>
        <w:right w:val="none" w:sz="0" w:space="0" w:color="auto"/>
      </w:divBdr>
    </w:div>
    <w:div w:id="1909727230">
      <w:bodyDiv w:val="1"/>
      <w:marLeft w:val="0"/>
      <w:marRight w:val="0"/>
      <w:marTop w:val="0"/>
      <w:marBottom w:val="0"/>
      <w:divBdr>
        <w:top w:val="none" w:sz="0" w:space="0" w:color="auto"/>
        <w:left w:val="none" w:sz="0" w:space="0" w:color="auto"/>
        <w:bottom w:val="none" w:sz="0" w:space="0" w:color="auto"/>
        <w:right w:val="none" w:sz="0" w:space="0" w:color="auto"/>
      </w:divBdr>
    </w:div>
    <w:div w:id="1939631526">
      <w:bodyDiv w:val="1"/>
      <w:marLeft w:val="0"/>
      <w:marRight w:val="0"/>
      <w:marTop w:val="0"/>
      <w:marBottom w:val="0"/>
      <w:divBdr>
        <w:top w:val="none" w:sz="0" w:space="0" w:color="auto"/>
        <w:left w:val="none" w:sz="0" w:space="0" w:color="auto"/>
        <w:bottom w:val="none" w:sz="0" w:space="0" w:color="auto"/>
        <w:right w:val="none" w:sz="0" w:space="0" w:color="auto"/>
      </w:divBdr>
    </w:div>
    <w:div w:id="2085949889">
      <w:bodyDiv w:val="1"/>
      <w:marLeft w:val="0"/>
      <w:marRight w:val="0"/>
      <w:marTop w:val="0"/>
      <w:marBottom w:val="0"/>
      <w:divBdr>
        <w:top w:val="none" w:sz="0" w:space="0" w:color="auto"/>
        <w:left w:val="none" w:sz="0" w:space="0" w:color="auto"/>
        <w:bottom w:val="none" w:sz="0" w:space="0" w:color="auto"/>
        <w:right w:val="none" w:sz="0" w:space="0" w:color="auto"/>
      </w:divBdr>
    </w:div>
    <w:div w:id="20872172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nbc.com/2017/10/26/aws-earnings-and-revenue-q3-2017.html%20%20Accessed%20on%202/12/2017" TargetMode="External"/><Relationship Id="rId4" Type="http://schemas.openxmlformats.org/officeDocument/2006/relationships/webSettings" Target="webSettings.xml"/><Relationship Id="rId9" Type="http://schemas.openxmlformats.org/officeDocument/2006/relationships/hyperlink" Target="https://www.eversheds-sutherland.com/global/en/what/articles/index.page?ArticleID=en/Data-Protection/brexit_impact_on_gdpr_1706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2BD88-3665-442B-9597-4764FE32D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2017-12-02T20:54:00Z</dcterms:created>
  <dcterms:modified xsi:type="dcterms:W3CDTF">2017-12-15T15:52:00Z</dcterms:modified>
</cp:coreProperties>
</file>