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33F3EA0" w:rsidR="00763CB3" w:rsidRPr="00876921" w:rsidRDefault="0052726B"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James Puaca</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2344F6FF" w:rsidR="00763CB3" w:rsidRPr="00876921" w:rsidRDefault="00E470A6"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2319845</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r w:rsidRPr="001E376F">
        <w:rPr>
          <w:rFonts w:ascii="Arial" w:eastAsia="Times New Roman" w:hAnsi="Arial" w:cs="Arial"/>
          <w:b/>
          <w:bCs/>
          <w:lang w:eastAsia="en-GB"/>
        </w:rPr>
        <w:t>All of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FE4224">
        <w:rPr>
          <w:rFonts w:ascii="Arial" w:eastAsia="Times New Roman" w:hAnsi="Arial" w:cs="Arial"/>
          <w:b/>
          <w:b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A03FD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A03FD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435E248" w:rsidR="00F1240E" w:rsidRPr="00AE0853" w:rsidRDefault="00F1240E" w:rsidP="00D6018F">
      <w:pPr>
        <w:spacing w:after="0" w:line="276" w:lineRule="auto"/>
        <w:ind w:left="567" w:right="531"/>
        <w:rPr>
          <w:rFonts w:ascii="Arial" w:eastAsia="Times New Roman" w:hAnsi="Arial" w:cs="Arial"/>
          <w:lang w:eastAsia="en-GB"/>
        </w:rPr>
      </w:pPr>
    </w:p>
    <w:p w14:paraId="1FDE1E50" w14:textId="77777777" w:rsidR="00AE0853" w:rsidRPr="00AE0853" w:rsidRDefault="00AE0853" w:rsidP="00AE0853">
      <w:pPr>
        <w:rPr>
          <w:rFonts w:ascii="Arial" w:hAnsi="Arial" w:cs="Arial"/>
        </w:rPr>
      </w:pPr>
      <w:r w:rsidRPr="00AE0853">
        <w:rPr>
          <w:rFonts w:ascii="Arial" w:hAnsi="Arial" w:cs="Arial"/>
        </w:rPr>
        <w:t>Maintaining public confidence in police forces depends heavily on the policing policies and procedures police officers follow which creates guidelines and boundaries for police officers to take to ensure they are carrying out their role effectively and to the satisfaction of the public. The Police and Criminal Evidence Act (PACE), the Code of Ethics, the National Decision Model (NDM), and the use of body-worn-video (BWV) are just some of the procedures and policies that have been put in place for police officers to follow, these have been put in place to help lessen misconduct and malpractice among police officers. Although accountability has been improved significantly due to these procedures, however, there is discrepancies for how effective they are. There are both positive and negative factors that arrived from the implementation of these procedures.</w:t>
      </w:r>
    </w:p>
    <w:p w14:paraId="273DB184" w14:textId="77777777" w:rsidR="00AE0853" w:rsidRPr="00AE0853" w:rsidRDefault="00AE0853" w:rsidP="00AE0853">
      <w:pPr>
        <w:rPr>
          <w:rFonts w:ascii="Arial" w:hAnsi="Arial" w:cs="Arial"/>
        </w:rPr>
      </w:pPr>
      <w:r w:rsidRPr="00AE0853">
        <w:rPr>
          <w:rFonts w:ascii="Arial" w:hAnsi="Arial" w:cs="Arial"/>
        </w:rPr>
        <w:t>The Police and Criminal Evidence Act (PACE) is a foundation of UK policing, it was created to protect people’s rights whilst being under investigation by the police to appropriately deal with crime. It was put in place in worries of police abuse towards suspects of crime during the protocols of, interrogation, treatment and detention of suspects.</w:t>
      </w:r>
    </w:p>
    <w:p w14:paraId="04CFCF40" w14:textId="77777777" w:rsidR="00AE0853" w:rsidRPr="00AE0853" w:rsidRDefault="00AE0853" w:rsidP="00AE0853">
      <w:pPr>
        <w:rPr>
          <w:rFonts w:ascii="Arial" w:hAnsi="Arial" w:cs="Arial"/>
        </w:rPr>
      </w:pPr>
      <w:r w:rsidRPr="00AE0853">
        <w:rPr>
          <w:rFonts w:ascii="Arial" w:hAnsi="Arial" w:cs="Arial"/>
        </w:rPr>
        <w:t>PACE implemented precise legal guidelines for police officers to follow in relation to interrogation and detention of suspects which had helped lower police misconduct. Suspects are made aware of their rights in police custody as well as their treatment which is closely monitored (Glover, 2015). PACE also mandated the use of video recording whilst the suspect is under questioning, this increased accountability (Hargreaves, 2017)</w:t>
      </w:r>
    </w:p>
    <w:p w14:paraId="334E89DD" w14:textId="77777777" w:rsidR="00AE0853" w:rsidRPr="00AE0853" w:rsidRDefault="00AE0853" w:rsidP="00AE0853">
      <w:pPr>
        <w:rPr>
          <w:rFonts w:ascii="Arial" w:hAnsi="Arial" w:cs="Arial"/>
        </w:rPr>
      </w:pPr>
      <w:r w:rsidRPr="00AE0853">
        <w:rPr>
          <w:rFonts w:ascii="Arial" w:hAnsi="Arial" w:cs="Arial"/>
        </w:rPr>
        <w:t>Despite PACE’s good intentions, police officers have taken advantage of some flaws in the policies, for example, PACE governs the length of detention a suspect can stay in police custody, it does not address the pressure placed on officers to obtain confessions as soon as possible, which can occasionally result in inappropriate techniques being used (McConville, 2019). Furthermore, due to PACE being primarily used for individual case investigations instead of a more comprehensive change in the system, its perceived that PACE is reactive instead of proactive in preventing misconduct.</w:t>
      </w:r>
    </w:p>
    <w:p w14:paraId="670BC54A" w14:textId="77777777" w:rsidR="00AE0853" w:rsidRPr="00AE0853" w:rsidRDefault="00AE0853" w:rsidP="00AE0853">
      <w:pPr>
        <w:rPr>
          <w:rFonts w:ascii="Arial" w:hAnsi="Arial" w:cs="Arial"/>
        </w:rPr>
      </w:pPr>
      <w:r w:rsidRPr="00AE0853">
        <w:rPr>
          <w:rFonts w:ascii="Arial" w:hAnsi="Arial" w:cs="Arial"/>
        </w:rPr>
        <w:t>The College of Policing’s Code of Ethics provides a framework for maintaining professional standards for police officers as well as a guideline for police officers behaviour. It covers core values police officers must have and conduct themselves with, on and off duty, such as, accountability, honesty, integrity, and fairness.</w:t>
      </w:r>
    </w:p>
    <w:p w14:paraId="499C9833" w14:textId="77777777" w:rsidR="00AE0853" w:rsidRPr="00AE0853" w:rsidRDefault="00AE0853" w:rsidP="00AE0853">
      <w:pPr>
        <w:rPr>
          <w:rFonts w:ascii="Arial" w:hAnsi="Arial" w:cs="Arial"/>
        </w:rPr>
      </w:pPr>
      <w:r w:rsidRPr="00AE0853">
        <w:rPr>
          <w:rFonts w:ascii="Arial" w:hAnsi="Arial" w:cs="Arial"/>
        </w:rPr>
        <w:lastRenderedPageBreak/>
        <w:t>The Code of Ethics reinforces a culture of accountability, it lays out clear expectations for ethical behaviour. The Code of Ethics encourages officers to consider the actions they take and consider the wider impact their actions have on the public, highlighting the significance of ethical decision making (Reiner, 2010). Furthermore, the Code of Ethics encourages openness by allowing citizens to hold police officers responsible (Taylor et al, 2017).</w:t>
      </w:r>
    </w:p>
    <w:p w14:paraId="1787C115" w14:textId="77777777" w:rsidR="00AE0853" w:rsidRPr="00AE0853" w:rsidRDefault="00AE0853" w:rsidP="00AE0853">
      <w:pPr>
        <w:rPr>
          <w:rFonts w:ascii="Arial" w:hAnsi="Arial" w:cs="Arial"/>
        </w:rPr>
      </w:pPr>
      <w:r w:rsidRPr="00AE0853">
        <w:rPr>
          <w:rFonts w:ascii="Arial" w:hAnsi="Arial" w:cs="Arial"/>
        </w:rPr>
        <w:t xml:space="preserve">Despite its advantages, the Code of Ethics is not a cure-all for police wrongdoing. Critics contend that the code may be seen as a collection of aspirational principles that may not be attainable (Crank &amp; Caldero, 2017). Even though the Code of Ethics lays out a moral foundation for officers, consistency and successful action in regards to wrongdoing, is not always the result. It is still a difficulty in ensuring moral values are engrained in </w:t>
      </w:r>
      <w:proofErr w:type="spellStart"/>
      <w:r w:rsidRPr="00AE0853">
        <w:rPr>
          <w:rFonts w:ascii="Arial" w:hAnsi="Arial" w:cs="Arial"/>
        </w:rPr>
        <w:t>officers</w:t>
      </w:r>
      <w:proofErr w:type="spellEnd"/>
      <w:r w:rsidRPr="00AE0853">
        <w:rPr>
          <w:rFonts w:ascii="Arial" w:hAnsi="Arial" w:cs="Arial"/>
        </w:rPr>
        <w:t xml:space="preserve"> actions and that they are backed by effective disciplinary measures (Bates,2020).</w:t>
      </w:r>
    </w:p>
    <w:p w14:paraId="4E071353" w14:textId="77777777" w:rsidR="00AE0853" w:rsidRPr="00AE0853" w:rsidRDefault="00AE0853" w:rsidP="00AE0853">
      <w:pPr>
        <w:rPr>
          <w:rFonts w:ascii="Arial" w:hAnsi="Arial" w:cs="Arial"/>
        </w:rPr>
      </w:pPr>
      <w:r w:rsidRPr="00AE0853">
        <w:rPr>
          <w:rFonts w:ascii="Arial" w:hAnsi="Arial" w:cs="Arial"/>
        </w:rPr>
        <w:t>The College of policing created the National Decision Model (NDM) to supply the police with a structured and organised method for decision making. The NDM has an emphasis on, ethical considerations, professional judgement, and public safety. The model aims to assist officers in complex incidents by supplying them with the framework of judging the legality and the proportionality of acts and powers officers can use when necessary.</w:t>
      </w:r>
    </w:p>
    <w:p w14:paraId="007D490C" w14:textId="77777777" w:rsidR="00AE0853" w:rsidRPr="00AE0853" w:rsidRDefault="00AE0853" w:rsidP="00AE0853">
      <w:pPr>
        <w:rPr>
          <w:rFonts w:ascii="Arial" w:hAnsi="Arial" w:cs="Arial"/>
        </w:rPr>
      </w:pPr>
      <w:r w:rsidRPr="00AE0853">
        <w:rPr>
          <w:rFonts w:ascii="Arial" w:hAnsi="Arial" w:cs="Arial"/>
        </w:rPr>
        <w:t>The NDM has an emphasis on moral decision making and accountability, which are its min advantages. The NDM improves transparency which lessens the chance of disproportionate force being used, therefore, encouraging officers to assess the repercussions of their decisions through structured framework (Ives &amp; Beech, 2020). The NDM also promotes officers to justify their decision making, this ensures officers can show that pertinent elements of the NDM were considered during investigations or in court processes.</w:t>
      </w:r>
    </w:p>
    <w:p w14:paraId="6168086E" w14:textId="77777777" w:rsidR="00AE0853" w:rsidRPr="00AE0853" w:rsidRDefault="00AE0853" w:rsidP="00AE0853">
      <w:pPr>
        <w:rPr>
          <w:rFonts w:ascii="Arial" w:hAnsi="Arial" w:cs="Arial"/>
        </w:rPr>
      </w:pPr>
      <w:r w:rsidRPr="00AE0853">
        <w:rPr>
          <w:rFonts w:ascii="Arial" w:hAnsi="Arial" w:cs="Arial"/>
        </w:rPr>
        <w:t>The NDM however is not always applied in practice. During critical incidents where prompt and effective choices are necessary, officers not always adhere to the model due to the pressure they are placed under due to the severity of the incident they have attended (Maguire, 2018). Additionally, there are deeper structural problems in policing that the NDM does not address, such as, institutional biases and cultural factors that might affect officers’ decision making in ways that the NDM does not sufficiently address (Smith, 2016).</w:t>
      </w:r>
    </w:p>
    <w:p w14:paraId="6F185134" w14:textId="77777777" w:rsidR="00AE0853" w:rsidRPr="00AE0853" w:rsidRDefault="00AE0853" w:rsidP="00AE0853">
      <w:pPr>
        <w:rPr>
          <w:rFonts w:ascii="Arial" w:hAnsi="Arial" w:cs="Arial"/>
        </w:rPr>
      </w:pPr>
      <w:r w:rsidRPr="00AE0853">
        <w:rPr>
          <w:rFonts w:ascii="Arial" w:hAnsi="Arial" w:cs="Arial"/>
        </w:rPr>
        <w:t>Police officers use of body-worn video (BWV) cameras, has been praised as a major advancement in policing. BWV captures interactions between officers and the general public , it offers an unbiased record that can be used as evidence in court, in disciplinary measures and investigations.</w:t>
      </w:r>
    </w:p>
    <w:p w14:paraId="12F03D1E" w14:textId="77777777" w:rsidR="00AE0853" w:rsidRPr="00AE0853" w:rsidRDefault="00AE0853" w:rsidP="00AE0853">
      <w:pPr>
        <w:rPr>
          <w:rFonts w:ascii="Arial" w:hAnsi="Arial" w:cs="Arial"/>
        </w:rPr>
      </w:pPr>
      <w:r w:rsidRPr="00AE0853">
        <w:rPr>
          <w:rFonts w:ascii="Arial" w:hAnsi="Arial" w:cs="Arial"/>
        </w:rPr>
        <w:t xml:space="preserve">It has been demonstrated that the implementation of BWV has lowered police misconduct especially in instances of interactions with the public. BWV can enhance officers behaviour and the publics perceptions of the legitimacy of police officers, in turn, this has also reduced complaints against police officers (Ariel et al, 2015). BWV has the possibility pf restoring the </w:t>
      </w:r>
      <w:proofErr w:type="spellStart"/>
      <w:r w:rsidRPr="00AE0853">
        <w:rPr>
          <w:rFonts w:ascii="Arial" w:hAnsi="Arial" w:cs="Arial"/>
        </w:rPr>
        <w:t>publics</w:t>
      </w:r>
      <w:proofErr w:type="spellEnd"/>
      <w:r w:rsidRPr="00AE0853">
        <w:rPr>
          <w:rFonts w:ascii="Arial" w:hAnsi="Arial" w:cs="Arial"/>
        </w:rPr>
        <w:t xml:space="preserve"> confidence in the police by enhancing openness and accountability, especially in areas where police have been distrusted by the public.</w:t>
      </w:r>
    </w:p>
    <w:p w14:paraId="256559E1" w14:textId="77777777" w:rsidR="00AE0853" w:rsidRPr="00AE0853" w:rsidRDefault="00AE0853" w:rsidP="00AE0853">
      <w:pPr>
        <w:rPr>
          <w:rFonts w:ascii="Arial" w:hAnsi="Arial" w:cs="Arial"/>
        </w:rPr>
      </w:pPr>
      <w:r w:rsidRPr="00AE0853">
        <w:rPr>
          <w:rFonts w:ascii="Arial" w:hAnsi="Arial" w:cs="Arial"/>
        </w:rPr>
        <w:t>Despite the advantages of BWV it also has its drawbacks. Although it documents encounters between the public and police officers, it lacks the ability to capture fully the complexity of certain incidents. For example, BWV might not accurately capture an incident that is quickly changing or capture the officers perceptions of the dynamically changing incident (Sommers &amp; Norton, 2021). Concerns in relation to security and privacy have also been expressed, as well as the possibility of selective or inappropriate use of BWV (Goodall, 2017).</w:t>
      </w:r>
    </w:p>
    <w:p w14:paraId="3C35C622" w14:textId="77777777" w:rsidR="00AE0853" w:rsidRDefault="00AE0853" w:rsidP="00AE0853">
      <w:pPr>
        <w:rPr>
          <w:rFonts w:ascii="Arial" w:hAnsi="Arial" w:cs="Arial"/>
        </w:rPr>
      </w:pPr>
      <w:r w:rsidRPr="00AE0853">
        <w:rPr>
          <w:rFonts w:ascii="Arial" w:hAnsi="Arial" w:cs="Arial"/>
        </w:rPr>
        <w:t>In conclusion, the use of policing measures such as, PACE, the Code of Ethics, the NDM, and BWV increase public confidence, improve accountability, and decrease misconduct. Even though each policing practice has its advantages, it also has several disadvantages that follow in use of the practice. PACE made excellent progress in the protection of suspects rights, it still needs to allow adjustments to shifting policing conditions. The Code of Ethics offers the police a useful and ethical foundation to follow, it still may be difficult to put it into practice. The NDM encourages ethical decision making, however, it does not address underlying systemic and cultural problems. BWV increases transparency, however, there are still worries about its limitations in complex situations.</w:t>
      </w:r>
    </w:p>
    <w:p w14:paraId="18B7D0FC" w14:textId="4EEF284F" w:rsidR="00821C43" w:rsidRPr="00AE0853" w:rsidRDefault="00821C43" w:rsidP="00AE0853">
      <w:pPr>
        <w:rPr>
          <w:rFonts w:ascii="Arial" w:hAnsi="Arial" w:cs="Arial"/>
        </w:rPr>
      </w:pPr>
      <w:r>
        <w:rPr>
          <w:rFonts w:ascii="Arial" w:hAnsi="Arial" w:cs="Arial"/>
        </w:rPr>
        <w:t>(1099)</w:t>
      </w:r>
    </w:p>
    <w:p w14:paraId="7F5CA2CA" w14:textId="77777777" w:rsidR="00AE0853" w:rsidRDefault="00AE0853" w:rsidP="00D6018F">
      <w:pPr>
        <w:spacing w:after="0" w:line="276" w:lineRule="auto"/>
        <w:ind w:left="567" w:right="531"/>
        <w:rPr>
          <w:rFonts w:ascii="Arial" w:eastAsia="Times New Roman" w:hAnsi="Arial" w:cs="Arial"/>
          <w:lang w:eastAsia="en-GB"/>
        </w:rPr>
      </w:pPr>
    </w:p>
    <w:p w14:paraId="5236E585" w14:textId="77777777" w:rsidR="006E2932" w:rsidRDefault="006E2932" w:rsidP="00D6018F">
      <w:pPr>
        <w:spacing w:after="0" w:line="276" w:lineRule="auto"/>
        <w:ind w:left="567" w:right="531"/>
        <w:rPr>
          <w:rFonts w:ascii="Arial" w:eastAsia="Times New Roman" w:hAnsi="Arial" w:cs="Arial"/>
          <w:lang w:eastAsia="en-GB"/>
        </w:rPr>
      </w:pPr>
    </w:p>
    <w:p w14:paraId="2A3983AA" w14:textId="5463BA73" w:rsidR="006E2932" w:rsidRPr="006C3C20" w:rsidRDefault="006E2932" w:rsidP="006E2932">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6E2932">
      <w:pPr>
        <w:spacing w:after="0" w:line="276" w:lineRule="auto"/>
        <w:ind w:left="567" w:right="531"/>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6E293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Default="006E2932" w:rsidP="006E2932">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2F36704D" w14:textId="77777777" w:rsidR="000F340C" w:rsidRDefault="000F340C" w:rsidP="006E2932">
      <w:pPr>
        <w:spacing w:after="0" w:line="276" w:lineRule="auto"/>
        <w:ind w:left="567" w:right="531"/>
        <w:rPr>
          <w:rFonts w:ascii="Arial" w:eastAsia="Times New Roman" w:hAnsi="Arial" w:cs="Arial"/>
          <w:lang w:eastAsia="en-GB"/>
        </w:rPr>
      </w:pPr>
    </w:p>
    <w:p w14:paraId="47DF6308" w14:textId="77777777" w:rsidR="000F340C" w:rsidRPr="000F340C" w:rsidRDefault="000F340C" w:rsidP="000F340C">
      <w:pPr>
        <w:rPr>
          <w:rFonts w:ascii="Arial" w:hAnsi="Arial" w:cs="Arial"/>
        </w:rPr>
      </w:pPr>
      <w:r w:rsidRPr="000F340C">
        <w:rPr>
          <w:rFonts w:ascii="Arial" w:hAnsi="Arial" w:cs="Arial"/>
        </w:rPr>
        <w:t>Public protection is a crucial and detrimental element in society, especially in relation to preventing members of the public from being preyed on and taken advantage of by criminal and organised gangs. Criminal gangs often prey on the weaker members of society with various vulnerabilities, in order to obtain, money, power, or other illegal means. Socioeconomic deprivation, psychological vulnerabilities, low educational attainment, and mental health conditions are some of the factors and vulnerabilities that criminal gangs may target and exploit in order to gain power and to involve  vulnerable people into their criminal wrongdoings.</w:t>
      </w:r>
    </w:p>
    <w:p w14:paraId="5FE7065E" w14:textId="77777777" w:rsidR="000F340C" w:rsidRPr="000F340C" w:rsidRDefault="000F340C" w:rsidP="000F340C">
      <w:pPr>
        <w:rPr>
          <w:rFonts w:ascii="Arial" w:hAnsi="Arial" w:cs="Arial"/>
        </w:rPr>
      </w:pPr>
      <w:r w:rsidRPr="000F340C">
        <w:rPr>
          <w:rFonts w:ascii="Arial" w:hAnsi="Arial" w:cs="Arial"/>
        </w:rPr>
        <w:t>Socioeconomic deprivation is one of the most leading elements that makes people vulnerable to criminal exploitation. People from low-income backgrounds are far more vulnerable due to the fact they have less access to social mobility, good education, and work possibilities. Gang recruitment is closely linked to poverty due to the gangs willingly providing an initial sense of financial security to those in poverty. For instance, joining a gang may seem like a quick way for young people to make a living even if by doing so they obtain it using unlawful methods. Criminal gangs provide financial incentives that appeal to people where there are few respectable opportunities for upwards mobility (Buehler, 2013).</w:t>
      </w:r>
    </w:p>
    <w:p w14:paraId="3CEC2388" w14:textId="77777777" w:rsidR="000F340C" w:rsidRPr="000F340C" w:rsidRDefault="000F340C" w:rsidP="000F340C">
      <w:pPr>
        <w:rPr>
          <w:rFonts w:ascii="Arial" w:hAnsi="Arial" w:cs="Arial"/>
        </w:rPr>
      </w:pPr>
      <w:r w:rsidRPr="000F340C">
        <w:rPr>
          <w:rFonts w:ascii="Arial" w:hAnsi="Arial" w:cs="Arial"/>
        </w:rPr>
        <w:t>Unemployment and low educational attainment might further sway people to look for different and various methods of making financial gain and securing a future for themselves and their family. Being a member of a gang might provide someone with a sense of belonging and purpose that they may not find in their day to day lives. People who lack formal skills may be more likely to view criminal involvement as their only chance of success due to the link between gang engagement and low educational attainment (Hagedorn, 2008).</w:t>
      </w:r>
    </w:p>
    <w:p w14:paraId="4A1BFB03" w14:textId="77777777" w:rsidR="000F340C" w:rsidRPr="000F340C" w:rsidRDefault="000F340C" w:rsidP="000F340C">
      <w:pPr>
        <w:rPr>
          <w:rFonts w:ascii="Arial" w:hAnsi="Arial" w:cs="Arial"/>
        </w:rPr>
      </w:pPr>
      <w:r w:rsidRPr="000F340C">
        <w:rPr>
          <w:rFonts w:ascii="Arial" w:hAnsi="Arial" w:cs="Arial"/>
        </w:rPr>
        <w:t>Another important aspect is family instability, this is often linked to socioeconomic hardship. Children that have been accustomed to neglect, abuse or conflict from their parents, look for alternatives in emotional and material support, joining a gang may attract children subject to neglect due to the attraction of lacking socioeconomical norms and values. Gangs can act as second families in these situations, the gangs provide children with stability, safety and a sense of belonging (Klein, 2012). Family instability, poverty and lack of education can create opportunities for gangs to take advantage of and exploit.</w:t>
      </w:r>
    </w:p>
    <w:p w14:paraId="2E797D6E" w14:textId="77777777" w:rsidR="000F340C" w:rsidRPr="000F340C" w:rsidRDefault="000F340C" w:rsidP="000F340C">
      <w:pPr>
        <w:rPr>
          <w:rFonts w:ascii="Arial" w:hAnsi="Arial" w:cs="Arial"/>
        </w:rPr>
      </w:pPr>
      <w:r w:rsidRPr="000F340C">
        <w:rPr>
          <w:rFonts w:ascii="Arial" w:hAnsi="Arial" w:cs="Arial"/>
        </w:rPr>
        <w:t>Psychological vulnerabilities may increase a person’s chances to be exploited by criminal gangs. Low self-esteem and a lack of social identity may have a detrimental effect in relation to being manipulated by gangs. The need for social approval and status is a particularly strong aspect for youths due to their developmental period. People who have low self-esteem could view that joining a gang may bring them social status and bring them respect from their peers. Gangs frequently provide a sense of significance and acceptance which people may not find in other social networks.</w:t>
      </w:r>
    </w:p>
    <w:p w14:paraId="05CDA88D" w14:textId="77777777" w:rsidR="000F340C" w:rsidRPr="000F340C" w:rsidRDefault="000F340C" w:rsidP="000F340C">
      <w:pPr>
        <w:rPr>
          <w:rFonts w:ascii="Arial" w:hAnsi="Arial" w:cs="Arial"/>
        </w:rPr>
      </w:pPr>
      <w:r w:rsidRPr="000F340C">
        <w:rPr>
          <w:rFonts w:ascii="Arial" w:hAnsi="Arial" w:cs="Arial"/>
        </w:rPr>
        <w:t>Furthermore, people who have suffered severe abuse and trauma may be more likely to being targeted by gangs. Victims of sexual, physical, or emotional abuse may be less social and look for comfort from being a part of a gang. Belonging to a gang may make a person with a  history of trauma and abuse feel welcome and provide a feeling of security. Those who have suffered psychological trauma are far more likely to join a gang due to frequently having unmet emotional needs that gangs offer to satisfy (Klein, 2012).</w:t>
      </w:r>
    </w:p>
    <w:p w14:paraId="3DC7D68E" w14:textId="77777777" w:rsidR="000F340C" w:rsidRPr="000F340C" w:rsidRDefault="000F340C" w:rsidP="000F340C">
      <w:pPr>
        <w:rPr>
          <w:rFonts w:ascii="Arial" w:hAnsi="Arial" w:cs="Arial"/>
        </w:rPr>
      </w:pPr>
      <w:r w:rsidRPr="000F340C">
        <w:rPr>
          <w:rFonts w:ascii="Arial" w:hAnsi="Arial" w:cs="Arial"/>
        </w:rPr>
        <w:t xml:space="preserve">Mental health conditions often make a person more vulnerable. Certain mental health conditions such as, depression, anxiety, and </w:t>
      </w:r>
      <w:proofErr w:type="spellStart"/>
      <w:r w:rsidRPr="000F340C">
        <w:rPr>
          <w:rFonts w:ascii="Arial" w:hAnsi="Arial" w:cs="Arial"/>
        </w:rPr>
        <w:t>post traumatic</w:t>
      </w:r>
      <w:proofErr w:type="spellEnd"/>
      <w:r w:rsidRPr="000F340C">
        <w:rPr>
          <w:rFonts w:ascii="Arial" w:hAnsi="Arial" w:cs="Arial"/>
        </w:rPr>
        <w:t xml:space="preserve"> stress disorder (PTSD), leaves a person more vulnerable to be exploited by gangs. Gang members often take advantage of people who struggle with their mental health, they do this by providing them with what appears to be emotional support and a sense of belonging and welcoming.</w:t>
      </w:r>
    </w:p>
    <w:p w14:paraId="367EDB4E" w14:textId="77777777" w:rsidR="000F340C" w:rsidRPr="000F340C" w:rsidRDefault="000F340C" w:rsidP="000F340C">
      <w:pPr>
        <w:rPr>
          <w:rFonts w:ascii="Arial" w:hAnsi="Arial" w:cs="Arial"/>
        </w:rPr>
      </w:pPr>
      <w:r w:rsidRPr="000F340C">
        <w:rPr>
          <w:rFonts w:ascii="Arial" w:hAnsi="Arial" w:cs="Arial"/>
        </w:rPr>
        <w:lastRenderedPageBreak/>
        <w:t>Vulnerability is also influenced by cultural and media elements. Young people’s perception on gang culture is greatly influenced through different forms of social media, music and films. Gang members are often viewed as being powerful, well respected and successful. The way in which gang members are viewed by vulnerable youths can have a deceitful perception, they portray themselves as having a desirable way of living which may appeal to young people lacking identity or purpose.</w:t>
      </w:r>
    </w:p>
    <w:p w14:paraId="3BB01162" w14:textId="77777777" w:rsidR="000F340C" w:rsidRPr="000F340C" w:rsidRDefault="000F340C" w:rsidP="000F340C">
      <w:pPr>
        <w:rPr>
          <w:rFonts w:ascii="Arial" w:hAnsi="Arial" w:cs="Arial"/>
        </w:rPr>
      </w:pPr>
      <w:r w:rsidRPr="000F340C">
        <w:rPr>
          <w:rFonts w:ascii="Arial" w:hAnsi="Arial" w:cs="Arial"/>
        </w:rPr>
        <w:t xml:space="preserve">Gang involvement can promote and encourage violence and toughness. Joining a gang can appeal to youths who perhaps lack strength and prestige and could see it as </w:t>
      </w:r>
      <w:proofErr w:type="spellStart"/>
      <w:r w:rsidRPr="000F340C">
        <w:rPr>
          <w:rFonts w:ascii="Arial" w:hAnsi="Arial" w:cs="Arial"/>
        </w:rPr>
        <w:t>a</w:t>
      </w:r>
      <w:proofErr w:type="spellEnd"/>
      <w:r w:rsidRPr="000F340C">
        <w:rPr>
          <w:rFonts w:ascii="Arial" w:hAnsi="Arial" w:cs="Arial"/>
        </w:rPr>
        <w:t xml:space="preserve"> easy way to gain these values. Young people who are still developing their “moral compass” could perhaps make wrong or poor life decisions early on due to how the media portrays gang culture (Sanders, 2015).</w:t>
      </w:r>
    </w:p>
    <w:p w14:paraId="6C97B278" w14:textId="77777777" w:rsidR="000F340C" w:rsidRDefault="000F340C" w:rsidP="000F340C">
      <w:pPr>
        <w:rPr>
          <w:rFonts w:ascii="Arial" w:hAnsi="Arial" w:cs="Arial"/>
        </w:rPr>
      </w:pPr>
      <w:r w:rsidRPr="000F340C">
        <w:rPr>
          <w:rFonts w:ascii="Arial" w:hAnsi="Arial" w:cs="Arial"/>
        </w:rPr>
        <w:t xml:space="preserve">In conclusion, socioeconomic, psychological and cultural elements are all factors that make young people more likely to be exploited by gangs. Poverty, uneducated people and unstable families, are all factors that gangs will target to recruit new members to their gangs. Psychological elements such as, suffering from previous trauma, having low self-esteem, and suffering from mental health conditions all have an impact on a person’s vulnerability and chances on being exploited by criminal gangs. Environmental factors that have an impact on a person’s vulnerability to being targeted by gangs are living in </w:t>
      </w:r>
      <w:proofErr w:type="spellStart"/>
      <w:r w:rsidRPr="000F340C">
        <w:rPr>
          <w:rFonts w:ascii="Arial" w:hAnsi="Arial" w:cs="Arial"/>
        </w:rPr>
        <w:t>a</w:t>
      </w:r>
      <w:proofErr w:type="spellEnd"/>
      <w:r w:rsidRPr="000F340C">
        <w:rPr>
          <w:rFonts w:ascii="Arial" w:hAnsi="Arial" w:cs="Arial"/>
        </w:rPr>
        <w:t xml:space="preserve"> area with a high crime rate and peer pressure. Lastly, gang involvement is often glamorised in social media, and culturally which can attract susceptible people. A strategy is needed to address these vulnerabilities, with an emphasis on community intervention, improved education and mental health assistance. By tackling the underlying issues and factors that contribute to vulnerability, communities and society can better help and protect people from the damaging effect of criminal gangs.</w:t>
      </w:r>
    </w:p>
    <w:p w14:paraId="6BEE69EF" w14:textId="399CF2B2" w:rsidR="006C0F32" w:rsidRPr="000F340C" w:rsidRDefault="006C0F32" w:rsidP="000F340C">
      <w:pPr>
        <w:rPr>
          <w:rFonts w:ascii="Arial" w:hAnsi="Arial" w:cs="Arial"/>
        </w:rPr>
      </w:pPr>
      <w:r>
        <w:rPr>
          <w:rFonts w:ascii="Arial" w:hAnsi="Arial" w:cs="Arial"/>
        </w:rPr>
        <w:t>(941)</w:t>
      </w:r>
    </w:p>
    <w:p w14:paraId="64951F51" w14:textId="77777777" w:rsidR="000F340C" w:rsidRPr="006C3C20" w:rsidRDefault="000F340C" w:rsidP="006E2932">
      <w:pPr>
        <w:spacing w:after="0" w:line="276" w:lineRule="auto"/>
        <w:ind w:left="567" w:right="531"/>
        <w:rPr>
          <w:rFonts w:ascii="Arial" w:eastAsia="Times New Roman" w:hAnsi="Arial" w:cs="Arial"/>
          <w:lang w:eastAsia="en-GB"/>
        </w:rPr>
      </w:pPr>
    </w:p>
    <w:p w14:paraId="7978CC10" w14:textId="77777777" w:rsidR="006E2932" w:rsidRPr="006C3C20" w:rsidRDefault="006E2932"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389E7A5D" w:rsidR="008A27A7" w:rsidRPr="006C3C20" w:rsidRDefault="00BC461A" w:rsidP="00DB5D41">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D44CD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Default="00FE4224" w:rsidP="00D6018F">
      <w:pPr>
        <w:spacing w:after="0" w:line="276" w:lineRule="auto"/>
        <w:ind w:left="567" w:right="531"/>
        <w:rPr>
          <w:rFonts w:ascii="Arial" w:eastAsia="Times New Roman" w:hAnsi="Arial" w:cs="Arial"/>
          <w:lang w:eastAsia="en-GB"/>
        </w:rPr>
      </w:pPr>
    </w:p>
    <w:p w14:paraId="098D1B06" w14:textId="77777777" w:rsidR="008115CE" w:rsidRPr="008115CE" w:rsidRDefault="008115CE" w:rsidP="008115CE">
      <w:pPr>
        <w:rPr>
          <w:rFonts w:ascii="Arial" w:hAnsi="Arial" w:cs="Arial"/>
        </w:rPr>
      </w:pPr>
      <w:r w:rsidRPr="008115CE">
        <w:rPr>
          <w:rFonts w:ascii="Arial" w:hAnsi="Arial" w:cs="Arial"/>
        </w:rPr>
        <w:t>Preventing young people from offending, has been a priority with both criminologists and policymakers. Adolescence is the time people are more likely to commit themselves to criminal activities. One of the strategies used to address the underlying issue is Early intervention, it aims to intervene with troubled youths embarking in low level criminal activity before they become involved in more serious criminality. This essay aims to assess the usefulness of early intervention, it assesses elements that hinder and contribute to the performance of early intervention. There are also other partnered organisations that assist with the intervention of troubled youths, it is a debate of how effective they actually are in relation to preventing antisocial behaviour and criminality in youths, these organisations being, mental health services, social services and the juvenile crime system.</w:t>
      </w:r>
    </w:p>
    <w:p w14:paraId="05525BD9" w14:textId="77777777" w:rsidR="008115CE" w:rsidRPr="008115CE" w:rsidRDefault="008115CE" w:rsidP="008115CE">
      <w:pPr>
        <w:rPr>
          <w:rFonts w:ascii="Arial" w:hAnsi="Arial" w:cs="Arial"/>
        </w:rPr>
      </w:pPr>
      <w:r w:rsidRPr="008115CE">
        <w:rPr>
          <w:rFonts w:ascii="Arial" w:hAnsi="Arial" w:cs="Arial"/>
        </w:rPr>
        <w:t>Early intervention can considerably lower young people’s criminal activity, especially when focussed on factors such as, exposure to violence, family instability, or poverty. By addressing these underlying issues before youths’ resort to criminal behaviour, early intervention is more likely to reduce the risks of the youths offending (Farrington, 2003). Programs that address early criminality and antisocial behaviour have been shown to lower and deter future criminal activity. Early intervention that has been aimed at young children in relation to their behavioural problems has resulted in a significant decrease in their criminal behaviour, it emphasised how crucial it is to target the behavioural issues in youths at an early stage in life to deter more serious criminality later on in life (Tremblay et al, 1994).</w:t>
      </w:r>
    </w:p>
    <w:p w14:paraId="439A3CD1" w14:textId="77777777" w:rsidR="008115CE" w:rsidRPr="008115CE" w:rsidRDefault="008115CE" w:rsidP="008115CE">
      <w:pPr>
        <w:rPr>
          <w:rFonts w:ascii="Arial" w:hAnsi="Arial" w:cs="Arial"/>
        </w:rPr>
      </w:pPr>
      <w:r w:rsidRPr="008115CE">
        <w:rPr>
          <w:rFonts w:ascii="Arial" w:hAnsi="Arial" w:cs="Arial"/>
        </w:rPr>
        <w:t xml:space="preserve">Furthermore, early intervention has been demonstrated that their involvement emphasises a holistic approach where approaching the individual involved and their family has a successful impact. They frequently offer behavioural therapy, counselling, and family support which has an impact on a young </w:t>
      </w:r>
      <w:r w:rsidRPr="008115CE">
        <w:rPr>
          <w:rFonts w:ascii="Arial" w:hAnsi="Arial" w:cs="Arial"/>
        </w:rPr>
        <w:lastRenderedPageBreak/>
        <w:t>person’s life. Customised and individualised interventions which target the particular circumstances and needs of at-risk youths have greater results than programs that are more broad (Lipsey, 2009). When early intervention is executed properly it provides a positive approach in relation to juvenile criminality or anti-social behaviour.</w:t>
      </w:r>
    </w:p>
    <w:p w14:paraId="0F1C057B" w14:textId="77777777" w:rsidR="008115CE" w:rsidRPr="008115CE" w:rsidRDefault="008115CE" w:rsidP="008115CE">
      <w:pPr>
        <w:rPr>
          <w:rFonts w:ascii="Arial" w:hAnsi="Arial" w:cs="Arial"/>
        </w:rPr>
      </w:pPr>
      <w:r w:rsidRPr="008115CE">
        <w:rPr>
          <w:rFonts w:ascii="Arial" w:hAnsi="Arial" w:cs="Arial"/>
        </w:rPr>
        <w:t>Family involvement is also another crucial aspect that enhances the efficacy of early involvement. This is due to dysfunctional family dynamics being frequently connected to young people involving themselves in anti-social behaviour and or criminality, these instances of early intervention in relation to dysfunctional families have increased positive outcomes. Family based interventions can lessen the antisocial behaviours and criminality by encouraging better family bonding (McCart et al, 2006). Involving the parents or family of the youth involved can guarantee that the intervention will be carried out after the program is over, in addition to strengthening the family bonding in the home environment.</w:t>
      </w:r>
    </w:p>
    <w:p w14:paraId="410AF435" w14:textId="77777777" w:rsidR="008115CE" w:rsidRPr="008115CE" w:rsidRDefault="008115CE" w:rsidP="008115CE">
      <w:pPr>
        <w:rPr>
          <w:rFonts w:ascii="Arial" w:hAnsi="Arial" w:cs="Arial"/>
        </w:rPr>
      </w:pPr>
      <w:r w:rsidRPr="008115CE">
        <w:rPr>
          <w:rFonts w:ascii="Arial" w:hAnsi="Arial" w:cs="Arial"/>
        </w:rPr>
        <w:t xml:space="preserve">Involving organisations such as the juvenile criminal system, social services and schools can improve the effectiveness of early intervention. The use of different organisations offers a more thorough approach in relation to tackling youth criminality (Farrington and Welsh, 2007). Utilising mental health services and community-based organisations, ensures that the youths obtain the most amount of various help they can get.  </w:t>
      </w:r>
    </w:p>
    <w:p w14:paraId="5C477BC1" w14:textId="77777777" w:rsidR="008115CE" w:rsidRPr="008115CE" w:rsidRDefault="008115CE" w:rsidP="008115CE">
      <w:pPr>
        <w:rPr>
          <w:rFonts w:ascii="Arial" w:hAnsi="Arial" w:cs="Arial"/>
        </w:rPr>
      </w:pPr>
      <w:r w:rsidRPr="008115CE">
        <w:rPr>
          <w:rFonts w:ascii="Arial" w:hAnsi="Arial" w:cs="Arial"/>
        </w:rPr>
        <w:t xml:space="preserve">Despite its potential, early intervention also has its negatives and drawbacks. A lack of resources such as, money and qualified personnel, is one of the biggest drawbacks. Underfunding is one of the biggest drawbacks which results in a lack of implementation when needed, a lack of support services, and a lack of qualified personnel, this has a result on the efficiency of the programs being carried out fully, youths aren’t getting the adequate support in relation to preventing them further offending or committing antisocial behaviour due to a lack of funding in relation to inadequate resources. Adequate resources are the main fault in the lack of positive action being taken in early intervention programmes (Howell, 2010). </w:t>
      </w:r>
    </w:p>
    <w:p w14:paraId="3D638789" w14:textId="77777777" w:rsidR="008115CE" w:rsidRPr="008115CE" w:rsidRDefault="008115CE" w:rsidP="008115CE">
      <w:pPr>
        <w:rPr>
          <w:rFonts w:ascii="Arial" w:hAnsi="Arial" w:cs="Arial"/>
        </w:rPr>
      </w:pPr>
      <w:r w:rsidRPr="008115CE">
        <w:rPr>
          <w:rFonts w:ascii="Arial" w:hAnsi="Arial" w:cs="Arial"/>
        </w:rPr>
        <w:t>Another drawback in relation to early intervention is socioeconomic and cultural factors. Programs do not take into account the diverse socioeconomic and cultural background factors of youths. A lack of cultural competency in certain intervention programs alienate marginalised or minority youths, this can be harder for them to gain from the support (Bergman et al, 2012). Early intervention programs must be adapted to deal with the cultural diversity of youths to ensure the youths do not feel alienated or marginalised.</w:t>
      </w:r>
    </w:p>
    <w:p w14:paraId="2E53663E" w14:textId="77777777" w:rsidR="008115CE" w:rsidRPr="008115CE" w:rsidRDefault="008115CE" w:rsidP="008115CE">
      <w:pPr>
        <w:rPr>
          <w:rFonts w:ascii="Arial" w:hAnsi="Arial" w:cs="Arial"/>
        </w:rPr>
      </w:pPr>
      <w:r w:rsidRPr="008115CE">
        <w:rPr>
          <w:rFonts w:ascii="Arial" w:hAnsi="Arial" w:cs="Arial"/>
        </w:rPr>
        <w:t>Another difficulty is the stigmatising and labelling of early involvement programmes poses as another issue. Youths may be subject to negative labels after being marked as an “at risk” youth, this can result in social marginalisation, therefore causing the youth to be involved further in antisocial behaviour. The labelling of being an “at risk” youth may affect youths to be alienated and rebellious, this in turn can affect the interventions effectiveness.</w:t>
      </w:r>
    </w:p>
    <w:p w14:paraId="50861956" w14:textId="77777777" w:rsidR="008115CE" w:rsidRDefault="008115CE" w:rsidP="008115CE">
      <w:pPr>
        <w:rPr>
          <w:rFonts w:ascii="Arial" w:hAnsi="Arial" w:cs="Arial"/>
        </w:rPr>
      </w:pPr>
      <w:r w:rsidRPr="008115CE">
        <w:rPr>
          <w:rFonts w:ascii="Arial" w:hAnsi="Arial" w:cs="Arial"/>
        </w:rPr>
        <w:t xml:space="preserve">In conclusion, early intervention has the potential to be successful in relation to reducing the risk of youths committing antisocial behaviour and being involved in criminality, however, there are many drawbacks to early intervention that </w:t>
      </w:r>
      <w:proofErr w:type="spellStart"/>
      <w:r w:rsidRPr="008115CE">
        <w:rPr>
          <w:rFonts w:ascii="Arial" w:hAnsi="Arial" w:cs="Arial"/>
        </w:rPr>
        <w:t>some what</w:t>
      </w:r>
      <w:proofErr w:type="spellEnd"/>
      <w:r w:rsidRPr="008115CE">
        <w:rPr>
          <w:rFonts w:ascii="Arial" w:hAnsi="Arial" w:cs="Arial"/>
        </w:rPr>
        <w:t xml:space="preserve"> tarnish its effectiveness. Addressing the risk factors at an early age has the potential to deter future criminality and antisocial behaviour in youths which is supported by research. However, there are many variables that negatively </w:t>
      </w:r>
      <w:proofErr w:type="spellStart"/>
      <w:r w:rsidRPr="008115CE">
        <w:rPr>
          <w:rFonts w:ascii="Arial" w:hAnsi="Arial" w:cs="Arial"/>
        </w:rPr>
        <w:t>effect</w:t>
      </w:r>
      <w:proofErr w:type="spellEnd"/>
      <w:r w:rsidRPr="008115CE">
        <w:rPr>
          <w:rFonts w:ascii="Arial" w:hAnsi="Arial" w:cs="Arial"/>
        </w:rPr>
        <w:t xml:space="preserve"> the effectiveness of such programs such as, appropriate support, underfunding, and the stigmatisation in relation to labelling of “at risk” youths, which in turn, must be addressed and resolved. Supplying youths with culturally diverse sensitivity, comprehensive care, and properly funded programs, will increase the chances of these interventions’ effectiveness, therefore lowering their criminality, antisocial behaviour and preventing future criminality and antisocial behaviour.</w:t>
      </w:r>
    </w:p>
    <w:p w14:paraId="2ECC7B82" w14:textId="7797BC93" w:rsidR="00E35467" w:rsidRDefault="00E35467" w:rsidP="008115CE">
      <w:pPr>
        <w:rPr>
          <w:rFonts w:ascii="Arial" w:hAnsi="Arial" w:cs="Arial"/>
        </w:rPr>
      </w:pPr>
      <w:r>
        <w:rPr>
          <w:rFonts w:ascii="Arial" w:hAnsi="Arial" w:cs="Arial"/>
        </w:rPr>
        <w:t>(907)</w:t>
      </w:r>
    </w:p>
    <w:p w14:paraId="7DC8679A" w14:textId="77777777" w:rsidR="006C0F32" w:rsidRPr="008115CE" w:rsidRDefault="006C0F32" w:rsidP="008115CE">
      <w:pPr>
        <w:rPr>
          <w:rFonts w:ascii="Arial" w:hAnsi="Arial" w:cs="Arial"/>
        </w:rPr>
      </w:pPr>
    </w:p>
    <w:p w14:paraId="2848BD26" w14:textId="77777777" w:rsidR="008115CE" w:rsidRPr="006C3C20" w:rsidRDefault="008115CE" w:rsidP="00D6018F">
      <w:pPr>
        <w:spacing w:after="0" w:line="276" w:lineRule="auto"/>
        <w:ind w:left="567"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37146591" w14:textId="77777777" w:rsidR="00FA03CE" w:rsidRDefault="00FA03CE"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ECCE6B0" w14:textId="77777777" w:rsidR="00FA03CE" w:rsidRDefault="00FA03CE" w:rsidP="00D6018F">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BC9AAAD" w14:textId="24893542"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E0127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54D80D5" w14:textId="19544E23" w:rsidR="00E0127D" w:rsidRDefault="00E0127D" w:rsidP="00D6018F">
      <w:pPr>
        <w:spacing w:after="0" w:line="276" w:lineRule="auto"/>
        <w:ind w:left="567" w:right="531"/>
        <w:rPr>
          <w:rFonts w:ascii="Arial" w:eastAsia="Times New Roman" w:hAnsi="Arial" w:cs="Arial"/>
          <w:lang w:eastAsia="en-GB"/>
        </w:rPr>
      </w:pPr>
    </w:p>
    <w:p w14:paraId="127BAAB0" w14:textId="2CB59F0E"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Diversity has been a hot topic of discussion in UK Policing especially with an ever growing ethnic nation. Due to a vast demographic shift, there is an increasing demand for police forces to adjust for the many communities which include various, racial, ethnic, gender and socioeconomic backgrounds. The police have faced criticism for being institutionally racist and for a lack of involvement with some of the minority populations. There has been a large emphasis on the recruitment process, training, and community involvement in UK policing. This essay aims to examine the successfulness of the UK’s policing efforts to be more inclusive and to better accommodate diversity, it will also examine the negative impacts and the ongoing difficulties it causes.</w:t>
      </w:r>
    </w:p>
    <w:p w14:paraId="2D4FCDB2"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Diversity in the UK has always been present, however, representing the diversity among police ranking has been an ongoing issue. Historically, police forces have been critiqued when dealing with Black, Asian, Minority and Ethnic communities (BAME). The police displayed “institutional racism” when dealing with the Stephen Lawrence murder, this caused ethnic communities to lack confidence in the police (Macpherson, 1999). This report sparked outrage with BAME people due not the exposure of the outstanding prejudices that had influenced policing methods.</w:t>
      </w:r>
    </w:p>
    <w:p w14:paraId="6993027F" w14:textId="4EA39495"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 xml:space="preserve">The rise of minority ethnic populations has influenced policing practices, the past conflicts between police and </w:t>
      </w:r>
      <w:proofErr w:type="spellStart"/>
      <w:r w:rsidRPr="00821C43">
        <w:rPr>
          <w:rFonts w:ascii="Arial" w:eastAsia="Times New Roman" w:hAnsi="Arial" w:cs="Arial"/>
          <w:lang w:eastAsia="en-GB"/>
        </w:rPr>
        <w:t>under represented</w:t>
      </w:r>
      <w:proofErr w:type="spellEnd"/>
      <w:r w:rsidRPr="00821C43">
        <w:rPr>
          <w:rFonts w:ascii="Arial" w:eastAsia="Times New Roman" w:hAnsi="Arial" w:cs="Arial"/>
          <w:lang w:eastAsia="en-GB"/>
        </w:rPr>
        <w:t xml:space="preserve"> communities has influenced the way policing has been carried out. For example past incidents such as the Stephen Lawrence murder, has severely impacted the way police forces have been presented to ethnic communities.</w:t>
      </w:r>
    </w:p>
    <w:p w14:paraId="47D3C45D"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 xml:space="preserve">Police forces have made their greatest improvements in relation to the training of their officers, and the hiring of new recruits, in an attempt to better accommodate BAME groups. Recruitment campaigns were initiated to attract women, BAME people and other </w:t>
      </w:r>
      <w:proofErr w:type="spellStart"/>
      <w:r w:rsidRPr="00821C43">
        <w:rPr>
          <w:rFonts w:ascii="Arial" w:eastAsia="Times New Roman" w:hAnsi="Arial" w:cs="Arial"/>
          <w:lang w:eastAsia="en-GB"/>
        </w:rPr>
        <w:t>under represented</w:t>
      </w:r>
      <w:proofErr w:type="spellEnd"/>
      <w:r w:rsidRPr="00821C43">
        <w:rPr>
          <w:rFonts w:ascii="Arial" w:eastAsia="Times New Roman" w:hAnsi="Arial" w:cs="Arial"/>
          <w:lang w:eastAsia="en-GB"/>
        </w:rPr>
        <w:t xml:space="preserve"> groups. The College of Policing established a target in 2017 to increase the number of ethnic groups in the police to 14% in 2025. In light of this, numerous organisations have taken positive action in relation to creating diversity workshops and outreach programs to increase the diversity of recruits.</w:t>
      </w:r>
    </w:p>
    <w:p w14:paraId="2220F1CA"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The training protocols have been altered to include topics such as, diversity, cultural sensitivity, and unconscious bias, which in turn, increases officers’ comprehension of cultural, racial and gender differences. These protocols aim to improve officers awareness and decrease discriminatory behaviour (College of Policing, 2020).</w:t>
      </w:r>
    </w:p>
    <w:p w14:paraId="64E8893A"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Although the advances in the changes are promising, there is however, ongoing issues. Prominent roles within the police force are still severely under represented, this can influence decision making and prejudices at a higher level of ranking. Despite efforts made to include diversity in training for new recruits, there is still underlying tensions within minority groups, especially in relation to use of force and stop searches.</w:t>
      </w:r>
    </w:p>
    <w:p w14:paraId="47E574C6"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Police forces have attempted to change stop search procedures in relation to positively alter interactions with minority groups. BAME communities have been disproportionately stop searched by police officers in the UK. Due to this, there have been changes made to ensure stop searches are applied more efficiently and fairly. The Police and Crime Act of 2017 was implemented to improve transparency of stop searches and raise accountability.</w:t>
      </w:r>
    </w:p>
    <w:p w14:paraId="48BDAFB0"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 xml:space="preserve">Police forces have aligned with partner agencies to increase the communication and understanding in relation to ethnic minority groups and police forces. Community meetings, public forums, and outreach programs have been created to make sure minority groups have a </w:t>
      </w:r>
      <w:r w:rsidRPr="00821C43">
        <w:rPr>
          <w:rFonts w:ascii="Arial" w:eastAsia="Times New Roman" w:hAnsi="Arial" w:cs="Arial"/>
          <w:lang w:eastAsia="en-GB"/>
        </w:rPr>
        <w:lastRenderedPageBreak/>
        <w:t>say in the policing process. These programs have shown to be effective in certain places therefore, restoring trust (Police Foundation, 2020).</w:t>
      </w:r>
    </w:p>
    <w:p w14:paraId="3009D206"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However, there is still high tensions between BAME groups and the police. Public perception of the police, especially in urban areas, are still impacted by police misconduct such as excessive use of force and unproportionate stop searches, this in turn, creates a lack of community trust (Institute of Race Relations, 2021).</w:t>
      </w:r>
    </w:p>
    <w:p w14:paraId="03CAF6EA" w14:textId="7487F051"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Even though progress has been made to adjusting variety, there are however, many errors to correct. The most pressing issues are still an unproportionate use of force against ethnic minorities due to racial profiling. Due to the murders of several black people whilst in custody has reinforced discussions on institutional racism within police forces. There are still disparities in the way police officers are viewed to handle different communities, despite change to hire more diverse officers.</w:t>
      </w:r>
    </w:p>
    <w:p w14:paraId="1C6F3478" w14:textId="1E1B4B9D"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There is still a lack of diversity in senior ranking officers. Despite the improvements in hiring of new recruits, the majority of senior ranking officers continue to be predominantly white males. It is more difficult to implement diversity with a lack of high-ranking diverse officers.</w:t>
      </w:r>
    </w:p>
    <w:p w14:paraId="713CA1AE"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 xml:space="preserve">Lastly, public confidence is still lacking. BAME communities still are more likely to report negative experiences with the police and are less likely to trust the police.  Until these issues are addressed on </w:t>
      </w:r>
      <w:proofErr w:type="spellStart"/>
      <w:r w:rsidRPr="00821C43">
        <w:rPr>
          <w:rFonts w:ascii="Arial" w:eastAsia="Times New Roman" w:hAnsi="Arial" w:cs="Arial"/>
          <w:lang w:eastAsia="en-GB"/>
        </w:rPr>
        <w:t>a</w:t>
      </w:r>
      <w:proofErr w:type="spellEnd"/>
      <w:r w:rsidRPr="00821C43">
        <w:rPr>
          <w:rFonts w:ascii="Arial" w:eastAsia="Times New Roman" w:hAnsi="Arial" w:cs="Arial"/>
          <w:lang w:eastAsia="en-GB"/>
        </w:rPr>
        <w:t xml:space="preserve"> individual and situational level, the police won’t adjust to the full diversity of the UK (IOPC, 2022).</w:t>
      </w:r>
    </w:p>
    <w:p w14:paraId="3E1371FE" w14:textId="77777777" w:rsidR="00821C43" w:rsidRPr="00821C43" w:rsidRDefault="00821C43" w:rsidP="00821C43">
      <w:pPr>
        <w:spacing w:after="0" w:line="276" w:lineRule="auto"/>
        <w:ind w:left="567" w:right="531"/>
        <w:rPr>
          <w:rFonts w:ascii="Arial" w:eastAsia="Times New Roman" w:hAnsi="Arial" w:cs="Arial"/>
          <w:lang w:eastAsia="en-GB"/>
        </w:rPr>
      </w:pPr>
      <w:r w:rsidRPr="00821C43">
        <w:rPr>
          <w:rFonts w:ascii="Arial" w:eastAsia="Times New Roman" w:hAnsi="Arial" w:cs="Arial"/>
          <w:lang w:eastAsia="en-GB"/>
        </w:rPr>
        <w:t>Police forces in the UK have made significant progress in relation to increasing diversity. Due to updated recruitment processes, diversity awareness, and community policing procedures, the relationship between police and the community has strengthened. There are limiting factors however that restrict the procedures working without fault, such as excessive use of force, racial profiling, and a lack of diversity within high-ranking roles in the police. The police force must keep up to date with addressing institutional biases, representation at all levels of rank, and uphold transparency as well as accountability when dealing with different minority communities. To ensure UK policing is made more equal, inclusive, and successful, Police forces need to enforce these issues to obtain this.</w:t>
      </w:r>
    </w:p>
    <w:p w14:paraId="14DE882D" w14:textId="77777777" w:rsidR="00821C43" w:rsidRDefault="00821C43" w:rsidP="00821C43">
      <w:pPr>
        <w:spacing w:after="0" w:line="276" w:lineRule="auto"/>
        <w:ind w:left="567" w:right="531"/>
        <w:rPr>
          <w:rFonts w:ascii="Arial" w:eastAsia="Times New Roman" w:hAnsi="Arial" w:cs="Arial"/>
          <w:lang w:eastAsia="en-GB"/>
        </w:rPr>
      </w:pPr>
    </w:p>
    <w:p w14:paraId="1B6416CB" w14:textId="2B7736A3" w:rsidR="00B3374C" w:rsidRDefault="00B3374C" w:rsidP="00821C43">
      <w:pPr>
        <w:spacing w:after="0" w:line="276" w:lineRule="auto"/>
        <w:ind w:left="567" w:right="531"/>
        <w:rPr>
          <w:rFonts w:ascii="Arial" w:eastAsia="Times New Roman" w:hAnsi="Arial" w:cs="Arial"/>
          <w:lang w:eastAsia="en-GB"/>
        </w:rPr>
      </w:pPr>
      <w:r>
        <w:rPr>
          <w:rFonts w:ascii="Arial" w:eastAsia="Times New Roman" w:hAnsi="Arial" w:cs="Arial"/>
          <w:lang w:eastAsia="en-GB"/>
        </w:rPr>
        <w:t>(918)</w:t>
      </w:r>
    </w:p>
    <w:p w14:paraId="2DB52DC2" w14:textId="77777777" w:rsidR="00EB3B81" w:rsidRDefault="00EB3B81" w:rsidP="00821C43">
      <w:pPr>
        <w:spacing w:after="0" w:line="276" w:lineRule="auto"/>
        <w:ind w:left="567" w:right="531"/>
        <w:rPr>
          <w:rFonts w:ascii="Arial" w:eastAsia="Times New Roman" w:hAnsi="Arial" w:cs="Arial"/>
          <w:lang w:eastAsia="en-GB"/>
        </w:rPr>
      </w:pPr>
    </w:p>
    <w:p w14:paraId="693CD876" w14:textId="77777777" w:rsidR="00EB3B81" w:rsidRDefault="00EB3B81" w:rsidP="00821C43">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4EBE4DBB" w14:textId="77777777" w:rsidR="003B73A2" w:rsidRDefault="003B73A2" w:rsidP="00D6018F">
      <w:pPr>
        <w:spacing w:after="0" w:line="276" w:lineRule="auto"/>
        <w:ind w:left="567" w:right="531"/>
        <w:rPr>
          <w:rFonts w:ascii="Arial" w:eastAsia="Times New Roman" w:hAnsi="Arial" w:cs="Arial"/>
          <w:lang w:eastAsia="en-GB"/>
        </w:rPr>
      </w:pPr>
    </w:p>
    <w:p w14:paraId="3FD4DF5A" w14:textId="23855FF0" w:rsidR="008E2370" w:rsidRDefault="00C05ED1"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References:</w:t>
      </w:r>
    </w:p>
    <w:p w14:paraId="6F53F55E" w14:textId="77777777" w:rsidR="00C05ED1" w:rsidRDefault="00C05ED1" w:rsidP="00D6018F">
      <w:pPr>
        <w:spacing w:after="0" w:line="276" w:lineRule="auto"/>
        <w:ind w:left="567" w:right="531"/>
        <w:rPr>
          <w:rFonts w:ascii="Arial" w:eastAsia="Times New Roman" w:hAnsi="Arial" w:cs="Arial"/>
          <w:lang w:eastAsia="en-GB"/>
        </w:rPr>
      </w:pPr>
    </w:p>
    <w:p w14:paraId="4869F9AD" w14:textId="77777777" w:rsidR="003B73A2" w:rsidRDefault="003B73A2" w:rsidP="003B73A2">
      <w:pPr>
        <w:pStyle w:val="NormalWeb"/>
        <w:rPr>
          <w:color w:val="000000"/>
        </w:rPr>
      </w:pPr>
      <w:r>
        <w:rPr>
          <w:color w:val="000000"/>
        </w:rPr>
        <w:t>Ariel, B., Farrar, W. A., &amp; Sutherland, A. (2015). The effect of police body-worn cameras on use of force and citizens' complaints against the police: A randomized controlled trial.</w:t>
      </w:r>
      <w:r>
        <w:rPr>
          <w:rStyle w:val="apple-converted-space"/>
          <w:color w:val="000000"/>
        </w:rPr>
        <w:t> </w:t>
      </w:r>
      <w:r>
        <w:rPr>
          <w:rStyle w:val="Emphasis"/>
          <w:color w:val="000000"/>
        </w:rPr>
        <w:t>Journal of Quantitative Criminology, 31</w:t>
      </w:r>
      <w:r>
        <w:rPr>
          <w:color w:val="000000"/>
        </w:rPr>
        <w:t>(3), 509-535.</w:t>
      </w:r>
    </w:p>
    <w:p w14:paraId="249C3219" w14:textId="77777777" w:rsidR="003B73A2" w:rsidRDefault="003B73A2" w:rsidP="003B73A2">
      <w:pPr>
        <w:pStyle w:val="NormalWeb"/>
        <w:rPr>
          <w:color w:val="000000"/>
        </w:rPr>
      </w:pPr>
      <w:r>
        <w:rPr>
          <w:color w:val="000000"/>
        </w:rPr>
        <w:t>Bates, M. (2020). Ethics in policing: The limits of reform.</w:t>
      </w:r>
      <w:r>
        <w:rPr>
          <w:rStyle w:val="apple-converted-space"/>
          <w:color w:val="000000"/>
        </w:rPr>
        <w:t> </w:t>
      </w:r>
      <w:r>
        <w:rPr>
          <w:rStyle w:val="Emphasis"/>
          <w:color w:val="000000"/>
        </w:rPr>
        <w:t>Police Journal, 93</w:t>
      </w:r>
      <w:r>
        <w:rPr>
          <w:color w:val="000000"/>
        </w:rPr>
        <w:t>(1), 68-82.</w:t>
      </w:r>
    </w:p>
    <w:p w14:paraId="173AB12A" w14:textId="77777777" w:rsidR="003B73A2" w:rsidRDefault="003B73A2" w:rsidP="003B73A2">
      <w:pPr>
        <w:pStyle w:val="NormalWeb"/>
        <w:rPr>
          <w:color w:val="000000"/>
        </w:rPr>
      </w:pPr>
      <w:r>
        <w:rPr>
          <w:color w:val="000000"/>
        </w:rPr>
        <w:t>Bergman, M., et al. (2012). The role of social and economic context in early intervention programs for youth.</w:t>
      </w:r>
      <w:r>
        <w:rPr>
          <w:rStyle w:val="apple-converted-space"/>
          <w:color w:val="000000"/>
        </w:rPr>
        <w:t> </w:t>
      </w:r>
      <w:r>
        <w:rPr>
          <w:rStyle w:val="Emphasis"/>
          <w:color w:val="000000"/>
        </w:rPr>
        <w:t>Journal of Youth and Adolescence, 41</w:t>
      </w:r>
      <w:r>
        <w:rPr>
          <w:color w:val="000000"/>
        </w:rPr>
        <w:t>(6), 755-764.</w:t>
      </w:r>
    </w:p>
    <w:p w14:paraId="41AB680F" w14:textId="77777777" w:rsidR="003B73A2" w:rsidRDefault="003B73A2" w:rsidP="003B73A2">
      <w:pPr>
        <w:pStyle w:val="NormalWeb"/>
        <w:rPr>
          <w:color w:val="000000"/>
        </w:rPr>
      </w:pPr>
      <w:r>
        <w:rPr>
          <w:color w:val="000000"/>
        </w:rPr>
        <w:t>Buehler, D. (2013). Gangs and Vulnerable Youth: A Sociological Perspective.</w:t>
      </w:r>
      <w:r>
        <w:rPr>
          <w:rStyle w:val="apple-converted-space"/>
          <w:color w:val="000000"/>
        </w:rPr>
        <w:t> </w:t>
      </w:r>
      <w:r>
        <w:rPr>
          <w:rStyle w:val="Emphasis"/>
          <w:color w:val="000000"/>
        </w:rPr>
        <w:t>Journal of Criminology</w:t>
      </w:r>
      <w:r>
        <w:rPr>
          <w:color w:val="000000"/>
        </w:rPr>
        <w:t>.</w:t>
      </w:r>
    </w:p>
    <w:p w14:paraId="67C3CC15" w14:textId="77777777" w:rsidR="003B73A2" w:rsidRDefault="003B73A2" w:rsidP="003B73A2">
      <w:pPr>
        <w:pStyle w:val="NormalWeb"/>
        <w:rPr>
          <w:color w:val="000000"/>
        </w:rPr>
      </w:pPr>
      <w:r>
        <w:rPr>
          <w:color w:val="000000"/>
        </w:rPr>
        <w:t>Crank, J. P., &amp; Caldero, M. A. (2017).</w:t>
      </w:r>
      <w:r>
        <w:rPr>
          <w:rStyle w:val="apple-converted-space"/>
          <w:color w:val="000000"/>
        </w:rPr>
        <w:t> </w:t>
      </w:r>
      <w:r>
        <w:rPr>
          <w:rStyle w:val="Emphasis"/>
          <w:color w:val="000000"/>
        </w:rPr>
        <w:t>Police Ethics: The Corruption of Noble Cause</w:t>
      </w:r>
      <w:r>
        <w:rPr>
          <w:color w:val="000000"/>
        </w:rPr>
        <w:t>. Routledge.</w:t>
      </w:r>
    </w:p>
    <w:p w14:paraId="5D792A27" w14:textId="77777777" w:rsidR="003B73A2" w:rsidRDefault="003B73A2" w:rsidP="003B73A2">
      <w:pPr>
        <w:pStyle w:val="NormalWeb"/>
        <w:rPr>
          <w:color w:val="000000"/>
        </w:rPr>
      </w:pPr>
      <w:r>
        <w:rPr>
          <w:color w:val="000000"/>
        </w:rPr>
        <w:t>Farrington, D. P. (2003). Developmental and life-course criminology: Key theoretical and empirical issues.</w:t>
      </w:r>
      <w:r>
        <w:rPr>
          <w:rStyle w:val="apple-converted-space"/>
          <w:color w:val="000000"/>
        </w:rPr>
        <w:t> </w:t>
      </w:r>
      <w:r>
        <w:rPr>
          <w:rStyle w:val="Emphasis"/>
          <w:color w:val="000000"/>
        </w:rPr>
        <w:t>Advances in Criminological Theory, 13</w:t>
      </w:r>
      <w:r>
        <w:rPr>
          <w:color w:val="000000"/>
        </w:rPr>
        <w:t>, 99-130.</w:t>
      </w:r>
    </w:p>
    <w:p w14:paraId="0C5302EC" w14:textId="77777777" w:rsidR="003B73A2" w:rsidRDefault="003B73A2" w:rsidP="003B73A2">
      <w:pPr>
        <w:pStyle w:val="NormalWeb"/>
        <w:rPr>
          <w:color w:val="000000"/>
        </w:rPr>
      </w:pPr>
      <w:r>
        <w:rPr>
          <w:color w:val="000000"/>
        </w:rPr>
        <w:lastRenderedPageBreak/>
        <w:t>Farrington, D. P., &amp; Welsh, B. C. (2007). Improving the effectiveness of youth crime prevention.</w:t>
      </w:r>
      <w:r>
        <w:rPr>
          <w:rStyle w:val="apple-converted-space"/>
          <w:color w:val="000000"/>
        </w:rPr>
        <w:t> </w:t>
      </w:r>
      <w:r>
        <w:rPr>
          <w:rStyle w:val="Emphasis"/>
          <w:color w:val="000000"/>
        </w:rPr>
        <w:t>European Journal of Criminology, 4</w:t>
      </w:r>
      <w:r>
        <w:rPr>
          <w:color w:val="000000"/>
        </w:rPr>
        <w:t>(1), 79-100.</w:t>
      </w:r>
    </w:p>
    <w:p w14:paraId="67A3C8A9" w14:textId="77777777" w:rsidR="003B73A2" w:rsidRDefault="003B73A2" w:rsidP="003B73A2">
      <w:pPr>
        <w:pStyle w:val="NormalWeb"/>
        <w:rPr>
          <w:color w:val="000000"/>
        </w:rPr>
      </w:pPr>
      <w:r>
        <w:rPr>
          <w:color w:val="000000"/>
        </w:rPr>
        <w:t>Glover, G. (2015).</w:t>
      </w:r>
      <w:r>
        <w:rPr>
          <w:rStyle w:val="apple-converted-space"/>
          <w:color w:val="000000"/>
        </w:rPr>
        <w:t> </w:t>
      </w:r>
      <w:r>
        <w:rPr>
          <w:rStyle w:val="Emphasis"/>
          <w:color w:val="000000"/>
        </w:rPr>
        <w:t>The Police and Criminal Evidence Act 1984: Law, Practice and Procedure</w:t>
      </w:r>
      <w:r>
        <w:rPr>
          <w:color w:val="000000"/>
        </w:rPr>
        <w:t>. Oxford University Press.</w:t>
      </w:r>
    </w:p>
    <w:p w14:paraId="1155ECB0" w14:textId="77777777" w:rsidR="003B73A2" w:rsidRDefault="003B73A2" w:rsidP="003B73A2">
      <w:pPr>
        <w:pStyle w:val="NormalWeb"/>
        <w:rPr>
          <w:color w:val="000000"/>
        </w:rPr>
      </w:pPr>
      <w:r>
        <w:rPr>
          <w:color w:val="000000"/>
        </w:rPr>
        <w:t>Goodall, N. (2017). Body-worn cameras and police accountability: A critical review.</w:t>
      </w:r>
      <w:r>
        <w:rPr>
          <w:rStyle w:val="apple-converted-space"/>
          <w:color w:val="000000"/>
        </w:rPr>
        <w:t> </w:t>
      </w:r>
      <w:r>
        <w:rPr>
          <w:rStyle w:val="Emphasis"/>
          <w:color w:val="000000"/>
        </w:rPr>
        <w:t>Policing: A Journal of Policy and Practice, 11</w:t>
      </w:r>
      <w:r>
        <w:rPr>
          <w:color w:val="000000"/>
        </w:rPr>
        <w:t>(1), 17-30.</w:t>
      </w:r>
    </w:p>
    <w:p w14:paraId="2865E7FE" w14:textId="77777777" w:rsidR="003B73A2" w:rsidRDefault="003B73A2" w:rsidP="003B73A2">
      <w:pPr>
        <w:pStyle w:val="NormalWeb"/>
        <w:rPr>
          <w:color w:val="000000"/>
        </w:rPr>
      </w:pPr>
      <w:r>
        <w:rPr>
          <w:color w:val="000000"/>
        </w:rPr>
        <w:t xml:space="preserve">Hagedorn, J. M. (2008). Gangs, </w:t>
      </w:r>
      <w:proofErr w:type="spellStart"/>
      <w:r>
        <w:rPr>
          <w:color w:val="000000"/>
        </w:rPr>
        <w:t>Neighborhoods</w:t>
      </w:r>
      <w:proofErr w:type="spellEnd"/>
      <w:r>
        <w:rPr>
          <w:color w:val="000000"/>
        </w:rPr>
        <w:t>, and Social Networks: Understanding the Interaction Between Gang Violence and Social Environment.</w:t>
      </w:r>
      <w:r>
        <w:rPr>
          <w:rStyle w:val="apple-converted-space"/>
          <w:color w:val="000000"/>
        </w:rPr>
        <w:t> </w:t>
      </w:r>
      <w:r>
        <w:rPr>
          <w:rStyle w:val="Emphasis"/>
          <w:color w:val="000000"/>
        </w:rPr>
        <w:t>Sociology of Crime</w:t>
      </w:r>
      <w:r>
        <w:rPr>
          <w:color w:val="000000"/>
        </w:rPr>
        <w:t>.</w:t>
      </w:r>
    </w:p>
    <w:p w14:paraId="6881BCC2" w14:textId="77777777" w:rsidR="003B73A2" w:rsidRDefault="003B73A2" w:rsidP="003B73A2">
      <w:pPr>
        <w:pStyle w:val="NormalWeb"/>
        <w:rPr>
          <w:color w:val="000000"/>
        </w:rPr>
      </w:pPr>
      <w:r>
        <w:rPr>
          <w:color w:val="000000"/>
        </w:rPr>
        <w:t>Hargreaves, M. (2017). Investigating the impact of PACE on police malpractice.</w:t>
      </w:r>
      <w:r>
        <w:rPr>
          <w:rStyle w:val="apple-converted-space"/>
          <w:color w:val="000000"/>
        </w:rPr>
        <w:t> </w:t>
      </w:r>
      <w:r>
        <w:rPr>
          <w:rStyle w:val="Emphasis"/>
          <w:color w:val="000000"/>
        </w:rPr>
        <w:t>Policing and Society, 27</w:t>
      </w:r>
      <w:r>
        <w:rPr>
          <w:color w:val="000000"/>
        </w:rPr>
        <w:t>(1), 55-72.</w:t>
      </w:r>
    </w:p>
    <w:p w14:paraId="5433553D" w14:textId="77777777" w:rsidR="003B73A2" w:rsidRDefault="003B73A2" w:rsidP="003B73A2">
      <w:pPr>
        <w:pStyle w:val="NormalWeb"/>
        <w:rPr>
          <w:color w:val="000000"/>
        </w:rPr>
      </w:pPr>
      <w:r>
        <w:rPr>
          <w:color w:val="000000"/>
        </w:rPr>
        <w:t>Howell, J. C. (2010). Prevention of youth violence: A review of the literature.</w:t>
      </w:r>
      <w:r>
        <w:rPr>
          <w:rStyle w:val="apple-converted-space"/>
          <w:color w:val="000000"/>
        </w:rPr>
        <w:t> </w:t>
      </w:r>
      <w:r>
        <w:rPr>
          <w:rStyle w:val="Emphasis"/>
          <w:color w:val="000000"/>
        </w:rPr>
        <w:t>Office of Juvenile Justice and Delinquency Prevention</w:t>
      </w:r>
      <w:r>
        <w:rPr>
          <w:color w:val="000000"/>
        </w:rPr>
        <w:t>.</w:t>
      </w:r>
    </w:p>
    <w:p w14:paraId="5059DB2D" w14:textId="77777777" w:rsidR="003B73A2" w:rsidRDefault="003B73A2" w:rsidP="003B73A2">
      <w:pPr>
        <w:pStyle w:val="NormalWeb"/>
        <w:rPr>
          <w:color w:val="000000"/>
        </w:rPr>
      </w:pPr>
      <w:r>
        <w:rPr>
          <w:color w:val="000000"/>
        </w:rPr>
        <w:t>Ives, M., &amp; Beech, A. (2020). The National Decision Model: Improving police decision-making and accountability.</w:t>
      </w:r>
      <w:r>
        <w:rPr>
          <w:rStyle w:val="apple-converted-space"/>
          <w:color w:val="000000"/>
        </w:rPr>
        <w:t> </w:t>
      </w:r>
      <w:r>
        <w:rPr>
          <w:rStyle w:val="Emphasis"/>
          <w:color w:val="000000"/>
        </w:rPr>
        <w:t>Policing: An International Journal, 43</w:t>
      </w:r>
      <w:r>
        <w:rPr>
          <w:color w:val="000000"/>
        </w:rPr>
        <w:t>(2), 204-216.</w:t>
      </w:r>
    </w:p>
    <w:p w14:paraId="223A3B45" w14:textId="77777777" w:rsidR="003B73A2" w:rsidRDefault="003B73A2" w:rsidP="003B73A2">
      <w:pPr>
        <w:pStyle w:val="NormalWeb"/>
        <w:rPr>
          <w:color w:val="000000"/>
        </w:rPr>
      </w:pPr>
      <w:r>
        <w:rPr>
          <w:color w:val="000000"/>
        </w:rPr>
        <w:t>Institute of Race Relations. (2021). Policing in the UK: Race and Justice. London:</w:t>
      </w:r>
    </w:p>
    <w:p w14:paraId="2F008B74" w14:textId="77777777" w:rsidR="003B73A2" w:rsidRDefault="003B73A2" w:rsidP="003B73A2">
      <w:pPr>
        <w:pStyle w:val="NormalWeb"/>
        <w:rPr>
          <w:color w:val="000000"/>
        </w:rPr>
      </w:pPr>
      <w:r>
        <w:rPr>
          <w:color w:val="000000"/>
        </w:rPr>
        <w:t>Independent Office for Police Conduct. (2022). Annual Report: Police Accountability and Public Trust. Retrieved from</w:t>
      </w:r>
      <w:r>
        <w:rPr>
          <w:rStyle w:val="apple-converted-space"/>
          <w:color w:val="000000"/>
        </w:rPr>
        <w:t> </w:t>
      </w:r>
      <w:r>
        <w:rPr>
          <w:color w:val="000000"/>
        </w:rPr>
        <w:t>www.iopc.gov.uk</w:t>
      </w:r>
    </w:p>
    <w:p w14:paraId="42F29C42" w14:textId="77777777" w:rsidR="003B73A2" w:rsidRDefault="003B73A2" w:rsidP="003B73A2">
      <w:pPr>
        <w:pStyle w:val="NormalWeb"/>
        <w:rPr>
          <w:color w:val="000000"/>
        </w:rPr>
      </w:pPr>
      <w:r>
        <w:rPr>
          <w:color w:val="000000"/>
        </w:rPr>
        <w:t>Klein, M. W. (2012). Psychological Vulnerabilities and Gang Involvement.</w:t>
      </w:r>
      <w:r>
        <w:rPr>
          <w:rStyle w:val="apple-converted-space"/>
          <w:color w:val="000000"/>
        </w:rPr>
        <w:t> </w:t>
      </w:r>
      <w:r>
        <w:rPr>
          <w:rStyle w:val="Emphasis"/>
          <w:color w:val="000000"/>
        </w:rPr>
        <w:t>American Journal of Psychology</w:t>
      </w:r>
      <w:r>
        <w:rPr>
          <w:color w:val="000000"/>
        </w:rPr>
        <w:t>.</w:t>
      </w:r>
    </w:p>
    <w:p w14:paraId="706175E0" w14:textId="77777777" w:rsidR="003B73A2" w:rsidRDefault="003B73A2" w:rsidP="003B73A2">
      <w:pPr>
        <w:pStyle w:val="NormalWeb"/>
        <w:rPr>
          <w:color w:val="000000"/>
        </w:rPr>
      </w:pPr>
      <w:r>
        <w:rPr>
          <w:color w:val="000000"/>
        </w:rPr>
        <w:t>Lipsey, M. W. (2009). The primary factors that characterize effective interventions with juvenile offenders: A meta-analytic overview.</w:t>
      </w:r>
      <w:r>
        <w:rPr>
          <w:rStyle w:val="apple-converted-space"/>
          <w:color w:val="000000"/>
        </w:rPr>
        <w:t> </w:t>
      </w:r>
      <w:r>
        <w:rPr>
          <w:rStyle w:val="Emphasis"/>
          <w:color w:val="000000"/>
        </w:rPr>
        <w:t>Victims &amp; Offenders, 4</w:t>
      </w:r>
      <w:r>
        <w:rPr>
          <w:color w:val="000000"/>
        </w:rPr>
        <w:t>(2), 124-147.</w:t>
      </w:r>
    </w:p>
    <w:p w14:paraId="65F413C6" w14:textId="77777777" w:rsidR="003B73A2" w:rsidRDefault="003B73A2" w:rsidP="003B73A2">
      <w:pPr>
        <w:pStyle w:val="NormalWeb"/>
        <w:rPr>
          <w:color w:val="000000"/>
        </w:rPr>
      </w:pPr>
      <w:r>
        <w:rPr>
          <w:color w:val="000000"/>
        </w:rPr>
        <w:t>Macpherson, W. (1999).</w:t>
      </w:r>
      <w:r>
        <w:rPr>
          <w:rStyle w:val="apple-converted-space"/>
          <w:color w:val="000000"/>
        </w:rPr>
        <w:t> </w:t>
      </w:r>
      <w:r>
        <w:rPr>
          <w:rStyle w:val="Emphasis"/>
          <w:color w:val="000000"/>
        </w:rPr>
        <w:t>The Stephen Lawrence Inquiry</w:t>
      </w:r>
      <w:r>
        <w:rPr>
          <w:color w:val="000000"/>
        </w:rPr>
        <w:t>. London: HMSO.</w:t>
      </w:r>
    </w:p>
    <w:p w14:paraId="5FA78771" w14:textId="77777777" w:rsidR="003B73A2" w:rsidRDefault="003B73A2" w:rsidP="003B73A2">
      <w:pPr>
        <w:pStyle w:val="NormalWeb"/>
        <w:rPr>
          <w:color w:val="000000"/>
        </w:rPr>
      </w:pPr>
      <w:r>
        <w:rPr>
          <w:color w:val="000000"/>
        </w:rPr>
        <w:t>Maguire, M. (2018). Policing and accountability: The challenges of the National Decision Model.</w:t>
      </w:r>
      <w:r>
        <w:rPr>
          <w:rStyle w:val="apple-converted-space"/>
          <w:color w:val="000000"/>
        </w:rPr>
        <w:t> </w:t>
      </w:r>
      <w:r>
        <w:rPr>
          <w:rStyle w:val="Emphasis"/>
          <w:color w:val="000000"/>
        </w:rPr>
        <w:t>The British Journal of Criminology, 58</w:t>
      </w:r>
      <w:r>
        <w:rPr>
          <w:color w:val="000000"/>
        </w:rPr>
        <w:t>(3), 520-536.</w:t>
      </w:r>
    </w:p>
    <w:p w14:paraId="3903E533" w14:textId="77777777" w:rsidR="003B73A2" w:rsidRDefault="003B73A2" w:rsidP="003B73A2">
      <w:pPr>
        <w:pStyle w:val="NormalWeb"/>
        <w:rPr>
          <w:color w:val="000000"/>
        </w:rPr>
      </w:pPr>
      <w:r>
        <w:rPr>
          <w:color w:val="000000"/>
        </w:rPr>
        <w:t>McCart, M. R., et al. (2006). Childhood conduct problems and adolescent violence: A review of the literature.</w:t>
      </w:r>
      <w:r>
        <w:rPr>
          <w:rStyle w:val="apple-converted-space"/>
          <w:color w:val="000000"/>
        </w:rPr>
        <w:t> </w:t>
      </w:r>
      <w:r>
        <w:rPr>
          <w:rStyle w:val="Emphasis"/>
          <w:color w:val="000000"/>
        </w:rPr>
        <w:t>Youth Violence and Juvenile Justice, 4</w:t>
      </w:r>
      <w:r>
        <w:rPr>
          <w:color w:val="000000"/>
        </w:rPr>
        <w:t>(3), 147-164.</w:t>
      </w:r>
    </w:p>
    <w:p w14:paraId="657CA5A0" w14:textId="77777777" w:rsidR="003B73A2" w:rsidRDefault="003B73A2" w:rsidP="003B73A2">
      <w:pPr>
        <w:pStyle w:val="NormalWeb"/>
        <w:rPr>
          <w:color w:val="000000"/>
        </w:rPr>
      </w:pPr>
      <w:r>
        <w:rPr>
          <w:color w:val="000000"/>
        </w:rPr>
        <w:t>McConville, M. (2019). Policing and Misconduct: The Limits of Legal Regulation.</w:t>
      </w:r>
      <w:r>
        <w:rPr>
          <w:rStyle w:val="apple-converted-space"/>
          <w:color w:val="000000"/>
        </w:rPr>
        <w:t> </w:t>
      </w:r>
      <w:r>
        <w:rPr>
          <w:rStyle w:val="Emphasis"/>
          <w:color w:val="000000"/>
        </w:rPr>
        <w:t>The British Journal of Criminology, 59</w:t>
      </w:r>
      <w:r>
        <w:rPr>
          <w:color w:val="000000"/>
        </w:rPr>
        <w:t>(2), 302-319.</w:t>
      </w:r>
    </w:p>
    <w:p w14:paraId="79EACBA1" w14:textId="77777777" w:rsidR="003B73A2" w:rsidRDefault="003B73A2" w:rsidP="003B73A2">
      <w:pPr>
        <w:pStyle w:val="NormalWeb"/>
        <w:rPr>
          <w:color w:val="000000"/>
        </w:rPr>
      </w:pPr>
      <w:r>
        <w:rPr>
          <w:color w:val="000000"/>
        </w:rPr>
        <w:t>Reiner, R. (2010).</w:t>
      </w:r>
      <w:r>
        <w:rPr>
          <w:rStyle w:val="apple-converted-space"/>
          <w:color w:val="000000"/>
        </w:rPr>
        <w:t> </w:t>
      </w:r>
      <w:r>
        <w:rPr>
          <w:rStyle w:val="Emphasis"/>
          <w:color w:val="000000"/>
        </w:rPr>
        <w:t>The Politics of the Police</w:t>
      </w:r>
      <w:r>
        <w:rPr>
          <w:color w:val="000000"/>
        </w:rPr>
        <w:t>. Oxford University Press.</w:t>
      </w:r>
    </w:p>
    <w:p w14:paraId="3F92DDE5" w14:textId="77777777" w:rsidR="003B73A2" w:rsidRDefault="003B73A2" w:rsidP="003B73A2">
      <w:pPr>
        <w:pStyle w:val="NormalWeb"/>
        <w:rPr>
          <w:color w:val="000000"/>
        </w:rPr>
      </w:pPr>
      <w:r>
        <w:rPr>
          <w:color w:val="000000"/>
        </w:rPr>
        <w:t>Rosenbaum, D. P. (2009). Labelling theory and juvenile delinquency: Implications for prevention.</w:t>
      </w:r>
      <w:r>
        <w:rPr>
          <w:rStyle w:val="apple-converted-space"/>
          <w:color w:val="000000"/>
        </w:rPr>
        <w:t> </w:t>
      </w:r>
      <w:r>
        <w:rPr>
          <w:rStyle w:val="Emphasis"/>
          <w:color w:val="000000"/>
        </w:rPr>
        <w:t>Journal of Research in Crime and Delinquency, 46</w:t>
      </w:r>
      <w:r>
        <w:rPr>
          <w:color w:val="000000"/>
        </w:rPr>
        <w:t>(1), 17-41.</w:t>
      </w:r>
    </w:p>
    <w:p w14:paraId="00575E28" w14:textId="77777777" w:rsidR="003B73A2" w:rsidRDefault="003B73A2" w:rsidP="003B73A2">
      <w:pPr>
        <w:pStyle w:val="NormalWeb"/>
        <w:rPr>
          <w:color w:val="000000"/>
        </w:rPr>
      </w:pPr>
      <w:r>
        <w:rPr>
          <w:color w:val="000000"/>
        </w:rPr>
        <w:t>Sanders, B. (2015). Media Representation and Gang Culture: An Analysis of Influence on Vulnerable Youth.</w:t>
      </w:r>
      <w:r>
        <w:rPr>
          <w:rStyle w:val="apple-converted-space"/>
          <w:color w:val="000000"/>
        </w:rPr>
        <w:t> </w:t>
      </w:r>
      <w:r>
        <w:rPr>
          <w:rStyle w:val="Emphasis"/>
          <w:color w:val="000000"/>
        </w:rPr>
        <w:t>Journal of Media Studies</w:t>
      </w:r>
      <w:r>
        <w:rPr>
          <w:color w:val="000000"/>
        </w:rPr>
        <w:t>.</w:t>
      </w:r>
    </w:p>
    <w:p w14:paraId="32C3CE58" w14:textId="77777777" w:rsidR="003B73A2" w:rsidRDefault="003B73A2" w:rsidP="003B73A2">
      <w:pPr>
        <w:pStyle w:val="NormalWeb"/>
        <w:rPr>
          <w:color w:val="000000"/>
        </w:rPr>
      </w:pPr>
      <w:r>
        <w:rPr>
          <w:color w:val="000000"/>
        </w:rPr>
        <w:t>Smith, D. (2016). Bias in policing: The National Decision Model and its limitations.</w:t>
      </w:r>
      <w:r>
        <w:rPr>
          <w:rStyle w:val="apple-converted-space"/>
          <w:color w:val="000000"/>
        </w:rPr>
        <w:t> </w:t>
      </w:r>
      <w:r>
        <w:rPr>
          <w:rStyle w:val="Emphasis"/>
          <w:color w:val="000000"/>
        </w:rPr>
        <w:t>Policing and Society, 26</w:t>
      </w:r>
      <w:r>
        <w:rPr>
          <w:color w:val="000000"/>
        </w:rPr>
        <w:t>(2), 120-136.</w:t>
      </w:r>
    </w:p>
    <w:p w14:paraId="1CCFC716" w14:textId="77777777" w:rsidR="003B73A2" w:rsidRDefault="003B73A2" w:rsidP="003B73A2">
      <w:pPr>
        <w:pStyle w:val="NormalWeb"/>
        <w:rPr>
          <w:color w:val="000000"/>
        </w:rPr>
      </w:pPr>
      <w:r>
        <w:rPr>
          <w:color w:val="000000"/>
        </w:rPr>
        <w:lastRenderedPageBreak/>
        <w:t>Sommers, M., &amp; Norton, M. (2021). Limitations of body-worn cameras in police accountability.</w:t>
      </w:r>
      <w:r>
        <w:rPr>
          <w:rStyle w:val="apple-converted-space"/>
          <w:color w:val="000000"/>
        </w:rPr>
        <w:t> </w:t>
      </w:r>
      <w:r>
        <w:rPr>
          <w:rStyle w:val="Emphasis"/>
          <w:color w:val="000000"/>
        </w:rPr>
        <w:t>Journal of Crime and Justice, 44</w:t>
      </w:r>
      <w:r>
        <w:rPr>
          <w:color w:val="000000"/>
        </w:rPr>
        <w:t>(4), 406-423.</w:t>
      </w:r>
    </w:p>
    <w:p w14:paraId="6A1552EF" w14:textId="77777777" w:rsidR="003B73A2" w:rsidRDefault="003B73A2" w:rsidP="003B73A2">
      <w:pPr>
        <w:pStyle w:val="NormalWeb"/>
        <w:rPr>
          <w:color w:val="000000"/>
        </w:rPr>
      </w:pPr>
      <w:r>
        <w:rPr>
          <w:color w:val="000000"/>
        </w:rPr>
        <w:t>Taylor, D., Dixon, J., &amp; Walker, J. (2017). Police professionalism and public trust: The Code of Ethics in practice.</w:t>
      </w:r>
      <w:r>
        <w:rPr>
          <w:rStyle w:val="apple-converted-space"/>
          <w:color w:val="000000"/>
        </w:rPr>
        <w:t> </w:t>
      </w:r>
      <w:r>
        <w:rPr>
          <w:rStyle w:val="Emphasis"/>
          <w:color w:val="000000"/>
        </w:rPr>
        <w:t>The Police Journal, 90</w:t>
      </w:r>
      <w:r>
        <w:rPr>
          <w:color w:val="000000"/>
        </w:rPr>
        <w:t>(4), 350-366.</w:t>
      </w:r>
    </w:p>
    <w:p w14:paraId="4F1B80A7" w14:textId="77777777" w:rsidR="003B73A2" w:rsidRDefault="003B73A2" w:rsidP="003B73A2">
      <w:pPr>
        <w:pStyle w:val="NormalWeb"/>
        <w:rPr>
          <w:color w:val="000000"/>
        </w:rPr>
      </w:pPr>
      <w:r>
        <w:rPr>
          <w:color w:val="000000"/>
        </w:rPr>
        <w:t>The Police Foundation. (2020).</w:t>
      </w:r>
      <w:r>
        <w:rPr>
          <w:rStyle w:val="apple-converted-space"/>
          <w:color w:val="000000"/>
        </w:rPr>
        <w:t> </w:t>
      </w:r>
      <w:r>
        <w:rPr>
          <w:rStyle w:val="Emphasis"/>
          <w:color w:val="000000"/>
        </w:rPr>
        <w:t>Community Policing: Research and Findings</w:t>
      </w:r>
      <w:r>
        <w:rPr>
          <w:color w:val="000000"/>
        </w:rPr>
        <w:t>. London: Police Foundation.</w:t>
      </w:r>
    </w:p>
    <w:p w14:paraId="6D235ABC" w14:textId="77777777" w:rsidR="003B73A2" w:rsidRDefault="003B73A2" w:rsidP="003B73A2">
      <w:pPr>
        <w:pStyle w:val="NormalWeb"/>
        <w:rPr>
          <w:color w:val="000000"/>
        </w:rPr>
      </w:pPr>
      <w:r>
        <w:rPr>
          <w:color w:val="000000"/>
        </w:rPr>
        <w:t xml:space="preserve">Tremblay, R. E., et al. (1994). The Montreal Longitudinal-Experimental Study: Effects of early intervention on antisocial </w:t>
      </w:r>
      <w:proofErr w:type="spellStart"/>
      <w:r>
        <w:rPr>
          <w:color w:val="000000"/>
        </w:rPr>
        <w:t>behavior</w:t>
      </w:r>
      <w:proofErr w:type="spellEnd"/>
      <w:r>
        <w:rPr>
          <w:color w:val="000000"/>
        </w:rPr>
        <w:t>.</w:t>
      </w:r>
      <w:r>
        <w:rPr>
          <w:rStyle w:val="apple-converted-space"/>
          <w:color w:val="000000"/>
        </w:rPr>
        <w:t> </w:t>
      </w:r>
      <w:r>
        <w:rPr>
          <w:rStyle w:val="Emphasis"/>
          <w:color w:val="000000"/>
        </w:rPr>
        <w:t>Journal of Abnormal Child Psychology, 22</w:t>
      </w:r>
      <w:r>
        <w:rPr>
          <w:color w:val="000000"/>
        </w:rPr>
        <w:t>(1), 77-89.</w:t>
      </w:r>
    </w:p>
    <w:p w14:paraId="0F945412" w14:textId="77777777" w:rsidR="003B73A2" w:rsidRDefault="003B73A2" w:rsidP="00D6018F">
      <w:pPr>
        <w:spacing w:after="0" w:line="276" w:lineRule="auto"/>
        <w:ind w:left="567" w:right="531"/>
        <w:rPr>
          <w:rFonts w:ascii="Arial" w:eastAsia="Times New Roman" w:hAnsi="Arial" w:cs="Arial"/>
          <w:lang w:eastAsia="en-GB"/>
        </w:rPr>
      </w:pPr>
    </w:p>
    <w:p w14:paraId="296C0495" w14:textId="77777777" w:rsidR="00C05ED1" w:rsidRPr="00FB6C83" w:rsidRDefault="00C05ED1"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13"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w:t>
      </w:r>
      <w:r w:rsidRPr="00BA1BB9">
        <w:rPr>
          <w:rFonts w:ascii="Arial" w:eastAsia="Times New Roman" w:hAnsi="Arial" w:cs="Arial"/>
          <w:iCs/>
          <w:sz w:val="24"/>
          <w:szCs w:val="24"/>
          <w:lang w:eastAsia="en-GB"/>
        </w:rPr>
        <w:lastRenderedPageBreak/>
        <w:t xml:space="preserve">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sidR="005E67BB">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w:t>
      </w:r>
      <w:r w:rsidRPr="00876921">
        <w:rPr>
          <w:rFonts w:ascii="Arial" w:eastAsia="Times New Roman" w:hAnsi="Arial" w:cs="Arial"/>
          <w:sz w:val="24"/>
          <w:szCs w:val="24"/>
          <w:lang w:eastAsia="en-GB"/>
        </w:rPr>
        <w:lastRenderedPageBreak/>
        <w:t>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4"/>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53109" w14:textId="77777777" w:rsidR="00A61FBE" w:rsidRDefault="00A61FBE">
      <w:pPr>
        <w:spacing w:after="0" w:line="240" w:lineRule="auto"/>
      </w:pPr>
      <w:r>
        <w:separator/>
      </w:r>
    </w:p>
  </w:endnote>
  <w:endnote w:type="continuationSeparator" w:id="0">
    <w:p w14:paraId="17FBE8E4" w14:textId="77777777" w:rsidR="00A61FBE" w:rsidRDefault="00A61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A89AD" w14:textId="77777777" w:rsidR="00A61FBE" w:rsidRDefault="00A61FBE">
      <w:pPr>
        <w:spacing w:after="0" w:line="240" w:lineRule="auto"/>
      </w:pPr>
      <w:r>
        <w:separator/>
      </w:r>
    </w:p>
  </w:footnote>
  <w:footnote w:type="continuationSeparator" w:id="0">
    <w:p w14:paraId="67F97CF4" w14:textId="77777777" w:rsidR="00A61FBE" w:rsidRDefault="00A61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347BC"/>
    <w:rsid w:val="0003686B"/>
    <w:rsid w:val="00043F77"/>
    <w:rsid w:val="00044F18"/>
    <w:rsid w:val="000450EA"/>
    <w:rsid w:val="00052FB3"/>
    <w:rsid w:val="0005474D"/>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D2A75"/>
    <w:rsid w:val="000D4C22"/>
    <w:rsid w:val="000D4EB1"/>
    <w:rsid w:val="000D683C"/>
    <w:rsid w:val="000E05B2"/>
    <w:rsid w:val="000E4329"/>
    <w:rsid w:val="000F2637"/>
    <w:rsid w:val="000F340C"/>
    <w:rsid w:val="00106743"/>
    <w:rsid w:val="00113CF1"/>
    <w:rsid w:val="0012297C"/>
    <w:rsid w:val="00124FD9"/>
    <w:rsid w:val="00131A79"/>
    <w:rsid w:val="00131DF4"/>
    <w:rsid w:val="0014198A"/>
    <w:rsid w:val="00155755"/>
    <w:rsid w:val="00157265"/>
    <w:rsid w:val="00165C65"/>
    <w:rsid w:val="00166D33"/>
    <w:rsid w:val="00170B40"/>
    <w:rsid w:val="00173498"/>
    <w:rsid w:val="001744D4"/>
    <w:rsid w:val="00175741"/>
    <w:rsid w:val="00180632"/>
    <w:rsid w:val="0018691D"/>
    <w:rsid w:val="00187EDA"/>
    <w:rsid w:val="0019429D"/>
    <w:rsid w:val="00195988"/>
    <w:rsid w:val="001A0F97"/>
    <w:rsid w:val="001A657A"/>
    <w:rsid w:val="001A7600"/>
    <w:rsid w:val="001B3E18"/>
    <w:rsid w:val="001C6FE0"/>
    <w:rsid w:val="001D3A22"/>
    <w:rsid w:val="001D4030"/>
    <w:rsid w:val="001D4C4D"/>
    <w:rsid w:val="001E376F"/>
    <w:rsid w:val="001E5985"/>
    <w:rsid w:val="001E6BC2"/>
    <w:rsid w:val="001E7486"/>
    <w:rsid w:val="001F2D48"/>
    <w:rsid w:val="002025D1"/>
    <w:rsid w:val="00205403"/>
    <w:rsid w:val="00215E82"/>
    <w:rsid w:val="002161A0"/>
    <w:rsid w:val="00217DF6"/>
    <w:rsid w:val="002201B8"/>
    <w:rsid w:val="00230427"/>
    <w:rsid w:val="00230DC1"/>
    <w:rsid w:val="00233AAC"/>
    <w:rsid w:val="0024320E"/>
    <w:rsid w:val="0025079F"/>
    <w:rsid w:val="00260D63"/>
    <w:rsid w:val="0026750E"/>
    <w:rsid w:val="00271D48"/>
    <w:rsid w:val="00277A15"/>
    <w:rsid w:val="00277EBF"/>
    <w:rsid w:val="00285E3B"/>
    <w:rsid w:val="00286627"/>
    <w:rsid w:val="00286C33"/>
    <w:rsid w:val="00293127"/>
    <w:rsid w:val="00294134"/>
    <w:rsid w:val="002A5B13"/>
    <w:rsid w:val="002C3599"/>
    <w:rsid w:val="002C3B45"/>
    <w:rsid w:val="002C458D"/>
    <w:rsid w:val="002D1B67"/>
    <w:rsid w:val="002D1EED"/>
    <w:rsid w:val="002D21D1"/>
    <w:rsid w:val="002D27E5"/>
    <w:rsid w:val="002E32AB"/>
    <w:rsid w:val="002F3C23"/>
    <w:rsid w:val="002F4CB6"/>
    <w:rsid w:val="00307CD5"/>
    <w:rsid w:val="00310CD5"/>
    <w:rsid w:val="0031454A"/>
    <w:rsid w:val="003165D9"/>
    <w:rsid w:val="00324328"/>
    <w:rsid w:val="003257EE"/>
    <w:rsid w:val="003329FA"/>
    <w:rsid w:val="00340125"/>
    <w:rsid w:val="00341800"/>
    <w:rsid w:val="003431A3"/>
    <w:rsid w:val="00345BD7"/>
    <w:rsid w:val="00351DD5"/>
    <w:rsid w:val="003535B5"/>
    <w:rsid w:val="00356A33"/>
    <w:rsid w:val="0037241F"/>
    <w:rsid w:val="003843B1"/>
    <w:rsid w:val="003947A0"/>
    <w:rsid w:val="00394A6C"/>
    <w:rsid w:val="003A6E39"/>
    <w:rsid w:val="003B1315"/>
    <w:rsid w:val="003B2BF9"/>
    <w:rsid w:val="003B73A2"/>
    <w:rsid w:val="003C0D03"/>
    <w:rsid w:val="003D496B"/>
    <w:rsid w:val="003E27F7"/>
    <w:rsid w:val="003E6294"/>
    <w:rsid w:val="003F6763"/>
    <w:rsid w:val="003F7838"/>
    <w:rsid w:val="0040016C"/>
    <w:rsid w:val="004038DE"/>
    <w:rsid w:val="0042677B"/>
    <w:rsid w:val="00430891"/>
    <w:rsid w:val="00431D7D"/>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78BB"/>
    <w:rsid w:val="004E2BD1"/>
    <w:rsid w:val="004E34E7"/>
    <w:rsid w:val="004F622D"/>
    <w:rsid w:val="00503777"/>
    <w:rsid w:val="00510191"/>
    <w:rsid w:val="0052726B"/>
    <w:rsid w:val="00531A1F"/>
    <w:rsid w:val="00533DEC"/>
    <w:rsid w:val="00536896"/>
    <w:rsid w:val="00537EDE"/>
    <w:rsid w:val="00541E81"/>
    <w:rsid w:val="00554EB8"/>
    <w:rsid w:val="00570D7E"/>
    <w:rsid w:val="00571BA1"/>
    <w:rsid w:val="00580883"/>
    <w:rsid w:val="005855F4"/>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856E9"/>
    <w:rsid w:val="00694402"/>
    <w:rsid w:val="006A21D4"/>
    <w:rsid w:val="006A60A5"/>
    <w:rsid w:val="006C0F32"/>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E684B"/>
    <w:rsid w:val="007F099C"/>
    <w:rsid w:val="00800E85"/>
    <w:rsid w:val="008035CF"/>
    <w:rsid w:val="008066F6"/>
    <w:rsid w:val="00810ADD"/>
    <w:rsid w:val="008115CE"/>
    <w:rsid w:val="0081228D"/>
    <w:rsid w:val="00821C43"/>
    <w:rsid w:val="0082264F"/>
    <w:rsid w:val="008247AC"/>
    <w:rsid w:val="00826B32"/>
    <w:rsid w:val="00835E8A"/>
    <w:rsid w:val="00837FF6"/>
    <w:rsid w:val="00844230"/>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FFB"/>
    <w:rsid w:val="008C298D"/>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6070A"/>
    <w:rsid w:val="009648DA"/>
    <w:rsid w:val="00984739"/>
    <w:rsid w:val="00985810"/>
    <w:rsid w:val="009910EB"/>
    <w:rsid w:val="00995AB8"/>
    <w:rsid w:val="00997D3B"/>
    <w:rsid w:val="009B529A"/>
    <w:rsid w:val="009C102E"/>
    <w:rsid w:val="009C7A47"/>
    <w:rsid w:val="009D7BB1"/>
    <w:rsid w:val="009E24EB"/>
    <w:rsid w:val="009F0B37"/>
    <w:rsid w:val="009F1EC4"/>
    <w:rsid w:val="00A03FDD"/>
    <w:rsid w:val="00A06A0C"/>
    <w:rsid w:val="00A0711B"/>
    <w:rsid w:val="00A11F8D"/>
    <w:rsid w:val="00A271BA"/>
    <w:rsid w:val="00A35194"/>
    <w:rsid w:val="00A36E91"/>
    <w:rsid w:val="00A378BF"/>
    <w:rsid w:val="00A52065"/>
    <w:rsid w:val="00A56BE9"/>
    <w:rsid w:val="00A61FBE"/>
    <w:rsid w:val="00A66BDE"/>
    <w:rsid w:val="00A67CB9"/>
    <w:rsid w:val="00A70C74"/>
    <w:rsid w:val="00A70FC2"/>
    <w:rsid w:val="00A73CEA"/>
    <w:rsid w:val="00A76BC3"/>
    <w:rsid w:val="00A86BFD"/>
    <w:rsid w:val="00A87EA9"/>
    <w:rsid w:val="00A90466"/>
    <w:rsid w:val="00A934AC"/>
    <w:rsid w:val="00AA3064"/>
    <w:rsid w:val="00AB0700"/>
    <w:rsid w:val="00AB12C0"/>
    <w:rsid w:val="00AC6CEB"/>
    <w:rsid w:val="00AD68C8"/>
    <w:rsid w:val="00AE0853"/>
    <w:rsid w:val="00AF0CFA"/>
    <w:rsid w:val="00AF74BB"/>
    <w:rsid w:val="00B0006B"/>
    <w:rsid w:val="00B025F3"/>
    <w:rsid w:val="00B043B8"/>
    <w:rsid w:val="00B07252"/>
    <w:rsid w:val="00B109E5"/>
    <w:rsid w:val="00B13713"/>
    <w:rsid w:val="00B156D9"/>
    <w:rsid w:val="00B15CBF"/>
    <w:rsid w:val="00B21003"/>
    <w:rsid w:val="00B23A49"/>
    <w:rsid w:val="00B3374C"/>
    <w:rsid w:val="00B35C42"/>
    <w:rsid w:val="00B4682B"/>
    <w:rsid w:val="00B52393"/>
    <w:rsid w:val="00B52960"/>
    <w:rsid w:val="00B57AD4"/>
    <w:rsid w:val="00B61EAE"/>
    <w:rsid w:val="00B7496A"/>
    <w:rsid w:val="00B82647"/>
    <w:rsid w:val="00B8393B"/>
    <w:rsid w:val="00B903F1"/>
    <w:rsid w:val="00BA1BB9"/>
    <w:rsid w:val="00BA276C"/>
    <w:rsid w:val="00BB18E4"/>
    <w:rsid w:val="00BB1EE9"/>
    <w:rsid w:val="00BB69CE"/>
    <w:rsid w:val="00BC461A"/>
    <w:rsid w:val="00BD2C83"/>
    <w:rsid w:val="00BD794E"/>
    <w:rsid w:val="00BE160C"/>
    <w:rsid w:val="00BE2F4B"/>
    <w:rsid w:val="00BE5412"/>
    <w:rsid w:val="00BF4C98"/>
    <w:rsid w:val="00BF5574"/>
    <w:rsid w:val="00BF59AE"/>
    <w:rsid w:val="00C05ED1"/>
    <w:rsid w:val="00C07BDF"/>
    <w:rsid w:val="00C07C08"/>
    <w:rsid w:val="00C2084A"/>
    <w:rsid w:val="00C21160"/>
    <w:rsid w:val="00C22A54"/>
    <w:rsid w:val="00C248AA"/>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337B"/>
    <w:rsid w:val="00CC3960"/>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523AC"/>
    <w:rsid w:val="00D6018F"/>
    <w:rsid w:val="00D62C14"/>
    <w:rsid w:val="00D65138"/>
    <w:rsid w:val="00D74EEE"/>
    <w:rsid w:val="00D758EA"/>
    <w:rsid w:val="00D7625C"/>
    <w:rsid w:val="00D77DF7"/>
    <w:rsid w:val="00D83D8D"/>
    <w:rsid w:val="00D868DD"/>
    <w:rsid w:val="00D91490"/>
    <w:rsid w:val="00D94CD3"/>
    <w:rsid w:val="00DA6172"/>
    <w:rsid w:val="00DB5D41"/>
    <w:rsid w:val="00DB65E1"/>
    <w:rsid w:val="00DC40E5"/>
    <w:rsid w:val="00DD267D"/>
    <w:rsid w:val="00DD7289"/>
    <w:rsid w:val="00DE1C1B"/>
    <w:rsid w:val="00DE2D5D"/>
    <w:rsid w:val="00DF75F0"/>
    <w:rsid w:val="00E0127D"/>
    <w:rsid w:val="00E03E8F"/>
    <w:rsid w:val="00E05616"/>
    <w:rsid w:val="00E119AB"/>
    <w:rsid w:val="00E25D8A"/>
    <w:rsid w:val="00E35467"/>
    <w:rsid w:val="00E36969"/>
    <w:rsid w:val="00E4358B"/>
    <w:rsid w:val="00E470A6"/>
    <w:rsid w:val="00E56414"/>
    <w:rsid w:val="00E57026"/>
    <w:rsid w:val="00E656D2"/>
    <w:rsid w:val="00E70F18"/>
    <w:rsid w:val="00E71059"/>
    <w:rsid w:val="00E84AE1"/>
    <w:rsid w:val="00E86DAE"/>
    <w:rsid w:val="00E93FAF"/>
    <w:rsid w:val="00EA6113"/>
    <w:rsid w:val="00EA6BB0"/>
    <w:rsid w:val="00EB1DFC"/>
    <w:rsid w:val="00EB3B81"/>
    <w:rsid w:val="00EB4810"/>
    <w:rsid w:val="00EC28BA"/>
    <w:rsid w:val="00EC46EA"/>
    <w:rsid w:val="00ED7181"/>
    <w:rsid w:val="00ED73BD"/>
    <w:rsid w:val="00ED7448"/>
    <w:rsid w:val="00EE67CA"/>
    <w:rsid w:val="00EE784E"/>
    <w:rsid w:val="00EF1971"/>
    <w:rsid w:val="00EF24FE"/>
    <w:rsid w:val="00EF3019"/>
    <w:rsid w:val="00EF3353"/>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916"/>
    <w:rsid w:val="00F86F94"/>
    <w:rsid w:val="00F9135E"/>
    <w:rsid w:val="00F941A0"/>
    <w:rsid w:val="00FA03CE"/>
    <w:rsid w:val="00FB0891"/>
    <w:rsid w:val="00FB32CF"/>
    <w:rsid w:val="00FB49CE"/>
    <w:rsid w:val="00FB6C83"/>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 w:type="paragraph" w:styleId="NormalWeb">
    <w:name w:val="Normal (Web)"/>
    <w:basedOn w:val="Normal"/>
    <w:uiPriority w:val="99"/>
    <w:semiHidden/>
    <w:unhideWhenUsed/>
    <w:rsid w:val="003B73A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3B73A2"/>
  </w:style>
  <w:style w:type="character" w:styleId="Emphasis">
    <w:name w:val="Emphasis"/>
    <w:basedOn w:val="DefaultParagraphFont"/>
    <w:uiPriority w:val="20"/>
    <w:qFormat/>
    <w:rsid w:val="003B73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 w:id="1887376158">
      <w:bodyDiv w:val="1"/>
      <w:marLeft w:val="0"/>
      <w:marRight w:val="0"/>
      <w:marTop w:val="0"/>
      <w:marBottom w:val="0"/>
      <w:divBdr>
        <w:top w:val="none" w:sz="0" w:space="0" w:color="auto"/>
        <w:left w:val="none" w:sz="0" w:space="0" w:color="auto"/>
        <w:bottom w:val="none" w:sz="0" w:space="0" w:color="auto"/>
        <w:right w:val="none" w:sz="0" w:space="0" w:color="auto"/>
      </w:divBdr>
    </w:div>
    <w:div w:id="1950579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helf-uwtsd.alma.exlibrisgroup.com/leganto/public/44WHELF_UWTSD/lists/7628572900002421?auth=SA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3.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8411</Words>
  <Characters>47943</Characters>
  <Application>Microsoft Office Word</Application>
  <DocSecurity>0</DocSecurity>
  <Lines>399</Lines>
  <Paragraphs>112</Paragraphs>
  <ScaleCrop>false</ScaleCrop>
  <Company/>
  <LinksUpToDate>false</LinksUpToDate>
  <CharactersWithSpaces>56242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Puaca,James swp8757</cp:lastModifiedBy>
  <cp:revision>15</cp:revision>
  <cp:lastPrinted>2020-03-18T12:27:00Z</cp:lastPrinted>
  <dcterms:created xsi:type="dcterms:W3CDTF">2024-10-08T06:00:00Z</dcterms:created>
  <dcterms:modified xsi:type="dcterms:W3CDTF">2025-01-27T22:39:00Z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2024-10-08T06:00:07Z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c132c268-f802-4c30-9e7e-003e44052996</vt:lpwstr>
  </property>
  <property fmtid="{D5CDD505-2E9C-101B-9397-08002B2CF9AE}" pid="9" name="MSIP_Label_66cf8fe5-b7b7-4df7-b38d-1c61ac2f6639_ContentBits">
    <vt:lpwstr>0</vt:lpwstr>
  </property>
</Properties>
</file>