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78C4E5" w14:textId="77777777" w:rsidR="00575474" w:rsidRDefault="00575474" w:rsidP="003D3BC1">
      <w:pPr>
        <w:spacing w:after="0" w:line="360" w:lineRule="auto"/>
        <w:jc w:val="both"/>
        <w:rPr>
          <w:rFonts w:ascii="Times New Roman" w:hAnsi="Times New Roman" w:cs="Times New Roman"/>
          <w:sz w:val="24"/>
          <w:szCs w:val="24"/>
        </w:rPr>
      </w:pPr>
    </w:p>
    <w:p w14:paraId="538EDA75" w14:textId="77777777" w:rsidR="009C6A6F" w:rsidRDefault="009C6A6F" w:rsidP="003D3BC1">
      <w:pPr>
        <w:spacing w:after="0" w:line="360" w:lineRule="auto"/>
        <w:jc w:val="both"/>
        <w:rPr>
          <w:rFonts w:ascii="Times New Roman" w:hAnsi="Times New Roman" w:cs="Times New Roman"/>
          <w:sz w:val="24"/>
          <w:szCs w:val="24"/>
        </w:rPr>
      </w:pPr>
    </w:p>
    <w:p w14:paraId="2A5F90BF" w14:textId="77777777" w:rsidR="009C6A6F" w:rsidRDefault="009C6A6F" w:rsidP="003D3BC1">
      <w:pPr>
        <w:spacing w:after="0" w:line="360" w:lineRule="auto"/>
        <w:jc w:val="both"/>
        <w:rPr>
          <w:rFonts w:ascii="Times New Roman" w:hAnsi="Times New Roman" w:cs="Times New Roman"/>
          <w:sz w:val="24"/>
          <w:szCs w:val="24"/>
        </w:rPr>
      </w:pPr>
    </w:p>
    <w:p w14:paraId="2F40CBD9" w14:textId="77777777" w:rsidR="009C6A6F" w:rsidRDefault="009C6A6F" w:rsidP="003D3BC1">
      <w:pPr>
        <w:spacing w:after="0" w:line="360" w:lineRule="auto"/>
        <w:jc w:val="both"/>
        <w:rPr>
          <w:rFonts w:ascii="Times New Roman" w:hAnsi="Times New Roman" w:cs="Times New Roman"/>
          <w:sz w:val="24"/>
          <w:szCs w:val="24"/>
        </w:rPr>
      </w:pPr>
    </w:p>
    <w:p w14:paraId="63D92337" w14:textId="77777777" w:rsidR="009C6A6F" w:rsidRDefault="009C6A6F" w:rsidP="003D3BC1">
      <w:pPr>
        <w:spacing w:after="0" w:line="360" w:lineRule="auto"/>
        <w:jc w:val="both"/>
        <w:rPr>
          <w:rFonts w:ascii="Times New Roman" w:hAnsi="Times New Roman" w:cs="Times New Roman"/>
          <w:sz w:val="24"/>
          <w:szCs w:val="24"/>
        </w:rPr>
      </w:pPr>
    </w:p>
    <w:p w14:paraId="1C28D797" w14:textId="77777777" w:rsidR="009C6A6F" w:rsidRDefault="009C6A6F" w:rsidP="003D3BC1">
      <w:pPr>
        <w:spacing w:after="0" w:line="360" w:lineRule="auto"/>
        <w:jc w:val="both"/>
        <w:rPr>
          <w:rFonts w:ascii="Times New Roman" w:hAnsi="Times New Roman" w:cs="Times New Roman"/>
          <w:sz w:val="24"/>
          <w:szCs w:val="24"/>
        </w:rPr>
      </w:pPr>
    </w:p>
    <w:p w14:paraId="65E370D4" w14:textId="77777777" w:rsidR="009C6A6F" w:rsidRPr="00F742F8" w:rsidRDefault="009C6A6F" w:rsidP="003D3BC1">
      <w:pPr>
        <w:spacing w:after="0" w:line="360" w:lineRule="auto"/>
        <w:jc w:val="both"/>
        <w:rPr>
          <w:rFonts w:ascii="Times New Roman" w:hAnsi="Times New Roman" w:cs="Times New Roman"/>
          <w:sz w:val="24"/>
          <w:szCs w:val="24"/>
        </w:rPr>
      </w:pPr>
    </w:p>
    <w:p w14:paraId="616C5EF6" w14:textId="77777777" w:rsidR="009C6A6F" w:rsidRPr="00F742F8" w:rsidRDefault="009C6A6F" w:rsidP="003D3BC1">
      <w:pPr>
        <w:spacing w:after="0" w:line="360" w:lineRule="auto"/>
        <w:jc w:val="both"/>
        <w:rPr>
          <w:rFonts w:ascii="Times New Roman" w:hAnsi="Times New Roman" w:cs="Times New Roman"/>
          <w:sz w:val="24"/>
          <w:szCs w:val="24"/>
        </w:rPr>
      </w:pPr>
    </w:p>
    <w:p w14:paraId="1583FD6E" w14:textId="77777777" w:rsidR="009C6A6F" w:rsidRPr="00F742F8" w:rsidRDefault="009C6A6F" w:rsidP="003D3BC1">
      <w:pPr>
        <w:spacing w:after="0" w:line="360" w:lineRule="auto"/>
        <w:jc w:val="both"/>
        <w:rPr>
          <w:rFonts w:ascii="Times New Roman" w:hAnsi="Times New Roman" w:cs="Times New Roman"/>
          <w:sz w:val="24"/>
          <w:szCs w:val="24"/>
        </w:rPr>
      </w:pPr>
    </w:p>
    <w:p w14:paraId="039E1452" w14:textId="77777777" w:rsidR="009C6A6F" w:rsidRPr="00F742F8" w:rsidRDefault="009C6A6F" w:rsidP="003D3BC1">
      <w:pPr>
        <w:spacing w:after="0" w:line="360" w:lineRule="auto"/>
        <w:jc w:val="both"/>
        <w:rPr>
          <w:rFonts w:ascii="Times New Roman" w:hAnsi="Times New Roman" w:cs="Times New Roman"/>
          <w:sz w:val="24"/>
          <w:szCs w:val="24"/>
        </w:rPr>
      </w:pPr>
    </w:p>
    <w:p w14:paraId="627E3978" w14:textId="77777777" w:rsidR="009C6A6F" w:rsidRPr="00F742F8" w:rsidRDefault="009C6A6F" w:rsidP="003D3BC1">
      <w:pPr>
        <w:spacing w:after="0" w:line="360" w:lineRule="auto"/>
        <w:jc w:val="both"/>
        <w:rPr>
          <w:rFonts w:ascii="Times New Roman" w:hAnsi="Times New Roman" w:cs="Times New Roman"/>
          <w:sz w:val="24"/>
          <w:szCs w:val="24"/>
        </w:rPr>
      </w:pPr>
    </w:p>
    <w:p w14:paraId="1F6FACD4" w14:textId="77777777" w:rsidR="009C6A6F" w:rsidRPr="00F742F8" w:rsidRDefault="009C6A6F" w:rsidP="003D3BC1">
      <w:pPr>
        <w:spacing w:after="0" w:line="360" w:lineRule="auto"/>
        <w:jc w:val="both"/>
        <w:rPr>
          <w:rFonts w:ascii="Times New Roman" w:hAnsi="Times New Roman" w:cs="Times New Roman"/>
          <w:sz w:val="24"/>
          <w:szCs w:val="24"/>
        </w:rPr>
      </w:pPr>
    </w:p>
    <w:p w14:paraId="1A45FAA3" w14:textId="77777777" w:rsidR="009C6A6F" w:rsidRPr="00F742F8" w:rsidRDefault="009C6A6F" w:rsidP="003D3BC1">
      <w:pPr>
        <w:spacing w:after="0" w:line="360" w:lineRule="auto"/>
        <w:jc w:val="both"/>
        <w:rPr>
          <w:rFonts w:ascii="Times New Roman" w:hAnsi="Times New Roman" w:cs="Times New Roman"/>
          <w:sz w:val="24"/>
          <w:szCs w:val="24"/>
        </w:rPr>
      </w:pPr>
    </w:p>
    <w:p w14:paraId="09AD0CD8" w14:textId="77777777" w:rsidR="009C6A6F" w:rsidRPr="00F742F8" w:rsidRDefault="009C6A6F" w:rsidP="003D3BC1">
      <w:pPr>
        <w:spacing w:after="0" w:line="360" w:lineRule="auto"/>
        <w:jc w:val="both"/>
        <w:rPr>
          <w:rFonts w:ascii="Times New Roman" w:hAnsi="Times New Roman" w:cs="Times New Roman"/>
          <w:sz w:val="24"/>
          <w:szCs w:val="24"/>
        </w:rPr>
      </w:pPr>
    </w:p>
    <w:p w14:paraId="4ED274D6" w14:textId="77777777" w:rsidR="009C6A6F" w:rsidRPr="00F742F8" w:rsidRDefault="009C6A6F" w:rsidP="003D3BC1">
      <w:pPr>
        <w:spacing w:after="0" w:line="360" w:lineRule="auto"/>
        <w:jc w:val="both"/>
        <w:rPr>
          <w:rFonts w:ascii="Times New Roman" w:hAnsi="Times New Roman" w:cs="Times New Roman"/>
          <w:sz w:val="24"/>
          <w:szCs w:val="24"/>
        </w:rPr>
      </w:pPr>
    </w:p>
    <w:p w14:paraId="7AD922AF" w14:textId="77777777" w:rsidR="009C6A6F" w:rsidRPr="00F742F8" w:rsidRDefault="009C6A6F" w:rsidP="003D3BC1">
      <w:pPr>
        <w:spacing w:after="0" w:line="360" w:lineRule="auto"/>
        <w:jc w:val="both"/>
        <w:rPr>
          <w:rFonts w:ascii="Times New Roman" w:hAnsi="Times New Roman" w:cs="Times New Roman"/>
          <w:sz w:val="24"/>
          <w:szCs w:val="24"/>
        </w:rPr>
      </w:pPr>
    </w:p>
    <w:p w14:paraId="771497D2" w14:textId="77777777" w:rsidR="009C6A6F" w:rsidRPr="00F742F8" w:rsidRDefault="009C6A6F" w:rsidP="003D3BC1">
      <w:pPr>
        <w:spacing w:after="0" w:line="360" w:lineRule="auto"/>
        <w:jc w:val="both"/>
        <w:rPr>
          <w:rFonts w:ascii="Times New Roman" w:hAnsi="Times New Roman" w:cs="Times New Roman"/>
          <w:sz w:val="24"/>
          <w:szCs w:val="24"/>
        </w:rPr>
      </w:pPr>
    </w:p>
    <w:p w14:paraId="6C11440E" w14:textId="77777777" w:rsidR="009C6A6F" w:rsidRPr="00F742F8" w:rsidRDefault="009C6A6F" w:rsidP="003D3BC1">
      <w:pPr>
        <w:spacing w:after="0" w:line="360" w:lineRule="auto"/>
        <w:jc w:val="both"/>
        <w:rPr>
          <w:rFonts w:ascii="Times New Roman" w:hAnsi="Times New Roman" w:cs="Times New Roman"/>
          <w:sz w:val="24"/>
          <w:szCs w:val="24"/>
        </w:rPr>
      </w:pPr>
    </w:p>
    <w:p w14:paraId="6D6CB529" w14:textId="77777777" w:rsidR="009C6A6F" w:rsidRPr="00F742F8" w:rsidRDefault="009C6A6F" w:rsidP="003D3BC1">
      <w:pPr>
        <w:spacing w:after="0" w:line="360" w:lineRule="auto"/>
        <w:jc w:val="both"/>
        <w:rPr>
          <w:rFonts w:ascii="Times New Roman" w:hAnsi="Times New Roman" w:cs="Times New Roman"/>
          <w:sz w:val="24"/>
          <w:szCs w:val="24"/>
        </w:rPr>
      </w:pPr>
    </w:p>
    <w:p w14:paraId="7E6ECB45" w14:textId="77777777" w:rsidR="009C6A6F" w:rsidRPr="00F742F8" w:rsidRDefault="009C6A6F" w:rsidP="003D3BC1">
      <w:pPr>
        <w:spacing w:after="0" w:line="360" w:lineRule="auto"/>
        <w:jc w:val="both"/>
        <w:rPr>
          <w:rFonts w:ascii="Times New Roman" w:hAnsi="Times New Roman" w:cs="Times New Roman"/>
          <w:sz w:val="24"/>
          <w:szCs w:val="24"/>
        </w:rPr>
      </w:pPr>
    </w:p>
    <w:p w14:paraId="7B790D20" w14:textId="77777777" w:rsidR="009C6A6F" w:rsidRPr="00F742F8" w:rsidRDefault="009C6A6F" w:rsidP="003D3BC1">
      <w:pPr>
        <w:spacing w:after="0" w:line="360" w:lineRule="auto"/>
        <w:jc w:val="both"/>
        <w:rPr>
          <w:rFonts w:ascii="Times New Roman" w:hAnsi="Times New Roman" w:cs="Times New Roman"/>
          <w:sz w:val="24"/>
          <w:szCs w:val="24"/>
        </w:rPr>
      </w:pPr>
    </w:p>
    <w:p w14:paraId="6DF97697" w14:textId="77777777" w:rsidR="009C6A6F" w:rsidRPr="00F742F8" w:rsidRDefault="009C6A6F" w:rsidP="003D3BC1">
      <w:pPr>
        <w:spacing w:after="0" w:line="360" w:lineRule="auto"/>
        <w:jc w:val="both"/>
        <w:rPr>
          <w:rFonts w:ascii="Times New Roman" w:hAnsi="Times New Roman" w:cs="Times New Roman"/>
          <w:sz w:val="24"/>
          <w:szCs w:val="24"/>
        </w:rPr>
      </w:pPr>
    </w:p>
    <w:p w14:paraId="16476356" w14:textId="77777777" w:rsidR="009C6A6F" w:rsidRPr="00F742F8" w:rsidRDefault="009C6A6F" w:rsidP="003D3BC1">
      <w:pPr>
        <w:spacing w:after="0" w:line="360" w:lineRule="auto"/>
        <w:jc w:val="both"/>
        <w:rPr>
          <w:rFonts w:ascii="Times New Roman" w:hAnsi="Times New Roman" w:cs="Times New Roman"/>
          <w:sz w:val="24"/>
          <w:szCs w:val="24"/>
        </w:rPr>
      </w:pPr>
    </w:p>
    <w:p w14:paraId="4BBAA40C" w14:textId="77777777" w:rsidR="009C6A6F" w:rsidRPr="00F742F8" w:rsidRDefault="009C6A6F" w:rsidP="003D3BC1">
      <w:pPr>
        <w:spacing w:after="0" w:line="360" w:lineRule="auto"/>
        <w:jc w:val="both"/>
        <w:rPr>
          <w:rFonts w:ascii="Times New Roman" w:hAnsi="Times New Roman" w:cs="Times New Roman"/>
          <w:sz w:val="24"/>
          <w:szCs w:val="24"/>
        </w:rPr>
      </w:pPr>
    </w:p>
    <w:p w14:paraId="523436FA" w14:textId="318A64DF" w:rsidR="009C6A6F" w:rsidRPr="00F742F8" w:rsidRDefault="009C6A6F" w:rsidP="003D3BC1">
      <w:pPr>
        <w:spacing w:after="0" w:line="360" w:lineRule="auto"/>
        <w:jc w:val="both"/>
        <w:rPr>
          <w:rFonts w:ascii="Times New Roman" w:hAnsi="Times New Roman" w:cs="Times New Roman"/>
          <w:sz w:val="24"/>
          <w:szCs w:val="24"/>
        </w:rPr>
      </w:pPr>
      <w:r w:rsidRPr="00F742F8">
        <w:rPr>
          <w:rFonts w:ascii="Times New Roman" w:hAnsi="Times New Roman" w:cs="Times New Roman"/>
          <w:sz w:val="24"/>
          <w:szCs w:val="24"/>
        </w:rPr>
        <w:tab/>
      </w:r>
      <w:r w:rsidRPr="00F742F8">
        <w:rPr>
          <w:rFonts w:ascii="Times New Roman" w:hAnsi="Times New Roman" w:cs="Times New Roman"/>
          <w:sz w:val="24"/>
          <w:szCs w:val="24"/>
        </w:rPr>
        <w:tab/>
      </w:r>
      <w:r w:rsidRPr="00F742F8">
        <w:rPr>
          <w:rFonts w:ascii="Times New Roman" w:hAnsi="Times New Roman" w:cs="Times New Roman"/>
          <w:sz w:val="24"/>
          <w:szCs w:val="24"/>
        </w:rPr>
        <w:tab/>
      </w:r>
      <w:r w:rsidRPr="00F742F8">
        <w:rPr>
          <w:rFonts w:ascii="Times New Roman" w:hAnsi="Times New Roman" w:cs="Times New Roman"/>
          <w:sz w:val="24"/>
          <w:szCs w:val="24"/>
        </w:rPr>
        <w:tab/>
      </w:r>
      <w:r w:rsidR="001D20E5" w:rsidRPr="00F742F8">
        <w:rPr>
          <w:rFonts w:ascii="Times New Roman" w:hAnsi="Times New Roman" w:cs="Times New Roman"/>
          <w:sz w:val="24"/>
          <w:szCs w:val="24"/>
        </w:rPr>
        <w:tab/>
      </w:r>
      <w:r w:rsidRPr="00F742F8">
        <w:rPr>
          <w:rFonts w:ascii="Times New Roman" w:hAnsi="Times New Roman" w:cs="Times New Roman"/>
          <w:sz w:val="24"/>
          <w:szCs w:val="24"/>
        </w:rPr>
        <w:t xml:space="preserve">Tort Law </w:t>
      </w:r>
    </w:p>
    <w:p w14:paraId="13A56735" w14:textId="223AEBFC" w:rsidR="009C6A6F" w:rsidRPr="00F742F8" w:rsidRDefault="009C6A6F" w:rsidP="003D3BC1">
      <w:pPr>
        <w:spacing w:after="0" w:line="360" w:lineRule="auto"/>
        <w:jc w:val="both"/>
        <w:rPr>
          <w:rFonts w:ascii="Times New Roman" w:hAnsi="Times New Roman" w:cs="Times New Roman"/>
          <w:sz w:val="24"/>
          <w:szCs w:val="24"/>
        </w:rPr>
      </w:pPr>
      <w:r w:rsidRPr="00F742F8">
        <w:rPr>
          <w:rFonts w:ascii="Times New Roman" w:hAnsi="Times New Roman" w:cs="Times New Roman"/>
          <w:sz w:val="24"/>
          <w:szCs w:val="24"/>
        </w:rPr>
        <w:tab/>
      </w:r>
      <w:r w:rsidR="001D20E5" w:rsidRPr="00F742F8">
        <w:rPr>
          <w:rFonts w:ascii="Times New Roman" w:hAnsi="Times New Roman" w:cs="Times New Roman"/>
          <w:sz w:val="24"/>
          <w:szCs w:val="24"/>
        </w:rPr>
        <w:tab/>
      </w:r>
      <w:r w:rsidR="001D20E5" w:rsidRPr="00F742F8">
        <w:rPr>
          <w:rFonts w:ascii="Times New Roman" w:hAnsi="Times New Roman" w:cs="Times New Roman"/>
          <w:sz w:val="24"/>
          <w:szCs w:val="24"/>
        </w:rPr>
        <w:tab/>
      </w:r>
      <w:r w:rsidR="001D20E5" w:rsidRPr="00F742F8">
        <w:rPr>
          <w:rFonts w:ascii="Times New Roman" w:hAnsi="Times New Roman" w:cs="Times New Roman"/>
          <w:sz w:val="24"/>
          <w:szCs w:val="24"/>
        </w:rPr>
        <w:tab/>
        <w:t xml:space="preserve">         Duty of care </w:t>
      </w:r>
    </w:p>
    <w:p w14:paraId="382DEDC3" w14:textId="77777777" w:rsidR="009C6A6F" w:rsidRPr="00F742F8" w:rsidRDefault="009C6A6F" w:rsidP="003D3BC1">
      <w:pPr>
        <w:spacing w:after="0" w:line="360" w:lineRule="auto"/>
        <w:jc w:val="both"/>
        <w:rPr>
          <w:rFonts w:ascii="Times New Roman" w:hAnsi="Times New Roman" w:cs="Times New Roman"/>
          <w:sz w:val="24"/>
          <w:szCs w:val="24"/>
        </w:rPr>
      </w:pPr>
    </w:p>
    <w:p w14:paraId="55071C9E" w14:textId="77777777" w:rsidR="009C6A6F" w:rsidRPr="00F742F8" w:rsidRDefault="009C6A6F" w:rsidP="003D3BC1">
      <w:pPr>
        <w:spacing w:after="0" w:line="360" w:lineRule="auto"/>
        <w:jc w:val="both"/>
        <w:rPr>
          <w:rFonts w:ascii="Times New Roman" w:hAnsi="Times New Roman" w:cs="Times New Roman"/>
          <w:sz w:val="24"/>
          <w:szCs w:val="24"/>
        </w:rPr>
      </w:pPr>
    </w:p>
    <w:p w14:paraId="0CE1BDE1" w14:textId="77777777" w:rsidR="009C6A6F" w:rsidRPr="00F742F8" w:rsidRDefault="009C6A6F" w:rsidP="003D3BC1">
      <w:pPr>
        <w:spacing w:after="0" w:line="360" w:lineRule="auto"/>
        <w:jc w:val="both"/>
        <w:rPr>
          <w:rFonts w:ascii="Times New Roman" w:hAnsi="Times New Roman" w:cs="Times New Roman"/>
          <w:sz w:val="24"/>
          <w:szCs w:val="24"/>
        </w:rPr>
      </w:pPr>
    </w:p>
    <w:p w14:paraId="4B3E2A78" w14:textId="77777777" w:rsidR="009C6A6F" w:rsidRPr="00F742F8" w:rsidRDefault="009C6A6F" w:rsidP="003D3BC1">
      <w:pPr>
        <w:spacing w:after="0" w:line="360" w:lineRule="auto"/>
        <w:jc w:val="both"/>
        <w:rPr>
          <w:rFonts w:ascii="Times New Roman" w:hAnsi="Times New Roman" w:cs="Times New Roman"/>
          <w:sz w:val="24"/>
          <w:szCs w:val="24"/>
        </w:rPr>
      </w:pPr>
    </w:p>
    <w:p w14:paraId="2AF00D3E" w14:textId="77777777" w:rsidR="009C6A6F" w:rsidRPr="00F742F8" w:rsidRDefault="009C6A6F" w:rsidP="003D3BC1">
      <w:pPr>
        <w:spacing w:after="0" w:line="360" w:lineRule="auto"/>
        <w:jc w:val="both"/>
        <w:rPr>
          <w:rFonts w:ascii="Times New Roman" w:hAnsi="Times New Roman" w:cs="Times New Roman"/>
          <w:sz w:val="24"/>
          <w:szCs w:val="24"/>
        </w:rPr>
      </w:pPr>
    </w:p>
    <w:p w14:paraId="5638E095" w14:textId="77777777" w:rsidR="009C6A6F" w:rsidRPr="00F742F8" w:rsidRDefault="009C6A6F" w:rsidP="003D3BC1">
      <w:pPr>
        <w:spacing w:after="0" w:line="360" w:lineRule="auto"/>
        <w:jc w:val="both"/>
        <w:rPr>
          <w:rFonts w:ascii="Times New Roman" w:hAnsi="Times New Roman" w:cs="Times New Roman"/>
          <w:sz w:val="24"/>
          <w:szCs w:val="24"/>
        </w:rPr>
      </w:pPr>
    </w:p>
    <w:p w14:paraId="031ECD32" w14:textId="77777777" w:rsidR="009C6A6F" w:rsidRPr="00F742F8" w:rsidRDefault="009C6A6F" w:rsidP="003D3BC1">
      <w:pPr>
        <w:spacing w:after="0" w:line="360" w:lineRule="auto"/>
        <w:jc w:val="both"/>
        <w:rPr>
          <w:rFonts w:ascii="Times New Roman" w:hAnsi="Times New Roman" w:cs="Times New Roman"/>
          <w:sz w:val="24"/>
          <w:szCs w:val="24"/>
        </w:rPr>
      </w:pPr>
    </w:p>
    <w:p w14:paraId="50266D91" w14:textId="77777777" w:rsidR="00575474" w:rsidRPr="00F742F8" w:rsidRDefault="00575474" w:rsidP="003D3BC1">
      <w:pPr>
        <w:spacing w:after="0" w:line="360" w:lineRule="auto"/>
        <w:jc w:val="both"/>
        <w:rPr>
          <w:rFonts w:ascii="Times New Roman" w:hAnsi="Times New Roman" w:cs="Times New Roman"/>
          <w:sz w:val="24"/>
          <w:szCs w:val="24"/>
        </w:rPr>
      </w:pPr>
    </w:p>
    <w:p w14:paraId="6D462E7D" w14:textId="77777777" w:rsidR="00575474" w:rsidRPr="00F742F8" w:rsidRDefault="00575474" w:rsidP="009C6A6F">
      <w:pPr>
        <w:pStyle w:val="Heading2"/>
        <w:rPr>
          <w:color w:val="auto"/>
        </w:rPr>
      </w:pPr>
      <w:r w:rsidRPr="00F742F8">
        <w:rPr>
          <w:color w:val="auto"/>
        </w:rPr>
        <w:lastRenderedPageBreak/>
        <w:t>Introduction:</w:t>
      </w:r>
    </w:p>
    <w:p w14:paraId="51787B4C" w14:textId="77777777" w:rsidR="00E95AEC" w:rsidRPr="00F742F8" w:rsidRDefault="00F95D05" w:rsidP="00E95AEC">
      <w:pPr>
        <w:spacing w:after="0" w:line="360" w:lineRule="auto"/>
        <w:jc w:val="both"/>
        <w:rPr>
          <w:rFonts w:ascii="Times New Roman" w:hAnsi="Times New Roman" w:cs="Times New Roman"/>
          <w:sz w:val="24"/>
          <w:szCs w:val="24"/>
        </w:rPr>
      </w:pPr>
      <w:r w:rsidRPr="00F742F8">
        <w:rPr>
          <w:rFonts w:ascii="Times New Roman" w:hAnsi="Times New Roman" w:cs="Times New Roman"/>
          <w:sz w:val="24"/>
          <w:szCs w:val="24"/>
        </w:rPr>
        <w:t>A Employer</w:t>
      </w:r>
      <w:r w:rsidR="009E4753" w:rsidRPr="00F742F8">
        <w:rPr>
          <w:rFonts w:ascii="Times New Roman" w:hAnsi="Times New Roman" w:cs="Times New Roman"/>
          <w:sz w:val="24"/>
          <w:szCs w:val="24"/>
        </w:rPr>
        <w:t xml:space="preserve"> is regarded as an individual or organisation that hire people on wage or salary for particular work; while employee is the one who gets hired for providing the services. </w:t>
      </w:r>
      <w:r w:rsidRPr="00F742F8">
        <w:rPr>
          <w:rFonts w:ascii="Times New Roman" w:hAnsi="Times New Roman" w:cs="Times New Roman"/>
          <w:sz w:val="24"/>
          <w:szCs w:val="24"/>
        </w:rPr>
        <w:t>Elijah</w:t>
      </w:r>
      <w:r w:rsidR="00291EC1" w:rsidRPr="00F742F8">
        <w:rPr>
          <w:rFonts w:ascii="Times New Roman" w:hAnsi="Times New Roman" w:cs="Times New Roman"/>
          <w:sz w:val="24"/>
          <w:szCs w:val="24"/>
        </w:rPr>
        <w:t xml:space="preserve"> </w:t>
      </w:r>
      <w:r w:rsidR="00722EAB" w:rsidRPr="00F742F8">
        <w:rPr>
          <w:rFonts w:ascii="Times New Roman" w:hAnsi="Times New Roman" w:cs="Times New Roman"/>
          <w:sz w:val="24"/>
          <w:szCs w:val="24"/>
        </w:rPr>
        <w:t xml:space="preserve">who was an employee </w:t>
      </w:r>
      <w:r w:rsidR="00291EC1" w:rsidRPr="00F742F8">
        <w:rPr>
          <w:rFonts w:ascii="Times New Roman" w:hAnsi="Times New Roman" w:cs="Times New Roman"/>
          <w:sz w:val="24"/>
          <w:szCs w:val="24"/>
        </w:rPr>
        <w:t>unfold as a series of events, including on-the-job injuries and complications compounded by l</w:t>
      </w:r>
      <w:r w:rsidR="00184326" w:rsidRPr="00F742F8">
        <w:rPr>
          <w:rFonts w:ascii="Times New Roman" w:hAnsi="Times New Roman" w:cs="Times New Roman"/>
          <w:sz w:val="24"/>
          <w:szCs w:val="24"/>
        </w:rPr>
        <w:t>ater clinical assessments. Elijah</w:t>
      </w:r>
      <w:r w:rsidR="00291EC1" w:rsidRPr="00F742F8">
        <w:rPr>
          <w:rFonts w:ascii="Times New Roman" w:hAnsi="Times New Roman" w:cs="Times New Roman"/>
          <w:sz w:val="24"/>
          <w:szCs w:val="24"/>
        </w:rPr>
        <w:t xml:space="preserve"> may</w:t>
      </w:r>
      <w:r w:rsidR="00AD7ADA" w:rsidRPr="00F742F8">
        <w:rPr>
          <w:rFonts w:ascii="Times New Roman" w:hAnsi="Times New Roman" w:cs="Times New Roman"/>
          <w:sz w:val="24"/>
          <w:szCs w:val="24"/>
        </w:rPr>
        <w:t xml:space="preserve"> have a negligence case</w:t>
      </w:r>
      <w:r w:rsidR="00831FFD" w:rsidRPr="00F742F8">
        <w:rPr>
          <w:rFonts w:ascii="Times New Roman" w:hAnsi="Times New Roman" w:cs="Times New Roman"/>
          <w:sz w:val="24"/>
          <w:szCs w:val="24"/>
        </w:rPr>
        <w:t xml:space="preserve"> against his</w:t>
      </w:r>
      <w:r w:rsidR="00184326" w:rsidRPr="00F742F8">
        <w:rPr>
          <w:rFonts w:ascii="Times New Roman" w:hAnsi="Times New Roman" w:cs="Times New Roman"/>
          <w:sz w:val="24"/>
          <w:szCs w:val="24"/>
        </w:rPr>
        <w:t xml:space="preserve"> employer</w:t>
      </w:r>
      <w:r w:rsidR="00AD7ADA" w:rsidRPr="00F742F8">
        <w:rPr>
          <w:rFonts w:ascii="Times New Roman" w:hAnsi="Times New Roman" w:cs="Times New Roman"/>
          <w:sz w:val="24"/>
          <w:szCs w:val="24"/>
        </w:rPr>
        <w:t xml:space="preserve"> for a</w:t>
      </w:r>
      <w:r w:rsidR="00291EC1" w:rsidRPr="00F742F8">
        <w:rPr>
          <w:rFonts w:ascii="Times New Roman" w:hAnsi="Times New Roman" w:cs="Times New Roman"/>
          <w:sz w:val="24"/>
          <w:szCs w:val="24"/>
        </w:rPr>
        <w:t xml:space="preserve"> significant </w:t>
      </w:r>
      <w:r w:rsidR="00AD7ADA" w:rsidRPr="00F742F8">
        <w:rPr>
          <w:rFonts w:ascii="Times New Roman" w:hAnsi="Times New Roman" w:cs="Times New Roman"/>
          <w:sz w:val="24"/>
          <w:szCs w:val="24"/>
        </w:rPr>
        <w:t>injury at work</w:t>
      </w:r>
      <w:r w:rsidR="00184326" w:rsidRPr="00F742F8">
        <w:rPr>
          <w:rFonts w:ascii="Times New Roman" w:hAnsi="Times New Roman" w:cs="Times New Roman"/>
          <w:sz w:val="24"/>
          <w:szCs w:val="24"/>
        </w:rPr>
        <w:t xml:space="preserve">. </w:t>
      </w:r>
      <w:r w:rsidR="00AD7ADA" w:rsidRPr="00F742F8">
        <w:rPr>
          <w:rFonts w:ascii="Times New Roman" w:hAnsi="Times New Roman" w:cs="Times New Roman"/>
          <w:sz w:val="24"/>
          <w:szCs w:val="24"/>
        </w:rPr>
        <w:t>If the</w:t>
      </w:r>
      <w:r w:rsidR="00184326" w:rsidRPr="00F742F8">
        <w:rPr>
          <w:rFonts w:ascii="Times New Roman" w:hAnsi="Times New Roman" w:cs="Times New Roman"/>
          <w:sz w:val="24"/>
          <w:szCs w:val="24"/>
        </w:rPr>
        <w:t xml:space="preserve"> </w:t>
      </w:r>
      <w:r w:rsidR="00C742BB" w:rsidRPr="00F742F8">
        <w:rPr>
          <w:rFonts w:ascii="Times New Roman" w:hAnsi="Times New Roman" w:cs="Times New Roman"/>
          <w:sz w:val="24"/>
          <w:szCs w:val="24"/>
        </w:rPr>
        <w:t>injury were to</w:t>
      </w:r>
      <w:r w:rsidR="00291EC1" w:rsidRPr="00F742F8">
        <w:rPr>
          <w:rFonts w:ascii="Times New Roman" w:hAnsi="Times New Roman" w:cs="Times New Roman"/>
          <w:sz w:val="24"/>
          <w:szCs w:val="24"/>
        </w:rPr>
        <w:t xml:space="preserve"> cause</w:t>
      </w:r>
      <w:r w:rsidR="00831FFD" w:rsidRPr="00F742F8">
        <w:rPr>
          <w:rFonts w:ascii="Times New Roman" w:hAnsi="Times New Roman" w:cs="Times New Roman"/>
          <w:sz w:val="24"/>
          <w:szCs w:val="24"/>
        </w:rPr>
        <w:t>d by the company</w:t>
      </w:r>
      <w:r w:rsidR="00AD7ADA" w:rsidRPr="00F742F8">
        <w:rPr>
          <w:rFonts w:ascii="Times New Roman" w:hAnsi="Times New Roman" w:cs="Times New Roman"/>
          <w:sz w:val="24"/>
          <w:szCs w:val="24"/>
        </w:rPr>
        <w:t>s negligence due to</w:t>
      </w:r>
      <w:r w:rsidR="00291EC1" w:rsidRPr="00F742F8">
        <w:rPr>
          <w:rFonts w:ascii="Times New Roman" w:hAnsi="Times New Roman" w:cs="Times New Roman"/>
          <w:sz w:val="24"/>
          <w:szCs w:val="24"/>
        </w:rPr>
        <w:t xml:space="preserve"> failure to provide safe </w:t>
      </w:r>
      <w:r w:rsidR="00C742BB" w:rsidRPr="00F742F8">
        <w:rPr>
          <w:rFonts w:ascii="Times New Roman" w:hAnsi="Times New Roman" w:cs="Times New Roman"/>
          <w:sz w:val="24"/>
          <w:szCs w:val="24"/>
        </w:rPr>
        <w:t>place at work, Elijah</w:t>
      </w:r>
      <w:r w:rsidR="00AD7ADA" w:rsidRPr="00F742F8">
        <w:rPr>
          <w:rFonts w:ascii="Times New Roman" w:hAnsi="Times New Roman" w:cs="Times New Roman"/>
          <w:sz w:val="24"/>
          <w:szCs w:val="24"/>
        </w:rPr>
        <w:t xml:space="preserve"> is able to get compensation. </w:t>
      </w:r>
      <w:r w:rsidR="00291EC1" w:rsidRPr="00F742F8">
        <w:rPr>
          <w:rFonts w:ascii="Times New Roman" w:hAnsi="Times New Roman" w:cs="Times New Roman"/>
          <w:sz w:val="24"/>
          <w:szCs w:val="24"/>
        </w:rPr>
        <w:t>In addition, complications arising from c</w:t>
      </w:r>
      <w:r w:rsidR="00AD7ADA" w:rsidRPr="00F742F8">
        <w:rPr>
          <w:rFonts w:ascii="Times New Roman" w:hAnsi="Times New Roman" w:cs="Times New Roman"/>
          <w:sz w:val="24"/>
          <w:szCs w:val="24"/>
        </w:rPr>
        <w:t xml:space="preserve">linical assessments lead </w:t>
      </w:r>
      <w:r w:rsidR="00C742BB" w:rsidRPr="00F742F8">
        <w:rPr>
          <w:rFonts w:ascii="Times New Roman" w:hAnsi="Times New Roman" w:cs="Times New Roman"/>
          <w:sz w:val="24"/>
          <w:szCs w:val="24"/>
        </w:rPr>
        <w:t>Elijah’s</w:t>
      </w:r>
      <w:r w:rsidR="00291EC1" w:rsidRPr="00F742F8">
        <w:rPr>
          <w:rFonts w:ascii="Times New Roman" w:hAnsi="Times New Roman" w:cs="Times New Roman"/>
          <w:sz w:val="24"/>
          <w:szCs w:val="24"/>
        </w:rPr>
        <w:t xml:space="preserve"> condition to anxious</w:t>
      </w:r>
      <w:r w:rsidR="00C742BB" w:rsidRPr="00F742F8">
        <w:rPr>
          <w:rFonts w:ascii="Times New Roman" w:hAnsi="Times New Roman" w:cs="Times New Roman"/>
          <w:sz w:val="24"/>
          <w:szCs w:val="24"/>
        </w:rPr>
        <w:t xml:space="preserve"> </w:t>
      </w:r>
      <w:r w:rsidR="00291EC1" w:rsidRPr="00F742F8">
        <w:rPr>
          <w:rFonts w:ascii="Times New Roman" w:hAnsi="Times New Roman" w:cs="Times New Roman"/>
          <w:sz w:val="24"/>
          <w:szCs w:val="24"/>
        </w:rPr>
        <w:t>detours</w:t>
      </w:r>
      <w:r w:rsidR="00E355E9" w:rsidRPr="00F742F8">
        <w:rPr>
          <w:rFonts w:ascii="Times New Roman" w:hAnsi="Times New Roman" w:cs="Times New Roman"/>
          <w:sz w:val="24"/>
          <w:szCs w:val="24"/>
        </w:rPr>
        <w:t xml:space="preserve"> </w:t>
      </w:r>
      <w:r w:rsidR="00184326" w:rsidRPr="00F742F8">
        <w:rPr>
          <w:rFonts w:ascii="Times New Roman" w:hAnsi="Times New Roman" w:cs="Times New Roman"/>
          <w:sz w:val="24"/>
          <w:szCs w:val="24"/>
        </w:rPr>
        <w:t>(Barak, Leo</w:t>
      </w:r>
      <w:r w:rsidR="0045405C" w:rsidRPr="00F742F8">
        <w:rPr>
          <w:rFonts w:ascii="Times New Roman" w:hAnsi="Times New Roman" w:cs="Times New Roman"/>
          <w:sz w:val="24"/>
          <w:szCs w:val="24"/>
        </w:rPr>
        <w:t>n and Maguire, 2020)</w:t>
      </w:r>
      <w:r w:rsidR="00291EC1" w:rsidRPr="00F742F8">
        <w:rPr>
          <w:rFonts w:ascii="Times New Roman" w:hAnsi="Times New Roman" w:cs="Times New Roman"/>
          <w:sz w:val="24"/>
          <w:szCs w:val="24"/>
        </w:rPr>
        <w:t>.</w:t>
      </w:r>
      <w:r w:rsidR="00C742BB" w:rsidRPr="00F742F8">
        <w:rPr>
          <w:rFonts w:ascii="Times New Roman" w:hAnsi="Times New Roman" w:cs="Times New Roman"/>
          <w:sz w:val="24"/>
          <w:szCs w:val="24"/>
        </w:rPr>
        <w:t>When Elij</w:t>
      </w:r>
      <w:r w:rsidR="00831FFD" w:rsidRPr="00F742F8">
        <w:rPr>
          <w:rFonts w:ascii="Times New Roman" w:hAnsi="Times New Roman" w:cs="Times New Roman"/>
          <w:sz w:val="24"/>
          <w:szCs w:val="24"/>
        </w:rPr>
        <w:t>ah went</w:t>
      </w:r>
      <w:r w:rsidR="00FB02CE" w:rsidRPr="00F742F8">
        <w:rPr>
          <w:rFonts w:ascii="Times New Roman" w:hAnsi="Times New Roman" w:cs="Times New Roman"/>
          <w:sz w:val="24"/>
          <w:szCs w:val="24"/>
        </w:rPr>
        <w:t xml:space="preserve"> to have his leg examined in the local hospital because the skin around his knee was discolouring and began to smell due to the </w:t>
      </w:r>
      <w:r w:rsidR="00C742BB" w:rsidRPr="00F742F8">
        <w:rPr>
          <w:rFonts w:ascii="Times New Roman" w:hAnsi="Times New Roman" w:cs="Times New Roman"/>
          <w:sz w:val="24"/>
          <w:szCs w:val="24"/>
        </w:rPr>
        <w:t xml:space="preserve">injury in the work place he was advised it </w:t>
      </w:r>
      <w:r w:rsidR="00FB02CE" w:rsidRPr="00F742F8">
        <w:rPr>
          <w:rFonts w:ascii="Times New Roman" w:hAnsi="Times New Roman" w:cs="Times New Roman"/>
          <w:sz w:val="24"/>
          <w:szCs w:val="24"/>
        </w:rPr>
        <w:t>was nothing to worry about. Elijah returned to the hospital on few day</w:t>
      </w:r>
      <w:r w:rsidR="00831FFD" w:rsidRPr="00F742F8">
        <w:rPr>
          <w:rFonts w:ascii="Times New Roman" w:hAnsi="Times New Roman" w:cs="Times New Roman"/>
          <w:sz w:val="24"/>
          <w:szCs w:val="24"/>
        </w:rPr>
        <w:t>s later because of his concern,</w:t>
      </w:r>
      <w:r w:rsidR="00FB02CE" w:rsidRPr="00F742F8">
        <w:rPr>
          <w:rFonts w:ascii="Times New Roman" w:hAnsi="Times New Roman" w:cs="Times New Roman"/>
          <w:sz w:val="24"/>
          <w:szCs w:val="24"/>
        </w:rPr>
        <w:t xml:space="preserve"> this time when they</w:t>
      </w:r>
      <w:r w:rsidR="00C742BB" w:rsidRPr="00F742F8">
        <w:rPr>
          <w:rFonts w:ascii="Times New Roman" w:hAnsi="Times New Roman" w:cs="Times New Roman"/>
          <w:sz w:val="24"/>
          <w:szCs w:val="24"/>
        </w:rPr>
        <w:t xml:space="preserve"> examined </w:t>
      </w:r>
      <w:r w:rsidR="00FB02CE" w:rsidRPr="00F742F8">
        <w:rPr>
          <w:rFonts w:ascii="Times New Roman" w:hAnsi="Times New Roman" w:cs="Times New Roman"/>
          <w:sz w:val="24"/>
          <w:szCs w:val="24"/>
        </w:rPr>
        <w:t xml:space="preserve">him again he was told he has a gangrene and they need to operate </w:t>
      </w:r>
      <w:r w:rsidR="00831FFD" w:rsidRPr="00F742F8">
        <w:rPr>
          <w:rFonts w:ascii="Times New Roman" w:hAnsi="Times New Roman" w:cs="Times New Roman"/>
          <w:sz w:val="24"/>
          <w:szCs w:val="24"/>
        </w:rPr>
        <w:t>as soon as possible.</w:t>
      </w:r>
      <w:r w:rsidR="00C742BB" w:rsidRPr="00F742F8">
        <w:rPr>
          <w:rFonts w:ascii="Times New Roman" w:hAnsi="Times New Roman" w:cs="Times New Roman"/>
          <w:sz w:val="24"/>
          <w:szCs w:val="24"/>
        </w:rPr>
        <w:t xml:space="preserve"> </w:t>
      </w:r>
      <w:r w:rsidR="00291EC1" w:rsidRPr="00F742F8">
        <w:rPr>
          <w:rFonts w:ascii="Times New Roman" w:hAnsi="Times New Roman" w:cs="Times New Roman"/>
          <w:sz w:val="24"/>
          <w:szCs w:val="24"/>
        </w:rPr>
        <w:t xml:space="preserve"> In this way</w:t>
      </w:r>
      <w:r w:rsidR="00CA0149" w:rsidRPr="00F742F8">
        <w:rPr>
          <w:rFonts w:ascii="Times New Roman" w:hAnsi="Times New Roman" w:cs="Times New Roman"/>
          <w:sz w:val="24"/>
          <w:szCs w:val="24"/>
        </w:rPr>
        <w:t>,</w:t>
      </w:r>
      <w:r w:rsidR="00C742BB" w:rsidRPr="00F742F8">
        <w:rPr>
          <w:rFonts w:ascii="Times New Roman" w:hAnsi="Times New Roman" w:cs="Times New Roman"/>
          <w:sz w:val="24"/>
          <w:szCs w:val="24"/>
        </w:rPr>
        <w:t xml:space="preserve"> Elijah</w:t>
      </w:r>
      <w:r w:rsidR="00291EC1" w:rsidRPr="00F742F8">
        <w:rPr>
          <w:rFonts w:ascii="Times New Roman" w:hAnsi="Times New Roman" w:cs="Times New Roman"/>
          <w:sz w:val="24"/>
          <w:szCs w:val="24"/>
        </w:rPr>
        <w:t xml:space="preserve"> can file a substantive case against th</w:t>
      </w:r>
      <w:r w:rsidR="00C742BB" w:rsidRPr="00F742F8">
        <w:rPr>
          <w:rFonts w:ascii="Times New Roman" w:hAnsi="Times New Roman" w:cs="Times New Roman"/>
          <w:sz w:val="24"/>
          <w:szCs w:val="24"/>
        </w:rPr>
        <w:t>e responsible general surgeon who</w:t>
      </w:r>
      <w:r w:rsidR="00291EC1" w:rsidRPr="00F742F8">
        <w:rPr>
          <w:rFonts w:ascii="Times New Roman" w:hAnsi="Times New Roman" w:cs="Times New Roman"/>
          <w:sz w:val="24"/>
          <w:szCs w:val="24"/>
        </w:rPr>
        <w:t xml:space="preserve"> diagnose</w:t>
      </w:r>
      <w:r w:rsidR="00C742BB" w:rsidRPr="00F742F8">
        <w:rPr>
          <w:rFonts w:ascii="Times New Roman" w:hAnsi="Times New Roman" w:cs="Times New Roman"/>
          <w:sz w:val="24"/>
          <w:szCs w:val="24"/>
        </w:rPr>
        <w:t>d</w:t>
      </w:r>
      <w:r w:rsidR="00291EC1" w:rsidRPr="00F742F8">
        <w:rPr>
          <w:rFonts w:ascii="Times New Roman" w:hAnsi="Times New Roman" w:cs="Times New Roman"/>
          <w:sz w:val="24"/>
          <w:szCs w:val="24"/>
        </w:rPr>
        <w:t xml:space="preserve"> and treat</w:t>
      </w:r>
      <w:r w:rsidR="00C742BB" w:rsidRPr="00F742F8">
        <w:rPr>
          <w:rFonts w:ascii="Times New Roman" w:hAnsi="Times New Roman" w:cs="Times New Roman"/>
          <w:sz w:val="24"/>
          <w:szCs w:val="24"/>
        </w:rPr>
        <w:t>ed</w:t>
      </w:r>
      <w:r w:rsidR="00291EC1" w:rsidRPr="00F742F8">
        <w:rPr>
          <w:rFonts w:ascii="Times New Roman" w:hAnsi="Times New Roman" w:cs="Times New Roman"/>
          <w:sz w:val="24"/>
          <w:szCs w:val="24"/>
        </w:rPr>
        <w:t xml:space="preserve"> his condition. If the delay in gangrene diagnosis is the result of clinical negligence or a failure to promptly treat a more </w:t>
      </w:r>
      <w:r w:rsidR="00831FFD" w:rsidRPr="00F742F8">
        <w:rPr>
          <w:rFonts w:ascii="Times New Roman" w:hAnsi="Times New Roman" w:cs="Times New Roman"/>
          <w:sz w:val="24"/>
          <w:szCs w:val="24"/>
        </w:rPr>
        <w:t xml:space="preserve">serious health condition, Elijah </w:t>
      </w:r>
      <w:r w:rsidR="00291EC1" w:rsidRPr="00F742F8">
        <w:rPr>
          <w:rFonts w:ascii="Times New Roman" w:hAnsi="Times New Roman" w:cs="Times New Roman"/>
          <w:sz w:val="24"/>
          <w:szCs w:val="24"/>
        </w:rPr>
        <w:t>may seek compensation for additional medical costs, pain and suffering, and significantly incr</w:t>
      </w:r>
      <w:r w:rsidR="00831FFD" w:rsidRPr="00F742F8">
        <w:rPr>
          <w:rFonts w:ascii="Times New Roman" w:hAnsi="Times New Roman" w:cs="Times New Roman"/>
          <w:sz w:val="24"/>
          <w:szCs w:val="24"/>
        </w:rPr>
        <w:t>eased disability</w:t>
      </w:r>
      <w:r w:rsidR="00291EC1" w:rsidRPr="00F742F8">
        <w:rPr>
          <w:rFonts w:ascii="Times New Roman" w:hAnsi="Times New Roman" w:cs="Times New Roman"/>
          <w:sz w:val="24"/>
          <w:szCs w:val="24"/>
        </w:rPr>
        <w:t>. Investigating the complexity of this scenario requires a comprehensive evaluation of work safety protocols, clinical records</w:t>
      </w:r>
      <w:r w:rsidR="00CA0149" w:rsidRPr="00F742F8">
        <w:rPr>
          <w:rFonts w:ascii="Times New Roman" w:hAnsi="Times New Roman" w:cs="Times New Roman"/>
          <w:sz w:val="24"/>
          <w:szCs w:val="24"/>
        </w:rPr>
        <w:t>,</w:t>
      </w:r>
      <w:r w:rsidR="00291EC1" w:rsidRPr="00F742F8">
        <w:rPr>
          <w:rFonts w:ascii="Times New Roman" w:hAnsi="Times New Roman" w:cs="Times New Roman"/>
          <w:sz w:val="24"/>
          <w:szCs w:val="24"/>
        </w:rPr>
        <w:t xml:space="preserve"> and schedules</w:t>
      </w:r>
      <w:r w:rsidR="0045405C" w:rsidRPr="00F742F8">
        <w:rPr>
          <w:rFonts w:ascii="Times New Roman" w:hAnsi="Times New Roman" w:cs="Times New Roman"/>
          <w:sz w:val="24"/>
          <w:szCs w:val="24"/>
        </w:rPr>
        <w:t xml:space="preserve"> (Gulati </w:t>
      </w:r>
      <w:r w:rsidR="0045405C" w:rsidRPr="00F742F8">
        <w:rPr>
          <w:rFonts w:ascii="Times New Roman" w:hAnsi="Times New Roman" w:cs="Times New Roman"/>
          <w:i/>
          <w:iCs/>
          <w:sz w:val="24"/>
          <w:szCs w:val="24"/>
        </w:rPr>
        <w:t>et al.</w:t>
      </w:r>
      <w:r w:rsidR="0045405C" w:rsidRPr="00F742F8">
        <w:rPr>
          <w:rFonts w:ascii="Times New Roman" w:hAnsi="Times New Roman" w:cs="Times New Roman"/>
          <w:sz w:val="24"/>
          <w:szCs w:val="24"/>
        </w:rPr>
        <w:t>, 2020)</w:t>
      </w:r>
      <w:r w:rsidR="00291EC1" w:rsidRPr="00F742F8">
        <w:rPr>
          <w:rFonts w:ascii="Times New Roman" w:hAnsi="Times New Roman" w:cs="Times New Roman"/>
          <w:sz w:val="24"/>
          <w:szCs w:val="24"/>
        </w:rPr>
        <w:t>. The cl</w:t>
      </w:r>
      <w:r w:rsidR="00831FFD" w:rsidRPr="00F742F8">
        <w:rPr>
          <w:rFonts w:ascii="Times New Roman" w:hAnsi="Times New Roman" w:cs="Times New Roman"/>
          <w:sz w:val="24"/>
          <w:szCs w:val="24"/>
        </w:rPr>
        <w:t>aims against Elijahs employer</w:t>
      </w:r>
      <w:r w:rsidR="00291EC1" w:rsidRPr="00F742F8">
        <w:rPr>
          <w:rFonts w:ascii="Times New Roman" w:hAnsi="Times New Roman" w:cs="Times New Roman"/>
          <w:sz w:val="24"/>
          <w:szCs w:val="24"/>
        </w:rPr>
        <w:t xml:space="preserve"> and his general practitioner establish a causal link between their acts or omissions and the resulting injury and provide the basis for an award of damages.</w:t>
      </w:r>
    </w:p>
    <w:p w14:paraId="3EBD42C8" w14:textId="77777777" w:rsidR="00E95AEC" w:rsidRPr="00F742F8" w:rsidRDefault="00E95AEC" w:rsidP="00E95AEC">
      <w:pPr>
        <w:spacing w:after="0" w:line="360" w:lineRule="auto"/>
        <w:jc w:val="both"/>
        <w:rPr>
          <w:rFonts w:ascii="Times New Roman" w:hAnsi="Times New Roman" w:cs="Times New Roman"/>
          <w:sz w:val="24"/>
          <w:szCs w:val="24"/>
        </w:rPr>
      </w:pPr>
    </w:p>
    <w:p w14:paraId="4E895914" w14:textId="45D18BEA" w:rsidR="009C6A6F" w:rsidRPr="00F742F8" w:rsidRDefault="00F742F8" w:rsidP="00E95AEC">
      <w:pPr>
        <w:spacing w:after="0" w:line="360" w:lineRule="auto"/>
        <w:ind w:firstLine="720"/>
        <w:jc w:val="both"/>
        <w:rPr>
          <w:rFonts w:ascii="Times New Roman" w:hAnsi="Times New Roman" w:cs="Times New Roman"/>
          <w:sz w:val="24"/>
          <w:szCs w:val="24"/>
        </w:rPr>
      </w:pPr>
      <w:r w:rsidRPr="00F742F8">
        <w:rPr>
          <w:rFonts w:ascii="Times New Roman" w:hAnsi="Times New Roman" w:cs="Times New Roman"/>
          <w:sz w:val="24"/>
          <w:szCs w:val="24"/>
        </w:rPr>
        <w:t>1. Personal</w:t>
      </w:r>
      <w:r w:rsidR="009C6A6F" w:rsidRPr="00F742F8">
        <w:rPr>
          <w:rFonts w:ascii="Times New Roman" w:hAnsi="Times New Roman" w:cs="Times New Roman"/>
          <w:sz w:val="24"/>
          <w:szCs w:val="24"/>
        </w:rPr>
        <w:t xml:space="preserve"> Liability:</w:t>
      </w:r>
      <w:r w:rsidR="009C6A6F" w:rsidRPr="00F742F8">
        <w:rPr>
          <w:rFonts w:ascii="Times New Roman" w:hAnsi="Times New Roman" w:cs="Times New Roman"/>
          <w:sz w:val="24"/>
          <w:szCs w:val="24"/>
        </w:rPr>
        <w:t xml:space="preserve"> Elijah</w:t>
      </w:r>
      <w:r w:rsidR="009C6A6F" w:rsidRPr="00F742F8">
        <w:rPr>
          <w:rFonts w:ascii="Times New Roman" w:hAnsi="Times New Roman" w:cs="Times New Roman"/>
          <w:sz w:val="24"/>
          <w:szCs w:val="24"/>
        </w:rPr>
        <w:t xml:space="preserve"> interest in justice should extend to investigating possible personal liability for interpersonal negligence in his work environment. In some cases, certain actions and decisions made by individuals can directly increase accidents and create personal liability. By looking at the leadership of a boss, manager, or co-worker, they can show examples of how their actions and decisions are </w:t>
      </w:r>
      <w:r w:rsidR="00E95AEC" w:rsidRPr="00F742F8">
        <w:rPr>
          <w:rFonts w:ascii="Times New Roman" w:hAnsi="Times New Roman" w:cs="Times New Roman"/>
          <w:sz w:val="24"/>
          <w:szCs w:val="24"/>
        </w:rPr>
        <w:t>part of running the job. If Elijah</w:t>
      </w:r>
      <w:r w:rsidR="009C6A6F" w:rsidRPr="00F742F8">
        <w:rPr>
          <w:rFonts w:ascii="Times New Roman" w:hAnsi="Times New Roman" w:cs="Times New Roman"/>
          <w:sz w:val="24"/>
          <w:szCs w:val="24"/>
        </w:rPr>
        <w:t xml:space="preserve"> can quickly establish a connection between the negligence of some people and the harm he suffered, he can have a personal injury case against them (Sheptycki, 2020). This approach recognises that negligence can vary and in</w:t>
      </w:r>
      <w:r w:rsidR="00E95AEC" w:rsidRPr="00F742F8">
        <w:rPr>
          <w:rFonts w:ascii="Times New Roman" w:hAnsi="Times New Roman" w:cs="Times New Roman"/>
          <w:sz w:val="24"/>
          <w:szCs w:val="24"/>
        </w:rPr>
        <w:t xml:space="preserve">clude the actions of </w:t>
      </w:r>
      <w:r w:rsidR="009C6A6F" w:rsidRPr="00F742F8">
        <w:rPr>
          <w:rFonts w:ascii="Times New Roman" w:hAnsi="Times New Roman" w:cs="Times New Roman"/>
          <w:sz w:val="24"/>
          <w:szCs w:val="24"/>
        </w:rPr>
        <w:t>individuals within an organisation. Examining the actions and deci</w:t>
      </w:r>
      <w:r w:rsidR="00E95AEC" w:rsidRPr="00F742F8">
        <w:rPr>
          <w:rFonts w:ascii="Times New Roman" w:hAnsi="Times New Roman" w:cs="Times New Roman"/>
          <w:sz w:val="24"/>
          <w:szCs w:val="24"/>
        </w:rPr>
        <w:t>sions of the protagonists, Elijah</w:t>
      </w:r>
      <w:r w:rsidR="009C6A6F" w:rsidRPr="00F742F8">
        <w:rPr>
          <w:rFonts w:ascii="Times New Roman" w:hAnsi="Times New Roman" w:cs="Times New Roman"/>
          <w:sz w:val="24"/>
          <w:szCs w:val="24"/>
        </w:rPr>
        <w:t xml:space="preserve"> not only sees the potential personal responsibility of those who may be directly responsible for this incident but also meets the progressive</w:t>
      </w:r>
      <w:r w:rsidR="00E95AEC" w:rsidRPr="00F742F8">
        <w:rPr>
          <w:rFonts w:ascii="Times New Roman" w:hAnsi="Times New Roman" w:cs="Times New Roman"/>
          <w:sz w:val="24"/>
          <w:szCs w:val="24"/>
        </w:rPr>
        <w:t xml:space="preserve"> duties of care, a</w:t>
      </w:r>
      <w:r w:rsidR="009C6A6F" w:rsidRPr="00F742F8">
        <w:rPr>
          <w:rFonts w:ascii="Times New Roman" w:hAnsi="Times New Roman" w:cs="Times New Roman"/>
          <w:sz w:val="24"/>
          <w:szCs w:val="24"/>
        </w:rPr>
        <w:t xml:space="preserve"> comprehensive case</w:t>
      </w:r>
      <w:r w:rsidR="00E95AEC" w:rsidRPr="00F742F8">
        <w:rPr>
          <w:rFonts w:ascii="Times New Roman" w:hAnsi="Times New Roman" w:cs="Times New Roman"/>
          <w:sz w:val="24"/>
          <w:szCs w:val="24"/>
        </w:rPr>
        <w:t xml:space="preserve"> can built.</w:t>
      </w:r>
    </w:p>
    <w:p w14:paraId="2ACA31B0" w14:textId="43D375E3" w:rsidR="00575474" w:rsidRPr="00F742F8" w:rsidRDefault="00575474" w:rsidP="009C6A6F">
      <w:pPr>
        <w:pStyle w:val="Heading2"/>
        <w:rPr>
          <w:color w:val="auto"/>
        </w:rPr>
      </w:pPr>
      <w:r w:rsidRPr="00F742F8">
        <w:rPr>
          <w:color w:val="auto"/>
        </w:rPr>
        <w:lastRenderedPageBreak/>
        <w:t>Common Law Duty of</w:t>
      </w:r>
      <w:r w:rsidR="009C6A6F" w:rsidRPr="00F742F8">
        <w:rPr>
          <w:color w:val="auto"/>
        </w:rPr>
        <w:t xml:space="preserve"> </w:t>
      </w:r>
      <w:r w:rsidRPr="00F742F8">
        <w:rPr>
          <w:color w:val="auto"/>
        </w:rPr>
        <w:t xml:space="preserve"> Care:</w:t>
      </w:r>
      <w:r w:rsidR="00E95AEC" w:rsidRPr="00F742F8">
        <w:rPr>
          <w:color w:val="auto"/>
        </w:rPr>
        <w:t xml:space="preserve"> </w:t>
      </w:r>
      <w:r w:rsidR="00831FFD" w:rsidRPr="00F742F8">
        <w:rPr>
          <w:color w:val="auto"/>
        </w:rPr>
        <w:t>The common law duty of care which</w:t>
      </w:r>
      <w:r w:rsidR="004D5B05" w:rsidRPr="00F742F8">
        <w:rPr>
          <w:color w:val="auto"/>
        </w:rPr>
        <w:t xml:space="preserve"> particularly insists on the responsibil</w:t>
      </w:r>
      <w:r w:rsidR="00831FFD" w:rsidRPr="00F742F8">
        <w:rPr>
          <w:color w:val="auto"/>
        </w:rPr>
        <w:t>ity of the employer</w:t>
      </w:r>
      <w:r w:rsidR="004D5B05" w:rsidRPr="00F742F8">
        <w:rPr>
          <w:color w:val="auto"/>
        </w:rPr>
        <w:t xml:space="preserve"> to maintain a safe workplace. This duty was recogni</w:t>
      </w:r>
      <w:r w:rsidR="00933066" w:rsidRPr="00F742F8">
        <w:rPr>
          <w:color w:val="auto"/>
        </w:rPr>
        <w:t>s</w:t>
      </w:r>
      <w:r w:rsidR="004D5B05" w:rsidRPr="00F742F8">
        <w:rPr>
          <w:color w:val="auto"/>
        </w:rPr>
        <w:t xml:space="preserve">ed in cases such as </w:t>
      </w:r>
      <w:r w:rsidR="006C117C" w:rsidRPr="00F742F8">
        <w:rPr>
          <w:color w:val="auto"/>
        </w:rPr>
        <w:t>Blyth v Birmingham Water Board (</w:t>
      </w:r>
      <w:r w:rsidR="004D5B05" w:rsidRPr="00F742F8">
        <w:rPr>
          <w:color w:val="auto"/>
        </w:rPr>
        <w:t>185</w:t>
      </w:r>
      <w:r w:rsidR="006C117C" w:rsidRPr="00F742F8">
        <w:rPr>
          <w:color w:val="auto"/>
        </w:rPr>
        <w:t>6)</w:t>
      </w:r>
      <w:r w:rsidR="004D5B05" w:rsidRPr="00F742F8">
        <w:rPr>
          <w:color w:val="auto"/>
        </w:rPr>
        <w:t>, which emphasi</w:t>
      </w:r>
      <w:r w:rsidR="00933066" w:rsidRPr="00F742F8">
        <w:rPr>
          <w:color w:val="auto"/>
        </w:rPr>
        <w:t>s</w:t>
      </w:r>
      <w:r w:rsidR="004D5B05" w:rsidRPr="00F742F8">
        <w:rPr>
          <w:color w:val="auto"/>
        </w:rPr>
        <w:t>ed that negligence breached the duty of reasonable care</w:t>
      </w:r>
      <w:r w:rsidR="0045405C" w:rsidRPr="00F742F8">
        <w:rPr>
          <w:color w:val="auto"/>
        </w:rPr>
        <w:t xml:space="preserve"> (Llinares, 2020)</w:t>
      </w:r>
      <w:r w:rsidR="00831FFD" w:rsidRPr="00F742F8">
        <w:rPr>
          <w:color w:val="auto"/>
        </w:rPr>
        <w:t>. Perhaps Elijahs employer</w:t>
      </w:r>
      <w:r w:rsidR="004D5B05" w:rsidRPr="00F742F8">
        <w:rPr>
          <w:color w:val="auto"/>
        </w:rPr>
        <w:t xml:space="preserve"> should be held responsible for such a remote risk under this approved regime because he either forgot to provide a safe workplace or did not properly communicate the potential risks to his </w:t>
      </w:r>
      <w:r w:rsidR="00831FFD" w:rsidRPr="00F742F8">
        <w:rPr>
          <w:color w:val="auto"/>
        </w:rPr>
        <w:t>employees.</w:t>
      </w:r>
      <w:r w:rsidR="004D5B05" w:rsidRPr="00F742F8">
        <w:rPr>
          <w:color w:val="auto"/>
        </w:rPr>
        <w:t xml:space="preserve"> The perspective expressed in Blyth v Birmingham Water Company suggests that a failure to meet this duty of care, such as a failure to take reasonable steps or to warn of work hazards, can lead t</w:t>
      </w:r>
      <w:r w:rsidR="002A6757" w:rsidRPr="00F742F8">
        <w:rPr>
          <w:color w:val="auto"/>
        </w:rPr>
        <w:t>o a finding of negligence. Elijah</w:t>
      </w:r>
      <w:r w:rsidR="004D5B05" w:rsidRPr="00F742F8">
        <w:rPr>
          <w:color w:val="auto"/>
        </w:rPr>
        <w:t xml:space="preserve"> </w:t>
      </w:r>
      <w:r w:rsidR="002A6757" w:rsidRPr="00F742F8">
        <w:rPr>
          <w:color w:val="auto"/>
        </w:rPr>
        <w:t>can raise a complaint with the ombudsman</w:t>
      </w:r>
      <w:r w:rsidR="004D5B05" w:rsidRPr="00F742F8">
        <w:rPr>
          <w:color w:val="auto"/>
        </w:rPr>
        <w:t xml:space="preserve"> to prove that his short-term injury was the result of the company's failure to take car</w:t>
      </w:r>
      <w:r w:rsidR="002A6757" w:rsidRPr="00F742F8">
        <w:rPr>
          <w:color w:val="auto"/>
        </w:rPr>
        <w:t>e of the company and to hold the company</w:t>
      </w:r>
      <w:r w:rsidR="004D5B05" w:rsidRPr="00F742F8">
        <w:rPr>
          <w:color w:val="auto"/>
        </w:rPr>
        <w:t xml:space="preserve"> responsibility for its outcome</w:t>
      </w:r>
      <w:r w:rsidR="00437A38" w:rsidRPr="00F742F8">
        <w:rPr>
          <w:color w:val="auto"/>
        </w:rPr>
        <w:t xml:space="preserve"> (</w:t>
      </w:r>
      <w:r w:rsidR="00E95AEC" w:rsidRPr="00F742F8">
        <w:rPr>
          <w:color w:val="auto"/>
        </w:rPr>
        <w:t>Masse.</w:t>
      </w:r>
      <w:r w:rsidR="00437A38" w:rsidRPr="00F742F8">
        <w:rPr>
          <w:color w:val="auto"/>
        </w:rPr>
        <w:t xml:space="preserve"> 2020)</w:t>
      </w:r>
      <w:r w:rsidR="004D5B05" w:rsidRPr="00F742F8">
        <w:rPr>
          <w:color w:val="auto"/>
        </w:rPr>
        <w:t>.</w:t>
      </w:r>
    </w:p>
    <w:p w14:paraId="2F2F8FFC" w14:textId="77777777" w:rsidR="00E95AEC" w:rsidRPr="00F742F8" w:rsidRDefault="009C6A6F" w:rsidP="00E95AEC">
      <w:pPr>
        <w:pStyle w:val="Heading2"/>
        <w:rPr>
          <w:color w:val="auto"/>
        </w:rPr>
      </w:pPr>
      <w:r w:rsidRPr="00F742F8">
        <w:rPr>
          <w:color w:val="auto"/>
        </w:rPr>
        <w:t>Statutory Duty of Care:</w:t>
      </w:r>
      <w:r w:rsidR="00E95AEC" w:rsidRPr="00F742F8">
        <w:rPr>
          <w:color w:val="auto"/>
        </w:rPr>
        <w:t xml:space="preserve"> Elijah</w:t>
      </w:r>
      <w:r w:rsidRPr="00F742F8">
        <w:rPr>
          <w:color w:val="auto"/>
        </w:rPr>
        <w:t xml:space="preserve"> employers provide the usual risk of carrying out the statutory duties outlined in the Health and Safety Regulations. Certain legal obligations are required for employers to maintain a safe workplace, provide safe work procedures, and arrange safe warnings. A failure to comply with these obligations can place an employer against a statutory duty, as demonstrated in Estate v Lee [2009]. This authentic perspective emphasises the key importance of compliance with legal obligations to protect the welfare of agents. In Elijah's case, a breach of these duties would provide an action against the employer because it would highlight a breach of common law duties as well as specific warranty obligations issued to protect empl</w:t>
      </w:r>
      <w:r w:rsidR="00E95AEC" w:rsidRPr="00F742F8">
        <w:rPr>
          <w:color w:val="auto"/>
        </w:rPr>
        <w:t xml:space="preserve">oyees.In the case of  </w:t>
      </w:r>
      <w:r w:rsidRPr="00F742F8">
        <w:rPr>
          <w:color w:val="auto"/>
        </w:rPr>
        <w:t>House of Representatives v. Lee sets a legal precedent that emphasises the importance of remaining legally bound and aware of injuries due to an employer's alleged negligence in keeping the workplace safe. It is a persuasive reference to the material for Elijah's request for a reward (Setjo and Ma’ruf, 2020).</w:t>
      </w:r>
    </w:p>
    <w:p w14:paraId="59C2771E" w14:textId="77777777" w:rsidR="00E95AEC" w:rsidRPr="00F742F8" w:rsidRDefault="00E95AEC" w:rsidP="00E95AEC">
      <w:pPr>
        <w:rPr>
          <w:sz w:val="24"/>
          <w:szCs w:val="24"/>
        </w:rPr>
      </w:pPr>
    </w:p>
    <w:p w14:paraId="164D96C3" w14:textId="146E9289" w:rsidR="009C6A6F" w:rsidRPr="00F742F8" w:rsidRDefault="009C6A6F" w:rsidP="00E95AEC">
      <w:pPr>
        <w:pStyle w:val="Heading2"/>
        <w:rPr>
          <w:color w:val="auto"/>
        </w:rPr>
      </w:pPr>
      <w:r w:rsidRPr="00F742F8">
        <w:rPr>
          <w:color w:val="auto"/>
        </w:rPr>
        <w:lastRenderedPageBreak/>
        <w:t>Contractual Duty:</w:t>
      </w:r>
      <w:r w:rsidRPr="00F742F8">
        <w:rPr>
          <w:color w:val="auto"/>
        </w:rPr>
        <w:t xml:space="preserve"> </w:t>
      </w:r>
      <w:r w:rsidRPr="00F742F8">
        <w:rPr>
          <w:color w:val="auto"/>
        </w:rPr>
        <w:t>Elijah's investigation of potential claims depends on a thorough investigation of the employment contract to ensure that it contains express clauses that extend the duty of care owed to employers by employers. Employment contracts often set out obligations relating to job security and occupational health (Siregar, Siregar and Lubis, 2020). Particular attention must be paid to the terms and provisions that specifically address the duty of care, safety procedures or the employer's responsibil</w:t>
      </w:r>
      <w:r w:rsidR="00E95AEC" w:rsidRPr="00F742F8">
        <w:rPr>
          <w:color w:val="auto"/>
        </w:rPr>
        <w:t>ity to be placed in safety. Elijah</w:t>
      </w:r>
      <w:r w:rsidRPr="00F742F8">
        <w:rPr>
          <w:color w:val="auto"/>
        </w:rPr>
        <w:t xml:space="preserve"> can establish the contractual basis of his claim and strengthen his case against his employer</w:t>
      </w:r>
      <w:r w:rsidRPr="00F742F8">
        <w:rPr>
          <w:rStyle w:val="FootnoteReference"/>
          <w:color w:val="auto"/>
        </w:rPr>
        <w:t xml:space="preserve"> </w:t>
      </w:r>
      <w:r w:rsidRPr="00F742F8">
        <w:rPr>
          <w:color w:val="auto"/>
        </w:rPr>
        <w:t>(White and Fradella, 2020). If the contract outlines the employer's commitments to keeping a safe workplace and Elijah can demonstrate a break of these contractual obligations, it would add a significant dimension to his lawful arguments and bolster his chances of securing compensation for the injuries and damages resulting from the workplace episode.</w:t>
      </w:r>
    </w:p>
    <w:p w14:paraId="2728FE6F" w14:textId="77777777" w:rsidR="009C6A6F" w:rsidRPr="00F742F8" w:rsidRDefault="009C6A6F" w:rsidP="009C6A6F">
      <w:pPr>
        <w:pStyle w:val="Heading2"/>
        <w:ind w:firstLine="0"/>
        <w:rPr>
          <w:rFonts w:asciiTheme="minorHAnsi" w:eastAsiaTheme="minorHAnsi" w:hAnsiTheme="minorHAnsi" w:cstheme="minorBidi"/>
          <w:color w:val="auto"/>
        </w:rPr>
      </w:pPr>
    </w:p>
    <w:p w14:paraId="34F6BE32" w14:textId="17D61A1B" w:rsidR="00575474" w:rsidRPr="00F742F8" w:rsidRDefault="00575474" w:rsidP="009C6A6F">
      <w:pPr>
        <w:pStyle w:val="Heading2"/>
        <w:rPr>
          <w:color w:val="auto"/>
        </w:rPr>
      </w:pPr>
      <w:r w:rsidRPr="00F742F8">
        <w:rPr>
          <w:color w:val="auto"/>
        </w:rPr>
        <w:t>2. Employers Liability:</w:t>
      </w:r>
      <w:r w:rsidR="007237EB" w:rsidRPr="00F742F8">
        <w:rPr>
          <w:color w:val="auto"/>
        </w:rPr>
        <w:t xml:space="preserve"> </w:t>
      </w:r>
      <w:r w:rsidR="001650D2" w:rsidRPr="00F742F8">
        <w:rPr>
          <w:color w:val="auto"/>
        </w:rPr>
        <w:t>The Indirect Risks Directive imposes general legal liability on employers for the actions of their employees and makes employers liable for the negligence of their employees. In the case of Elijah, he ma</w:t>
      </w:r>
      <w:r w:rsidR="007237EB" w:rsidRPr="00F742F8">
        <w:rPr>
          <w:color w:val="auto"/>
        </w:rPr>
        <w:t>y need this sign to sue his employers</w:t>
      </w:r>
      <w:r w:rsidR="001650D2" w:rsidRPr="00F742F8">
        <w:rPr>
          <w:color w:val="auto"/>
        </w:rPr>
        <w:t xml:space="preserve"> for negligence. The Employer Risk (Compulsory Insurance) Act of 1969 reinforces Elijah's position by requiring employers to carry liability insurance for claims from injuries sustained by their employees</w:t>
      </w:r>
      <w:r w:rsidR="00437A38" w:rsidRPr="00F742F8">
        <w:rPr>
          <w:color w:val="auto"/>
        </w:rPr>
        <w:t xml:space="preserve"> (Okhrimenko </w:t>
      </w:r>
      <w:r w:rsidR="00437A38" w:rsidRPr="00F742F8">
        <w:rPr>
          <w:i/>
          <w:iCs/>
          <w:color w:val="auto"/>
        </w:rPr>
        <w:t>et al.</w:t>
      </w:r>
      <w:r w:rsidR="00437A38" w:rsidRPr="00F742F8">
        <w:rPr>
          <w:color w:val="auto"/>
        </w:rPr>
        <w:t>, 2020)</w:t>
      </w:r>
      <w:r w:rsidR="002A6757" w:rsidRPr="00F742F8">
        <w:rPr>
          <w:color w:val="auto"/>
        </w:rPr>
        <w:t>. Under this law, elijah would be able</w:t>
      </w:r>
      <w:r w:rsidR="001650D2" w:rsidRPr="00F742F8">
        <w:rPr>
          <w:color w:val="auto"/>
        </w:rPr>
        <w:t xml:space="preserve"> to claim compensation for injuries cau</w:t>
      </w:r>
      <w:r w:rsidR="002A6757" w:rsidRPr="00F742F8">
        <w:rPr>
          <w:color w:val="auto"/>
        </w:rPr>
        <w:t>sed by the company's negligence</w:t>
      </w:r>
      <w:r w:rsidR="001650D2" w:rsidRPr="00F742F8">
        <w:rPr>
          <w:color w:val="auto"/>
        </w:rPr>
        <w:t xml:space="preserve"> and the compa</w:t>
      </w:r>
      <w:r w:rsidR="007237EB" w:rsidRPr="00F742F8">
        <w:rPr>
          <w:color w:val="auto"/>
        </w:rPr>
        <w:t>ny must hold liability</w:t>
      </w:r>
      <w:r w:rsidR="001650D2" w:rsidRPr="00F742F8">
        <w:rPr>
          <w:color w:val="auto"/>
        </w:rPr>
        <w:t xml:space="preserve"> to cover these claims. This legal structure</w:t>
      </w:r>
      <w:r w:rsidR="002A6757" w:rsidRPr="00F742F8">
        <w:rPr>
          <w:color w:val="auto"/>
        </w:rPr>
        <w:t xml:space="preserve"> ensures that workers like Elijah</w:t>
      </w:r>
      <w:r w:rsidR="001650D2" w:rsidRPr="00F742F8">
        <w:rPr>
          <w:color w:val="auto"/>
        </w:rPr>
        <w:t xml:space="preserve"> have compens</w:t>
      </w:r>
      <w:r w:rsidR="002A6757" w:rsidRPr="00F742F8">
        <w:rPr>
          <w:color w:val="auto"/>
        </w:rPr>
        <w:t>ation for work injuries and the</w:t>
      </w:r>
      <w:r w:rsidR="001650D2" w:rsidRPr="00F742F8">
        <w:rPr>
          <w:color w:val="auto"/>
        </w:rPr>
        <w:t xml:space="preserve"> </w:t>
      </w:r>
      <w:r w:rsidR="00537CB3" w:rsidRPr="00F742F8">
        <w:rPr>
          <w:color w:val="auto"/>
        </w:rPr>
        <w:t>employers</w:t>
      </w:r>
      <w:r w:rsidR="001650D2" w:rsidRPr="00F742F8">
        <w:rPr>
          <w:color w:val="auto"/>
        </w:rPr>
        <w:t xml:space="preserve"> can provide insurance to cover lia</w:t>
      </w:r>
      <w:r w:rsidR="009C6A6F" w:rsidRPr="00F742F8">
        <w:rPr>
          <w:color w:val="auto"/>
        </w:rPr>
        <w:t xml:space="preserve">bility for it. Elijah </w:t>
      </w:r>
      <w:r w:rsidR="001650D2" w:rsidRPr="00F742F8">
        <w:rPr>
          <w:color w:val="auto"/>
        </w:rPr>
        <w:t>potential lawsuit is based on these legal provisions and is expected to receive compensation for the loss suffered by the company</w:t>
      </w:r>
      <w:r w:rsidR="00437A38" w:rsidRPr="00F742F8">
        <w:rPr>
          <w:color w:val="auto"/>
        </w:rPr>
        <w:t xml:space="preserve"> (Phillips </w:t>
      </w:r>
      <w:r w:rsidR="00437A38" w:rsidRPr="00F742F8">
        <w:rPr>
          <w:i/>
          <w:iCs/>
          <w:color w:val="auto"/>
        </w:rPr>
        <w:t>et al.</w:t>
      </w:r>
      <w:r w:rsidR="00437A38" w:rsidRPr="00F742F8">
        <w:rPr>
          <w:color w:val="auto"/>
        </w:rPr>
        <w:t>, 2020)</w:t>
      </w:r>
      <w:r w:rsidR="001650D2" w:rsidRPr="00F742F8">
        <w:rPr>
          <w:color w:val="auto"/>
        </w:rPr>
        <w:t>.</w:t>
      </w:r>
    </w:p>
    <w:p w14:paraId="513E01B3" w14:textId="77777777" w:rsidR="009C6A6F" w:rsidRPr="00F742F8" w:rsidRDefault="009C6A6F" w:rsidP="002A6757">
      <w:pPr>
        <w:spacing w:after="0" w:line="360" w:lineRule="auto"/>
        <w:ind w:firstLine="720"/>
        <w:jc w:val="both"/>
        <w:rPr>
          <w:rFonts w:ascii="Times New Roman" w:hAnsi="Times New Roman" w:cs="Times New Roman"/>
          <w:sz w:val="24"/>
          <w:szCs w:val="24"/>
        </w:rPr>
      </w:pPr>
    </w:p>
    <w:p w14:paraId="66E067AA" w14:textId="76D275F4" w:rsidR="009C6A6F" w:rsidRPr="00F742F8" w:rsidRDefault="009C6A6F" w:rsidP="009C6A6F">
      <w:pPr>
        <w:spacing w:after="0" w:line="360" w:lineRule="auto"/>
        <w:jc w:val="both"/>
        <w:rPr>
          <w:rFonts w:ascii="Times New Roman" w:hAnsi="Times New Roman" w:cs="Times New Roman"/>
          <w:sz w:val="24"/>
          <w:szCs w:val="24"/>
        </w:rPr>
      </w:pPr>
      <w:r w:rsidRPr="00F742F8">
        <w:rPr>
          <w:rFonts w:ascii="Times New Roman" w:hAnsi="Times New Roman" w:cs="Times New Roman"/>
          <w:sz w:val="24"/>
          <w:szCs w:val="24"/>
        </w:rPr>
        <w:t>.</w:t>
      </w:r>
    </w:p>
    <w:p w14:paraId="057ABA28" w14:textId="77777777" w:rsidR="009C6A6F" w:rsidRPr="00F742F8" w:rsidRDefault="009C6A6F" w:rsidP="009C6A6F">
      <w:pPr>
        <w:spacing w:after="0" w:line="360" w:lineRule="auto"/>
        <w:jc w:val="both"/>
        <w:rPr>
          <w:rFonts w:ascii="Times New Roman" w:hAnsi="Times New Roman" w:cs="Times New Roman"/>
          <w:sz w:val="24"/>
          <w:szCs w:val="24"/>
        </w:rPr>
      </w:pPr>
    </w:p>
    <w:p w14:paraId="1B9BFE70" w14:textId="1B3E3910" w:rsidR="00575474" w:rsidRPr="00F742F8" w:rsidRDefault="009C6A6F" w:rsidP="009C6A6F">
      <w:pPr>
        <w:pStyle w:val="Heading2"/>
        <w:rPr>
          <w:color w:val="auto"/>
        </w:rPr>
      </w:pPr>
      <w:r w:rsidRPr="00F742F8">
        <w:rPr>
          <w:color w:val="auto"/>
        </w:rPr>
        <w:lastRenderedPageBreak/>
        <w:t>3</w:t>
      </w:r>
      <w:r w:rsidR="00575474" w:rsidRPr="00F742F8">
        <w:rPr>
          <w:color w:val="auto"/>
        </w:rPr>
        <w:t>. Vicarious Liability:</w:t>
      </w:r>
      <w:r w:rsidR="001A207E" w:rsidRPr="00F742F8">
        <w:rPr>
          <w:color w:val="auto"/>
        </w:rPr>
        <w:t>Vicarious liability is a lawful deci</w:t>
      </w:r>
      <w:r w:rsidR="00C829DC" w:rsidRPr="00F742F8">
        <w:rPr>
          <w:color w:val="auto"/>
        </w:rPr>
        <w:t>sion</w:t>
      </w:r>
      <w:r w:rsidR="001A207E" w:rsidRPr="00F742F8">
        <w:rPr>
          <w:color w:val="auto"/>
        </w:rPr>
        <w:t xml:space="preserve"> that assigns responsibility to employers for the actions of their employees performed inside the scope of their business. The milestone case Arranged Mixed Concrete (South Ea</w:t>
      </w:r>
      <w:r w:rsidR="007237EB" w:rsidRPr="00F742F8">
        <w:rPr>
          <w:color w:val="auto"/>
        </w:rPr>
        <w:t>st) Ltd v Minister of Pensions (1968)</w:t>
      </w:r>
      <w:r w:rsidR="001A207E" w:rsidRPr="00F742F8">
        <w:rPr>
          <w:color w:val="auto"/>
        </w:rPr>
        <w:t xml:space="preserve"> established the control and dependence test as essential in choosing if an individual qualifies as a representative</w:t>
      </w:r>
      <w:r w:rsidR="003465CC" w:rsidRPr="00F742F8">
        <w:rPr>
          <w:color w:val="auto"/>
        </w:rPr>
        <w:t xml:space="preserve"> (Boon-Kuo </w:t>
      </w:r>
      <w:r w:rsidR="003465CC" w:rsidRPr="00F742F8">
        <w:rPr>
          <w:i/>
          <w:iCs/>
          <w:color w:val="auto"/>
        </w:rPr>
        <w:t>et al.</w:t>
      </w:r>
      <w:r w:rsidR="003465CC" w:rsidRPr="00F742F8">
        <w:rPr>
          <w:color w:val="auto"/>
        </w:rPr>
        <w:t>, 2021)</w:t>
      </w:r>
      <w:r w:rsidR="007237EB" w:rsidRPr="00F742F8">
        <w:rPr>
          <w:color w:val="auto"/>
        </w:rPr>
        <w:t>. Elijah</w:t>
      </w:r>
      <w:r w:rsidR="001A207E" w:rsidRPr="00F742F8">
        <w:rPr>
          <w:color w:val="auto"/>
        </w:rPr>
        <w:t xml:space="preserve"> in pursuing a claim against his employer, could assert that his colleagues, whose carelessness provoked his injuries, were acting inside the scope of their business</w:t>
      </w:r>
      <w:r w:rsidR="008A40E0" w:rsidRPr="00F742F8">
        <w:rPr>
          <w:color w:val="auto"/>
        </w:rPr>
        <w:t>.</w:t>
      </w:r>
      <w:r w:rsidR="00B95D9B" w:rsidRPr="00F742F8">
        <w:rPr>
          <w:color w:val="auto"/>
        </w:rPr>
        <w:t xml:space="preserve"> </w:t>
      </w:r>
      <w:r w:rsidR="001A207E" w:rsidRPr="00F742F8">
        <w:rPr>
          <w:color w:val="auto"/>
        </w:rPr>
        <w:t xml:space="preserve">By applying the control and dependence test, Elijah can contend that his colleagues were impaired and </w:t>
      </w:r>
      <w:r w:rsidR="00C829DC" w:rsidRPr="00F742F8">
        <w:rPr>
          <w:color w:val="auto"/>
        </w:rPr>
        <w:t xml:space="preserve">the </w:t>
      </w:r>
      <w:r w:rsidR="001A207E" w:rsidRPr="00F742F8">
        <w:rPr>
          <w:color w:val="auto"/>
        </w:rPr>
        <w:t>orientation of the employer when the event occurred. This assertion strengthens the case for vicarious liability, emphasi</w:t>
      </w:r>
      <w:r w:rsidR="00933066" w:rsidRPr="00F742F8">
        <w:rPr>
          <w:color w:val="auto"/>
        </w:rPr>
        <w:t>s</w:t>
      </w:r>
      <w:r w:rsidR="001A207E" w:rsidRPr="00F742F8">
        <w:rPr>
          <w:color w:val="auto"/>
        </w:rPr>
        <w:t xml:space="preserve">ing the employer's responsibility for the actions of its employees. Elijah's lawful strategy could leverage this perspective to expect the employer vicariously to assume a sense of ownership with the consequences of his colleagues' careless acts </w:t>
      </w:r>
      <w:r w:rsidR="00C829DC" w:rsidRPr="00F742F8">
        <w:rPr>
          <w:color w:val="auto"/>
        </w:rPr>
        <w:t>throughout</w:t>
      </w:r>
      <w:r w:rsidR="001A207E" w:rsidRPr="00F742F8">
        <w:rPr>
          <w:color w:val="auto"/>
        </w:rPr>
        <w:t xml:space="preserve"> their work</w:t>
      </w:r>
      <w:r w:rsidR="003465CC" w:rsidRPr="00F742F8">
        <w:rPr>
          <w:color w:val="auto"/>
        </w:rPr>
        <w:t xml:space="preserve"> (Brayne and Christin, 2021)</w:t>
      </w:r>
      <w:r w:rsidR="001A207E" w:rsidRPr="00F742F8">
        <w:rPr>
          <w:color w:val="auto"/>
        </w:rPr>
        <w:t>.</w:t>
      </w:r>
    </w:p>
    <w:p w14:paraId="31A71A9C" w14:textId="064765AB" w:rsidR="00575474" w:rsidRPr="00F742F8" w:rsidRDefault="009C6A6F" w:rsidP="007237EB">
      <w:pPr>
        <w:pStyle w:val="Heading2"/>
        <w:rPr>
          <w:color w:val="auto"/>
        </w:rPr>
      </w:pPr>
      <w:r w:rsidRPr="00F742F8">
        <w:rPr>
          <w:color w:val="auto"/>
        </w:rPr>
        <w:t>4</w:t>
      </w:r>
      <w:r w:rsidR="00575474" w:rsidRPr="00F742F8">
        <w:rPr>
          <w:color w:val="auto"/>
        </w:rPr>
        <w:t xml:space="preserve">. Applicable </w:t>
      </w:r>
      <w:r w:rsidR="00E355E9" w:rsidRPr="00F742F8">
        <w:rPr>
          <w:color w:val="auto"/>
        </w:rPr>
        <w:t>Defences</w:t>
      </w:r>
      <w:r w:rsidR="00575474" w:rsidRPr="00F742F8">
        <w:rPr>
          <w:color w:val="auto"/>
        </w:rPr>
        <w:t>:</w:t>
      </w:r>
      <w:r w:rsidR="007237EB" w:rsidRPr="00F742F8">
        <w:rPr>
          <w:color w:val="auto"/>
        </w:rPr>
        <w:t xml:space="preserve"> </w:t>
      </w:r>
      <w:r w:rsidR="002E7A5D" w:rsidRPr="00F742F8">
        <w:rPr>
          <w:color w:val="auto"/>
        </w:rPr>
        <w:t xml:space="preserve">Elijah's employer could </w:t>
      </w:r>
      <w:r w:rsidR="00E355E9" w:rsidRPr="00F742F8">
        <w:rPr>
          <w:color w:val="auto"/>
        </w:rPr>
        <w:t>endeavour</w:t>
      </w:r>
      <w:r w:rsidR="002E7A5D" w:rsidRPr="00F742F8">
        <w:rPr>
          <w:color w:val="auto"/>
        </w:rPr>
        <w:t xml:space="preserve"> to invoke a contributory carelessness defense, contending that Elijah's demonstration of perusing a text while strolling contributed to the workplace event. However, the employer's overarching duty to furnish a safe work environment could supersede such </w:t>
      </w:r>
      <w:r w:rsidR="00E355E9" w:rsidRPr="00F742F8">
        <w:rPr>
          <w:color w:val="auto"/>
        </w:rPr>
        <w:t>defences</w:t>
      </w:r>
      <w:r w:rsidR="003465CC" w:rsidRPr="00F742F8">
        <w:rPr>
          <w:color w:val="auto"/>
        </w:rPr>
        <w:t xml:space="preserve"> (Campeau, Levi and Foglesong, 2021)</w:t>
      </w:r>
      <w:r w:rsidR="002E7A5D" w:rsidRPr="00F742F8">
        <w:rPr>
          <w:color w:val="auto"/>
        </w:rPr>
        <w:t>. The standard here is that even if Elijah's actions assumed a section in the episode, the employer's essential responsibility is to ensure a secure workplace. Under the educating of comparative carelessness, Elijah's contributory actions, whenever proven, could relatively diminish any potential damages as opposed to by and large absolv</w:t>
      </w:r>
      <w:r w:rsidR="00C829DC" w:rsidRPr="00F742F8">
        <w:rPr>
          <w:color w:val="auto"/>
        </w:rPr>
        <w:t>ing</w:t>
      </w:r>
      <w:r w:rsidR="002E7A5D" w:rsidRPr="00F742F8">
        <w:rPr>
          <w:color w:val="auto"/>
        </w:rPr>
        <w:t xml:space="preserve"> the employer</w:t>
      </w:r>
      <w:r w:rsidR="003465CC" w:rsidRPr="00F742F8">
        <w:rPr>
          <w:color w:val="auto"/>
        </w:rPr>
        <w:t xml:space="preserve"> (Heise and Nance, 2021)</w:t>
      </w:r>
      <w:r w:rsidR="002E7A5D" w:rsidRPr="00F742F8">
        <w:rPr>
          <w:color w:val="auto"/>
        </w:rPr>
        <w:t>. Nonetheless, the employer's duty to provide a safe environment remains vital. If Elijah</w:t>
      </w:r>
      <w:r w:rsidR="007237EB" w:rsidRPr="00F742F8">
        <w:rPr>
          <w:color w:val="auto"/>
        </w:rPr>
        <w:t xml:space="preserve"> can establish that the employe</w:t>
      </w:r>
      <w:r w:rsidR="002E7A5D" w:rsidRPr="00F742F8">
        <w:rPr>
          <w:color w:val="auto"/>
        </w:rPr>
        <w:t>'s carelessness in keeping a safe workspace was a significant component, it could relieve the impact of contributory carelessness argu</w:t>
      </w:r>
      <w:r w:rsidR="007237EB" w:rsidRPr="00F742F8">
        <w:rPr>
          <w:color w:val="auto"/>
        </w:rPr>
        <w:t>ments. Eventually, the employer</w:t>
      </w:r>
      <w:r w:rsidR="002E7A5D" w:rsidRPr="00F742F8">
        <w:rPr>
          <w:color w:val="auto"/>
        </w:rPr>
        <w:t>s essential commitment to keep up with workplace safety could offset attempts to shift issue</w:t>
      </w:r>
      <w:r w:rsidR="00C829DC" w:rsidRPr="00F742F8">
        <w:rPr>
          <w:color w:val="auto"/>
        </w:rPr>
        <w:t>s</w:t>
      </w:r>
      <w:r w:rsidR="002E7A5D" w:rsidRPr="00F742F8">
        <w:rPr>
          <w:color w:val="auto"/>
        </w:rPr>
        <w:t xml:space="preserve"> onto the representative.</w:t>
      </w:r>
    </w:p>
    <w:p w14:paraId="51D5D683" w14:textId="51E6D8F9" w:rsidR="007237EB" w:rsidRPr="00F742F8" w:rsidRDefault="00F742F8" w:rsidP="007237EB">
      <w:pPr>
        <w:pStyle w:val="Heading2"/>
        <w:rPr>
          <w:color w:val="auto"/>
        </w:rPr>
      </w:pPr>
      <w:r>
        <w:rPr>
          <w:color w:val="auto"/>
        </w:rPr>
        <w:lastRenderedPageBreak/>
        <w:t>4</w:t>
      </w:r>
      <w:r w:rsidR="00575474" w:rsidRPr="00F742F8">
        <w:rPr>
          <w:color w:val="auto"/>
        </w:rPr>
        <w:t>. Medical Negligence:</w:t>
      </w:r>
      <w:r w:rsidR="007237EB" w:rsidRPr="00F742F8">
        <w:rPr>
          <w:color w:val="auto"/>
        </w:rPr>
        <w:t xml:space="preserve"> </w:t>
      </w:r>
      <w:r w:rsidR="002E7A5D" w:rsidRPr="00F742F8">
        <w:rPr>
          <w:color w:val="auto"/>
        </w:rPr>
        <w:t xml:space="preserve">Elijah's claim against the GP Surgery hinges on the grounds of potential medical negligence, especially the conceded diagnosis of gangrene, which could be viewed as a break of the duty of care owed by medical professionals. Bolam v Friern Hospital </w:t>
      </w:r>
      <w:r w:rsidR="008A40E0" w:rsidRPr="00F742F8">
        <w:rPr>
          <w:color w:val="auto"/>
        </w:rPr>
        <w:t>the</w:t>
      </w:r>
      <w:r w:rsidR="002E7A5D" w:rsidRPr="00F742F8">
        <w:rPr>
          <w:color w:val="auto"/>
        </w:rPr>
        <w:t xml:space="preserve"> </w:t>
      </w:r>
      <w:r w:rsidR="00C829DC" w:rsidRPr="00F742F8">
        <w:rPr>
          <w:color w:val="auto"/>
        </w:rPr>
        <w:t>E</w:t>
      </w:r>
      <w:r w:rsidR="007237EB" w:rsidRPr="00F742F8">
        <w:rPr>
          <w:color w:val="auto"/>
        </w:rPr>
        <w:t>xecutives Committee (1957)</w:t>
      </w:r>
      <w:r w:rsidR="002E7A5D" w:rsidRPr="00F742F8">
        <w:rPr>
          <w:color w:val="auto"/>
        </w:rPr>
        <w:t xml:space="preserve"> sets a perspective by outlining the standard of care expected from medical professionals</w:t>
      </w:r>
      <w:r w:rsidR="00C37575" w:rsidRPr="00F742F8">
        <w:rPr>
          <w:color w:val="auto"/>
        </w:rPr>
        <w:t xml:space="preserve"> (Murray </w:t>
      </w:r>
      <w:r w:rsidR="00C37575" w:rsidRPr="00F742F8">
        <w:rPr>
          <w:i/>
          <w:iCs/>
          <w:color w:val="auto"/>
        </w:rPr>
        <w:t>et al.</w:t>
      </w:r>
      <w:r w:rsidR="00C37575" w:rsidRPr="00F742F8">
        <w:rPr>
          <w:color w:val="auto"/>
        </w:rPr>
        <w:t>, 2021)</w:t>
      </w:r>
      <w:r w:rsidR="002E7A5D" w:rsidRPr="00F742F8">
        <w:rPr>
          <w:color w:val="auto"/>
        </w:rPr>
        <w:t>. This real standard underscores the significance of consensus inside the medical profession while choosing if a specific course of activity or diagnosis meets alright norms. If Elijah can demonstrate that concede in diagnosing gangrene deviated from the consens</w:t>
      </w:r>
      <w:r w:rsidR="007237EB" w:rsidRPr="00F742F8">
        <w:rPr>
          <w:color w:val="auto"/>
        </w:rPr>
        <w:t>us inside the medical community</w:t>
      </w:r>
      <w:r w:rsidR="002E7A5D" w:rsidRPr="00F742F8">
        <w:rPr>
          <w:color w:val="auto"/>
        </w:rPr>
        <w:t xml:space="preserve"> he could have a compelling case for medical negligence. Bolam's standard establishes that the standard of care is not completely settled by what a single specialist would do however is instead influenced by the consensus of reasonable medical professionals. Elijah's claim against GP Surgery will likely focus on establishing a break of this standard, emphasi</w:t>
      </w:r>
      <w:r w:rsidR="00933066" w:rsidRPr="00F742F8">
        <w:rPr>
          <w:color w:val="auto"/>
        </w:rPr>
        <w:t>s</w:t>
      </w:r>
      <w:r w:rsidR="002E7A5D" w:rsidRPr="00F742F8">
        <w:rPr>
          <w:color w:val="auto"/>
        </w:rPr>
        <w:t>ing the significance of ideal and careful medical intervention in cases such as his</w:t>
      </w:r>
      <w:r w:rsidR="00C37575" w:rsidRPr="00F742F8">
        <w:rPr>
          <w:color w:val="auto"/>
        </w:rPr>
        <w:t xml:space="preserve"> (Sitompul and Hasibuan, 2021)</w:t>
      </w:r>
      <w:r w:rsidR="002E7A5D" w:rsidRPr="00F742F8">
        <w:rPr>
          <w:color w:val="auto"/>
        </w:rPr>
        <w:t>.</w:t>
      </w:r>
      <w:r w:rsidR="007237EB" w:rsidRPr="00F742F8">
        <w:rPr>
          <w:color w:val="auto"/>
        </w:rPr>
        <w:t xml:space="preserve"> </w:t>
      </w:r>
    </w:p>
    <w:p w14:paraId="037CAA46" w14:textId="1393486B" w:rsidR="00575474" w:rsidRPr="00F742F8" w:rsidRDefault="00451BBC" w:rsidP="007237EB">
      <w:pPr>
        <w:pStyle w:val="Heading2"/>
        <w:rPr>
          <w:color w:val="auto"/>
        </w:rPr>
      </w:pPr>
      <w:r w:rsidRPr="00F742F8">
        <w:rPr>
          <w:color w:val="auto"/>
        </w:rPr>
        <w:t>I</w:t>
      </w:r>
      <w:r w:rsidR="007237EB" w:rsidRPr="00F742F8">
        <w:rPr>
          <w:color w:val="auto"/>
        </w:rPr>
        <w:t>n Roe v Minister of Prosperity (1954)</w:t>
      </w:r>
      <w:r w:rsidRPr="00F742F8">
        <w:rPr>
          <w:color w:val="auto"/>
        </w:rPr>
        <w:t xml:space="preserve">, </w:t>
      </w:r>
      <w:r w:rsidR="00C829DC" w:rsidRPr="00F742F8">
        <w:rPr>
          <w:color w:val="auto"/>
        </w:rPr>
        <w:t xml:space="preserve">a </w:t>
      </w:r>
      <w:r w:rsidRPr="00F742F8">
        <w:rPr>
          <w:color w:val="auto"/>
        </w:rPr>
        <w:t>lawful perspective was set, a</w:t>
      </w:r>
      <w:r w:rsidR="007237EB" w:rsidRPr="00F742F8">
        <w:rPr>
          <w:color w:val="auto"/>
        </w:rPr>
        <w:t xml:space="preserve"> </w:t>
      </w:r>
      <w:r w:rsidRPr="00F742F8">
        <w:rPr>
          <w:color w:val="auto"/>
        </w:rPr>
        <w:t>vowing that hospitals can be expected to get a sense of ownership with careless administrative practices resulting in mischief to patients</w:t>
      </w:r>
      <w:r w:rsidR="00C37575" w:rsidRPr="00F742F8">
        <w:rPr>
          <w:color w:val="auto"/>
        </w:rPr>
        <w:t xml:space="preserve"> (Brandariz, 2022)</w:t>
      </w:r>
      <w:r w:rsidRPr="00F742F8">
        <w:rPr>
          <w:color w:val="auto"/>
        </w:rPr>
        <w:t>. This case emphasi</w:t>
      </w:r>
      <w:r w:rsidR="00933066" w:rsidRPr="00F742F8">
        <w:rPr>
          <w:color w:val="auto"/>
        </w:rPr>
        <w:t>s</w:t>
      </w:r>
      <w:r w:rsidRPr="00F742F8">
        <w:rPr>
          <w:color w:val="auto"/>
        </w:rPr>
        <w:t>ed the significance of ensuring that administrative procedures inside healthcare institutions don't compromise patient safety. The decision underscored that hospitals must keep a duty of care in clinical matters as well as in administrative functions that influence patient prosperity. Goldsmith v Mid Staffordshire General Hospit</w:t>
      </w:r>
      <w:r w:rsidR="007237EB" w:rsidRPr="00F742F8">
        <w:rPr>
          <w:color w:val="auto"/>
        </w:rPr>
        <w:t>als NHS Trust (2007)</w:t>
      </w:r>
      <w:r w:rsidRPr="00F742F8">
        <w:rPr>
          <w:color w:val="auto"/>
        </w:rPr>
        <w:t xml:space="preserve"> further solidified the duty of care owed by hospitals to patients. This case featured the commitment of hospitals to provide ideal and fitting medical care. The court held that careless conduct by hospital staff, including insufficient staffing levels and </w:t>
      </w:r>
      <w:r w:rsidR="00C829DC" w:rsidRPr="00F742F8">
        <w:rPr>
          <w:color w:val="auto"/>
        </w:rPr>
        <w:t>a lack of</w:t>
      </w:r>
      <w:r w:rsidRPr="00F742F8">
        <w:rPr>
          <w:color w:val="auto"/>
        </w:rPr>
        <w:t xml:space="preserve"> patient checking, could add up to a break of the duty of care. The case supported the lawful conclu</w:t>
      </w:r>
      <w:r w:rsidR="00C829DC" w:rsidRPr="00F742F8">
        <w:rPr>
          <w:color w:val="auto"/>
        </w:rPr>
        <w:t>sion</w:t>
      </w:r>
      <w:r w:rsidRPr="00F742F8">
        <w:rPr>
          <w:color w:val="auto"/>
        </w:rPr>
        <w:t xml:space="preserve"> that hospitals must find all reasonable ways to ensure the prosperity of their patients, encompassing both clinical and administrative aspects of healthcare delivery</w:t>
      </w:r>
      <w:r w:rsidR="00C37575" w:rsidRPr="00F742F8">
        <w:rPr>
          <w:color w:val="auto"/>
        </w:rPr>
        <w:t xml:space="preserve"> (Hall, 2022)</w:t>
      </w:r>
      <w:r w:rsidRPr="00F742F8">
        <w:rPr>
          <w:color w:val="auto"/>
        </w:rPr>
        <w:t>.</w:t>
      </w:r>
    </w:p>
    <w:p w14:paraId="7ECC4F36" w14:textId="2ACE3251" w:rsidR="00575474" w:rsidRDefault="007237EB" w:rsidP="007237EB">
      <w:pPr>
        <w:pStyle w:val="Heading2"/>
        <w:rPr>
          <w:color w:val="auto"/>
        </w:rPr>
      </w:pPr>
      <w:r w:rsidRPr="00F742F8">
        <w:rPr>
          <w:color w:val="auto"/>
        </w:rPr>
        <w:lastRenderedPageBreak/>
        <w:t xml:space="preserve"> Uber BV v Aslam (2021)</w:t>
      </w:r>
      <w:r w:rsidR="00575474" w:rsidRPr="00F742F8">
        <w:rPr>
          <w:color w:val="auto"/>
        </w:rPr>
        <w:t>:</w:t>
      </w:r>
      <w:r w:rsidR="00896E4E" w:rsidRPr="00F742F8">
        <w:rPr>
          <w:color w:val="auto"/>
        </w:rPr>
        <w:t>The new milestone</w:t>
      </w:r>
      <w:r w:rsidRPr="00F742F8">
        <w:rPr>
          <w:color w:val="auto"/>
        </w:rPr>
        <w:t xml:space="preserve">in this  case </w:t>
      </w:r>
      <w:r w:rsidR="00896E4E" w:rsidRPr="00F742F8">
        <w:rPr>
          <w:color w:val="auto"/>
        </w:rPr>
        <w:t xml:space="preserve"> highlighted the essential component of assessing the reality of the working relationship whi</w:t>
      </w:r>
      <w:r w:rsidRPr="00F742F8">
        <w:rPr>
          <w:color w:val="auto"/>
        </w:rPr>
        <w:t>le choosing work status. Elijah</w:t>
      </w:r>
      <w:r w:rsidR="00896E4E" w:rsidRPr="00F742F8">
        <w:rPr>
          <w:color w:val="auto"/>
        </w:rPr>
        <w:t xml:space="preserve"> in evaluating his situation, should consider whether he qualifies as a representative or a worker considering this judgment</w:t>
      </w:r>
      <w:r w:rsidR="00C37575" w:rsidRPr="00F742F8">
        <w:rPr>
          <w:color w:val="auto"/>
        </w:rPr>
        <w:t xml:space="preserve"> (Curtis and Oxburgh, 2023)</w:t>
      </w:r>
      <w:r w:rsidR="00896E4E" w:rsidRPr="00F742F8">
        <w:rPr>
          <w:color w:val="auto"/>
        </w:rPr>
        <w:t>. The case emphasi</w:t>
      </w:r>
      <w:r w:rsidR="00933066" w:rsidRPr="00F742F8">
        <w:rPr>
          <w:color w:val="auto"/>
        </w:rPr>
        <w:t>s</w:t>
      </w:r>
      <w:r w:rsidR="00896E4E" w:rsidRPr="00F742F8">
        <w:rPr>
          <w:color w:val="auto"/>
        </w:rPr>
        <w:t>ed that the composed terms of a contract may not conclusively portray the business relationship, and the veritable working conditions and control applied by the employer are pivotal. For Elijah, breaking down the level of control exercised by his employer, the possibility of his work, and the level of independence he holds in finishing tasks can assist with ascertaining his business status</w:t>
      </w:r>
      <w:r w:rsidR="00C37575" w:rsidRPr="00F742F8">
        <w:rPr>
          <w:color w:val="auto"/>
        </w:rPr>
        <w:t xml:space="preserve"> (Mason, 2022)</w:t>
      </w:r>
      <w:r w:rsidR="00896E4E" w:rsidRPr="00F742F8">
        <w:rPr>
          <w:color w:val="auto"/>
        </w:rPr>
        <w:t xml:space="preserve">. If the working blueprint aligns more with </w:t>
      </w:r>
      <w:r w:rsidR="00C829DC" w:rsidRPr="00F742F8">
        <w:rPr>
          <w:color w:val="auto"/>
        </w:rPr>
        <w:t xml:space="preserve">the </w:t>
      </w:r>
      <w:r w:rsidR="00896E4E" w:rsidRPr="00F742F8">
        <w:rPr>
          <w:color w:val="auto"/>
        </w:rPr>
        <w:t xml:space="preserve">characteristics of a representative or specialist, as illustrated in the Uber case, Elijah may be equipped for specific business rights and protections, potentially influencing his lawful position </w:t>
      </w:r>
      <w:r w:rsidR="00C829DC" w:rsidRPr="00F742F8">
        <w:rPr>
          <w:color w:val="auto"/>
        </w:rPr>
        <w:t>regarding</w:t>
      </w:r>
      <w:r w:rsidR="00896E4E" w:rsidRPr="00F742F8">
        <w:rPr>
          <w:color w:val="auto"/>
        </w:rPr>
        <w:t xml:space="preserve"> the workplace event and any subsequent claims against his employer.</w:t>
      </w:r>
    </w:p>
    <w:p w14:paraId="52FA2722" w14:textId="77777777" w:rsidR="00F742F8" w:rsidRPr="00F742F8" w:rsidRDefault="00F742F8" w:rsidP="00F742F8"/>
    <w:p w14:paraId="670E4247" w14:textId="61BC25A8" w:rsidR="001C14D3" w:rsidRPr="00F742F8" w:rsidRDefault="00575474" w:rsidP="00F742F8">
      <w:pPr>
        <w:pStyle w:val="Heading2"/>
        <w:rPr>
          <w:color w:val="auto"/>
        </w:rPr>
      </w:pPr>
      <w:r w:rsidRPr="00F742F8">
        <w:rPr>
          <w:color w:val="auto"/>
        </w:rPr>
        <w:t>Conclusion:</w:t>
      </w:r>
      <w:r w:rsidR="00604458" w:rsidRPr="00F742F8">
        <w:rPr>
          <w:color w:val="auto"/>
        </w:rPr>
        <w:t>In conclusion, Elijah's possible lawful claims against his employer encompass carelessness, break of statutory duty, and vicarious liability because of a working environment episode. To strengthen his case, Elijah must positively assemble significant proof. This includes documentation of the episode, clinical records, any communications associated with work environment safety, and details establishing the employer's duty of care.</w:t>
      </w:r>
      <w:r w:rsidR="007C5737" w:rsidRPr="00F742F8">
        <w:rPr>
          <w:color w:val="auto"/>
        </w:rPr>
        <w:t xml:space="preserve"> Photographs, witness statements, and very capable opinions could further bolster his evidence. For the medical negligence claim against the GP Surgery, Elijah should compile medical records, report the schedule of events, and seek master medical opinions to establish a break of the duty of care owed to him. </w:t>
      </w:r>
      <w:r w:rsidR="00CA0149" w:rsidRPr="00F742F8">
        <w:rPr>
          <w:color w:val="auto"/>
        </w:rPr>
        <w:t>Consulting with genuine professionals experienced in personal injury and clinical carelessness law is significant. They can give courses on the feasibility of his claims, likely lawful strategies, and the specific elements expected to substantiate each case. Timing is essential in pursuing lawful movement. Elijah should speedily start the bona fide process to satisfy any statutory time constraints and ensure an intensive investigation while the proof is fresh. Early action also demonstrates the seriousness of his claims. By consolidating a comprehensive proof social occasion approach with lawful counsel, Elijah can refresh the feasibility of his case and seek fitting compensation for the injuries and damages suffered.</w:t>
      </w:r>
    </w:p>
    <w:p w14:paraId="29119083" w14:textId="77777777" w:rsidR="001C14D3" w:rsidRPr="00F742F8" w:rsidRDefault="001C14D3">
      <w:pPr>
        <w:rPr>
          <w:rFonts w:ascii="Times New Roman" w:hAnsi="Times New Roman" w:cs="Times New Roman"/>
          <w:sz w:val="24"/>
          <w:szCs w:val="24"/>
        </w:rPr>
      </w:pPr>
      <w:r w:rsidRPr="00F742F8">
        <w:rPr>
          <w:rFonts w:ascii="Times New Roman" w:hAnsi="Times New Roman" w:cs="Times New Roman"/>
          <w:sz w:val="24"/>
          <w:szCs w:val="24"/>
        </w:rPr>
        <w:br w:type="page"/>
      </w:r>
    </w:p>
    <w:p w14:paraId="320490DE" w14:textId="77777777" w:rsidR="001D20E5" w:rsidRPr="00F742F8" w:rsidRDefault="001C14D3" w:rsidP="001D20E5">
      <w:pPr>
        <w:pStyle w:val="Heading1"/>
        <w:tabs>
          <w:tab w:val="left" w:pos="2038"/>
        </w:tabs>
        <w:rPr>
          <w:color w:val="auto"/>
        </w:rPr>
      </w:pPr>
      <w:r w:rsidRPr="00F742F8">
        <w:rPr>
          <w:color w:val="auto"/>
        </w:rPr>
        <w:lastRenderedPageBreak/>
        <w:t>References</w:t>
      </w:r>
      <w:r w:rsidR="00633D03" w:rsidRPr="00F742F8">
        <w:rPr>
          <w:color w:val="auto"/>
        </w:rPr>
        <w:tab/>
      </w:r>
    </w:p>
    <w:p w14:paraId="67ADC146" w14:textId="77777777" w:rsidR="00F742F8" w:rsidRPr="00F742F8" w:rsidRDefault="00F742F8" w:rsidP="001D20E5">
      <w:pPr>
        <w:pStyle w:val="NoSpacing"/>
        <w:rPr>
          <w:sz w:val="24"/>
          <w:szCs w:val="24"/>
        </w:rPr>
      </w:pPr>
    </w:p>
    <w:p w14:paraId="0FDC958A" w14:textId="77777777" w:rsidR="00F742F8" w:rsidRPr="00F742F8" w:rsidRDefault="00F742F8" w:rsidP="001D20E5">
      <w:pPr>
        <w:pStyle w:val="NoSpacing"/>
        <w:rPr>
          <w:sz w:val="24"/>
          <w:szCs w:val="24"/>
        </w:rPr>
      </w:pPr>
    </w:p>
    <w:p w14:paraId="1C619352" w14:textId="77777777" w:rsidR="00F742F8" w:rsidRPr="00F742F8" w:rsidRDefault="00F742F8" w:rsidP="00537CB3">
      <w:pPr>
        <w:spacing w:after="0" w:line="360" w:lineRule="auto"/>
        <w:ind w:left="720" w:hanging="720"/>
        <w:jc w:val="both"/>
        <w:rPr>
          <w:rFonts w:ascii="Times New Roman" w:hAnsi="Times New Roman" w:cs="Times New Roman"/>
          <w:sz w:val="24"/>
          <w:szCs w:val="24"/>
        </w:rPr>
      </w:pPr>
    </w:p>
    <w:p w14:paraId="665D6F81" w14:textId="77777777" w:rsidR="00F742F8" w:rsidRPr="00F742F8" w:rsidRDefault="00F742F8" w:rsidP="001D20E5">
      <w:pPr>
        <w:pStyle w:val="NoSpacing"/>
        <w:rPr>
          <w:sz w:val="24"/>
          <w:szCs w:val="24"/>
        </w:rPr>
      </w:pPr>
    </w:p>
    <w:p w14:paraId="298B82FA" w14:textId="77777777" w:rsidR="00F742F8" w:rsidRPr="00F742F8" w:rsidRDefault="00F742F8" w:rsidP="001D20E5">
      <w:pPr>
        <w:pStyle w:val="NoSpacing"/>
        <w:rPr>
          <w:sz w:val="24"/>
          <w:szCs w:val="24"/>
        </w:rPr>
      </w:pPr>
    </w:p>
    <w:p w14:paraId="682C85DD" w14:textId="77777777" w:rsidR="00F742F8" w:rsidRPr="00F742F8" w:rsidRDefault="00F742F8" w:rsidP="001D20E5">
      <w:pPr>
        <w:pStyle w:val="NoSpacing"/>
        <w:rPr>
          <w:sz w:val="24"/>
          <w:szCs w:val="24"/>
        </w:rPr>
      </w:pPr>
    </w:p>
    <w:p w14:paraId="0F184F59" w14:textId="77777777" w:rsidR="00F742F8" w:rsidRPr="00F742F8" w:rsidRDefault="00F742F8" w:rsidP="001D20E5">
      <w:pPr>
        <w:pStyle w:val="NoSpacing"/>
        <w:rPr>
          <w:sz w:val="24"/>
          <w:szCs w:val="24"/>
        </w:rPr>
      </w:pPr>
    </w:p>
    <w:p w14:paraId="32A8B790" w14:textId="77777777" w:rsidR="00F742F8" w:rsidRDefault="00F742F8" w:rsidP="001D20E5">
      <w:pPr>
        <w:pStyle w:val="NoSpacing"/>
        <w:rPr>
          <w:sz w:val="24"/>
          <w:szCs w:val="24"/>
        </w:rPr>
      </w:pPr>
    </w:p>
    <w:p w14:paraId="0D96EBED"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Arial" w:hAnsi="Arial" w:cs="Arial"/>
          <w:sz w:val="24"/>
          <w:szCs w:val="24"/>
        </w:rPr>
        <w:t xml:space="preserve">                                                                                                                                                                                                                                                                                             </w:t>
      </w:r>
      <w:r w:rsidRPr="00F742F8">
        <w:rPr>
          <w:sz w:val="24"/>
          <w:szCs w:val="24"/>
        </w:rPr>
        <w:t xml:space="preserve">Barak, M.P., Leon, Sebatian, K, Maguire, Edward, R. (2020) ‘Conceptual and empirical  obstacles in defining MS‐13: Law‐enforcement perspectives’, </w:t>
      </w:r>
      <w:r w:rsidRPr="00F742F8">
        <w:rPr>
          <w:i/>
          <w:iCs/>
          <w:sz w:val="24"/>
          <w:szCs w:val="24"/>
        </w:rPr>
        <w:t>Criminology &amp; Public Policy</w:t>
      </w:r>
      <w:r w:rsidRPr="00F742F8">
        <w:rPr>
          <w:sz w:val="24"/>
          <w:szCs w:val="24"/>
        </w:rPr>
        <w:t xml:space="preserve">, 19(2), pp. 563–589. </w:t>
      </w:r>
      <w:r w:rsidRPr="00F742F8">
        <w:rPr>
          <w:rFonts w:ascii="Helvetica" w:hAnsi="Helvetica" w:cs="Helvetica"/>
          <w:sz w:val="24"/>
          <w:szCs w:val="24"/>
          <w:shd w:val="clear" w:color="auto" w:fill="FFFFFF"/>
        </w:rPr>
        <w:t>DOI: 10.1111/1745-9133.12493</w:t>
      </w:r>
      <w:r w:rsidRPr="00F742F8">
        <w:rPr>
          <w:rFonts w:ascii="Arial" w:hAnsi="Arial" w:cs="Arial"/>
          <w:sz w:val="24"/>
          <w:szCs w:val="24"/>
        </w:rPr>
        <w:t xml:space="preserve">  </w:t>
      </w:r>
    </w:p>
    <w:p w14:paraId="71E5AA0D"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Times New Roman" w:hAnsi="Times New Roman" w:cs="Times New Roman"/>
          <w:sz w:val="24"/>
          <w:szCs w:val="24"/>
        </w:rPr>
        <w:t>Boon-Kuo, L., Brodie, A</w:t>
      </w:r>
      <w:r w:rsidRPr="00F742F8">
        <w:rPr>
          <w:rFonts w:ascii="Times New Roman" w:hAnsi="Times New Roman" w:cs="Times New Roman"/>
          <w:i/>
          <w:iCs/>
          <w:sz w:val="24"/>
          <w:szCs w:val="24"/>
        </w:rPr>
        <w:t xml:space="preserve">., MC-Cann, J., Sentas, V., Weber,L. </w:t>
      </w:r>
      <w:r w:rsidRPr="00F742F8">
        <w:rPr>
          <w:rFonts w:ascii="Times New Roman" w:hAnsi="Times New Roman" w:cs="Times New Roman"/>
          <w:sz w:val="24"/>
          <w:szCs w:val="24"/>
        </w:rPr>
        <w:t xml:space="preserve"> (2021) ‘Policing biosecurity: police enforcement of special measures in New South Wales and Victoria during the COVID-19 pandemic’, </w:t>
      </w:r>
      <w:r w:rsidRPr="00F742F8">
        <w:rPr>
          <w:rFonts w:ascii="Times New Roman" w:hAnsi="Times New Roman" w:cs="Times New Roman"/>
          <w:i/>
          <w:iCs/>
          <w:sz w:val="24"/>
          <w:szCs w:val="24"/>
        </w:rPr>
        <w:t>Current Issues in Criminal Justice</w:t>
      </w:r>
      <w:r w:rsidRPr="00F742F8">
        <w:rPr>
          <w:rFonts w:ascii="Times New Roman" w:hAnsi="Times New Roman" w:cs="Times New Roman"/>
          <w:sz w:val="24"/>
          <w:szCs w:val="24"/>
        </w:rPr>
        <w:t xml:space="preserve">, 33(1), pp. 76–88. </w:t>
      </w:r>
      <w:r w:rsidRPr="00F742F8">
        <w:rPr>
          <w:rFonts w:ascii="Arial" w:hAnsi="Arial" w:cs="Arial"/>
          <w:sz w:val="24"/>
          <w:szCs w:val="24"/>
        </w:rPr>
        <w:t xml:space="preserve">doi.org/10.1080/10345329.2020.1850144 </w:t>
      </w:r>
    </w:p>
    <w:p w14:paraId="12B9B574"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Times New Roman" w:hAnsi="Times New Roman" w:cs="Times New Roman"/>
          <w:sz w:val="24"/>
          <w:szCs w:val="24"/>
        </w:rPr>
        <w:t xml:space="preserve">Brandariz, J.A. (2022) ‘Criminalization or instrumentalism? New trends in the field of border criminology’, </w:t>
      </w:r>
      <w:r w:rsidRPr="00F742F8">
        <w:rPr>
          <w:rFonts w:ascii="Times New Roman" w:hAnsi="Times New Roman" w:cs="Times New Roman"/>
          <w:i/>
          <w:iCs/>
          <w:sz w:val="24"/>
          <w:szCs w:val="24"/>
        </w:rPr>
        <w:t>Theoretical Criminology</w:t>
      </w:r>
      <w:r w:rsidRPr="00F742F8">
        <w:rPr>
          <w:rFonts w:ascii="Times New Roman" w:hAnsi="Times New Roman" w:cs="Times New Roman"/>
          <w:sz w:val="24"/>
          <w:szCs w:val="24"/>
        </w:rPr>
        <w:t xml:space="preserve">, 26(2), pp. 285–303. </w:t>
      </w:r>
      <w:r w:rsidRPr="00F742F8">
        <w:rPr>
          <w:rFonts w:ascii="Helvetica" w:hAnsi="Helvetica" w:cs="Helvetica"/>
          <w:sz w:val="24"/>
          <w:szCs w:val="24"/>
          <w:shd w:val="clear" w:color="auto" w:fill="FFFFFF"/>
        </w:rPr>
        <w:t>DOI: 10.1177/13624806211009158</w:t>
      </w:r>
      <w:r w:rsidRPr="00F742F8">
        <w:rPr>
          <w:rFonts w:ascii="Arial" w:hAnsi="Arial" w:cs="Arial"/>
          <w:sz w:val="24"/>
          <w:szCs w:val="24"/>
        </w:rPr>
        <w:t xml:space="preserve">                                                                                                                     </w:t>
      </w:r>
    </w:p>
    <w:p w14:paraId="7972D903"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Times New Roman" w:hAnsi="Times New Roman" w:cs="Times New Roman"/>
          <w:sz w:val="24"/>
          <w:szCs w:val="24"/>
        </w:rPr>
        <w:t xml:space="preserve">Brayne, S. and Christin, A. (2021) ‘Technologies of crime prediction: The reception of algorithms in policing and criminal courts’, </w:t>
      </w:r>
      <w:r w:rsidRPr="00F742F8">
        <w:rPr>
          <w:rFonts w:ascii="Times New Roman" w:hAnsi="Times New Roman" w:cs="Times New Roman"/>
          <w:i/>
          <w:iCs/>
          <w:sz w:val="24"/>
          <w:szCs w:val="24"/>
        </w:rPr>
        <w:t>Social Problems</w:t>
      </w:r>
      <w:r w:rsidRPr="00F742F8">
        <w:rPr>
          <w:rFonts w:ascii="Times New Roman" w:hAnsi="Times New Roman" w:cs="Times New Roman"/>
          <w:sz w:val="24"/>
          <w:szCs w:val="24"/>
        </w:rPr>
        <w:t>, 68(3), pp. 608–624.</w:t>
      </w:r>
      <w:r w:rsidRPr="00F742F8">
        <w:rPr>
          <w:rFonts w:ascii="Arial" w:hAnsi="Arial" w:cs="Arial"/>
          <w:sz w:val="24"/>
          <w:szCs w:val="24"/>
        </w:rPr>
        <w:t xml:space="preserve">                                </w:t>
      </w:r>
    </w:p>
    <w:p w14:paraId="45FC38EF" w14:textId="77777777" w:rsidR="00F742F8" w:rsidRPr="00F742F8" w:rsidRDefault="00F742F8" w:rsidP="001D20E5">
      <w:pPr>
        <w:spacing w:beforeAutospacing="1" w:after="0" w:afterAutospacing="1" w:line="240" w:lineRule="auto"/>
        <w:ind w:left="-360"/>
        <w:rPr>
          <w:rFonts w:ascii="Helvetica" w:hAnsi="Helvetica" w:cs="Helvetica"/>
          <w:sz w:val="24"/>
          <w:szCs w:val="24"/>
          <w:shd w:val="clear" w:color="auto" w:fill="FFFFFF"/>
        </w:rPr>
      </w:pPr>
      <w:r w:rsidRPr="00F742F8">
        <w:rPr>
          <w:rFonts w:ascii="Times New Roman" w:hAnsi="Times New Roman" w:cs="Times New Roman"/>
          <w:sz w:val="24"/>
          <w:szCs w:val="24"/>
        </w:rPr>
        <w:t xml:space="preserve">Campeau, H., Levi, R. and Foglesong, T. (2021) ‘Policing, recognition, and the bind of legal cynicism’, </w:t>
      </w:r>
      <w:r w:rsidRPr="00F742F8">
        <w:rPr>
          <w:rFonts w:ascii="Times New Roman" w:hAnsi="Times New Roman" w:cs="Times New Roman"/>
          <w:i/>
          <w:iCs/>
          <w:sz w:val="24"/>
          <w:szCs w:val="24"/>
        </w:rPr>
        <w:t>Social Problems</w:t>
      </w:r>
      <w:r w:rsidRPr="00F742F8">
        <w:rPr>
          <w:rFonts w:ascii="Times New Roman" w:hAnsi="Times New Roman" w:cs="Times New Roman"/>
          <w:sz w:val="24"/>
          <w:szCs w:val="24"/>
        </w:rPr>
        <w:t>, 68(3), pp. 658–674.</w:t>
      </w:r>
      <w:r w:rsidRPr="00F742F8">
        <w:rPr>
          <w:rFonts w:ascii="Helvetica" w:hAnsi="Helvetica" w:cs="Helvetica"/>
          <w:sz w:val="24"/>
          <w:szCs w:val="24"/>
          <w:shd w:val="clear" w:color="auto" w:fill="FFFFFF"/>
        </w:rPr>
        <w:t xml:space="preserve"> </w:t>
      </w:r>
      <w:r w:rsidRPr="00F742F8">
        <w:rPr>
          <w:rFonts w:ascii="Helvetica" w:hAnsi="Helvetica" w:cs="Helvetica"/>
          <w:sz w:val="24"/>
          <w:szCs w:val="24"/>
          <w:shd w:val="clear" w:color="auto" w:fill="FFFFFF"/>
        </w:rPr>
        <w:t>DOI: 10.1093/socpro/spaa017</w:t>
      </w:r>
    </w:p>
    <w:p w14:paraId="7820F194"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Arial" w:hAnsi="Arial" w:cs="Arial"/>
          <w:sz w:val="24"/>
          <w:szCs w:val="24"/>
        </w:rPr>
        <w:t xml:space="preserve">                                                                                                                                                                                                    </w:t>
      </w:r>
      <w:r w:rsidRPr="00F742F8">
        <w:rPr>
          <w:rFonts w:ascii="Times New Roman" w:hAnsi="Times New Roman" w:cs="Times New Roman"/>
          <w:sz w:val="24"/>
          <w:szCs w:val="24"/>
        </w:rPr>
        <w:t xml:space="preserve">Curtis, J. and Oxburgh, G. (2023) ‘Understanding cybercrime in “real world” policing and law enforcement’, </w:t>
      </w:r>
      <w:r w:rsidRPr="00F742F8">
        <w:rPr>
          <w:rFonts w:ascii="Times New Roman" w:hAnsi="Times New Roman" w:cs="Times New Roman"/>
          <w:i/>
          <w:iCs/>
          <w:sz w:val="24"/>
          <w:szCs w:val="24"/>
        </w:rPr>
        <w:t>The Police Journal: Theory, Practice and Principles</w:t>
      </w:r>
      <w:r w:rsidRPr="00F742F8">
        <w:rPr>
          <w:rFonts w:ascii="Times New Roman" w:hAnsi="Times New Roman" w:cs="Times New Roman"/>
          <w:sz w:val="24"/>
          <w:szCs w:val="24"/>
        </w:rPr>
        <w:t xml:space="preserve">, 96(4), pp. 573–592. </w:t>
      </w:r>
      <w:r w:rsidRPr="00F742F8">
        <w:rPr>
          <w:rFonts w:ascii="Helvetica" w:hAnsi="Helvetica" w:cs="Helvetica"/>
          <w:sz w:val="24"/>
          <w:szCs w:val="24"/>
          <w:shd w:val="clear" w:color="auto" w:fill="FFFFFF"/>
        </w:rPr>
        <w:t>DOI: 10.1177/0032258X221107584</w:t>
      </w:r>
      <w:r w:rsidRPr="00F742F8">
        <w:rPr>
          <w:rFonts w:ascii="Arial" w:hAnsi="Arial" w:cs="Arial"/>
          <w:sz w:val="24"/>
          <w:szCs w:val="24"/>
        </w:rPr>
        <w:t xml:space="preserve">    </w:t>
      </w:r>
    </w:p>
    <w:p w14:paraId="22E0A2EB"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Arial" w:hAnsi="Arial" w:cs="Arial"/>
          <w:sz w:val="24"/>
          <w:szCs w:val="24"/>
        </w:rPr>
        <w:t xml:space="preserve">                                                                                                                                                                                                                                                                                 </w:t>
      </w:r>
      <w:r w:rsidRPr="00F742F8">
        <w:rPr>
          <w:rFonts w:ascii="Times New Roman" w:hAnsi="Times New Roman" w:cs="Times New Roman"/>
          <w:sz w:val="24"/>
          <w:szCs w:val="24"/>
        </w:rPr>
        <w:t xml:space="preserve">Gulati, G., Cusack, A, Kelly, B.D., Shane, K., Dunne, C.P. (2020) ‘Experiences of people with intellectual disabilities encountering law enforcement officials as the suspects of crime–A narrative systematic review’, </w:t>
      </w:r>
      <w:r w:rsidRPr="00F742F8">
        <w:rPr>
          <w:rFonts w:ascii="Times New Roman" w:hAnsi="Times New Roman" w:cs="Times New Roman"/>
          <w:i/>
          <w:iCs/>
          <w:sz w:val="24"/>
          <w:szCs w:val="24"/>
        </w:rPr>
        <w:t>International journal of law and psychiatry</w:t>
      </w:r>
      <w:r w:rsidRPr="00F742F8">
        <w:rPr>
          <w:rFonts w:ascii="Times New Roman" w:hAnsi="Times New Roman" w:cs="Times New Roman"/>
          <w:sz w:val="24"/>
          <w:szCs w:val="24"/>
        </w:rPr>
        <w:t xml:space="preserve">, 71, p. 101609 </w:t>
      </w:r>
      <w:r w:rsidRPr="00F742F8">
        <w:rPr>
          <w:rFonts w:ascii="Helvetica" w:hAnsi="Helvetica" w:cs="Helvetica"/>
          <w:sz w:val="24"/>
          <w:szCs w:val="24"/>
          <w:shd w:val="clear" w:color="auto" w:fill="FFFFFF"/>
        </w:rPr>
        <w:t>DOI: 10.1016/j.ijlp.2020.101609</w:t>
      </w:r>
      <w:r w:rsidRPr="00F742F8">
        <w:rPr>
          <w:rFonts w:ascii="Arial" w:hAnsi="Arial" w:cs="Arial"/>
          <w:sz w:val="24"/>
          <w:szCs w:val="24"/>
        </w:rPr>
        <w:t xml:space="preserve">                                                                                                                                  </w:t>
      </w:r>
    </w:p>
    <w:p w14:paraId="1ED6D76E"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Times New Roman" w:hAnsi="Times New Roman" w:cs="Times New Roman"/>
          <w:sz w:val="24"/>
          <w:szCs w:val="24"/>
        </w:rPr>
        <w:t xml:space="preserve">Hall, D.E. (2022) </w:t>
      </w:r>
      <w:r w:rsidRPr="00F742F8">
        <w:rPr>
          <w:rFonts w:ascii="Times New Roman" w:hAnsi="Times New Roman" w:cs="Times New Roman"/>
          <w:i/>
          <w:iCs/>
          <w:sz w:val="24"/>
          <w:szCs w:val="24"/>
        </w:rPr>
        <w:t>Criminal law and procedure</w:t>
      </w:r>
      <w:r w:rsidRPr="00F742F8">
        <w:rPr>
          <w:rFonts w:ascii="Times New Roman" w:hAnsi="Times New Roman" w:cs="Times New Roman"/>
          <w:sz w:val="24"/>
          <w:szCs w:val="24"/>
        </w:rPr>
        <w:t>. Cengage Learning.</w:t>
      </w:r>
      <w:r w:rsidRPr="00F742F8">
        <w:rPr>
          <w:rFonts w:ascii="Arial" w:hAnsi="Arial" w:cs="Arial"/>
          <w:sz w:val="24"/>
          <w:szCs w:val="24"/>
        </w:rPr>
        <w:t xml:space="preserve">                                                                 </w:t>
      </w:r>
    </w:p>
    <w:p w14:paraId="33136A6F"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Times New Roman" w:hAnsi="Times New Roman" w:cs="Times New Roman"/>
          <w:sz w:val="24"/>
          <w:szCs w:val="24"/>
        </w:rPr>
        <w:t xml:space="preserve">Heise, M. and Nance, J.P. (2021) ‘“Defund the (school) police”? bringing data to key school-to-prison pipeline claims’, </w:t>
      </w:r>
      <w:r w:rsidRPr="00F742F8">
        <w:rPr>
          <w:rFonts w:ascii="Times New Roman" w:hAnsi="Times New Roman" w:cs="Times New Roman"/>
          <w:i/>
          <w:iCs/>
          <w:sz w:val="24"/>
          <w:szCs w:val="24"/>
        </w:rPr>
        <w:t>The Journal of Criminal Law and Criminology (1973-)</w:t>
      </w:r>
      <w:r w:rsidRPr="00F742F8">
        <w:rPr>
          <w:rFonts w:ascii="Times New Roman" w:hAnsi="Times New Roman" w:cs="Times New Roman"/>
          <w:sz w:val="24"/>
          <w:szCs w:val="24"/>
        </w:rPr>
        <w:t>, 111(3), pp. 717–772.</w:t>
      </w:r>
      <w:r w:rsidRPr="00F742F8">
        <w:rPr>
          <w:rFonts w:ascii="Arial" w:hAnsi="Arial" w:cs="Arial"/>
          <w:sz w:val="24"/>
          <w:szCs w:val="24"/>
        </w:rPr>
        <w:t xml:space="preserve">                                                                                                                                                                      </w:t>
      </w:r>
    </w:p>
    <w:p w14:paraId="0AE6E524"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Times New Roman" w:hAnsi="Times New Roman" w:cs="Times New Roman"/>
          <w:sz w:val="24"/>
          <w:szCs w:val="24"/>
        </w:rPr>
        <w:lastRenderedPageBreak/>
        <w:t xml:space="preserve">Llinares, F.M. (2020) ‘Predictive policing: utopia or dystopia? On attitudes towards the use of big data algorithms for law enforcement’, </w:t>
      </w:r>
      <w:r w:rsidRPr="00F742F8">
        <w:rPr>
          <w:rFonts w:ascii="Times New Roman" w:hAnsi="Times New Roman" w:cs="Times New Roman"/>
          <w:i/>
          <w:iCs/>
          <w:sz w:val="24"/>
          <w:szCs w:val="24"/>
        </w:rPr>
        <w:t>IDP: revista de Internet, derecho y política= revista d’Internet, dret i política</w:t>
      </w:r>
      <w:r w:rsidRPr="00F742F8">
        <w:rPr>
          <w:rFonts w:ascii="Times New Roman" w:hAnsi="Times New Roman" w:cs="Times New Roman"/>
          <w:sz w:val="24"/>
          <w:szCs w:val="24"/>
        </w:rPr>
        <w:t>, (30), p. 5.</w:t>
      </w:r>
      <w:r w:rsidRPr="00F742F8">
        <w:rPr>
          <w:rFonts w:ascii="Arial" w:hAnsi="Arial" w:cs="Arial"/>
          <w:sz w:val="24"/>
          <w:szCs w:val="24"/>
        </w:rPr>
        <w:t xml:space="preserve">                                                                                                                       </w:t>
      </w:r>
    </w:p>
    <w:p w14:paraId="56F14E20" w14:textId="77777777" w:rsidR="00F742F8" w:rsidRPr="00F742F8" w:rsidRDefault="00F742F8" w:rsidP="001D20E5">
      <w:pPr>
        <w:spacing w:beforeAutospacing="1" w:after="0" w:afterAutospacing="1" w:line="240" w:lineRule="auto"/>
        <w:ind w:left="-360"/>
        <w:rPr>
          <w:rFonts w:ascii="Arial" w:hAnsi="Arial" w:cs="Arial"/>
          <w:sz w:val="24"/>
          <w:szCs w:val="24"/>
        </w:rPr>
      </w:pPr>
      <w:r w:rsidRPr="00F742F8">
        <w:rPr>
          <w:rFonts w:ascii="Times New Roman" w:hAnsi="Times New Roman" w:cs="Times New Roman"/>
          <w:sz w:val="24"/>
          <w:szCs w:val="24"/>
        </w:rPr>
        <w:t xml:space="preserve">Mason, G. (2022) ‘Blue Lives Matter and Hate Crime Law’, </w:t>
      </w:r>
      <w:r w:rsidRPr="00F742F8">
        <w:rPr>
          <w:rFonts w:ascii="Times New Roman" w:hAnsi="Times New Roman" w:cs="Times New Roman"/>
          <w:i/>
          <w:iCs/>
          <w:sz w:val="24"/>
          <w:szCs w:val="24"/>
        </w:rPr>
        <w:t>Race and Justice</w:t>
      </w:r>
      <w:r w:rsidRPr="00F742F8">
        <w:rPr>
          <w:rFonts w:ascii="Times New Roman" w:hAnsi="Times New Roman" w:cs="Times New Roman"/>
          <w:sz w:val="24"/>
          <w:szCs w:val="24"/>
        </w:rPr>
        <w:t xml:space="preserve">, 12(2), pp. 411–430. </w:t>
      </w:r>
      <w:r w:rsidRPr="00F742F8">
        <w:rPr>
          <w:rFonts w:ascii="Arial" w:hAnsi="Arial" w:cs="Arial"/>
          <w:sz w:val="24"/>
          <w:szCs w:val="24"/>
        </w:rPr>
        <w:t xml:space="preserve">                                                                                                                                                                        </w:t>
      </w:r>
    </w:p>
    <w:p w14:paraId="1084162A" w14:textId="77777777" w:rsidR="00F742F8" w:rsidRDefault="00F742F8" w:rsidP="00F742F8">
      <w:pPr>
        <w:spacing w:beforeAutospacing="1" w:after="0" w:afterAutospacing="1" w:line="240" w:lineRule="auto"/>
        <w:ind w:left="-360"/>
        <w:rPr>
          <w:rFonts w:ascii="Arial" w:hAnsi="Arial" w:cs="Arial"/>
          <w:sz w:val="24"/>
          <w:szCs w:val="24"/>
        </w:rPr>
      </w:pPr>
      <w:r w:rsidRPr="00F742F8">
        <w:rPr>
          <w:rFonts w:ascii="Times New Roman" w:hAnsi="Times New Roman" w:cs="Times New Roman"/>
          <w:sz w:val="24"/>
          <w:szCs w:val="24"/>
        </w:rPr>
        <w:t xml:space="preserve">Massé, F. (2020) ‘Conservation Law Enforcement: Policing Protected Areas’, </w:t>
      </w:r>
      <w:r w:rsidRPr="00F742F8">
        <w:rPr>
          <w:rFonts w:ascii="Times New Roman" w:hAnsi="Times New Roman" w:cs="Times New Roman"/>
          <w:i/>
          <w:iCs/>
          <w:sz w:val="24"/>
          <w:szCs w:val="24"/>
        </w:rPr>
        <w:t>Annals of the American Association of Geographers</w:t>
      </w:r>
      <w:r w:rsidRPr="00F742F8">
        <w:rPr>
          <w:rFonts w:ascii="Times New Roman" w:hAnsi="Times New Roman" w:cs="Times New Roman"/>
          <w:sz w:val="24"/>
          <w:szCs w:val="24"/>
        </w:rPr>
        <w:t xml:space="preserve">, 110(3), pp. 758–773. </w:t>
      </w:r>
    </w:p>
    <w:p w14:paraId="034E3A77" w14:textId="77777777" w:rsidR="00F742F8" w:rsidRDefault="00F742F8" w:rsidP="00F742F8">
      <w:pPr>
        <w:spacing w:beforeAutospacing="1" w:after="0" w:afterAutospacing="1" w:line="240" w:lineRule="auto"/>
        <w:ind w:left="-360"/>
        <w:rPr>
          <w:rFonts w:ascii="Arial" w:hAnsi="Arial" w:cs="Arial"/>
          <w:sz w:val="24"/>
          <w:szCs w:val="24"/>
        </w:rPr>
      </w:pPr>
      <w:r w:rsidRPr="00F742F8">
        <w:t xml:space="preserve">Murray., </w:t>
      </w:r>
      <w:r w:rsidRPr="00F742F8">
        <w:rPr>
          <w:rStyle w:val="personname"/>
        </w:rPr>
        <w:t xml:space="preserve">McVie, S., </w:t>
      </w:r>
      <w:r w:rsidRPr="00F742F8">
        <w:t> </w:t>
      </w:r>
      <w:r w:rsidRPr="00F742F8">
        <w:rPr>
          <w:rStyle w:val="personname"/>
        </w:rPr>
        <w:t>Farren, D.,</w:t>
      </w:r>
      <w:r w:rsidRPr="00F742F8">
        <w:t xml:space="preserve"> </w:t>
      </w:r>
      <w:r w:rsidRPr="00F742F8">
        <w:rPr>
          <w:rStyle w:val="personname"/>
        </w:rPr>
        <w:t>Herlitz, Lauren</w:t>
      </w:r>
      <w:r w:rsidRPr="00F742F8">
        <w:t>, </w:t>
      </w:r>
      <w:r w:rsidRPr="00F742F8">
        <w:rPr>
          <w:rStyle w:val="personname"/>
        </w:rPr>
        <w:t>Hough, Mike</w:t>
      </w:r>
      <w:r w:rsidRPr="00F742F8">
        <w:t>, </w:t>
      </w:r>
      <w:r w:rsidRPr="00F742F8">
        <w:rPr>
          <w:rStyle w:val="personname"/>
        </w:rPr>
        <w:t>Norris, P.</w:t>
      </w:r>
      <w:r w:rsidRPr="00F742F8">
        <w:t xml:space="preserve"> (2021) ‘Procedural justice, compliance with the law and police stop-and search: a study of young people in England and Scotland’, Policing and Society, 31(3), pp. 263–282.</w:t>
      </w:r>
    </w:p>
    <w:p w14:paraId="6CA449C9" w14:textId="77777777" w:rsidR="00F742F8" w:rsidRDefault="00F742F8" w:rsidP="00F742F8">
      <w:pPr>
        <w:spacing w:beforeAutospacing="1" w:after="0" w:afterAutospacing="1" w:line="240" w:lineRule="auto"/>
        <w:ind w:left="-360"/>
        <w:rPr>
          <w:rFonts w:ascii="Arial" w:hAnsi="Arial" w:cs="Arial"/>
          <w:sz w:val="24"/>
          <w:szCs w:val="24"/>
        </w:rPr>
      </w:pPr>
      <w:r w:rsidRPr="00F742F8">
        <w:t xml:space="preserve">Okhrimenko, I.M. (2020) ‘Police training or police education: View on the matter’. Available at: </w:t>
      </w:r>
      <w:hyperlink r:id="rId8" w:history="1">
        <w:r w:rsidRPr="00F742F8">
          <w:rPr>
            <w:rStyle w:val="Hyperlink"/>
            <w:color w:val="auto"/>
            <w:u w:val="none"/>
          </w:rPr>
          <w:t>https://dspace.univd.edu.ua/handle/123456789/10043</w:t>
        </w:r>
      </w:hyperlink>
      <w:r w:rsidRPr="00F742F8">
        <w:t xml:space="preserve"> (Accessed: 24 January 2024).</w:t>
      </w:r>
    </w:p>
    <w:p w14:paraId="59BDE89B" w14:textId="77777777" w:rsidR="00F742F8" w:rsidRDefault="00F742F8" w:rsidP="00F742F8">
      <w:pPr>
        <w:spacing w:beforeAutospacing="1" w:after="0" w:afterAutospacing="1" w:line="240" w:lineRule="auto"/>
        <w:ind w:left="-360"/>
        <w:rPr>
          <w:rFonts w:ascii="Arial" w:hAnsi="Arial" w:cs="Arial"/>
          <w:sz w:val="24"/>
          <w:szCs w:val="24"/>
        </w:rPr>
      </w:pPr>
      <w:r w:rsidRPr="00F742F8">
        <w:t>Phillips, J., Water, J., westaby, C., Fowler, A., (2020) Emotional labour in criminal justice and criminology. Routledge.</w:t>
      </w:r>
    </w:p>
    <w:p w14:paraId="63DB8048" w14:textId="77777777" w:rsidR="00F742F8" w:rsidRDefault="00F742F8" w:rsidP="00F742F8">
      <w:pPr>
        <w:spacing w:beforeAutospacing="1" w:after="0" w:afterAutospacing="1" w:line="240" w:lineRule="auto"/>
        <w:ind w:left="-360"/>
        <w:rPr>
          <w:rFonts w:ascii="Arial" w:hAnsi="Arial" w:cs="Arial"/>
          <w:sz w:val="24"/>
          <w:szCs w:val="24"/>
        </w:rPr>
      </w:pPr>
      <w:r w:rsidRPr="00F742F8">
        <w:t>Setjo, O.S. and Ma’ruf, U. (2020) ‘Investigation of Children Which Conflicting With Law in Narcotics Criminal Acts In Law Area of the Semarang City Police Jurisdiction’, Jurnal Daulat Hukum, 3(2), pp. 283–290.</w:t>
      </w:r>
    </w:p>
    <w:p w14:paraId="744A1FEE" w14:textId="77777777" w:rsidR="00F742F8" w:rsidRDefault="00F742F8" w:rsidP="00F742F8">
      <w:pPr>
        <w:spacing w:beforeAutospacing="1" w:after="0" w:afterAutospacing="1" w:line="240" w:lineRule="auto"/>
        <w:ind w:left="-360"/>
        <w:rPr>
          <w:rFonts w:ascii="Arial" w:hAnsi="Arial" w:cs="Arial"/>
          <w:sz w:val="24"/>
          <w:szCs w:val="24"/>
        </w:rPr>
      </w:pPr>
      <w:r w:rsidRPr="00F742F8">
        <w:t>Sheptycki, J. (2020) ‘The politics of policing a pandemic panic’, Australian &amp; New Zealand Journal of Criminology, 53(2), pp. 157–173.</w:t>
      </w:r>
    </w:p>
    <w:p w14:paraId="475AC5B9" w14:textId="77777777" w:rsidR="00F742F8" w:rsidRDefault="00F742F8" w:rsidP="00F742F8">
      <w:pPr>
        <w:spacing w:beforeAutospacing="1" w:after="0" w:afterAutospacing="1" w:line="240" w:lineRule="auto"/>
        <w:ind w:left="-360"/>
        <w:rPr>
          <w:rFonts w:ascii="Arial" w:hAnsi="Arial" w:cs="Arial"/>
          <w:sz w:val="24"/>
          <w:szCs w:val="24"/>
        </w:rPr>
      </w:pPr>
      <w:r w:rsidRPr="00F742F8">
        <w:t>Siregar, S.A., Siregar, G. and Lubis, M.A. (2020) ‘Criminological Perspective Of Street Crime’, Journal of Advanced Research in Dynamical and Control Systems-JARDCS, 12(6), pp. 603–611.</w:t>
      </w:r>
    </w:p>
    <w:p w14:paraId="332107C4" w14:textId="77777777" w:rsidR="00F742F8" w:rsidRDefault="00F742F8" w:rsidP="00F742F8">
      <w:pPr>
        <w:spacing w:beforeAutospacing="1" w:after="0" w:afterAutospacing="1" w:line="240" w:lineRule="auto"/>
        <w:ind w:left="-360"/>
        <w:rPr>
          <w:rFonts w:ascii="Arial" w:hAnsi="Arial" w:cs="Arial"/>
          <w:sz w:val="24"/>
          <w:szCs w:val="24"/>
        </w:rPr>
      </w:pPr>
      <w:r w:rsidRPr="00F742F8">
        <w:t>Sitompul, A. and Hasibuan, P. (2021) ‘The Morality of Law Enforcement Agencies (Police, Prosecutor’s Office, KPK) in Money Laundering With the Origin of the Corruption’, European Science Review, (9–10), pp. 55–63.</w:t>
      </w:r>
    </w:p>
    <w:p w14:paraId="3537844A" w14:textId="1533B413" w:rsidR="00F742F8" w:rsidRPr="00F742F8" w:rsidRDefault="00F742F8" w:rsidP="00F742F8">
      <w:pPr>
        <w:spacing w:beforeAutospacing="1" w:after="0" w:afterAutospacing="1" w:line="240" w:lineRule="auto"/>
        <w:ind w:left="-360"/>
        <w:rPr>
          <w:rFonts w:ascii="Arial" w:hAnsi="Arial" w:cs="Arial"/>
          <w:sz w:val="24"/>
          <w:szCs w:val="24"/>
        </w:rPr>
      </w:pPr>
      <w:bookmarkStart w:id="0" w:name="_GoBack"/>
      <w:bookmarkEnd w:id="0"/>
      <w:r w:rsidRPr="00F742F8">
        <w:t>White, M.D. and Fradella, H.F. (2020) ‘Policing a Pandemic: Stay-at-Home Orders and What they Mean for the Police’, Journal of Criminal Justice, 45(4), pp. 702–717.</w:t>
      </w:r>
    </w:p>
    <w:p w14:paraId="71E65102" w14:textId="77777777" w:rsidR="00E95AEC" w:rsidRPr="00F742F8" w:rsidRDefault="00E95AEC" w:rsidP="00F742F8"/>
    <w:p w14:paraId="65DC5139" w14:textId="4BE80F93" w:rsidR="001C14D3" w:rsidRPr="0007794C" w:rsidRDefault="001C14D3" w:rsidP="00CF5FA6">
      <w:pPr>
        <w:spacing w:after="0" w:line="360" w:lineRule="auto"/>
        <w:ind w:left="720" w:hanging="720"/>
        <w:jc w:val="both"/>
        <w:rPr>
          <w:rFonts w:ascii="Times New Roman" w:hAnsi="Times New Roman" w:cs="Times New Roman"/>
          <w:sz w:val="24"/>
          <w:szCs w:val="24"/>
        </w:rPr>
      </w:pPr>
    </w:p>
    <w:sectPr w:rsidR="001C14D3" w:rsidRPr="000779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73D057" w14:textId="77777777" w:rsidR="00AC4B4A" w:rsidRDefault="00AC4B4A" w:rsidP="00633D03">
      <w:pPr>
        <w:spacing w:after="0" w:line="240" w:lineRule="auto"/>
      </w:pPr>
      <w:r>
        <w:separator/>
      </w:r>
    </w:p>
  </w:endnote>
  <w:endnote w:type="continuationSeparator" w:id="0">
    <w:p w14:paraId="155D4023" w14:textId="77777777" w:rsidR="00AC4B4A" w:rsidRDefault="00AC4B4A" w:rsidP="00633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92655C" w14:textId="77777777" w:rsidR="00AC4B4A" w:rsidRDefault="00AC4B4A" w:rsidP="00633D03">
      <w:pPr>
        <w:spacing w:after="0" w:line="240" w:lineRule="auto"/>
      </w:pPr>
      <w:r>
        <w:separator/>
      </w:r>
    </w:p>
  </w:footnote>
  <w:footnote w:type="continuationSeparator" w:id="0">
    <w:p w14:paraId="0B566419" w14:textId="77777777" w:rsidR="00AC4B4A" w:rsidRDefault="00AC4B4A" w:rsidP="00633D0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2E064BD"/>
    <w:multiLevelType w:val="multilevel"/>
    <w:tmpl w:val="C3FAD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QyNDIyNTYyNzQ0MzJW0lEKTi0uzszPAykwqQUA3LnHyCwAAAA="/>
  </w:docVars>
  <w:rsids>
    <w:rsidRoot w:val="001D23A5"/>
    <w:rsid w:val="0000151A"/>
    <w:rsid w:val="00062104"/>
    <w:rsid w:val="000721A1"/>
    <w:rsid w:val="0007794C"/>
    <w:rsid w:val="00084DA3"/>
    <w:rsid w:val="00085B13"/>
    <w:rsid w:val="001650D2"/>
    <w:rsid w:val="00184326"/>
    <w:rsid w:val="001A207E"/>
    <w:rsid w:val="001C14D3"/>
    <w:rsid w:val="001D20E5"/>
    <w:rsid w:val="001D23A5"/>
    <w:rsid w:val="001E0360"/>
    <w:rsid w:val="002448DA"/>
    <w:rsid w:val="002620C0"/>
    <w:rsid w:val="00291EC1"/>
    <w:rsid w:val="002929C7"/>
    <w:rsid w:val="002A6757"/>
    <w:rsid w:val="002C66D7"/>
    <w:rsid w:val="002E7A5D"/>
    <w:rsid w:val="00343121"/>
    <w:rsid w:val="003465CC"/>
    <w:rsid w:val="003504BF"/>
    <w:rsid w:val="0038353C"/>
    <w:rsid w:val="003906A0"/>
    <w:rsid w:val="003A521C"/>
    <w:rsid w:val="003D0F0B"/>
    <w:rsid w:val="003D3BC1"/>
    <w:rsid w:val="003E48D5"/>
    <w:rsid w:val="003E73C4"/>
    <w:rsid w:val="00437A38"/>
    <w:rsid w:val="00451BBC"/>
    <w:rsid w:val="0045405C"/>
    <w:rsid w:val="004D5B05"/>
    <w:rsid w:val="004E4BCE"/>
    <w:rsid w:val="004E54AE"/>
    <w:rsid w:val="005000DD"/>
    <w:rsid w:val="00537CB3"/>
    <w:rsid w:val="0054553C"/>
    <w:rsid w:val="005512CA"/>
    <w:rsid w:val="0055514F"/>
    <w:rsid w:val="00563859"/>
    <w:rsid w:val="00570624"/>
    <w:rsid w:val="00575474"/>
    <w:rsid w:val="00593FFC"/>
    <w:rsid w:val="005B178F"/>
    <w:rsid w:val="005E2022"/>
    <w:rsid w:val="005E5F43"/>
    <w:rsid w:val="005E7837"/>
    <w:rsid w:val="00604458"/>
    <w:rsid w:val="00633D03"/>
    <w:rsid w:val="00635D53"/>
    <w:rsid w:val="006717D8"/>
    <w:rsid w:val="0068048F"/>
    <w:rsid w:val="00687833"/>
    <w:rsid w:val="006C117C"/>
    <w:rsid w:val="006C63A3"/>
    <w:rsid w:val="006D699F"/>
    <w:rsid w:val="00722EAB"/>
    <w:rsid w:val="007237EB"/>
    <w:rsid w:val="00741531"/>
    <w:rsid w:val="00754152"/>
    <w:rsid w:val="00771B13"/>
    <w:rsid w:val="007C3624"/>
    <w:rsid w:val="007C5737"/>
    <w:rsid w:val="007C6E50"/>
    <w:rsid w:val="007D6C6F"/>
    <w:rsid w:val="007E5491"/>
    <w:rsid w:val="00831FFD"/>
    <w:rsid w:val="00891396"/>
    <w:rsid w:val="00891AA7"/>
    <w:rsid w:val="00896E4E"/>
    <w:rsid w:val="008A40E0"/>
    <w:rsid w:val="008C45BF"/>
    <w:rsid w:val="008D298B"/>
    <w:rsid w:val="00917466"/>
    <w:rsid w:val="00933066"/>
    <w:rsid w:val="009368FB"/>
    <w:rsid w:val="0096753D"/>
    <w:rsid w:val="009C6A6F"/>
    <w:rsid w:val="009C75B9"/>
    <w:rsid w:val="009E4753"/>
    <w:rsid w:val="00A12133"/>
    <w:rsid w:val="00A22AF8"/>
    <w:rsid w:val="00A427EE"/>
    <w:rsid w:val="00A5458D"/>
    <w:rsid w:val="00A82FC2"/>
    <w:rsid w:val="00AC4B4A"/>
    <w:rsid w:val="00AD7ADA"/>
    <w:rsid w:val="00B51D0C"/>
    <w:rsid w:val="00B86CF8"/>
    <w:rsid w:val="00B95D9B"/>
    <w:rsid w:val="00C2240E"/>
    <w:rsid w:val="00C37575"/>
    <w:rsid w:val="00C400ED"/>
    <w:rsid w:val="00C742BB"/>
    <w:rsid w:val="00C76373"/>
    <w:rsid w:val="00C829DC"/>
    <w:rsid w:val="00CA0149"/>
    <w:rsid w:val="00CE6CF1"/>
    <w:rsid w:val="00CF5FA6"/>
    <w:rsid w:val="00D01608"/>
    <w:rsid w:val="00D568D8"/>
    <w:rsid w:val="00DC1B8D"/>
    <w:rsid w:val="00DD0B8F"/>
    <w:rsid w:val="00E355E9"/>
    <w:rsid w:val="00E43B4E"/>
    <w:rsid w:val="00E60CA7"/>
    <w:rsid w:val="00E71FDE"/>
    <w:rsid w:val="00E92BB6"/>
    <w:rsid w:val="00E95AEC"/>
    <w:rsid w:val="00F742F8"/>
    <w:rsid w:val="00F932DE"/>
    <w:rsid w:val="00F958B3"/>
    <w:rsid w:val="00F95D05"/>
    <w:rsid w:val="00FB02CE"/>
    <w:rsid w:val="00FB0489"/>
    <w:rsid w:val="00FB1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19762"/>
  <w15:chartTrackingRefBased/>
  <w15:docId w15:val="{23C2FFF4-35CA-4499-9213-3EA46A943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D01608"/>
    <w:pPr>
      <w:keepNext/>
      <w:keepLines/>
      <w:spacing w:before="240" w:after="0"/>
      <w:jc w:val="both"/>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9C6A6F"/>
    <w:pPr>
      <w:keepNext/>
      <w:keepLines/>
      <w:spacing w:after="0" w:line="360" w:lineRule="auto"/>
      <w:ind w:firstLine="720"/>
      <w:jc w:val="both"/>
      <w:outlineLvl w:val="1"/>
    </w:pPr>
    <w:rPr>
      <w:rFonts w:ascii="Times New Roman" w:eastAsiaTheme="majorEastAsia" w:hAnsi="Times New Roman" w:cs="Times New Roman"/>
      <w:color w:val="000000" w:themeColor="text1"/>
      <w:sz w:val="24"/>
      <w:szCs w:val="24"/>
    </w:rPr>
  </w:style>
  <w:style w:type="paragraph" w:styleId="Heading3">
    <w:name w:val="heading 3"/>
    <w:basedOn w:val="Normal"/>
    <w:next w:val="Normal"/>
    <w:link w:val="Heading3Char"/>
    <w:autoRedefine/>
    <w:uiPriority w:val="9"/>
    <w:unhideWhenUsed/>
    <w:qFormat/>
    <w:rsid w:val="00E71FDE"/>
    <w:pPr>
      <w:keepNext/>
      <w:keepLines/>
      <w:spacing w:before="120" w:after="120" w:line="360" w:lineRule="auto"/>
      <w:ind w:firstLine="720"/>
      <w:jc w:val="both"/>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C6A6F"/>
    <w:rPr>
      <w:rFonts w:ascii="Times New Roman" w:eastAsiaTheme="majorEastAsia" w:hAnsi="Times New Roman" w:cs="Times New Roman"/>
      <w:color w:val="000000" w:themeColor="text1"/>
      <w:sz w:val="24"/>
      <w:szCs w:val="24"/>
    </w:rPr>
  </w:style>
  <w:style w:type="character" w:customStyle="1" w:styleId="Heading1Char">
    <w:name w:val="Heading 1 Char"/>
    <w:basedOn w:val="DefaultParagraphFont"/>
    <w:link w:val="Heading1"/>
    <w:uiPriority w:val="9"/>
    <w:rsid w:val="00D01608"/>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E71FDE"/>
    <w:rPr>
      <w:rFonts w:ascii="Times New Roman" w:eastAsiaTheme="majorEastAsia" w:hAnsi="Times New Roman" w:cstheme="majorBidi"/>
      <w:b/>
      <w:i/>
      <w:color w:val="000000" w:themeColor="text1"/>
      <w:sz w:val="24"/>
      <w:szCs w:val="24"/>
    </w:rPr>
  </w:style>
  <w:style w:type="paragraph" w:styleId="ListParagraph">
    <w:name w:val="List Paragraph"/>
    <w:basedOn w:val="Normal"/>
    <w:uiPriority w:val="34"/>
    <w:qFormat/>
    <w:rsid w:val="001C14D3"/>
    <w:pPr>
      <w:ind w:left="720"/>
      <w:contextualSpacing/>
    </w:pPr>
  </w:style>
  <w:style w:type="paragraph" w:styleId="FootnoteText">
    <w:name w:val="footnote text"/>
    <w:basedOn w:val="Normal"/>
    <w:link w:val="FootnoteTextChar"/>
    <w:uiPriority w:val="99"/>
    <w:semiHidden/>
    <w:unhideWhenUsed/>
    <w:rsid w:val="00633D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3D03"/>
    <w:rPr>
      <w:sz w:val="20"/>
      <w:szCs w:val="20"/>
    </w:rPr>
  </w:style>
  <w:style w:type="character" w:styleId="FootnoteReference">
    <w:name w:val="footnote reference"/>
    <w:basedOn w:val="DefaultParagraphFont"/>
    <w:uiPriority w:val="99"/>
    <w:semiHidden/>
    <w:unhideWhenUsed/>
    <w:rsid w:val="00633D03"/>
    <w:rPr>
      <w:vertAlign w:val="superscript"/>
    </w:rPr>
  </w:style>
  <w:style w:type="character" w:styleId="Hyperlink">
    <w:name w:val="Hyperlink"/>
    <w:basedOn w:val="DefaultParagraphFont"/>
    <w:uiPriority w:val="99"/>
    <w:unhideWhenUsed/>
    <w:rsid w:val="00537CB3"/>
    <w:rPr>
      <w:color w:val="0563C1" w:themeColor="hyperlink"/>
      <w:u w:val="single"/>
    </w:rPr>
  </w:style>
  <w:style w:type="paragraph" w:styleId="NoSpacing">
    <w:name w:val="No Spacing"/>
    <w:uiPriority w:val="1"/>
    <w:qFormat/>
    <w:rsid w:val="00184326"/>
    <w:pPr>
      <w:spacing w:after="0" w:line="240" w:lineRule="auto"/>
    </w:pPr>
  </w:style>
  <w:style w:type="character" w:customStyle="1" w:styleId="personname">
    <w:name w:val="person_name"/>
    <w:basedOn w:val="DefaultParagraphFont"/>
    <w:rsid w:val="00077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0005770">
      <w:bodyDiv w:val="1"/>
      <w:marLeft w:val="0"/>
      <w:marRight w:val="0"/>
      <w:marTop w:val="0"/>
      <w:marBottom w:val="0"/>
      <w:divBdr>
        <w:top w:val="none" w:sz="0" w:space="0" w:color="auto"/>
        <w:left w:val="none" w:sz="0" w:space="0" w:color="auto"/>
        <w:bottom w:val="none" w:sz="0" w:space="0" w:color="auto"/>
        <w:right w:val="none" w:sz="0" w:space="0" w:color="auto"/>
      </w:divBdr>
      <w:divsChild>
        <w:div w:id="227224943">
          <w:marLeft w:val="0"/>
          <w:marRight w:val="0"/>
          <w:marTop w:val="0"/>
          <w:marBottom w:val="0"/>
          <w:divBdr>
            <w:top w:val="none" w:sz="0" w:space="0" w:color="auto"/>
            <w:left w:val="none" w:sz="0" w:space="0" w:color="auto"/>
            <w:bottom w:val="none" w:sz="0" w:space="0" w:color="auto"/>
            <w:right w:val="none" w:sz="0" w:space="0" w:color="auto"/>
          </w:divBdr>
          <w:divsChild>
            <w:div w:id="111956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730717">
      <w:bodyDiv w:val="1"/>
      <w:marLeft w:val="0"/>
      <w:marRight w:val="0"/>
      <w:marTop w:val="0"/>
      <w:marBottom w:val="0"/>
      <w:divBdr>
        <w:top w:val="none" w:sz="0" w:space="0" w:color="auto"/>
        <w:left w:val="none" w:sz="0" w:space="0" w:color="auto"/>
        <w:bottom w:val="none" w:sz="0" w:space="0" w:color="auto"/>
        <w:right w:val="none" w:sz="0" w:space="0" w:color="auto"/>
      </w:divBdr>
      <w:divsChild>
        <w:div w:id="1692027187">
          <w:marLeft w:val="0"/>
          <w:marRight w:val="0"/>
          <w:marTop w:val="0"/>
          <w:marBottom w:val="0"/>
          <w:divBdr>
            <w:top w:val="none" w:sz="0" w:space="0" w:color="auto"/>
            <w:left w:val="none" w:sz="0" w:space="0" w:color="auto"/>
            <w:bottom w:val="none" w:sz="0" w:space="0" w:color="auto"/>
            <w:right w:val="none" w:sz="0" w:space="0" w:color="auto"/>
          </w:divBdr>
          <w:divsChild>
            <w:div w:id="1233197970">
              <w:marLeft w:val="0"/>
              <w:marRight w:val="0"/>
              <w:marTop w:val="0"/>
              <w:marBottom w:val="240"/>
              <w:divBdr>
                <w:top w:val="none" w:sz="0" w:space="0" w:color="auto"/>
                <w:left w:val="none" w:sz="0" w:space="0" w:color="auto"/>
                <w:bottom w:val="none" w:sz="0" w:space="0" w:color="auto"/>
                <w:right w:val="none" w:sz="0" w:space="0" w:color="auto"/>
              </w:divBdr>
            </w:div>
            <w:div w:id="1167748223">
              <w:marLeft w:val="0"/>
              <w:marRight w:val="0"/>
              <w:marTop w:val="0"/>
              <w:marBottom w:val="240"/>
              <w:divBdr>
                <w:top w:val="none" w:sz="0" w:space="0" w:color="auto"/>
                <w:left w:val="none" w:sz="0" w:space="0" w:color="auto"/>
                <w:bottom w:val="none" w:sz="0" w:space="0" w:color="auto"/>
                <w:right w:val="none" w:sz="0" w:space="0" w:color="auto"/>
              </w:divBdr>
            </w:div>
            <w:div w:id="1602838938">
              <w:marLeft w:val="0"/>
              <w:marRight w:val="0"/>
              <w:marTop w:val="0"/>
              <w:marBottom w:val="240"/>
              <w:divBdr>
                <w:top w:val="none" w:sz="0" w:space="0" w:color="auto"/>
                <w:left w:val="none" w:sz="0" w:space="0" w:color="auto"/>
                <w:bottom w:val="none" w:sz="0" w:space="0" w:color="auto"/>
                <w:right w:val="none" w:sz="0" w:space="0" w:color="auto"/>
              </w:divBdr>
            </w:div>
            <w:div w:id="2091922983">
              <w:marLeft w:val="0"/>
              <w:marRight w:val="0"/>
              <w:marTop w:val="0"/>
              <w:marBottom w:val="240"/>
              <w:divBdr>
                <w:top w:val="none" w:sz="0" w:space="0" w:color="auto"/>
                <w:left w:val="none" w:sz="0" w:space="0" w:color="auto"/>
                <w:bottom w:val="none" w:sz="0" w:space="0" w:color="auto"/>
                <w:right w:val="none" w:sz="0" w:space="0" w:color="auto"/>
              </w:divBdr>
            </w:div>
            <w:div w:id="248930711">
              <w:marLeft w:val="0"/>
              <w:marRight w:val="0"/>
              <w:marTop w:val="0"/>
              <w:marBottom w:val="240"/>
              <w:divBdr>
                <w:top w:val="none" w:sz="0" w:space="0" w:color="auto"/>
                <w:left w:val="none" w:sz="0" w:space="0" w:color="auto"/>
                <w:bottom w:val="none" w:sz="0" w:space="0" w:color="auto"/>
                <w:right w:val="none" w:sz="0" w:space="0" w:color="auto"/>
              </w:divBdr>
            </w:div>
            <w:div w:id="96214688">
              <w:marLeft w:val="0"/>
              <w:marRight w:val="0"/>
              <w:marTop w:val="0"/>
              <w:marBottom w:val="240"/>
              <w:divBdr>
                <w:top w:val="none" w:sz="0" w:space="0" w:color="auto"/>
                <w:left w:val="none" w:sz="0" w:space="0" w:color="auto"/>
                <w:bottom w:val="none" w:sz="0" w:space="0" w:color="auto"/>
                <w:right w:val="none" w:sz="0" w:space="0" w:color="auto"/>
              </w:divBdr>
            </w:div>
            <w:div w:id="23212685">
              <w:marLeft w:val="0"/>
              <w:marRight w:val="0"/>
              <w:marTop w:val="0"/>
              <w:marBottom w:val="240"/>
              <w:divBdr>
                <w:top w:val="none" w:sz="0" w:space="0" w:color="auto"/>
                <w:left w:val="none" w:sz="0" w:space="0" w:color="auto"/>
                <w:bottom w:val="none" w:sz="0" w:space="0" w:color="auto"/>
                <w:right w:val="none" w:sz="0" w:space="0" w:color="auto"/>
              </w:divBdr>
            </w:div>
            <w:div w:id="1886983026">
              <w:marLeft w:val="0"/>
              <w:marRight w:val="0"/>
              <w:marTop w:val="0"/>
              <w:marBottom w:val="240"/>
              <w:divBdr>
                <w:top w:val="none" w:sz="0" w:space="0" w:color="auto"/>
                <w:left w:val="none" w:sz="0" w:space="0" w:color="auto"/>
                <w:bottom w:val="none" w:sz="0" w:space="0" w:color="auto"/>
                <w:right w:val="none" w:sz="0" w:space="0" w:color="auto"/>
              </w:divBdr>
            </w:div>
            <w:div w:id="300156504">
              <w:marLeft w:val="0"/>
              <w:marRight w:val="0"/>
              <w:marTop w:val="0"/>
              <w:marBottom w:val="240"/>
              <w:divBdr>
                <w:top w:val="none" w:sz="0" w:space="0" w:color="auto"/>
                <w:left w:val="none" w:sz="0" w:space="0" w:color="auto"/>
                <w:bottom w:val="none" w:sz="0" w:space="0" w:color="auto"/>
                <w:right w:val="none" w:sz="0" w:space="0" w:color="auto"/>
              </w:divBdr>
            </w:div>
            <w:div w:id="1697269535">
              <w:marLeft w:val="0"/>
              <w:marRight w:val="0"/>
              <w:marTop w:val="0"/>
              <w:marBottom w:val="240"/>
              <w:divBdr>
                <w:top w:val="none" w:sz="0" w:space="0" w:color="auto"/>
                <w:left w:val="none" w:sz="0" w:space="0" w:color="auto"/>
                <w:bottom w:val="none" w:sz="0" w:space="0" w:color="auto"/>
                <w:right w:val="none" w:sz="0" w:space="0" w:color="auto"/>
              </w:divBdr>
            </w:div>
            <w:div w:id="315912804">
              <w:marLeft w:val="0"/>
              <w:marRight w:val="0"/>
              <w:marTop w:val="0"/>
              <w:marBottom w:val="240"/>
              <w:divBdr>
                <w:top w:val="none" w:sz="0" w:space="0" w:color="auto"/>
                <w:left w:val="none" w:sz="0" w:space="0" w:color="auto"/>
                <w:bottom w:val="none" w:sz="0" w:space="0" w:color="auto"/>
                <w:right w:val="none" w:sz="0" w:space="0" w:color="auto"/>
              </w:divBdr>
            </w:div>
            <w:div w:id="456483871">
              <w:marLeft w:val="0"/>
              <w:marRight w:val="0"/>
              <w:marTop w:val="0"/>
              <w:marBottom w:val="240"/>
              <w:divBdr>
                <w:top w:val="none" w:sz="0" w:space="0" w:color="auto"/>
                <w:left w:val="none" w:sz="0" w:space="0" w:color="auto"/>
                <w:bottom w:val="none" w:sz="0" w:space="0" w:color="auto"/>
                <w:right w:val="none" w:sz="0" w:space="0" w:color="auto"/>
              </w:divBdr>
            </w:div>
            <w:div w:id="299266773">
              <w:marLeft w:val="0"/>
              <w:marRight w:val="0"/>
              <w:marTop w:val="0"/>
              <w:marBottom w:val="240"/>
              <w:divBdr>
                <w:top w:val="none" w:sz="0" w:space="0" w:color="auto"/>
                <w:left w:val="none" w:sz="0" w:space="0" w:color="auto"/>
                <w:bottom w:val="none" w:sz="0" w:space="0" w:color="auto"/>
                <w:right w:val="none" w:sz="0" w:space="0" w:color="auto"/>
              </w:divBdr>
            </w:div>
            <w:div w:id="313027754">
              <w:marLeft w:val="0"/>
              <w:marRight w:val="0"/>
              <w:marTop w:val="0"/>
              <w:marBottom w:val="240"/>
              <w:divBdr>
                <w:top w:val="none" w:sz="0" w:space="0" w:color="auto"/>
                <w:left w:val="none" w:sz="0" w:space="0" w:color="auto"/>
                <w:bottom w:val="none" w:sz="0" w:space="0" w:color="auto"/>
                <w:right w:val="none" w:sz="0" w:space="0" w:color="auto"/>
              </w:divBdr>
            </w:div>
            <w:div w:id="1433548815">
              <w:marLeft w:val="0"/>
              <w:marRight w:val="0"/>
              <w:marTop w:val="0"/>
              <w:marBottom w:val="240"/>
              <w:divBdr>
                <w:top w:val="none" w:sz="0" w:space="0" w:color="auto"/>
                <w:left w:val="none" w:sz="0" w:space="0" w:color="auto"/>
                <w:bottom w:val="none" w:sz="0" w:space="0" w:color="auto"/>
                <w:right w:val="none" w:sz="0" w:space="0" w:color="auto"/>
              </w:divBdr>
            </w:div>
            <w:div w:id="683554719">
              <w:marLeft w:val="0"/>
              <w:marRight w:val="0"/>
              <w:marTop w:val="0"/>
              <w:marBottom w:val="240"/>
              <w:divBdr>
                <w:top w:val="none" w:sz="0" w:space="0" w:color="auto"/>
                <w:left w:val="none" w:sz="0" w:space="0" w:color="auto"/>
                <w:bottom w:val="none" w:sz="0" w:space="0" w:color="auto"/>
                <w:right w:val="none" w:sz="0" w:space="0" w:color="auto"/>
              </w:divBdr>
            </w:div>
            <w:div w:id="1797598994">
              <w:marLeft w:val="0"/>
              <w:marRight w:val="0"/>
              <w:marTop w:val="0"/>
              <w:marBottom w:val="240"/>
              <w:divBdr>
                <w:top w:val="none" w:sz="0" w:space="0" w:color="auto"/>
                <w:left w:val="none" w:sz="0" w:space="0" w:color="auto"/>
                <w:bottom w:val="none" w:sz="0" w:space="0" w:color="auto"/>
                <w:right w:val="none" w:sz="0" w:space="0" w:color="auto"/>
              </w:divBdr>
            </w:div>
            <w:div w:id="1654481796">
              <w:marLeft w:val="0"/>
              <w:marRight w:val="0"/>
              <w:marTop w:val="0"/>
              <w:marBottom w:val="240"/>
              <w:divBdr>
                <w:top w:val="none" w:sz="0" w:space="0" w:color="auto"/>
                <w:left w:val="none" w:sz="0" w:space="0" w:color="auto"/>
                <w:bottom w:val="none" w:sz="0" w:space="0" w:color="auto"/>
                <w:right w:val="none" w:sz="0" w:space="0" w:color="auto"/>
              </w:divBdr>
            </w:div>
            <w:div w:id="1685859616">
              <w:marLeft w:val="0"/>
              <w:marRight w:val="0"/>
              <w:marTop w:val="0"/>
              <w:marBottom w:val="240"/>
              <w:divBdr>
                <w:top w:val="none" w:sz="0" w:space="0" w:color="auto"/>
                <w:left w:val="none" w:sz="0" w:space="0" w:color="auto"/>
                <w:bottom w:val="none" w:sz="0" w:space="0" w:color="auto"/>
                <w:right w:val="none" w:sz="0" w:space="0" w:color="auto"/>
              </w:divBdr>
            </w:div>
            <w:div w:id="117869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68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space.univd.edu.ua/handle/123456789/1004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10D4A5-FFD1-4D5D-8570-1DF7BF7B0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3201</Words>
  <Characters>16299</Characters>
  <Application>Microsoft Office Word</Application>
  <DocSecurity>0</DocSecurity>
  <Lines>479</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NCW</dc:creator>
  <cp:keywords/>
  <dc:description/>
  <cp:lastModifiedBy>Windows User</cp:lastModifiedBy>
  <cp:revision>2</cp:revision>
  <dcterms:created xsi:type="dcterms:W3CDTF">2024-01-26T11:45:00Z</dcterms:created>
  <dcterms:modified xsi:type="dcterms:W3CDTF">2024-01-26T11:45:00Z</dcterms:modified>
</cp:coreProperties>
</file>