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CF103B" w14:textId="3DB96266" w:rsidR="007476D3" w:rsidRDefault="00D80A99" w:rsidP="00D80A99">
      <w:pPr>
        <w:spacing w:line="360" w:lineRule="auto"/>
        <w:rPr>
          <w:b/>
          <w:bCs/>
          <w:u w:val="single"/>
        </w:rPr>
      </w:pPr>
      <w:r>
        <w:rPr>
          <w:b/>
          <w:bCs/>
          <w:u w:val="single"/>
        </w:rPr>
        <w:t>Factors affecting identity formation in early childhood and adolescence: evaluation</w:t>
      </w:r>
    </w:p>
    <w:p w14:paraId="0577A485" w14:textId="192DA216" w:rsidR="008B2B08" w:rsidRDefault="00872F1D" w:rsidP="008B2B08">
      <w:pPr>
        <w:spacing w:line="360" w:lineRule="auto"/>
      </w:pPr>
      <w:r>
        <w:t>This essay will evaluate factors that inform the creation of identity in early childhood and adolescence and how they contribute to our educational processes and institutions.</w:t>
      </w:r>
      <w:r w:rsidR="00DF0C17">
        <w:t xml:space="preserve"> In doing so, we will consider theoretical ideas regarding how identity is formed</w:t>
      </w:r>
      <w:r w:rsidR="002D7F0A">
        <w:t xml:space="preserve">, culture, </w:t>
      </w:r>
      <w:r w:rsidR="00DF0C17">
        <w:t xml:space="preserve">and </w:t>
      </w:r>
      <w:r w:rsidR="001B444F">
        <w:t>how they influence the delivery of education</w:t>
      </w:r>
      <w:r w:rsidR="008B2B08">
        <w:t>.</w:t>
      </w:r>
    </w:p>
    <w:p w14:paraId="4C4987EF" w14:textId="40953F29" w:rsidR="00004E59" w:rsidRDefault="008B2B08" w:rsidP="008B2B08">
      <w:pPr>
        <w:spacing w:line="360" w:lineRule="auto"/>
      </w:pPr>
      <w:r>
        <w:t>Burke and Stets (2009) make the case that a person’s identity is influenced by their role in society, their membership of a group within that society and their perception of their own</w:t>
      </w:r>
      <w:r w:rsidR="00A76512">
        <w:t xml:space="preserve"> characteristics. Considering this notion, it is understandable that the cultures that permeate societies are influential in the formation of the identities of people within those societies. However, </w:t>
      </w:r>
      <w:r w:rsidR="00004E59">
        <w:t>we can observe a juxtaposition between the formation of identity through role in society and group membership, and identity formation through personal characteristics which can challenge and, over time, reform the cultures that inform those societies and groups.</w:t>
      </w:r>
      <w:r w:rsidR="002D6765">
        <w:t xml:space="preserve"> </w:t>
      </w:r>
      <w:r w:rsidR="00004E59">
        <w:t>This can be witnessed in the formation of gender identity.</w:t>
      </w:r>
    </w:p>
    <w:p w14:paraId="5963111A" w14:textId="77777777" w:rsidR="00CA1B17" w:rsidRDefault="00E66874" w:rsidP="008B2B08">
      <w:pPr>
        <w:spacing w:line="360" w:lineRule="auto"/>
      </w:pPr>
      <w:r>
        <w:t xml:space="preserve">In considering this, we can look to historical ideas of gender roles and their development over time. </w:t>
      </w:r>
      <w:r w:rsidR="00643FBD">
        <w:t>Within this consideration we should first establish that gender is a social construct that is not bound to biologically defined sex (Dufour and Curtis, 2011).</w:t>
      </w:r>
      <w:r w:rsidR="00AC5417">
        <w:t xml:space="preserve"> This does not mean, however, that they have always been perceived as separate.</w:t>
      </w:r>
      <w:r w:rsidR="00376A01">
        <w:t xml:space="preserve"> </w:t>
      </w:r>
      <w:r w:rsidR="00AC5417">
        <w:t xml:space="preserve">Historically, in western Christian societies, the view that women are fairer or lesser than men has </w:t>
      </w:r>
      <w:r w:rsidR="009F6326">
        <w:t>been prevalent and stems from consistent themes presenting women as temptresses in the Bible. This set a precedent for a different role within society for women in order to achieve redemption (Knowles and Lander, 2011)</w:t>
      </w:r>
      <w:r w:rsidR="00CA1B17">
        <w:t xml:space="preserve">. </w:t>
      </w:r>
    </w:p>
    <w:p w14:paraId="5B19766F" w14:textId="757EA6D4" w:rsidR="007D586F" w:rsidRDefault="00CA1B17" w:rsidP="008B2B08">
      <w:pPr>
        <w:spacing w:line="360" w:lineRule="auto"/>
      </w:pPr>
      <w:r>
        <w:t>This different role for women became part of the cultural fabric and informed ideas of femininity. It further informed the way in which the education system has approached the teaching of girls and boys. We see examples of this in the UK throughout the 20</w:t>
      </w:r>
      <w:r w:rsidRPr="00CA1B17">
        <w:rPr>
          <w:vertAlign w:val="superscript"/>
        </w:rPr>
        <w:t>th</w:t>
      </w:r>
      <w:r>
        <w:t xml:space="preserve"> century not only in the single sex grammar schools of the tripartite system era, but also in separate curriculums </w:t>
      </w:r>
      <w:r w:rsidR="00FB4E22">
        <w:t>in the early comprehensive system</w:t>
      </w:r>
      <w:r w:rsidR="003879DF">
        <w:t xml:space="preserve"> with an example being teaching needlework to girls and metal work to boys</w:t>
      </w:r>
      <w:r w:rsidR="00FB4E22">
        <w:t xml:space="preserve"> (Bartlett and Burton, 2016)</w:t>
      </w:r>
      <w:r w:rsidR="003879DF">
        <w:t>.</w:t>
      </w:r>
      <w:r w:rsidR="007D586F">
        <w:t xml:space="preserve"> Thus, we see both society and faith playing a role in the formation of traditional gender identities which in turn are reinforced by the education system.</w:t>
      </w:r>
    </w:p>
    <w:p w14:paraId="16D30FD9" w14:textId="744B2CD7" w:rsidR="00FC1C9A" w:rsidRDefault="009A4EB4" w:rsidP="008B2B08">
      <w:pPr>
        <w:spacing w:line="360" w:lineRule="auto"/>
      </w:pPr>
      <w:r>
        <w:t>Feminism can help bring to light the juxtaposition between personal characteristics and societal role and group membership.</w:t>
      </w:r>
      <w:r w:rsidR="00B23547">
        <w:t xml:space="preserve"> The achievements of the feminist movement have challenged the patriarchal nature of society and thus redefined the role of women and the feminine within it.</w:t>
      </w:r>
      <w:r>
        <w:t xml:space="preserve"> </w:t>
      </w:r>
      <w:r w:rsidR="00FC5E29">
        <w:t xml:space="preserve">The feminist drive for the equal treatment of men and women in society has led to such things as the 1975 sex discrimination act which called for equal access to the curriculum for both sexes (Knowles </w:t>
      </w:r>
      <w:r w:rsidR="00FC5E29">
        <w:lastRenderedPageBreak/>
        <w:t>and Lander, 2011). We witness equality further taking hold in the introduction of the national curriculum in 1988 which was compulsory for all regardless of sex (Bartlett and Burton, 2016)</w:t>
      </w:r>
      <w:r w:rsidR="00061C50">
        <w:t>.</w:t>
      </w:r>
      <w:r w:rsidR="00177491">
        <w:t xml:space="preserve"> While not directly link to the movement for equality between sexes, it still plays a part in it’s fruition.</w:t>
      </w:r>
      <w:r w:rsidR="00061C50">
        <w:t xml:space="preserve"> The effect of this is that traditional notions of masculinity and femininity were not so </w:t>
      </w:r>
      <w:r w:rsidR="00126578">
        <w:t>heavily reinforced on children by educational structure.</w:t>
      </w:r>
      <w:r w:rsidR="00CB1520">
        <w:t xml:space="preserve"> Therefo</w:t>
      </w:r>
      <w:r w:rsidR="000B04FC">
        <w:t xml:space="preserve">re, </w:t>
      </w:r>
      <w:r w:rsidR="00C24F65">
        <w:t xml:space="preserve">personal characteristics are able to play a more influential role in the formation of identity in </w:t>
      </w:r>
      <w:r w:rsidR="00C159A6">
        <w:t>school age children.</w:t>
      </w:r>
    </w:p>
    <w:p w14:paraId="37491304" w14:textId="36A1900A" w:rsidR="00BF3755" w:rsidRDefault="00C85380" w:rsidP="008B2B08">
      <w:pPr>
        <w:spacing w:line="360" w:lineRule="auto"/>
      </w:pPr>
      <w:r>
        <w:t xml:space="preserve">In </w:t>
      </w:r>
      <w:r w:rsidR="00472608">
        <w:t>modern times, we witness a cultural change</w:t>
      </w:r>
      <w:r w:rsidR="00D6110A">
        <w:t xml:space="preserve"> from adherence to religious doctrines and the</w:t>
      </w:r>
      <w:r w:rsidR="00386EF0">
        <w:t>ir</w:t>
      </w:r>
      <w:r w:rsidR="00D6110A">
        <w:t xml:space="preserve"> influence</w:t>
      </w:r>
      <w:r w:rsidR="00A8539C">
        <w:t>,</w:t>
      </w:r>
      <w:r w:rsidR="00D6110A">
        <w:t xml:space="preserve"> to </w:t>
      </w:r>
      <w:r w:rsidR="00347151">
        <w:t>economic doctrine and with it, a focus on the individual over society.</w:t>
      </w:r>
      <w:r w:rsidR="00177491">
        <w:t xml:space="preserve"> This is epitomised by Margaret Thatcher’s notion that there is “no such thing as society” which underpinned the economic reforms of the era. </w:t>
      </w:r>
      <w:r w:rsidR="00BB6965">
        <w:t xml:space="preserve"> As the Joseph Rowntree Foundation (2008)</w:t>
      </w:r>
      <w:r w:rsidR="00B84C22">
        <w:t xml:space="preserve"> argues, this </w:t>
      </w:r>
      <w:r w:rsidR="006721E4">
        <w:t xml:space="preserve">economic </w:t>
      </w:r>
      <w:r w:rsidR="00174396">
        <w:t>environment</w:t>
      </w:r>
      <w:r w:rsidR="00B84C22">
        <w:t xml:space="preserve"> lessens the i</w:t>
      </w:r>
      <w:r w:rsidR="00E65374">
        <w:t>mportance</w:t>
      </w:r>
      <w:r w:rsidR="00B84C22">
        <w:t xml:space="preserve"> of society</w:t>
      </w:r>
      <w:r w:rsidR="00F148B1">
        <w:t xml:space="preserve"> </w:t>
      </w:r>
      <w:r w:rsidR="0079694E">
        <w:t xml:space="preserve">and groups within </w:t>
      </w:r>
      <w:r w:rsidR="00F11A06">
        <w:t xml:space="preserve">it </w:t>
      </w:r>
      <w:r w:rsidR="0004409A">
        <w:t>subsequently</w:t>
      </w:r>
      <w:r w:rsidR="00F148B1">
        <w:t xml:space="preserve"> elevat</w:t>
      </w:r>
      <w:r w:rsidR="0004409A">
        <w:t>ing</w:t>
      </w:r>
      <w:r w:rsidR="00F148B1">
        <w:t xml:space="preserve"> the </w:t>
      </w:r>
      <w:r w:rsidR="00E65374">
        <w:t>importance</w:t>
      </w:r>
      <w:r w:rsidR="00F148B1">
        <w:t xml:space="preserve"> of the individual</w:t>
      </w:r>
      <w:r w:rsidR="00E65374">
        <w:t>.</w:t>
      </w:r>
      <w:r w:rsidR="003A4B26">
        <w:t xml:space="preserve"> </w:t>
      </w:r>
      <w:r w:rsidR="00893D2B">
        <w:t>Brunskell-Evans</w:t>
      </w:r>
      <w:r w:rsidR="00241FA0">
        <w:t xml:space="preserve"> (2018) hones </w:t>
      </w:r>
      <w:r w:rsidR="0034768A">
        <w:t>this argument on gender identity</w:t>
      </w:r>
      <w:r w:rsidR="00130382">
        <w:t xml:space="preserve"> </w:t>
      </w:r>
      <w:r w:rsidR="006C7A47">
        <w:t>suggesting that the economic structure and focus on individual</w:t>
      </w:r>
      <w:r w:rsidR="004501A6">
        <w:t>ism has</w:t>
      </w:r>
      <w:r w:rsidR="00D10AFC">
        <w:t xml:space="preserve"> created a society that opens up the possibility for </w:t>
      </w:r>
      <w:r w:rsidR="00F32EF5">
        <w:t>people to identify not only as</w:t>
      </w:r>
      <w:r w:rsidR="0085760C">
        <w:t xml:space="preserve"> different to the gender they were assigned at birth, but also as a member of the opposite sex.</w:t>
      </w:r>
    </w:p>
    <w:p w14:paraId="601583C6" w14:textId="018E1096" w:rsidR="00C85380" w:rsidRDefault="00DB2F88" w:rsidP="008B2B08">
      <w:pPr>
        <w:spacing w:line="360" w:lineRule="auto"/>
      </w:pPr>
      <w:r>
        <w:t>Therefore, w</w:t>
      </w:r>
      <w:r w:rsidR="00CA5A07">
        <w:t xml:space="preserve">hat we can argue is that </w:t>
      </w:r>
      <w:r w:rsidR="00E04F32">
        <w:t>within Burke and Stets’ tri</w:t>
      </w:r>
      <w:r w:rsidR="00196804">
        <w:t xml:space="preserve">o of </w:t>
      </w:r>
      <w:r w:rsidR="00EA5DDD">
        <w:t xml:space="preserve">influence on identity formation, </w:t>
      </w:r>
      <w:r w:rsidR="007C0E89">
        <w:t xml:space="preserve">more or less weight can be carried by any given factor </w:t>
      </w:r>
      <w:r w:rsidR="00536F22">
        <w:t>depending on circumstance.</w:t>
      </w:r>
    </w:p>
    <w:p w14:paraId="421EF44D" w14:textId="301E310A" w:rsidR="00971DA2" w:rsidRDefault="00DD1FD8" w:rsidP="008B2B08">
      <w:pPr>
        <w:spacing w:line="360" w:lineRule="auto"/>
      </w:pPr>
      <w:r>
        <w:t xml:space="preserve">With regards to </w:t>
      </w:r>
      <w:r w:rsidR="00F26A11">
        <w:t xml:space="preserve">formation of identity through membership of a particular group, </w:t>
      </w:r>
      <w:r w:rsidR="00694751">
        <w:t xml:space="preserve">we can turn to </w:t>
      </w:r>
      <w:r w:rsidR="002208F1">
        <w:t xml:space="preserve">the notion of </w:t>
      </w:r>
      <w:r w:rsidR="000E2559">
        <w:t>ethnic</w:t>
      </w:r>
      <w:r w:rsidR="002208F1">
        <w:t xml:space="preserve"> identity</w:t>
      </w:r>
      <w:r w:rsidR="00BF4A8D">
        <w:t>.</w:t>
      </w:r>
      <w:r w:rsidR="000E2559">
        <w:t xml:space="preserve"> </w:t>
      </w:r>
      <w:r w:rsidR="000A22CB">
        <w:t xml:space="preserve">In the formation of ethnic identity, </w:t>
      </w:r>
      <w:r w:rsidR="00583006">
        <w:t>people</w:t>
      </w:r>
      <w:r w:rsidR="00F34A64">
        <w:t xml:space="preserve"> have the possibility to explore more than one interpretation of this. </w:t>
      </w:r>
      <w:r w:rsidR="00E578B8">
        <w:t xml:space="preserve">For example, people from Wales may consider themselves Welsh, British, European, none of the above or a </w:t>
      </w:r>
      <w:r w:rsidR="00B04E49">
        <w:t>mix of all three</w:t>
      </w:r>
      <w:r w:rsidR="00C048D4">
        <w:t xml:space="preserve">. </w:t>
      </w:r>
      <w:r w:rsidR="007C2A96">
        <w:t>Drawing on the work of Erikson and Marci</w:t>
      </w:r>
      <w:r w:rsidR="00221F8C">
        <w:t>a, Phin</w:t>
      </w:r>
      <w:r w:rsidR="00C35B5A">
        <w:t xml:space="preserve">ney (1990, cited in </w:t>
      </w:r>
      <w:r w:rsidR="0000045B">
        <w:t>Uma</w:t>
      </w:r>
      <w:r w:rsidR="00991236">
        <w:rPr>
          <w:rFonts w:cstheme="minorHAnsi"/>
        </w:rPr>
        <w:t>ñ</w:t>
      </w:r>
      <w:r w:rsidR="00991236">
        <w:t>a</w:t>
      </w:r>
      <w:r w:rsidR="00817C64">
        <w:t>-Taylor, 2014)</w:t>
      </w:r>
      <w:r w:rsidR="00384FFE">
        <w:t xml:space="preserve"> </w:t>
      </w:r>
      <w:r w:rsidR="00F369A9">
        <w:t>argues</w:t>
      </w:r>
      <w:r w:rsidR="001A69DC">
        <w:t xml:space="preserve"> that exploration of </w:t>
      </w:r>
      <w:r w:rsidR="00236664">
        <w:t>possible ethnic identities</w:t>
      </w:r>
      <w:r w:rsidR="001D65B3">
        <w:t xml:space="preserve"> and personal meanings behind </w:t>
      </w:r>
      <w:r w:rsidR="00F43208">
        <w:t xml:space="preserve">them is </w:t>
      </w:r>
      <w:r w:rsidR="0096330A">
        <w:t>part of</w:t>
      </w:r>
      <w:r w:rsidR="00FC7190">
        <w:t xml:space="preserve"> </w:t>
      </w:r>
      <w:r w:rsidR="00B227CA">
        <w:t xml:space="preserve">achieving a </w:t>
      </w:r>
      <w:r w:rsidR="00480F0A">
        <w:t xml:space="preserve">secure </w:t>
      </w:r>
      <w:r w:rsidR="0038335F">
        <w:t>whole</w:t>
      </w:r>
      <w:r w:rsidR="00480F0A">
        <w:t xml:space="preserve"> identity.</w:t>
      </w:r>
      <w:r w:rsidR="009E4AAB">
        <w:t xml:space="preserve"> </w:t>
      </w:r>
      <w:r w:rsidR="00B51963">
        <w:t>Children and adolescents growing up in the UK are</w:t>
      </w:r>
      <w:r w:rsidR="0085676A">
        <w:t xml:space="preserve"> an interesting case in this way due to its </w:t>
      </w:r>
      <w:r w:rsidR="00D23241">
        <w:t xml:space="preserve">four constituent countries </w:t>
      </w:r>
      <w:r w:rsidR="00331E91">
        <w:t>and their history</w:t>
      </w:r>
      <w:r w:rsidR="00B708A3">
        <w:t xml:space="preserve"> and politics, </w:t>
      </w:r>
      <w:r w:rsidR="00D23241">
        <w:t>along with its role in Europe.</w:t>
      </w:r>
      <w:r w:rsidR="00D06701">
        <w:t xml:space="preserve"> </w:t>
      </w:r>
    </w:p>
    <w:p w14:paraId="029D7C6A" w14:textId="7CC66377" w:rsidR="0042127B" w:rsidRDefault="00E911CB" w:rsidP="008B2B08">
      <w:pPr>
        <w:spacing w:line="360" w:lineRule="auto"/>
      </w:pPr>
      <w:r>
        <w:t>When we look at the nature of the Welsh national identity</w:t>
      </w:r>
      <w:r w:rsidR="00B55835">
        <w:t xml:space="preserve">, </w:t>
      </w:r>
      <w:r w:rsidR="002C51FF">
        <w:t xml:space="preserve">we see </w:t>
      </w:r>
      <w:r w:rsidR="00FB3217">
        <w:t xml:space="preserve">themes revolving around </w:t>
      </w:r>
      <w:r w:rsidR="002A1F7A">
        <w:t>language, industrial heritage, ancient heritage</w:t>
      </w:r>
      <w:r w:rsidR="00983F7C">
        <w:t xml:space="preserve">, character </w:t>
      </w:r>
      <w:r w:rsidR="00AA2F4E">
        <w:t xml:space="preserve">and culture. Within it, </w:t>
      </w:r>
      <w:r w:rsidR="0021664D">
        <w:t>the mark of Tajfel’s social identity theory becomes apparent</w:t>
      </w:r>
      <w:r w:rsidR="008A39FB">
        <w:t xml:space="preserve"> with the notion of us and them, the Welsh being an in group</w:t>
      </w:r>
      <w:r w:rsidR="00CD156B">
        <w:t xml:space="preserve"> and, mostly, the English being the out group.</w:t>
      </w:r>
      <w:r w:rsidR="00352D92">
        <w:t xml:space="preserve"> This is </w:t>
      </w:r>
      <w:r w:rsidR="00A64574">
        <w:t>demonstrated in Welsh nationalism wh</w:t>
      </w:r>
      <w:r w:rsidR="00DE6948">
        <w:t xml:space="preserve">ich views English government over Wales </w:t>
      </w:r>
      <w:r w:rsidR="00E5763F">
        <w:t xml:space="preserve">as </w:t>
      </w:r>
      <w:r w:rsidR="00DC50CD">
        <w:t>suppressive of Welsh identity (</w:t>
      </w:r>
      <w:r w:rsidR="00817761">
        <w:t>Morgan, 1971)</w:t>
      </w:r>
      <w:r w:rsidR="00CC2440">
        <w:t>.</w:t>
      </w:r>
      <w:r w:rsidR="004B7DA2">
        <w:t xml:space="preserve"> </w:t>
      </w:r>
      <w:r w:rsidR="00375493">
        <w:t xml:space="preserve">Furthermore, </w:t>
      </w:r>
      <w:r w:rsidR="000228FE">
        <w:t xml:space="preserve">a study conducted between 2006 and 2008 </w:t>
      </w:r>
      <w:r w:rsidR="009970FA">
        <w:t xml:space="preserve">by Cardiff university found that </w:t>
      </w:r>
      <w:r w:rsidR="001C6C21">
        <w:t xml:space="preserve">the more </w:t>
      </w:r>
      <w:r w:rsidR="00177491">
        <w:t xml:space="preserve">that </w:t>
      </w:r>
      <w:r w:rsidR="001C6C21">
        <w:t xml:space="preserve">people saw Wales’ relationship with England </w:t>
      </w:r>
      <w:r w:rsidR="00177491">
        <w:t>as</w:t>
      </w:r>
      <w:r w:rsidR="001C6C21">
        <w:t xml:space="preserve"> unfair, the more they</w:t>
      </w:r>
      <w:r w:rsidR="00B053EB">
        <w:t xml:space="preserve"> considered it important to </w:t>
      </w:r>
      <w:r w:rsidR="00B053EB">
        <w:lastRenderedPageBreak/>
        <w:t>speak Welsh</w:t>
      </w:r>
      <w:r w:rsidR="009A36E1">
        <w:t xml:space="preserve"> (Chalabi, 2011)</w:t>
      </w:r>
      <w:r w:rsidR="00876CAE">
        <w:t>. This compliments Tajfel’s theory in that the negative aspects attributed to the out group reinforce identification with the in group.</w:t>
      </w:r>
    </w:p>
    <w:p w14:paraId="6D3C8541" w14:textId="532D0901" w:rsidR="00BB3640" w:rsidRDefault="00BB3640" w:rsidP="008B2B08">
      <w:pPr>
        <w:spacing w:line="360" w:lineRule="auto"/>
      </w:pPr>
      <w:r>
        <w:t>With the devolution of certain aspects of government, ed</w:t>
      </w:r>
      <w:r w:rsidR="00B4302E">
        <w:t xml:space="preserve">ucation being one of them, we see a drive within Welsh education </w:t>
      </w:r>
      <w:r w:rsidR="000D1D21">
        <w:t>to keep the Welsh identity alive</w:t>
      </w:r>
      <w:r w:rsidR="00B2288A">
        <w:t xml:space="preserve"> </w:t>
      </w:r>
      <w:r w:rsidR="002907D6">
        <w:t>so that young people may</w:t>
      </w:r>
      <w:r w:rsidR="00B21726">
        <w:t xml:space="preserve"> identify with it </w:t>
      </w:r>
      <w:r w:rsidR="00B2288A">
        <w:t xml:space="preserve">despite historical attempts from England to </w:t>
      </w:r>
      <w:r w:rsidR="002907D6">
        <w:t>supress it.</w:t>
      </w:r>
      <w:r w:rsidR="007D5785">
        <w:t xml:space="preserve"> </w:t>
      </w:r>
      <w:r w:rsidR="00E76344">
        <w:t xml:space="preserve">A manifestation of this is the Cwricwlwm </w:t>
      </w:r>
      <w:r w:rsidR="00974DA8">
        <w:t>Cymr</w:t>
      </w:r>
      <w:r w:rsidR="00C92418">
        <w:t>ei</w:t>
      </w:r>
      <w:r w:rsidR="00974DA8">
        <w:t>g, the national curriculum for Wales. This</w:t>
      </w:r>
      <w:r w:rsidR="00E942CA">
        <w:t xml:space="preserve"> was designed in order to </w:t>
      </w:r>
      <w:r w:rsidR="0002366C">
        <w:t>promote a sense of belonging in Wales for those who studied it through</w:t>
      </w:r>
      <w:r w:rsidR="00253FA5">
        <w:t xml:space="preserve"> focusing it where possible on cultural, economic, environmental</w:t>
      </w:r>
      <w:r w:rsidR="0028639E">
        <w:t>, historical and linguistic aspects of Wales (</w:t>
      </w:r>
      <w:r w:rsidR="00E73FE5">
        <w:t>ACCAC, 2003)</w:t>
      </w:r>
      <w:r w:rsidR="00C92418">
        <w:t>.</w:t>
      </w:r>
      <w:r w:rsidR="004F3F68">
        <w:t xml:space="preserve"> We can see in this a political drive to foster the Welsh identity in young people through education and can consider that it may be in order to justify the role of the Welsh government or to pursue larger political goals such as independence.</w:t>
      </w:r>
    </w:p>
    <w:p w14:paraId="3A39EEA2" w14:textId="4F2EC1CF" w:rsidR="00622C21" w:rsidRDefault="00C93034" w:rsidP="008B2B08">
      <w:pPr>
        <w:spacing w:line="360" w:lineRule="auto"/>
      </w:pPr>
      <w:r>
        <w:t>In keeping with Burke and Stets</w:t>
      </w:r>
      <w:r w:rsidR="0041706C">
        <w:t>’ (2009)</w:t>
      </w:r>
      <w:r>
        <w:t xml:space="preserve"> </w:t>
      </w:r>
      <w:r w:rsidR="00630163">
        <w:t>notion that people can have multiple identities</w:t>
      </w:r>
      <w:r w:rsidR="00647344">
        <w:t>, we see in the example of Wales</w:t>
      </w:r>
      <w:r w:rsidR="00C35458">
        <w:t xml:space="preserve"> that people form identities </w:t>
      </w:r>
      <w:r w:rsidR="006C6E72">
        <w:t xml:space="preserve">based on being British and European alongside </w:t>
      </w:r>
      <w:r w:rsidR="007C127D">
        <w:t>being Welsh.</w:t>
      </w:r>
      <w:r w:rsidR="00240740">
        <w:t xml:space="preserve"> </w:t>
      </w:r>
      <w:r w:rsidR="00F766E8">
        <w:t xml:space="preserve">Interestingly, </w:t>
      </w:r>
      <w:r w:rsidR="0062156C">
        <w:t xml:space="preserve">since the divisive Brexit referendum, </w:t>
      </w:r>
      <w:r w:rsidR="005F1E3D">
        <w:t>there has been a marked rise in support for Welsh independence from the UK</w:t>
      </w:r>
      <w:r w:rsidR="00B64992">
        <w:t xml:space="preserve"> </w:t>
      </w:r>
      <w:r w:rsidR="00B46132">
        <w:t xml:space="preserve">linked to the </w:t>
      </w:r>
      <w:r w:rsidR="00151CDD">
        <w:t>idea that membership of Europe is important</w:t>
      </w:r>
      <w:r w:rsidR="005168F3">
        <w:t xml:space="preserve"> to people. In a YouGov poll, one third of</w:t>
      </w:r>
      <w:r w:rsidR="00876CAE">
        <w:t xml:space="preserve"> total</w:t>
      </w:r>
      <w:r w:rsidR="005168F3">
        <w:t xml:space="preserve"> </w:t>
      </w:r>
      <w:r w:rsidR="00675664">
        <w:t xml:space="preserve">respondents, and 42% of respondents between </w:t>
      </w:r>
      <w:r w:rsidR="00023107">
        <w:t>18 and 24, said they supported Welsh independence</w:t>
      </w:r>
      <w:r w:rsidR="004F3F68">
        <w:t xml:space="preserve"> from the UK but</w:t>
      </w:r>
      <w:r w:rsidR="00023107">
        <w:t xml:space="preserve"> </w:t>
      </w:r>
      <w:r w:rsidR="002E57AC">
        <w:t xml:space="preserve">as </w:t>
      </w:r>
      <w:r w:rsidR="004F3F68">
        <w:t>a member</w:t>
      </w:r>
      <w:r w:rsidR="002E57AC">
        <w:t xml:space="preserve"> of the European Union (</w:t>
      </w:r>
      <w:r w:rsidR="00876CAE">
        <w:t xml:space="preserve">cited in </w:t>
      </w:r>
      <w:r w:rsidR="002E57AC">
        <w:t>Cosslett, 2019).</w:t>
      </w:r>
      <w:r w:rsidR="009B0A0B">
        <w:t xml:space="preserve"> We can perceive this as the </w:t>
      </w:r>
      <w:r w:rsidR="004E3295">
        <w:t>vilification of the out</w:t>
      </w:r>
      <w:r w:rsidR="0012746F">
        <w:t>-</w:t>
      </w:r>
      <w:r w:rsidR="004E3295">
        <w:t>group</w:t>
      </w:r>
      <w:r w:rsidR="0012746F">
        <w:t xml:space="preserve">, </w:t>
      </w:r>
      <w:r w:rsidR="005272DA">
        <w:t>i</w:t>
      </w:r>
      <w:r w:rsidR="0012746F">
        <w:t xml:space="preserve">n this case the Westminster Government, which is central to </w:t>
      </w:r>
      <w:r w:rsidR="005272DA">
        <w:t>Tajfel’s social identity theory</w:t>
      </w:r>
      <w:r w:rsidR="00876CAE">
        <w:t xml:space="preserve"> in that British identity as independent from Europe stands in opposition to Welsh identity as part of Europe thus dividing identity along political lines.</w:t>
      </w:r>
    </w:p>
    <w:p w14:paraId="2928F7A0" w14:textId="6F7F43AA" w:rsidR="00BF6308" w:rsidRDefault="00BF6308" w:rsidP="008B2B08">
      <w:pPr>
        <w:spacing w:line="360" w:lineRule="auto"/>
      </w:pPr>
      <w:r>
        <w:t xml:space="preserve">Given the higher number of young people that responded positively to the notion of Welsh independence within a wider Europe, we can draw the conclusion that the efforts of the Welsh government in promoting Welsh identity </w:t>
      </w:r>
      <w:r w:rsidR="00C617A5">
        <w:t xml:space="preserve">in young people </w:t>
      </w:r>
      <w:r>
        <w:t>through initiatives such as the cwricwlwm Cymreig has had a marked effect.</w:t>
      </w:r>
      <w:r w:rsidR="00B637A0">
        <w:t xml:space="preserve"> </w:t>
      </w:r>
      <w:r>
        <w:t xml:space="preserve"> It also draws out the idea that political climate can have an effect on the formation of identity in young people and adolescents.</w:t>
      </w:r>
    </w:p>
    <w:p w14:paraId="7A1A5D31" w14:textId="77777777" w:rsidR="009E3FF0" w:rsidRDefault="007D0C35" w:rsidP="008B2B08">
      <w:pPr>
        <w:spacing w:line="360" w:lineRule="auto"/>
      </w:pPr>
      <w:r>
        <w:t xml:space="preserve">We can look to the past to find evidence of political climates informing identity creation with Nazi Germany providing us with an abundance of examples. We can see Tajfel’s social identity theory being heavily </w:t>
      </w:r>
      <w:r w:rsidR="00C72AF0">
        <w:t xml:space="preserve">utilised by the state to promote the idea of in groups and out groups by promoting </w:t>
      </w:r>
      <w:r w:rsidR="00371AAD">
        <w:t>A</w:t>
      </w:r>
      <w:r w:rsidR="00C72AF0">
        <w:t>ryan identity against others.</w:t>
      </w:r>
      <w:r w:rsidR="00AF7F4A">
        <w:t xml:space="preserve"> </w:t>
      </w:r>
      <w:r w:rsidR="00AA712A">
        <w:t>Bergerson (2007) points out that t</w:t>
      </w:r>
      <w:r w:rsidR="00AF7F4A">
        <w:t xml:space="preserve">he establishment of the Hitler youth and the League of German </w:t>
      </w:r>
      <w:r w:rsidR="00057A21">
        <w:t>maidens</w:t>
      </w:r>
      <w:r w:rsidR="00AF7F4A">
        <w:t xml:space="preserve"> served the primary purpose of indoctrination of young people into the Nazi way of life. In part, this was a focus on </w:t>
      </w:r>
      <w:r w:rsidR="00E6546B">
        <w:t>h</w:t>
      </w:r>
      <w:r w:rsidR="00AA712A">
        <w:t xml:space="preserve">ate for out groups including Jews, Slavs and </w:t>
      </w:r>
      <w:r w:rsidR="00AA712A">
        <w:lastRenderedPageBreak/>
        <w:t>black people, and also, as evidenced by the separate gender groups, a focus on promoting two contrasting gender identities within the Nazi ideology.</w:t>
      </w:r>
    </w:p>
    <w:p w14:paraId="26034D14" w14:textId="01AB766B" w:rsidR="00C617A5" w:rsidRDefault="009E3FF0" w:rsidP="008B2B08">
      <w:pPr>
        <w:spacing w:line="360" w:lineRule="auto"/>
      </w:pPr>
      <w:r>
        <w:t>We can see that this method of teaching Nazi values through powerful indoctrination was extremely successful in fostering identification with Nazi ideals in young children evidenced by the fact that children were encouraged to denounce their parents for dissent which many did (BBC, n.d). This is a theme that persists throughout the history of totalitarian governments with parallels being evident in Moa’s China during the cultural revolution and Stalin’s USSR.</w:t>
      </w:r>
    </w:p>
    <w:p w14:paraId="29EA9900" w14:textId="47658ADC" w:rsidR="000D6329" w:rsidRDefault="000D6329" w:rsidP="008B2B08">
      <w:pPr>
        <w:spacing w:line="360" w:lineRule="auto"/>
      </w:pPr>
      <w:r>
        <w:t xml:space="preserve">In essence, these cultural experiments undertaken by totalitarian regimes provide reinforcement to the notion suggested by Burke and Stets (2009) that society and group membership inform identity creation. Through the means of censorship and indoctrination at an intense level, </w:t>
      </w:r>
      <w:r w:rsidR="00E73FDE">
        <w:t>these regimes were successful in rapidly constructing a new society and groupings within that society to influence young people’s identity formation</w:t>
      </w:r>
      <w:r w:rsidR="00B637A0">
        <w:t xml:space="preserve"> and significantly reduce the impact of influences that would be undesirable</w:t>
      </w:r>
      <w:r w:rsidR="004F3F68">
        <w:t xml:space="preserve"> from the pre-existing culture</w:t>
      </w:r>
      <w:r w:rsidR="00E73FDE">
        <w:t>. This example stands in contrast to the aforementioned example of an economic structure focused on individualism tipping the scale in favour of personal characteristics in identity formation. Instead, identity formation is more heavily weighted towards society and group membership</w:t>
      </w:r>
      <w:r w:rsidR="004F3F68">
        <w:t xml:space="preserve"> which is tightly controlled.</w:t>
      </w:r>
    </w:p>
    <w:p w14:paraId="05234EFE" w14:textId="559385AC" w:rsidR="0011220F" w:rsidRDefault="00B637A0" w:rsidP="008B2B08">
      <w:pPr>
        <w:spacing w:line="360" w:lineRule="auto"/>
      </w:pPr>
      <w:r>
        <w:t>In conclusion, when we consider the factors that contribute to identity formation in young adults</w:t>
      </w:r>
      <w:r w:rsidR="00E968FF">
        <w:t>, namely society, group membership and personal characteristics, we must also consider that they are further influenced by external factors such as politics. The ever-changing world that we live in has a drastic effect on any one of these factors thus giving more weight to each of them depending on the environment at hand at any given time. We see that movements that build momentum over time can slowly break down and change attitudes in society that inform identities</w:t>
      </w:r>
      <w:r w:rsidR="00746DD4">
        <w:t xml:space="preserve"> as is the case with feminism</w:t>
      </w:r>
      <w:r w:rsidR="00E968FF">
        <w:t xml:space="preserve">. We also see that drastic shifts in the political landscape can </w:t>
      </w:r>
      <w:r w:rsidR="00746DD4">
        <w:t>reinforce tribalistic group identities, as with Brexit, or even instantly recreate the societies and groups that inform personal identity from a year zero. All three of these factors can, and historically have, informed the way in which educational structures and institutions deliver education to young people either because they are themselves informed by the same societies, as is the case with traditional</w:t>
      </w:r>
      <w:r w:rsidR="001A0360">
        <w:t xml:space="preserve"> and modern</w:t>
      </w:r>
      <w:r w:rsidR="00746DD4">
        <w:t xml:space="preserve"> gender roles in schools, </w:t>
      </w:r>
      <w:r w:rsidR="001A0360">
        <w:t>exist to serve a particular group</w:t>
      </w:r>
      <w:r w:rsidR="00746DD4">
        <w:t xml:space="preserve"> as with the Cwricwlwm Cymreig, </w:t>
      </w:r>
      <w:r w:rsidR="001A0360">
        <w:t>or are focused on a political goal as we see with the teaching of young people in Nazi Germany and other totalitarian states.</w:t>
      </w:r>
    </w:p>
    <w:p w14:paraId="6EC14392" w14:textId="77777777" w:rsidR="00865706" w:rsidRDefault="00865706" w:rsidP="008B2B08">
      <w:pPr>
        <w:spacing w:line="360" w:lineRule="auto"/>
      </w:pPr>
    </w:p>
    <w:p w14:paraId="43BE86E5" w14:textId="77777777" w:rsidR="00865706" w:rsidRDefault="00865706" w:rsidP="008B2B08">
      <w:pPr>
        <w:spacing w:line="360" w:lineRule="auto"/>
      </w:pPr>
    </w:p>
    <w:p w14:paraId="7141315B" w14:textId="074A2D75" w:rsidR="00A76512" w:rsidRDefault="00A76512" w:rsidP="008B2B08">
      <w:pPr>
        <w:spacing w:line="360" w:lineRule="auto"/>
        <w:rPr>
          <w:b/>
          <w:bCs/>
          <w:u w:val="single"/>
        </w:rPr>
      </w:pPr>
      <w:r>
        <w:rPr>
          <w:b/>
          <w:bCs/>
          <w:u w:val="single"/>
        </w:rPr>
        <w:lastRenderedPageBreak/>
        <w:t>References</w:t>
      </w:r>
    </w:p>
    <w:p w14:paraId="4ECAD960" w14:textId="1C80B4F1" w:rsidR="00E73FE5" w:rsidRPr="00E73FE5" w:rsidRDefault="00E73FE5" w:rsidP="008B2B08">
      <w:pPr>
        <w:spacing w:line="360" w:lineRule="auto"/>
      </w:pPr>
      <w:r>
        <w:t xml:space="preserve">ACCAC, 2003, </w:t>
      </w:r>
      <w:r w:rsidR="004D6D87">
        <w:t xml:space="preserve">‘Developing the Curriculum Cymreig’, </w:t>
      </w:r>
      <w:r w:rsidR="00C92418">
        <w:t xml:space="preserve">available at </w:t>
      </w:r>
      <w:hyperlink r:id="rId5" w:anchor=":~:text=A%20Curriculum%20Cymreig%20can%20be%20used%20as%20a,understanding%20of%20the%20country%20in%20which%20they%20live." w:history="1">
        <w:r w:rsidR="00C92418">
          <w:rPr>
            <w:rStyle w:val="Hyperlink"/>
          </w:rPr>
          <w:t>E-developingthecurriculumcymreig.pdf (wasacre.org.uk)</w:t>
        </w:r>
      </w:hyperlink>
      <w:r w:rsidR="00C92418">
        <w:t>, accessed 16/01/2021</w:t>
      </w:r>
    </w:p>
    <w:p w14:paraId="011D538E" w14:textId="4C7359BE" w:rsidR="00FB4E22" w:rsidRDefault="00FB4E22" w:rsidP="008B2B08">
      <w:pPr>
        <w:spacing w:line="360" w:lineRule="auto"/>
      </w:pPr>
      <w:r w:rsidRPr="00FB4E22">
        <w:t>Bartlett. S, Burton. D, 2016, Introduction to Education Studies, 4</w:t>
      </w:r>
      <w:r w:rsidRPr="00FB4E22">
        <w:rPr>
          <w:vertAlign w:val="superscript"/>
        </w:rPr>
        <w:t>th</w:t>
      </w:r>
      <w:r w:rsidRPr="00FB4E22">
        <w:t xml:space="preserve"> edition, London, Sage</w:t>
      </w:r>
    </w:p>
    <w:p w14:paraId="0046AE89" w14:textId="712D02BE" w:rsidR="009E3FF0" w:rsidRDefault="009E3FF0" w:rsidP="008B2B08">
      <w:pPr>
        <w:spacing w:line="360" w:lineRule="auto"/>
      </w:pPr>
      <w:r>
        <w:t xml:space="preserve">BBC, no date, ‘Life for young people in Nazi Germany’, available at </w:t>
      </w:r>
      <w:hyperlink r:id="rId6" w:history="1">
        <w:r>
          <w:rPr>
            <w:rStyle w:val="Hyperlink"/>
          </w:rPr>
          <w:t>Life for young people in Nazi Germany - CCEA - GCSE History Revision - CCEA - BBC Bitesize</w:t>
        </w:r>
      </w:hyperlink>
      <w:r>
        <w:t>, accessed 17/01/2021</w:t>
      </w:r>
    </w:p>
    <w:p w14:paraId="308BE672" w14:textId="6F8020AD" w:rsidR="00AA712A" w:rsidRPr="00AA712A" w:rsidRDefault="00AA712A" w:rsidP="008B2B08">
      <w:pPr>
        <w:spacing w:line="360" w:lineRule="auto"/>
      </w:pPr>
      <w:r>
        <w:t xml:space="preserve">Bergerson .A, 2007, ‘Untitled’, </w:t>
      </w:r>
      <w:r>
        <w:rPr>
          <w:i/>
          <w:iCs/>
        </w:rPr>
        <w:t>The journal of modern history</w:t>
      </w:r>
      <w:r>
        <w:t xml:space="preserve">, 79(1), pp 212-214, available at </w:t>
      </w:r>
      <w:hyperlink r:id="rId7" w:anchor="metadata_info_tab_contents" w:history="1">
        <w:r>
          <w:rPr>
            <w:rStyle w:val="Hyperlink"/>
          </w:rPr>
          <w:t>Review on JSTOR (uwtsd.ac.uk)</w:t>
        </w:r>
      </w:hyperlink>
      <w:r>
        <w:t>, accessed 17/01/2021</w:t>
      </w:r>
    </w:p>
    <w:p w14:paraId="547F8AAD" w14:textId="5BA2F695" w:rsidR="003B3845" w:rsidRDefault="003B3845" w:rsidP="008B2B08">
      <w:pPr>
        <w:spacing w:line="360" w:lineRule="auto"/>
      </w:pPr>
      <w:r>
        <w:t xml:space="preserve">Brunskell-Evans .H, 2018, </w:t>
      </w:r>
      <w:r w:rsidR="00F900AE">
        <w:t>‘A neoliberal concept of freedom has allowed gender identity ideology to take hold’</w:t>
      </w:r>
      <w:r w:rsidR="00FF3736">
        <w:t xml:space="preserve">, available at </w:t>
      </w:r>
      <w:hyperlink r:id="rId8" w:history="1">
        <w:r w:rsidR="00FF3736">
          <w:rPr>
            <w:rStyle w:val="Hyperlink"/>
          </w:rPr>
          <w:t>A neoliberal concept of freedom has allowed gender identity ideology to take hold (feministcurrent.com)</w:t>
        </w:r>
      </w:hyperlink>
      <w:r w:rsidR="00FF3736">
        <w:t>, accessed 16/01/2021</w:t>
      </w:r>
    </w:p>
    <w:p w14:paraId="0CD5191A" w14:textId="5578FB21" w:rsidR="00A76512" w:rsidRDefault="00A76512" w:rsidP="00A76512">
      <w:pPr>
        <w:spacing w:line="360" w:lineRule="auto"/>
      </w:pPr>
      <w:r w:rsidRPr="00A76512">
        <w:t xml:space="preserve">Burke .P.J, Stets .J.E, 2009, Identity theory, available at </w:t>
      </w:r>
      <w:hyperlink r:id="rId9" w:history="1">
        <w:r>
          <w:rPr>
            <w:rStyle w:val="Hyperlink"/>
          </w:rPr>
          <w:t>Agency and Social Structure - Oxford Scholarship (universitypressscholarship.com)</w:t>
        </w:r>
      </w:hyperlink>
      <w:r w:rsidRPr="00A76512">
        <w:t>, accessed 1</w:t>
      </w:r>
      <w:r>
        <w:t>4</w:t>
      </w:r>
      <w:r w:rsidRPr="00A76512">
        <w:t>/01/2021</w:t>
      </w:r>
    </w:p>
    <w:p w14:paraId="1D46FCB4" w14:textId="4B1B79D2" w:rsidR="009A36E1" w:rsidRDefault="009A36E1" w:rsidP="00A76512">
      <w:pPr>
        <w:spacing w:line="360" w:lineRule="auto"/>
      </w:pPr>
      <w:r>
        <w:t>Chalabi .</w:t>
      </w:r>
      <w:r w:rsidR="00C72174">
        <w:t>S, 2011, Eye on Wales: In search of 21</w:t>
      </w:r>
      <w:r w:rsidR="00C72174" w:rsidRPr="00C72174">
        <w:rPr>
          <w:vertAlign w:val="superscript"/>
        </w:rPr>
        <w:t>st</w:t>
      </w:r>
      <w:r w:rsidR="00C72174">
        <w:t xml:space="preserve"> century Welsh identity, available at </w:t>
      </w:r>
      <w:hyperlink r:id="rId10" w:history="1">
        <w:r w:rsidR="00BD4417">
          <w:rPr>
            <w:rStyle w:val="Hyperlink"/>
          </w:rPr>
          <w:t>Eye on Wales: In search of 21st Century Welsh identity - BBC News</w:t>
        </w:r>
      </w:hyperlink>
      <w:r w:rsidR="00BD4417">
        <w:t>, accessed 16/01/2021</w:t>
      </w:r>
    </w:p>
    <w:p w14:paraId="781D55E3" w14:textId="7E128824" w:rsidR="00876CAE" w:rsidRPr="00876CAE" w:rsidRDefault="00876CAE" w:rsidP="00A76512">
      <w:pPr>
        <w:spacing w:line="360" w:lineRule="auto"/>
      </w:pPr>
      <w:r>
        <w:t xml:space="preserve">Cosslett .R.H, 2019, ‘Brexit is giving Welsh nationalism a new popular appeal’, </w:t>
      </w:r>
      <w:r>
        <w:rPr>
          <w:i/>
          <w:iCs/>
        </w:rPr>
        <w:t>The Guardian</w:t>
      </w:r>
      <w:r>
        <w:t>, 28</w:t>
      </w:r>
      <w:r w:rsidRPr="00876CAE">
        <w:rPr>
          <w:vertAlign w:val="superscript"/>
        </w:rPr>
        <w:t>th</w:t>
      </w:r>
      <w:r>
        <w:t xml:space="preserve"> September, available at </w:t>
      </w:r>
      <w:hyperlink r:id="rId11" w:history="1">
        <w:r>
          <w:rPr>
            <w:rStyle w:val="Hyperlink"/>
          </w:rPr>
          <w:t>Brexit is giving Welsh nationalism a new popular appeal | Wales | The Guardian</w:t>
        </w:r>
      </w:hyperlink>
      <w:r>
        <w:t>, accessed 16/01/2021</w:t>
      </w:r>
    </w:p>
    <w:p w14:paraId="4C782A35" w14:textId="46E89C5B" w:rsidR="00A76512" w:rsidRDefault="00643FBD" w:rsidP="00A76512">
      <w:pPr>
        <w:spacing w:line="360" w:lineRule="auto"/>
      </w:pPr>
      <w:r>
        <w:t>Dufour .B, Curtis .W, 2011, Studying education: an introduction to the key disciplines in education studies</w:t>
      </w:r>
      <w:r w:rsidR="00376A01">
        <w:t>, Maidenhead, Open University Press</w:t>
      </w:r>
    </w:p>
    <w:p w14:paraId="64C3291F" w14:textId="74A2A912" w:rsidR="00AF5499" w:rsidRDefault="00AF5499" w:rsidP="00A76512">
      <w:pPr>
        <w:spacing w:line="360" w:lineRule="auto"/>
      </w:pPr>
      <w:r w:rsidRPr="00AF5499">
        <w:t xml:space="preserve">Joseph Rowntree Foundation, 2008, ‘Individualism and consumerism: Reframing the debate’, available at </w:t>
      </w:r>
      <w:hyperlink r:id="rId12" w:history="1">
        <w:r w:rsidRPr="00AF5499">
          <w:rPr>
            <w:rStyle w:val="Hyperlink"/>
          </w:rPr>
          <w:t>Individualism and consumerism: reframing the debate | JRF</w:t>
        </w:r>
      </w:hyperlink>
      <w:r w:rsidRPr="00AF5499">
        <w:t xml:space="preserve">, accessed </w:t>
      </w:r>
      <w:r w:rsidR="00BF2A00">
        <w:t>16</w:t>
      </w:r>
      <w:r w:rsidRPr="00AF5499">
        <w:t>/01/2021</w:t>
      </w:r>
    </w:p>
    <w:p w14:paraId="01BC7F8D" w14:textId="0421930C" w:rsidR="009F6326" w:rsidRDefault="009F6326" w:rsidP="00A76512">
      <w:pPr>
        <w:spacing w:line="360" w:lineRule="auto"/>
      </w:pPr>
      <w:r>
        <w:t>Knowles .G, Lander .V, 2011, Diversity, equality and achievement in education, London, Sage</w:t>
      </w:r>
    </w:p>
    <w:p w14:paraId="1712EDBB" w14:textId="134881C2" w:rsidR="00817761" w:rsidRPr="00AF6FE6" w:rsidRDefault="00817761" w:rsidP="00A76512">
      <w:pPr>
        <w:spacing w:line="360" w:lineRule="auto"/>
      </w:pPr>
      <w:r>
        <w:t xml:space="preserve">Morgan .K.O, 1971, </w:t>
      </w:r>
      <w:r w:rsidR="009656FB">
        <w:t xml:space="preserve">‘Welsh nationalism: The historical background’ </w:t>
      </w:r>
      <w:r w:rsidR="009656FB">
        <w:rPr>
          <w:i/>
          <w:iCs/>
        </w:rPr>
        <w:t>Journal of contemporary history</w:t>
      </w:r>
      <w:r w:rsidR="00AF6FE6">
        <w:t xml:space="preserve">, 6(1), pp </w:t>
      </w:r>
      <w:r w:rsidR="00646D93">
        <w:t xml:space="preserve">152-159+161-172, available at </w:t>
      </w:r>
      <w:hyperlink r:id="rId13" w:anchor="metadata_info_tab_contents" w:history="1">
        <w:r w:rsidR="00CC2440">
          <w:rPr>
            <w:rStyle w:val="Hyperlink"/>
          </w:rPr>
          <w:t>Welsh Nationalism: The Historical Background on JSTOR (uwtsd.ac.uk)</w:t>
        </w:r>
      </w:hyperlink>
      <w:r w:rsidR="00CC2440">
        <w:t>, accessed 16/01/2021</w:t>
      </w:r>
    </w:p>
    <w:p w14:paraId="3E00C090" w14:textId="5923901E" w:rsidR="00817C64" w:rsidRPr="008D4D5E" w:rsidRDefault="00817C64" w:rsidP="00A76512">
      <w:pPr>
        <w:spacing w:line="360" w:lineRule="auto"/>
      </w:pPr>
      <w:r>
        <w:t>Uma</w:t>
      </w:r>
      <w:r>
        <w:rPr>
          <w:rFonts w:cstheme="minorHAnsi"/>
        </w:rPr>
        <w:t>ñ</w:t>
      </w:r>
      <w:r>
        <w:t xml:space="preserve">a-Taylor .A.J et al, 2014, </w:t>
      </w:r>
      <w:r w:rsidR="00B540EE">
        <w:t>‘Ethnic and racial identity during adolescence and into young adulthood</w:t>
      </w:r>
      <w:r w:rsidR="00431304">
        <w:t xml:space="preserve">: An integrated conceptualisation’, </w:t>
      </w:r>
      <w:r w:rsidR="008D4D5E">
        <w:rPr>
          <w:i/>
          <w:iCs/>
        </w:rPr>
        <w:t>Child Development</w:t>
      </w:r>
      <w:r w:rsidR="008D4D5E">
        <w:t xml:space="preserve">, 85(1), pp 21-39, available at </w:t>
      </w:r>
      <w:hyperlink r:id="rId14" w:anchor="metadata_info_tab_contents" w:history="1">
        <w:r w:rsidR="00A60D8A">
          <w:rPr>
            <w:rStyle w:val="Hyperlink"/>
          </w:rPr>
          <w:t xml:space="preserve">Ethnic </w:t>
        </w:r>
        <w:r w:rsidR="00A60D8A">
          <w:rPr>
            <w:rStyle w:val="Hyperlink"/>
          </w:rPr>
          <w:lastRenderedPageBreak/>
          <w:t>and Racial Identity During Adolescence and Into Young Adulthood: An Integrated Conceptualization on JSTOR (uwtsd.ac.uk)</w:t>
        </w:r>
      </w:hyperlink>
      <w:r w:rsidR="00A60D8A">
        <w:t>, accessed 16/01/2021</w:t>
      </w:r>
    </w:p>
    <w:p w14:paraId="3626114F" w14:textId="77777777" w:rsidR="00A76512" w:rsidRPr="00A76512" w:rsidRDefault="00A76512" w:rsidP="008B2B08">
      <w:pPr>
        <w:spacing w:line="360" w:lineRule="auto"/>
      </w:pPr>
    </w:p>
    <w:p w14:paraId="1AACFC67" w14:textId="77777777" w:rsidR="00D80A99" w:rsidRPr="00D80A99" w:rsidRDefault="00D80A99">
      <w:pPr>
        <w:rPr>
          <w:i/>
          <w:iCs/>
          <w:u w:val="single"/>
        </w:rPr>
      </w:pPr>
    </w:p>
    <w:sectPr w:rsidR="00D80A99" w:rsidRPr="00D80A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BF4092"/>
    <w:multiLevelType w:val="hybridMultilevel"/>
    <w:tmpl w:val="D59C3FA8"/>
    <w:lvl w:ilvl="0" w:tplc="71B0F958">
      <w:start w:val="1"/>
      <w:numFmt w:val="bullet"/>
      <w:lvlText w:val="•"/>
      <w:lvlJc w:val="left"/>
      <w:pPr>
        <w:tabs>
          <w:tab w:val="num" w:pos="720"/>
        </w:tabs>
        <w:ind w:left="720" w:hanging="360"/>
      </w:pPr>
      <w:rPr>
        <w:rFonts w:ascii="Arial" w:hAnsi="Arial" w:hint="default"/>
      </w:rPr>
    </w:lvl>
    <w:lvl w:ilvl="1" w:tplc="612070BC" w:tentative="1">
      <w:start w:val="1"/>
      <w:numFmt w:val="bullet"/>
      <w:lvlText w:val="•"/>
      <w:lvlJc w:val="left"/>
      <w:pPr>
        <w:tabs>
          <w:tab w:val="num" w:pos="1440"/>
        </w:tabs>
        <w:ind w:left="1440" w:hanging="360"/>
      </w:pPr>
      <w:rPr>
        <w:rFonts w:ascii="Arial" w:hAnsi="Arial" w:hint="default"/>
      </w:rPr>
    </w:lvl>
    <w:lvl w:ilvl="2" w:tplc="7C9CE616" w:tentative="1">
      <w:start w:val="1"/>
      <w:numFmt w:val="bullet"/>
      <w:lvlText w:val="•"/>
      <w:lvlJc w:val="left"/>
      <w:pPr>
        <w:tabs>
          <w:tab w:val="num" w:pos="2160"/>
        </w:tabs>
        <w:ind w:left="2160" w:hanging="360"/>
      </w:pPr>
      <w:rPr>
        <w:rFonts w:ascii="Arial" w:hAnsi="Arial" w:hint="default"/>
      </w:rPr>
    </w:lvl>
    <w:lvl w:ilvl="3" w:tplc="88524672" w:tentative="1">
      <w:start w:val="1"/>
      <w:numFmt w:val="bullet"/>
      <w:lvlText w:val="•"/>
      <w:lvlJc w:val="left"/>
      <w:pPr>
        <w:tabs>
          <w:tab w:val="num" w:pos="2880"/>
        </w:tabs>
        <w:ind w:left="2880" w:hanging="360"/>
      </w:pPr>
      <w:rPr>
        <w:rFonts w:ascii="Arial" w:hAnsi="Arial" w:hint="default"/>
      </w:rPr>
    </w:lvl>
    <w:lvl w:ilvl="4" w:tplc="1AE6556C" w:tentative="1">
      <w:start w:val="1"/>
      <w:numFmt w:val="bullet"/>
      <w:lvlText w:val="•"/>
      <w:lvlJc w:val="left"/>
      <w:pPr>
        <w:tabs>
          <w:tab w:val="num" w:pos="3600"/>
        </w:tabs>
        <w:ind w:left="3600" w:hanging="360"/>
      </w:pPr>
      <w:rPr>
        <w:rFonts w:ascii="Arial" w:hAnsi="Arial" w:hint="default"/>
      </w:rPr>
    </w:lvl>
    <w:lvl w:ilvl="5" w:tplc="6C70974C" w:tentative="1">
      <w:start w:val="1"/>
      <w:numFmt w:val="bullet"/>
      <w:lvlText w:val="•"/>
      <w:lvlJc w:val="left"/>
      <w:pPr>
        <w:tabs>
          <w:tab w:val="num" w:pos="4320"/>
        </w:tabs>
        <w:ind w:left="4320" w:hanging="360"/>
      </w:pPr>
      <w:rPr>
        <w:rFonts w:ascii="Arial" w:hAnsi="Arial" w:hint="default"/>
      </w:rPr>
    </w:lvl>
    <w:lvl w:ilvl="6" w:tplc="D2E2D008" w:tentative="1">
      <w:start w:val="1"/>
      <w:numFmt w:val="bullet"/>
      <w:lvlText w:val="•"/>
      <w:lvlJc w:val="left"/>
      <w:pPr>
        <w:tabs>
          <w:tab w:val="num" w:pos="5040"/>
        </w:tabs>
        <w:ind w:left="5040" w:hanging="360"/>
      </w:pPr>
      <w:rPr>
        <w:rFonts w:ascii="Arial" w:hAnsi="Arial" w:hint="default"/>
      </w:rPr>
    </w:lvl>
    <w:lvl w:ilvl="7" w:tplc="480077BA" w:tentative="1">
      <w:start w:val="1"/>
      <w:numFmt w:val="bullet"/>
      <w:lvlText w:val="•"/>
      <w:lvlJc w:val="left"/>
      <w:pPr>
        <w:tabs>
          <w:tab w:val="num" w:pos="5760"/>
        </w:tabs>
        <w:ind w:left="5760" w:hanging="360"/>
      </w:pPr>
      <w:rPr>
        <w:rFonts w:ascii="Arial" w:hAnsi="Arial" w:hint="default"/>
      </w:rPr>
    </w:lvl>
    <w:lvl w:ilvl="8" w:tplc="B9FA2D0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D671CBF"/>
    <w:multiLevelType w:val="hybridMultilevel"/>
    <w:tmpl w:val="073019B2"/>
    <w:lvl w:ilvl="0" w:tplc="0380A4AA">
      <w:start w:val="1"/>
      <w:numFmt w:val="bullet"/>
      <w:lvlText w:val="•"/>
      <w:lvlJc w:val="left"/>
      <w:pPr>
        <w:tabs>
          <w:tab w:val="num" w:pos="720"/>
        </w:tabs>
        <w:ind w:left="720" w:hanging="360"/>
      </w:pPr>
      <w:rPr>
        <w:rFonts w:ascii="Arial" w:hAnsi="Arial" w:hint="default"/>
      </w:rPr>
    </w:lvl>
    <w:lvl w:ilvl="1" w:tplc="A34C3156" w:tentative="1">
      <w:start w:val="1"/>
      <w:numFmt w:val="bullet"/>
      <w:lvlText w:val="•"/>
      <w:lvlJc w:val="left"/>
      <w:pPr>
        <w:tabs>
          <w:tab w:val="num" w:pos="1440"/>
        </w:tabs>
        <w:ind w:left="1440" w:hanging="360"/>
      </w:pPr>
      <w:rPr>
        <w:rFonts w:ascii="Arial" w:hAnsi="Arial" w:hint="default"/>
      </w:rPr>
    </w:lvl>
    <w:lvl w:ilvl="2" w:tplc="0E425E7A" w:tentative="1">
      <w:start w:val="1"/>
      <w:numFmt w:val="bullet"/>
      <w:lvlText w:val="•"/>
      <w:lvlJc w:val="left"/>
      <w:pPr>
        <w:tabs>
          <w:tab w:val="num" w:pos="2160"/>
        </w:tabs>
        <w:ind w:left="2160" w:hanging="360"/>
      </w:pPr>
      <w:rPr>
        <w:rFonts w:ascii="Arial" w:hAnsi="Arial" w:hint="default"/>
      </w:rPr>
    </w:lvl>
    <w:lvl w:ilvl="3" w:tplc="F7925CB2" w:tentative="1">
      <w:start w:val="1"/>
      <w:numFmt w:val="bullet"/>
      <w:lvlText w:val="•"/>
      <w:lvlJc w:val="left"/>
      <w:pPr>
        <w:tabs>
          <w:tab w:val="num" w:pos="2880"/>
        </w:tabs>
        <w:ind w:left="2880" w:hanging="360"/>
      </w:pPr>
      <w:rPr>
        <w:rFonts w:ascii="Arial" w:hAnsi="Arial" w:hint="default"/>
      </w:rPr>
    </w:lvl>
    <w:lvl w:ilvl="4" w:tplc="A35EB7A4" w:tentative="1">
      <w:start w:val="1"/>
      <w:numFmt w:val="bullet"/>
      <w:lvlText w:val="•"/>
      <w:lvlJc w:val="left"/>
      <w:pPr>
        <w:tabs>
          <w:tab w:val="num" w:pos="3600"/>
        </w:tabs>
        <w:ind w:left="3600" w:hanging="360"/>
      </w:pPr>
      <w:rPr>
        <w:rFonts w:ascii="Arial" w:hAnsi="Arial" w:hint="default"/>
      </w:rPr>
    </w:lvl>
    <w:lvl w:ilvl="5" w:tplc="C1CC2A26" w:tentative="1">
      <w:start w:val="1"/>
      <w:numFmt w:val="bullet"/>
      <w:lvlText w:val="•"/>
      <w:lvlJc w:val="left"/>
      <w:pPr>
        <w:tabs>
          <w:tab w:val="num" w:pos="4320"/>
        </w:tabs>
        <w:ind w:left="4320" w:hanging="360"/>
      </w:pPr>
      <w:rPr>
        <w:rFonts w:ascii="Arial" w:hAnsi="Arial" w:hint="default"/>
      </w:rPr>
    </w:lvl>
    <w:lvl w:ilvl="6" w:tplc="766463A2" w:tentative="1">
      <w:start w:val="1"/>
      <w:numFmt w:val="bullet"/>
      <w:lvlText w:val="•"/>
      <w:lvlJc w:val="left"/>
      <w:pPr>
        <w:tabs>
          <w:tab w:val="num" w:pos="5040"/>
        </w:tabs>
        <w:ind w:left="5040" w:hanging="360"/>
      </w:pPr>
      <w:rPr>
        <w:rFonts w:ascii="Arial" w:hAnsi="Arial" w:hint="default"/>
      </w:rPr>
    </w:lvl>
    <w:lvl w:ilvl="7" w:tplc="AD402100" w:tentative="1">
      <w:start w:val="1"/>
      <w:numFmt w:val="bullet"/>
      <w:lvlText w:val="•"/>
      <w:lvlJc w:val="left"/>
      <w:pPr>
        <w:tabs>
          <w:tab w:val="num" w:pos="5760"/>
        </w:tabs>
        <w:ind w:left="5760" w:hanging="360"/>
      </w:pPr>
      <w:rPr>
        <w:rFonts w:ascii="Arial" w:hAnsi="Arial" w:hint="default"/>
      </w:rPr>
    </w:lvl>
    <w:lvl w:ilvl="8" w:tplc="6548FAC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DB150D3"/>
    <w:multiLevelType w:val="hybridMultilevel"/>
    <w:tmpl w:val="0A20EBA4"/>
    <w:lvl w:ilvl="0" w:tplc="93B63CD6">
      <w:start w:val="1"/>
      <w:numFmt w:val="bullet"/>
      <w:lvlText w:val="•"/>
      <w:lvlJc w:val="left"/>
      <w:pPr>
        <w:tabs>
          <w:tab w:val="num" w:pos="720"/>
        </w:tabs>
        <w:ind w:left="720" w:hanging="360"/>
      </w:pPr>
      <w:rPr>
        <w:rFonts w:ascii="Arial" w:hAnsi="Arial" w:hint="default"/>
      </w:rPr>
    </w:lvl>
    <w:lvl w:ilvl="1" w:tplc="53FA0F98" w:tentative="1">
      <w:start w:val="1"/>
      <w:numFmt w:val="bullet"/>
      <w:lvlText w:val="•"/>
      <w:lvlJc w:val="left"/>
      <w:pPr>
        <w:tabs>
          <w:tab w:val="num" w:pos="1440"/>
        </w:tabs>
        <w:ind w:left="1440" w:hanging="360"/>
      </w:pPr>
      <w:rPr>
        <w:rFonts w:ascii="Arial" w:hAnsi="Arial" w:hint="default"/>
      </w:rPr>
    </w:lvl>
    <w:lvl w:ilvl="2" w:tplc="A602441E" w:tentative="1">
      <w:start w:val="1"/>
      <w:numFmt w:val="bullet"/>
      <w:lvlText w:val="•"/>
      <w:lvlJc w:val="left"/>
      <w:pPr>
        <w:tabs>
          <w:tab w:val="num" w:pos="2160"/>
        </w:tabs>
        <w:ind w:left="2160" w:hanging="360"/>
      </w:pPr>
      <w:rPr>
        <w:rFonts w:ascii="Arial" w:hAnsi="Arial" w:hint="default"/>
      </w:rPr>
    </w:lvl>
    <w:lvl w:ilvl="3" w:tplc="AA8C6FA6" w:tentative="1">
      <w:start w:val="1"/>
      <w:numFmt w:val="bullet"/>
      <w:lvlText w:val="•"/>
      <w:lvlJc w:val="left"/>
      <w:pPr>
        <w:tabs>
          <w:tab w:val="num" w:pos="2880"/>
        </w:tabs>
        <w:ind w:left="2880" w:hanging="360"/>
      </w:pPr>
      <w:rPr>
        <w:rFonts w:ascii="Arial" w:hAnsi="Arial" w:hint="default"/>
      </w:rPr>
    </w:lvl>
    <w:lvl w:ilvl="4" w:tplc="CF9AD776" w:tentative="1">
      <w:start w:val="1"/>
      <w:numFmt w:val="bullet"/>
      <w:lvlText w:val="•"/>
      <w:lvlJc w:val="left"/>
      <w:pPr>
        <w:tabs>
          <w:tab w:val="num" w:pos="3600"/>
        </w:tabs>
        <w:ind w:left="3600" w:hanging="360"/>
      </w:pPr>
      <w:rPr>
        <w:rFonts w:ascii="Arial" w:hAnsi="Arial" w:hint="default"/>
      </w:rPr>
    </w:lvl>
    <w:lvl w:ilvl="5" w:tplc="5CBAD4B4" w:tentative="1">
      <w:start w:val="1"/>
      <w:numFmt w:val="bullet"/>
      <w:lvlText w:val="•"/>
      <w:lvlJc w:val="left"/>
      <w:pPr>
        <w:tabs>
          <w:tab w:val="num" w:pos="4320"/>
        </w:tabs>
        <w:ind w:left="4320" w:hanging="360"/>
      </w:pPr>
      <w:rPr>
        <w:rFonts w:ascii="Arial" w:hAnsi="Arial" w:hint="default"/>
      </w:rPr>
    </w:lvl>
    <w:lvl w:ilvl="6" w:tplc="8A0A142A" w:tentative="1">
      <w:start w:val="1"/>
      <w:numFmt w:val="bullet"/>
      <w:lvlText w:val="•"/>
      <w:lvlJc w:val="left"/>
      <w:pPr>
        <w:tabs>
          <w:tab w:val="num" w:pos="5040"/>
        </w:tabs>
        <w:ind w:left="5040" w:hanging="360"/>
      </w:pPr>
      <w:rPr>
        <w:rFonts w:ascii="Arial" w:hAnsi="Arial" w:hint="default"/>
      </w:rPr>
    </w:lvl>
    <w:lvl w:ilvl="7" w:tplc="DC8C7E30" w:tentative="1">
      <w:start w:val="1"/>
      <w:numFmt w:val="bullet"/>
      <w:lvlText w:val="•"/>
      <w:lvlJc w:val="left"/>
      <w:pPr>
        <w:tabs>
          <w:tab w:val="num" w:pos="5760"/>
        </w:tabs>
        <w:ind w:left="5760" w:hanging="360"/>
      </w:pPr>
      <w:rPr>
        <w:rFonts w:ascii="Arial" w:hAnsi="Arial" w:hint="default"/>
      </w:rPr>
    </w:lvl>
    <w:lvl w:ilvl="8" w:tplc="7DD27AC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A99"/>
    <w:rsid w:val="0000045B"/>
    <w:rsid w:val="00004E59"/>
    <w:rsid w:val="000228FE"/>
    <w:rsid w:val="00023107"/>
    <w:rsid w:val="0002366C"/>
    <w:rsid w:val="0004409A"/>
    <w:rsid w:val="00057A21"/>
    <w:rsid w:val="00061C50"/>
    <w:rsid w:val="000A22CB"/>
    <w:rsid w:val="000B04FC"/>
    <w:rsid w:val="000D1D21"/>
    <w:rsid w:val="000D6329"/>
    <w:rsid w:val="000E2559"/>
    <w:rsid w:val="000F1DE3"/>
    <w:rsid w:val="0011220F"/>
    <w:rsid w:val="00126578"/>
    <w:rsid w:val="0012746F"/>
    <w:rsid w:val="00130382"/>
    <w:rsid w:val="00151CDD"/>
    <w:rsid w:val="00174396"/>
    <w:rsid w:val="00177491"/>
    <w:rsid w:val="00196804"/>
    <w:rsid w:val="001A0360"/>
    <w:rsid w:val="001A69DC"/>
    <w:rsid w:val="001B444F"/>
    <w:rsid w:val="001C6C21"/>
    <w:rsid w:val="001D65B3"/>
    <w:rsid w:val="0021664D"/>
    <w:rsid w:val="002208F1"/>
    <w:rsid w:val="00221F8C"/>
    <w:rsid w:val="00236664"/>
    <w:rsid w:val="00240740"/>
    <w:rsid w:val="00241FA0"/>
    <w:rsid w:val="00253FA5"/>
    <w:rsid w:val="0028639E"/>
    <w:rsid w:val="002907D6"/>
    <w:rsid w:val="002A1F7A"/>
    <w:rsid w:val="002C51FF"/>
    <w:rsid w:val="002D6765"/>
    <w:rsid w:val="002D7F0A"/>
    <w:rsid w:val="002E57AC"/>
    <w:rsid w:val="00305BC0"/>
    <w:rsid w:val="00331E91"/>
    <w:rsid w:val="00347151"/>
    <w:rsid w:val="0034768A"/>
    <w:rsid w:val="00352D92"/>
    <w:rsid w:val="00371AAD"/>
    <w:rsid w:val="00375493"/>
    <w:rsid w:val="00376A01"/>
    <w:rsid w:val="0038335F"/>
    <w:rsid w:val="00384FFE"/>
    <w:rsid w:val="00386EF0"/>
    <w:rsid w:val="003879DF"/>
    <w:rsid w:val="003A4B26"/>
    <w:rsid w:val="003B3845"/>
    <w:rsid w:val="003D5A46"/>
    <w:rsid w:val="0041459D"/>
    <w:rsid w:val="0041706C"/>
    <w:rsid w:val="0042127B"/>
    <w:rsid w:val="00431304"/>
    <w:rsid w:val="004317AB"/>
    <w:rsid w:val="004501A6"/>
    <w:rsid w:val="00472608"/>
    <w:rsid w:val="00480F0A"/>
    <w:rsid w:val="004B7DA2"/>
    <w:rsid w:val="004D6D87"/>
    <w:rsid w:val="004E3295"/>
    <w:rsid w:val="004F3F68"/>
    <w:rsid w:val="005168F3"/>
    <w:rsid w:val="005272DA"/>
    <w:rsid w:val="00536F22"/>
    <w:rsid w:val="0054640E"/>
    <w:rsid w:val="00583006"/>
    <w:rsid w:val="005F1E3D"/>
    <w:rsid w:val="0062156C"/>
    <w:rsid w:val="00622C21"/>
    <w:rsid w:val="00630163"/>
    <w:rsid w:val="00643FBD"/>
    <w:rsid w:val="00646D93"/>
    <w:rsid w:val="00647344"/>
    <w:rsid w:val="006721E4"/>
    <w:rsid w:val="00675664"/>
    <w:rsid w:val="00694751"/>
    <w:rsid w:val="006C6E72"/>
    <w:rsid w:val="006C7A47"/>
    <w:rsid w:val="00746DD4"/>
    <w:rsid w:val="007476D3"/>
    <w:rsid w:val="00764EE5"/>
    <w:rsid w:val="00770B7F"/>
    <w:rsid w:val="00795A8C"/>
    <w:rsid w:val="0079694E"/>
    <w:rsid w:val="007C0E89"/>
    <w:rsid w:val="007C127D"/>
    <w:rsid w:val="007C2A96"/>
    <w:rsid w:val="007D0C35"/>
    <w:rsid w:val="007D5785"/>
    <w:rsid w:val="007D586F"/>
    <w:rsid w:val="00817761"/>
    <w:rsid w:val="00817C64"/>
    <w:rsid w:val="0085149A"/>
    <w:rsid w:val="0085676A"/>
    <w:rsid w:val="0085760C"/>
    <w:rsid w:val="00865706"/>
    <w:rsid w:val="00872F1D"/>
    <w:rsid w:val="00876CAE"/>
    <w:rsid w:val="00893D2B"/>
    <w:rsid w:val="008A39FB"/>
    <w:rsid w:val="008B2B08"/>
    <w:rsid w:val="008D4D5E"/>
    <w:rsid w:val="0095574F"/>
    <w:rsid w:val="0096330A"/>
    <w:rsid w:val="009656FB"/>
    <w:rsid w:val="00971DA2"/>
    <w:rsid w:val="00974DA8"/>
    <w:rsid w:val="00982457"/>
    <w:rsid w:val="00983F7C"/>
    <w:rsid w:val="00991236"/>
    <w:rsid w:val="009970FA"/>
    <w:rsid w:val="009A36E1"/>
    <w:rsid w:val="009A4EB4"/>
    <w:rsid w:val="009B0A0B"/>
    <w:rsid w:val="009B4753"/>
    <w:rsid w:val="009E3FF0"/>
    <w:rsid w:val="009E4AAB"/>
    <w:rsid w:val="009F6326"/>
    <w:rsid w:val="00A45270"/>
    <w:rsid w:val="00A60D8A"/>
    <w:rsid w:val="00A64574"/>
    <w:rsid w:val="00A76512"/>
    <w:rsid w:val="00A8539C"/>
    <w:rsid w:val="00AA2F4E"/>
    <w:rsid w:val="00AA41AC"/>
    <w:rsid w:val="00AA712A"/>
    <w:rsid w:val="00AC5417"/>
    <w:rsid w:val="00AF5499"/>
    <w:rsid w:val="00AF6FE6"/>
    <w:rsid w:val="00AF7F4A"/>
    <w:rsid w:val="00B04E49"/>
    <w:rsid w:val="00B053EB"/>
    <w:rsid w:val="00B21726"/>
    <w:rsid w:val="00B227CA"/>
    <w:rsid w:val="00B2288A"/>
    <w:rsid w:val="00B23547"/>
    <w:rsid w:val="00B36E99"/>
    <w:rsid w:val="00B4302E"/>
    <w:rsid w:val="00B46132"/>
    <w:rsid w:val="00B51963"/>
    <w:rsid w:val="00B540EE"/>
    <w:rsid w:val="00B55835"/>
    <w:rsid w:val="00B637A0"/>
    <w:rsid w:val="00B64992"/>
    <w:rsid w:val="00B65996"/>
    <w:rsid w:val="00B708A3"/>
    <w:rsid w:val="00B84C22"/>
    <w:rsid w:val="00BB3640"/>
    <w:rsid w:val="00BB6965"/>
    <w:rsid w:val="00BD4417"/>
    <w:rsid w:val="00BF2A00"/>
    <w:rsid w:val="00BF3755"/>
    <w:rsid w:val="00BF4A8D"/>
    <w:rsid w:val="00BF6308"/>
    <w:rsid w:val="00C048D4"/>
    <w:rsid w:val="00C159A6"/>
    <w:rsid w:val="00C24F65"/>
    <w:rsid w:val="00C35458"/>
    <w:rsid w:val="00C35B5A"/>
    <w:rsid w:val="00C617A5"/>
    <w:rsid w:val="00C72174"/>
    <w:rsid w:val="00C72AF0"/>
    <w:rsid w:val="00C85380"/>
    <w:rsid w:val="00C92418"/>
    <w:rsid w:val="00C93034"/>
    <w:rsid w:val="00CA1B17"/>
    <w:rsid w:val="00CA5A07"/>
    <w:rsid w:val="00CB1520"/>
    <w:rsid w:val="00CC2440"/>
    <w:rsid w:val="00CD156B"/>
    <w:rsid w:val="00D06701"/>
    <w:rsid w:val="00D10AFC"/>
    <w:rsid w:val="00D23241"/>
    <w:rsid w:val="00D6110A"/>
    <w:rsid w:val="00D714C1"/>
    <w:rsid w:val="00D80A99"/>
    <w:rsid w:val="00DB2F88"/>
    <w:rsid w:val="00DC1BDB"/>
    <w:rsid w:val="00DC50CD"/>
    <w:rsid w:val="00DD1FD8"/>
    <w:rsid w:val="00DE6948"/>
    <w:rsid w:val="00DF0C17"/>
    <w:rsid w:val="00E04F32"/>
    <w:rsid w:val="00E130BD"/>
    <w:rsid w:val="00E5763F"/>
    <w:rsid w:val="00E578B8"/>
    <w:rsid w:val="00E65374"/>
    <w:rsid w:val="00E6546B"/>
    <w:rsid w:val="00E66874"/>
    <w:rsid w:val="00E73FDE"/>
    <w:rsid w:val="00E73FE5"/>
    <w:rsid w:val="00E76344"/>
    <w:rsid w:val="00E911CB"/>
    <w:rsid w:val="00E942CA"/>
    <w:rsid w:val="00E968FF"/>
    <w:rsid w:val="00E973A2"/>
    <w:rsid w:val="00EA5DDD"/>
    <w:rsid w:val="00F11A06"/>
    <w:rsid w:val="00F148B1"/>
    <w:rsid w:val="00F26A11"/>
    <w:rsid w:val="00F32EF5"/>
    <w:rsid w:val="00F34A64"/>
    <w:rsid w:val="00F369A9"/>
    <w:rsid w:val="00F43208"/>
    <w:rsid w:val="00F766E8"/>
    <w:rsid w:val="00F807CF"/>
    <w:rsid w:val="00F900AE"/>
    <w:rsid w:val="00FB3217"/>
    <w:rsid w:val="00FB4E22"/>
    <w:rsid w:val="00FC1C9A"/>
    <w:rsid w:val="00FC5E29"/>
    <w:rsid w:val="00FC7190"/>
    <w:rsid w:val="00FF3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9E1AF"/>
  <w15:chartTrackingRefBased/>
  <w15:docId w15:val="{1E9D9A93-79D3-4CA2-BF3C-ACE1D74DD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76512"/>
    <w:rPr>
      <w:color w:val="0563C1" w:themeColor="hyperlink"/>
      <w:u w:val="single"/>
    </w:rPr>
  </w:style>
  <w:style w:type="character" w:styleId="UnresolvedMention">
    <w:name w:val="Unresolved Mention"/>
    <w:basedOn w:val="DefaultParagraphFont"/>
    <w:uiPriority w:val="99"/>
    <w:semiHidden/>
    <w:unhideWhenUsed/>
    <w:rsid w:val="00A76512"/>
    <w:rPr>
      <w:color w:val="605E5C"/>
      <w:shd w:val="clear" w:color="auto" w:fill="E1DFDD"/>
    </w:rPr>
  </w:style>
  <w:style w:type="character" w:styleId="FollowedHyperlink">
    <w:name w:val="FollowedHyperlink"/>
    <w:basedOn w:val="DefaultParagraphFont"/>
    <w:uiPriority w:val="99"/>
    <w:semiHidden/>
    <w:unhideWhenUsed/>
    <w:rsid w:val="00AF54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2714335">
      <w:bodyDiv w:val="1"/>
      <w:marLeft w:val="0"/>
      <w:marRight w:val="0"/>
      <w:marTop w:val="0"/>
      <w:marBottom w:val="0"/>
      <w:divBdr>
        <w:top w:val="none" w:sz="0" w:space="0" w:color="auto"/>
        <w:left w:val="none" w:sz="0" w:space="0" w:color="auto"/>
        <w:bottom w:val="none" w:sz="0" w:space="0" w:color="auto"/>
        <w:right w:val="none" w:sz="0" w:space="0" w:color="auto"/>
      </w:divBdr>
      <w:divsChild>
        <w:div w:id="617757501">
          <w:marLeft w:val="1296"/>
          <w:marRight w:val="0"/>
          <w:marTop w:val="720"/>
          <w:marBottom w:val="0"/>
          <w:divBdr>
            <w:top w:val="none" w:sz="0" w:space="0" w:color="auto"/>
            <w:left w:val="none" w:sz="0" w:space="0" w:color="auto"/>
            <w:bottom w:val="none" w:sz="0" w:space="0" w:color="auto"/>
            <w:right w:val="none" w:sz="0" w:space="0" w:color="auto"/>
          </w:divBdr>
        </w:div>
      </w:divsChild>
    </w:div>
    <w:div w:id="1738550010">
      <w:bodyDiv w:val="1"/>
      <w:marLeft w:val="0"/>
      <w:marRight w:val="0"/>
      <w:marTop w:val="0"/>
      <w:marBottom w:val="0"/>
      <w:divBdr>
        <w:top w:val="none" w:sz="0" w:space="0" w:color="auto"/>
        <w:left w:val="none" w:sz="0" w:space="0" w:color="auto"/>
        <w:bottom w:val="none" w:sz="0" w:space="0" w:color="auto"/>
        <w:right w:val="none" w:sz="0" w:space="0" w:color="auto"/>
      </w:divBdr>
      <w:divsChild>
        <w:div w:id="1312321757">
          <w:marLeft w:val="1296"/>
          <w:marRight w:val="0"/>
          <w:marTop w:val="720"/>
          <w:marBottom w:val="0"/>
          <w:divBdr>
            <w:top w:val="none" w:sz="0" w:space="0" w:color="auto"/>
            <w:left w:val="none" w:sz="0" w:space="0" w:color="auto"/>
            <w:bottom w:val="none" w:sz="0" w:space="0" w:color="auto"/>
            <w:right w:val="none" w:sz="0" w:space="0" w:color="auto"/>
          </w:divBdr>
        </w:div>
      </w:divsChild>
    </w:div>
    <w:div w:id="1837845024">
      <w:bodyDiv w:val="1"/>
      <w:marLeft w:val="0"/>
      <w:marRight w:val="0"/>
      <w:marTop w:val="0"/>
      <w:marBottom w:val="0"/>
      <w:divBdr>
        <w:top w:val="none" w:sz="0" w:space="0" w:color="auto"/>
        <w:left w:val="none" w:sz="0" w:space="0" w:color="auto"/>
        <w:bottom w:val="none" w:sz="0" w:space="0" w:color="auto"/>
        <w:right w:val="none" w:sz="0" w:space="0" w:color="auto"/>
      </w:divBdr>
      <w:divsChild>
        <w:div w:id="1600597328">
          <w:marLeft w:val="1296"/>
          <w:marRight w:val="0"/>
          <w:marTop w:val="7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eministcurrent.com/2018/12/02/neoliberalism-patriarchy-gender-identity/" TargetMode="External"/><Relationship Id="rId13" Type="http://schemas.openxmlformats.org/officeDocument/2006/relationships/hyperlink" Target="https://www-jstor-org.ezproxy.uwtsd.ac.uk/stable/259629?read-now%3D1%23page_scan_tab_contents=&amp;seq=9" TargetMode="External"/><Relationship Id="rId3" Type="http://schemas.openxmlformats.org/officeDocument/2006/relationships/settings" Target="settings.xml"/><Relationship Id="rId7" Type="http://schemas.openxmlformats.org/officeDocument/2006/relationships/hyperlink" Target="https://www-jstor-org.ezproxy.uwtsd.ac.uk/stable/10.1086/517575?seq=1" TargetMode="External"/><Relationship Id="rId12" Type="http://schemas.openxmlformats.org/officeDocument/2006/relationships/hyperlink" Target="https://www.jrf.org.uk/report/individualism-and-consumerism-reframing-debat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bitesize/guides/z897pbk/revision/4" TargetMode="External"/><Relationship Id="rId11" Type="http://schemas.openxmlformats.org/officeDocument/2006/relationships/hyperlink" Target="https://www.theguardian.com/commentisfree/2019/sep/28/wales-nationalism-brexit-welsh-language" TargetMode="External"/><Relationship Id="rId5" Type="http://schemas.openxmlformats.org/officeDocument/2006/relationships/hyperlink" Target="http://wasacre.org.uk/publications/wag/E-developingthecurriculumcymreig.pdf" TargetMode="External"/><Relationship Id="rId15" Type="http://schemas.openxmlformats.org/officeDocument/2006/relationships/fontTable" Target="fontTable.xml"/><Relationship Id="rId10" Type="http://schemas.openxmlformats.org/officeDocument/2006/relationships/hyperlink" Target="https://www.bbc.co.uk/news/uk-wales-14176558" TargetMode="External"/><Relationship Id="rId4" Type="http://schemas.openxmlformats.org/officeDocument/2006/relationships/webSettings" Target="webSettings.xml"/><Relationship Id="rId9" Type="http://schemas.openxmlformats.org/officeDocument/2006/relationships/hyperlink" Target="https://oxford.universitypressscholarship.com/view/10.1093/acprof:oso/9780195388275.001.0001/acprof-9780195388275-chapter-001" TargetMode="External"/><Relationship Id="rId14" Type="http://schemas.openxmlformats.org/officeDocument/2006/relationships/hyperlink" Target="https://www-jstor-org.ezproxy.uwtsd.ac.uk/stable/24030519?seq=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3837</TotalTime>
  <Pages>6</Pages>
  <Words>2259</Words>
  <Characters>12879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luke.reimnitz93@gmail.com</dc:creator>
  <cp:keywords/>
  <dc:description/>
  <cp:lastModifiedBy>Luke Reimnitz (1901552)</cp:lastModifiedBy>
  <cp:revision>175</cp:revision>
  <dcterms:created xsi:type="dcterms:W3CDTF">2021-01-14T13:45:00Z</dcterms:created>
  <dcterms:modified xsi:type="dcterms:W3CDTF">2021-01-17T19:05:00Z</dcterms:modified>
</cp:coreProperties>
</file>