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4AC6B" w14:textId="6C8D2001" w:rsidR="007176D5" w:rsidRPr="007176D5" w:rsidRDefault="007176D5" w:rsidP="007176D5">
      <w:pPr>
        <w:jc w:val="center"/>
        <w:rPr>
          <w:rFonts w:ascii="Arial" w:hAnsi="Arial" w:cs="Arial"/>
          <w:b/>
          <w:bCs/>
          <w:sz w:val="28"/>
          <w:szCs w:val="28"/>
        </w:rPr>
      </w:pPr>
      <w:proofErr w:type="spellStart"/>
      <w:r w:rsidRPr="007176D5">
        <w:rPr>
          <w:rFonts w:ascii="Arial" w:hAnsi="Arial" w:cs="Arial"/>
          <w:b/>
          <w:bCs/>
          <w:i/>
          <w:iCs/>
          <w:sz w:val="28"/>
          <w:szCs w:val="28"/>
        </w:rPr>
        <w:t>Gesta</w:t>
      </w:r>
      <w:proofErr w:type="spellEnd"/>
      <w:r w:rsidRPr="007176D5">
        <w:rPr>
          <w:rFonts w:ascii="Arial" w:hAnsi="Arial" w:cs="Arial"/>
          <w:b/>
          <w:bCs/>
          <w:i/>
          <w:iCs/>
          <w:sz w:val="28"/>
          <w:szCs w:val="28"/>
        </w:rPr>
        <w:t xml:space="preserve"> </w:t>
      </w:r>
      <w:proofErr w:type="spellStart"/>
      <w:r w:rsidRPr="007176D5">
        <w:rPr>
          <w:rFonts w:ascii="Arial" w:hAnsi="Arial" w:cs="Arial"/>
          <w:b/>
          <w:bCs/>
          <w:i/>
          <w:iCs/>
          <w:sz w:val="28"/>
          <w:szCs w:val="28"/>
        </w:rPr>
        <w:t>Guillelmi</w:t>
      </w:r>
      <w:proofErr w:type="spellEnd"/>
      <w:r w:rsidRPr="007176D5">
        <w:rPr>
          <w:rFonts w:ascii="Arial" w:hAnsi="Arial" w:cs="Arial"/>
          <w:b/>
          <w:bCs/>
          <w:sz w:val="28"/>
          <w:szCs w:val="28"/>
        </w:rPr>
        <w:t xml:space="preserve"> Commentary</w:t>
      </w:r>
    </w:p>
    <w:p w14:paraId="5C51ABBD" w14:textId="77777777" w:rsidR="007176D5" w:rsidRPr="007176D5" w:rsidRDefault="007176D5" w:rsidP="00394F45">
      <w:pPr>
        <w:rPr>
          <w:rFonts w:ascii="Arial" w:hAnsi="Arial" w:cs="Arial"/>
          <w:i/>
          <w:iCs/>
        </w:rPr>
      </w:pPr>
    </w:p>
    <w:p w14:paraId="03910CE7" w14:textId="21D3D9F7" w:rsidR="00394F45" w:rsidRPr="001F6D69" w:rsidRDefault="00394F45" w:rsidP="00394F45">
      <w:pPr>
        <w:rPr>
          <w:rFonts w:ascii="Arial" w:hAnsi="Arial" w:cs="Arial"/>
          <w:b/>
          <w:bCs/>
          <w:sz w:val="24"/>
          <w:szCs w:val="24"/>
        </w:rPr>
      </w:pPr>
      <w:r w:rsidRPr="001F6D69">
        <w:rPr>
          <w:rFonts w:ascii="Arial" w:hAnsi="Arial" w:cs="Arial"/>
          <w:b/>
          <w:bCs/>
          <w:i/>
          <w:iCs/>
          <w:sz w:val="24"/>
          <w:szCs w:val="24"/>
        </w:rPr>
        <w:t>Gesta Guillelmi</w:t>
      </w:r>
      <w:r w:rsidR="001F6D69" w:rsidRPr="001F6D69">
        <w:rPr>
          <w:rFonts w:ascii="Arial" w:hAnsi="Arial" w:cs="Arial"/>
          <w:b/>
          <w:bCs/>
          <w:i/>
          <w:iCs/>
          <w:sz w:val="24"/>
          <w:szCs w:val="24"/>
        </w:rPr>
        <w:t xml:space="preserve"> </w:t>
      </w:r>
      <w:r w:rsidR="001F6D69" w:rsidRPr="001F6D69">
        <w:rPr>
          <w:rFonts w:ascii="Arial" w:hAnsi="Arial" w:cs="Arial"/>
          <w:b/>
          <w:bCs/>
          <w:sz w:val="24"/>
          <w:szCs w:val="24"/>
        </w:rPr>
        <w:t>Extract</w:t>
      </w:r>
    </w:p>
    <w:p w14:paraId="6EA8AF1D" w14:textId="5B10D947" w:rsidR="00394F45" w:rsidRPr="007176D5" w:rsidRDefault="00A8685F" w:rsidP="00394F45">
      <w:pPr>
        <w:rPr>
          <w:rFonts w:ascii="Arial" w:hAnsi="Arial" w:cs="Arial"/>
          <w:sz w:val="24"/>
          <w:szCs w:val="24"/>
        </w:rPr>
      </w:pPr>
      <w:r w:rsidRPr="007176D5">
        <w:rPr>
          <w:rFonts w:ascii="Arial" w:hAnsi="Arial" w:cs="Arial"/>
          <w:sz w:val="24"/>
          <w:szCs w:val="24"/>
        </w:rPr>
        <w:t>‘</w:t>
      </w:r>
      <w:r w:rsidR="00394F45" w:rsidRPr="007176D5">
        <w:rPr>
          <w:rFonts w:ascii="Arial" w:hAnsi="Arial" w:cs="Arial"/>
          <w:sz w:val="24"/>
          <w:szCs w:val="24"/>
        </w:rPr>
        <w:t>A true report came unexpectedly, that the English land had lost its king and that Harold was wearing its crown. And this mad Englishman could not endure to await the decision of a public election, but on the tragic day when that best of all men was buried, while all the people were mourning, he violated his oath and seized the royal throne with acclamation, with the connivance of a few wicked men. He received an impious consecration from Stigland, who had been deprived of his priestly office by the just zeal and anathema of the pope.</w:t>
      </w:r>
    </w:p>
    <w:p w14:paraId="5852EA63" w14:textId="10AFDAE9" w:rsidR="00394F45" w:rsidRDefault="00394F45" w:rsidP="00394F45">
      <w:pPr>
        <w:rPr>
          <w:rFonts w:ascii="Arial" w:hAnsi="Arial" w:cs="Arial"/>
          <w:sz w:val="24"/>
          <w:szCs w:val="24"/>
        </w:rPr>
      </w:pPr>
      <w:r w:rsidRPr="007176D5">
        <w:rPr>
          <w:rFonts w:ascii="Arial" w:hAnsi="Arial" w:cs="Arial"/>
          <w:sz w:val="24"/>
          <w:szCs w:val="24"/>
        </w:rPr>
        <w:t>Duke William, after taking counsel with his men, determined to avenge this injury with arms, and claim his inheritance by force of arms, although many of the greater men argued speciously that the enterprise was too arduous and far beyond the resources of Normandy. At that time Normandy had in its counsels, besides the bishops and abbots, outstanding men of the secular order, shining luminaries who were the pride of that assembly: Robert count of Mortain; Robert count of Eu, the brother of Hugh bishop of Lisieux (of whose life we have written above; Richard count of Evreux, son of Archbishop Robert; Roger of Beaumont; Roger of Montgomery; William fitzOsbern; Hugh the vicomte. It was thanks to their wisdom and their efforts that Normandy could be kept in safety; supported by these the Roman republic would not have needed two hundred senators, if she had preserved her ancient power in our own time. However, we have ascertained that in every debate all gave way to the wisdom of their prince, as if by divine inspiration he foreknew what was to be done and what avoided. ‘To those who live righteously God gives wisdom’, said a man who was well versed in holy learning. He had worked dutifully from childhood. Indeed, whatever he was pleased to command, all obeyed him unless necessity prevented them.’</w:t>
      </w:r>
      <w:r w:rsidR="00100745">
        <w:rPr>
          <w:rStyle w:val="FootnoteReference"/>
          <w:rFonts w:ascii="Arial" w:hAnsi="Arial" w:cs="Arial"/>
          <w:sz w:val="24"/>
          <w:szCs w:val="24"/>
        </w:rPr>
        <w:footnoteReference w:id="1"/>
      </w:r>
    </w:p>
    <w:p w14:paraId="7150F955" w14:textId="4A7A1BAD" w:rsidR="00FA4E98" w:rsidRPr="007176D5" w:rsidRDefault="00FA4E98" w:rsidP="004B388E">
      <w:pPr>
        <w:rPr>
          <w:rFonts w:ascii="Arial" w:hAnsi="Arial" w:cs="Arial"/>
          <w:sz w:val="24"/>
          <w:szCs w:val="24"/>
        </w:rPr>
      </w:pPr>
    </w:p>
    <w:p w14:paraId="74DC2C71" w14:textId="3290F0D7" w:rsidR="009E78BF" w:rsidRPr="007176D5" w:rsidRDefault="00FA4E98" w:rsidP="00B57D7B">
      <w:pPr>
        <w:spacing w:line="480" w:lineRule="auto"/>
        <w:rPr>
          <w:rFonts w:ascii="Arial" w:hAnsi="Arial" w:cs="Arial"/>
          <w:sz w:val="24"/>
          <w:szCs w:val="24"/>
        </w:rPr>
      </w:pPr>
      <w:r w:rsidRPr="007176D5">
        <w:rPr>
          <w:rFonts w:ascii="Arial" w:hAnsi="Arial" w:cs="Arial"/>
          <w:sz w:val="24"/>
          <w:szCs w:val="24"/>
        </w:rPr>
        <w:t xml:space="preserve">This </w:t>
      </w:r>
      <w:r w:rsidR="00E0474D" w:rsidRPr="007176D5">
        <w:rPr>
          <w:rFonts w:ascii="Arial" w:hAnsi="Arial" w:cs="Arial"/>
          <w:sz w:val="24"/>
          <w:szCs w:val="24"/>
        </w:rPr>
        <w:t xml:space="preserve">extract is from </w:t>
      </w:r>
      <w:r w:rsidR="009E78BF" w:rsidRPr="007176D5">
        <w:rPr>
          <w:rFonts w:ascii="Arial" w:hAnsi="Arial" w:cs="Arial"/>
          <w:i/>
          <w:iCs/>
          <w:sz w:val="24"/>
          <w:szCs w:val="24"/>
        </w:rPr>
        <w:t>The</w:t>
      </w:r>
      <w:r w:rsidR="00394F45" w:rsidRPr="007176D5">
        <w:rPr>
          <w:rFonts w:ascii="Arial" w:hAnsi="Arial" w:cs="Arial"/>
          <w:sz w:val="24"/>
          <w:szCs w:val="24"/>
        </w:rPr>
        <w:t xml:space="preserve"> </w:t>
      </w:r>
      <w:r w:rsidR="00394F45" w:rsidRPr="007176D5">
        <w:rPr>
          <w:rFonts w:ascii="Arial" w:hAnsi="Arial" w:cs="Arial"/>
          <w:i/>
          <w:iCs/>
          <w:sz w:val="24"/>
          <w:szCs w:val="24"/>
        </w:rPr>
        <w:t>Gesta Guillelmi</w:t>
      </w:r>
      <w:r w:rsidR="00CC6676" w:rsidRPr="007176D5">
        <w:rPr>
          <w:rFonts w:ascii="Arial" w:hAnsi="Arial" w:cs="Arial"/>
          <w:i/>
          <w:iCs/>
          <w:sz w:val="24"/>
          <w:szCs w:val="24"/>
        </w:rPr>
        <w:t xml:space="preserve"> </w:t>
      </w:r>
      <w:r w:rsidR="009E78BF" w:rsidRPr="007176D5">
        <w:rPr>
          <w:rFonts w:ascii="Arial" w:hAnsi="Arial" w:cs="Arial"/>
          <w:sz w:val="24"/>
          <w:szCs w:val="24"/>
        </w:rPr>
        <w:t>of</w:t>
      </w:r>
      <w:r w:rsidR="00CC6676" w:rsidRPr="007176D5">
        <w:rPr>
          <w:rFonts w:ascii="Arial" w:hAnsi="Arial" w:cs="Arial"/>
          <w:sz w:val="24"/>
          <w:szCs w:val="24"/>
        </w:rPr>
        <w:t xml:space="preserve"> William of Poitiers</w:t>
      </w:r>
      <w:r w:rsidR="00394F45" w:rsidRPr="007176D5">
        <w:rPr>
          <w:rFonts w:ascii="Arial" w:hAnsi="Arial" w:cs="Arial"/>
          <w:sz w:val="24"/>
          <w:szCs w:val="24"/>
        </w:rPr>
        <w:t xml:space="preserve">, translated as </w:t>
      </w:r>
      <w:r w:rsidR="00394F45" w:rsidRPr="007176D5">
        <w:rPr>
          <w:rFonts w:ascii="Arial" w:hAnsi="Arial" w:cs="Arial"/>
          <w:i/>
          <w:iCs/>
          <w:sz w:val="24"/>
          <w:szCs w:val="24"/>
        </w:rPr>
        <w:t>The Deeds of William</w:t>
      </w:r>
      <w:r w:rsidR="003B20C0" w:rsidRPr="007176D5">
        <w:rPr>
          <w:rFonts w:ascii="Arial" w:hAnsi="Arial" w:cs="Arial"/>
          <w:sz w:val="24"/>
          <w:szCs w:val="24"/>
        </w:rPr>
        <w:t xml:space="preserve">, by </w:t>
      </w:r>
      <w:r w:rsidR="00CC6676" w:rsidRPr="007176D5">
        <w:rPr>
          <w:rFonts w:ascii="Arial" w:hAnsi="Arial" w:cs="Arial"/>
          <w:sz w:val="24"/>
          <w:szCs w:val="24"/>
        </w:rPr>
        <w:t xml:space="preserve">R. H. C. Davis and Marjorie </w:t>
      </w:r>
      <w:r w:rsidR="00680175" w:rsidRPr="007176D5">
        <w:rPr>
          <w:rFonts w:ascii="Arial" w:hAnsi="Arial" w:cs="Arial"/>
          <w:sz w:val="24"/>
          <w:szCs w:val="24"/>
        </w:rPr>
        <w:t>Chibnall.</w:t>
      </w:r>
      <w:r w:rsidR="00F05B2B" w:rsidRPr="007176D5">
        <w:rPr>
          <w:rStyle w:val="FootnoteReference"/>
          <w:rFonts w:ascii="Arial" w:hAnsi="Arial" w:cs="Arial"/>
          <w:sz w:val="24"/>
          <w:szCs w:val="24"/>
        </w:rPr>
        <w:footnoteReference w:id="2"/>
      </w:r>
      <w:r w:rsidR="00667865" w:rsidRPr="007176D5">
        <w:rPr>
          <w:rFonts w:ascii="Arial" w:hAnsi="Arial" w:cs="Arial"/>
          <w:sz w:val="24"/>
          <w:szCs w:val="24"/>
        </w:rPr>
        <w:t xml:space="preserve"> It is an historical document written </w:t>
      </w:r>
      <w:r w:rsidR="00C07F94" w:rsidRPr="007176D5">
        <w:rPr>
          <w:rFonts w:ascii="Arial" w:hAnsi="Arial" w:cs="Arial"/>
          <w:sz w:val="24"/>
          <w:szCs w:val="24"/>
        </w:rPr>
        <w:t>sometime</w:t>
      </w:r>
      <w:r w:rsidR="00667865" w:rsidRPr="007176D5">
        <w:rPr>
          <w:rFonts w:ascii="Arial" w:hAnsi="Arial" w:cs="Arial"/>
          <w:sz w:val="24"/>
          <w:szCs w:val="24"/>
        </w:rPr>
        <w:t xml:space="preserve"> </w:t>
      </w:r>
      <w:r w:rsidR="00985743" w:rsidRPr="007176D5">
        <w:rPr>
          <w:rFonts w:ascii="Arial" w:hAnsi="Arial" w:cs="Arial"/>
          <w:sz w:val="24"/>
          <w:szCs w:val="24"/>
        </w:rPr>
        <w:t>around 1077</w:t>
      </w:r>
      <w:r w:rsidR="00667865" w:rsidRPr="007176D5">
        <w:rPr>
          <w:rFonts w:ascii="Arial" w:hAnsi="Arial" w:cs="Arial"/>
          <w:sz w:val="24"/>
          <w:szCs w:val="24"/>
        </w:rPr>
        <w:t xml:space="preserve">, </w:t>
      </w:r>
      <w:r w:rsidR="007F04F9" w:rsidRPr="007176D5">
        <w:rPr>
          <w:rFonts w:ascii="Arial" w:hAnsi="Arial" w:cs="Arial"/>
          <w:sz w:val="24"/>
          <w:szCs w:val="24"/>
        </w:rPr>
        <w:t>and explains</w:t>
      </w:r>
      <w:r w:rsidR="00667865" w:rsidRPr="007176D5">
        <w:rPr>
          <w:rFonts w:ascii="Arial" w:hAnsi="Arial" w:cs="Arial"/>
          <w:sz w:val="24"/>
          <w:szCs w:val="24"/>
        </w:rPr>
        <w:t xml:space="preserve"> how Duke William became William, King of England.</w:t>
      </w:r>
      <w:r w:rsidR="00BF4365" w:rsidRPr="007176D5">
        <w:rPr>
          <w:rStyle w:val="FootnoteReference"/>
          <w:rFonts w:ascii="Arial" w:hAnsi="Arial" w:cs="Arial"/>
          <w:sz w:val="24"/>
          <w:szCs w:val="24"/>
        </w:rPr>
        <w:footnoteReference w:id="3"/>
      </w:r>
      <w:r w:rsidR="00A6118A" w:rsidRPr="007176D5">
        <w:rPr>
          <w:rFonts w:ascii="Arial" w:hAnsi="Arial" w:cs="Arial"/>
          <w:sz w:val="24"/>
          <w:szCs w:val="24"/>
        </w:rPr>
        <w:t xml:space="preserve"> </w:t>
      </w:r>
      <w:r w:rsidR="007F04F9" w:rsidRPr="007176D5">
        <w:rPr>
          <w:rFonts w:ascii="Arial" w:hAnsi="Arial" w:cs="Arial"/>
          <w:sz w:val="24"/>
          <w:szCs w:val="24"/>
        </w:rPr>
        <w:t xml:space="preserve">The </w:t>
      </w:r>
      <w:r w:rsidR="00261648" w:rsidRPr="007176D5">
        <w:rPr>
          <w:rFonts w:ascii="Arial" w:hAnsi="Arial" w:cs="Arial"/>
          <w:sz w:val="24"/>
          <w:szCs w:val="24"/>
        </w:rPr>
        <w:t xml:space="preserve">passage of text tells </w:t>
      </w:r>
      <w:r w:rsidR="002F43B3" w:rsidRPr="007176D5">
        <w:rPr>
          <w:rFonts w:ascii="Arial" w:hAnsi="Arial" w:cs="Arial"/>
          <w:sz w:val="24"/>
          <w:szCs w:val="24"/>
        </w:rPr>
        <w:t xml:space="preserve">the </w:t>
      </w:r>
      <w:r w:rsidR="00872CC6" w:rsidRPr="007176D5">
        <w:rPr>
          <w:rFonts w:ascii="Arial" w:hAnsi="Arial" w:cs="Arial"/>
          <w:sz w:val="24"/>
          <w:szCs w:val="24"/>
        </w:rPr>
        <w:t xml:space="preserve">moment King Edward died and Harold stole the crown, </w:t>
      </w:r>
      <w:r w:rsidR="00C93B2B" w:rsidRPr="007176D5">
        <w:rPr>
          <w:rFonts w:ascii="Arial" w:hAnsi="Arial" w:cs="Arial"/>
          <w:sz w:val="24"/>
          <w:szCs w:val="24"/>
        </w:rPr>
        <w:t xml:space="preserve">having </w:t>
      </w:r>
      <w:r w:rsidR="00872CC6" w:rsidRPr="007176D5">
        <w:rPr>
          <w:rFonts w:ascii="Arial" w:hAnsi="Arial" w:cs="Arial"/>
          <w:sz w:val="24"/>
          <w:szCs w:val="24"/>
        </w:rPr>
        <w:t xml:space="preserve">been promised </w:t>
      </w:r>
      <w:r w:rsidR="00C93B2B" w:rsidRPr="007176D5">
        <w:rPr>
          <w:rFonts w:ascii="Arial" w:hAnsi="Arial" w:cs="Arial"/>
          <w:sz w:val="24"/>
          <w:szCs w:val="24"/>
        </w:rPr>
        <w:t>to Duke William</w:t>
      </w:r>
      <w:r w:rsidR="00872CC6" w:rsidRPr="007176D5">
        <w:rPr>
          <w:rFonts w:ascii="Arial" w:hAnsi="Arial" w:cs="Arial"/>
          <w:sz w:val="24"/>
          <w:szCs w:val="24"/>
        </w:rPr>
        <w:t xml:space="preserve">. </w:t>
      </w:r>
      <w:r w:rsidR="003A6754" w:rsidRPr="007176D5">
        <w:rPr>
          <w:rFonts w:ascii="Arial" w:hAnsi="Arial" w:cs="Arial"/>
          <w:sz w:val="24"/>
          <w:szCs w:val="24"/>
        </w:rPr>
        <w:t xml:space="preserve">Harold was </w:t>
      </w:r>
      <w:r w:rsidR="003A6754" w:rsidRPr="007176D5">
        <w:rPr>
          <w:rFonts w:ascii="Arial" w:hAnsi="Arial" w:cs="Arial"/>
          <w:sz w:val="24"/>
          <w:szCs w:val="24"/>
        </w:rPr>
        <w:lastRenderedPageBreak/>
        <w:t xml:space="preserve">consecrated by Stigland who had been renounced by the pope, furthering the </w:t>
      </w:r>
      <w:r w:rsidR="000931DB" w:rsidRPr="007176D5">
        <w:rPr>
          <w:rFonts w:ascii="Arial" w:hAnsi="Arial" w:cs="Arial"/>
          <w:sz w:val="24"/>
          <w:szCs w:val="24"/>
        </w:rPr>
        <w:t>question of legitimacy</w:t>
      </w:r>
      <w:r w:rsidR="00A04373" w:rsidRPr="007176D5">
        <w:rPr>
          <w:rFonts w:ascii="Arial" w:hAnsi="Arial" w:cs="Arial"/>
          <w:sz w:val="24"/>
          <w:szCs w:val="24"/>
        </w:rPr>
        <w:t xml:space="preserve">. </w:t>
      </w:r>
      <w:r w:rsidR="00872CC6" w:rsidRPr="007176D5">
        <w:rPr>
          <w:rFonts w:ascii="Arial" w:hAnsi="Arial" w:cs="Arial"/>
          <w:sz w:val="24"/>
          <w:szCs w:val="24"/>
        </w:rPr>
        <w:t xml:space="preserve">William decided to take back what was rightfully his and started </w:t>
      </w:r>
      <w:r w:rsidR="00F81B17" w:rsidRPr="007176D5">
        <w:rPr>
          <w:rFonts w:ascii="Arial" w:hAnsi="Arial" w:cs="Arial"/>
          <w:sz w:val="24"/>
          <w:szCs w:val="24"/>
        </w:rPr>
        <w:t>to plan war</w:t>
      </w:r>
      <w:r w:rsidR="00872CC6" w:rsidRPr="007176D5">
        <w:rPr>
          <w:rFonts w:ascii="Arial" w:hAnsi="Arial" w:cs="Arial"/>
          <w:sz w:val="24"/>
          <w:szCs w:val="24"/>
        </w:rPr>
        <w:t xml:space="preserve"> against Harold.</w:t>
      </w:r>
      <w:r w:rsidR="00591605" w:rsidRPr="007176D5">
        <w:rPr>
          <w:rFonts w:ascii="Arial" w:hAnsi="Arial" w:cs="Arial"/>
          <w:sz w:val="24"/>
          <w:szCs w:val="24"/>
        </w:rPr>
        <w:t xml:space="preserve"> It is a </w:t>
      </w:r>
      <w:r w:rsidR="00A6546C" w:rsidRPr="007176D5">
        <w:rPr>
          <w:rFonts w:ascii="Arial" w:hAnsi="Arial" w:cs="Arial"/>
          <w:sz w:val="24"/>
          <w:szCs w:val="24"/>
        </w:rPr>
        <w:t>crucial</w:t>
      </w:r>
      <w:r w:rsidR="00E52C3C" w:rsidRPr="007176D5">
        <w:rPr>
          <w:rFonts w:ascii="Arial" w:hAnsi="Arial" w:cs="Arial"/>
          <w:sz w:val="24"/>
          <w:szCs w:val="24"/>
        </w:rPr>
        <w:t xml:space="preserve"> and momentous</w:t>
      </w:r>
      <w:r w:rsidR="00591605" w:rsidRPr="007176D5">
        <w:rPr>
          <w:rFonts w:ascii="Arial" w:hAnsi="Arial" w:cs="Arial"/>
          <w:sz w:val="24"/>
          <w:szCs w:val="24"/>
        </w:rPr>
        <w:t xml:space="preserve"> </w:t>
      </w:r>
      <w:r w:rsidR="00E52C3C" w:rsidRPr="007176D5">
        <w:rPr>
          <w:rFonts w:ascii="Arial" w:hAnsi="Arial" w:cs="Arial"/>
          <w:sz w:val="24"/>
          <w:szCs w:val="24"/>
        </w:rPr>
        <w:t>time</w:t>
      </w:r>
      <w:r w:rsidR="00591605" w:rsidRPr="007176D5">
        <w:rPr>
          <w:rFonts w:ascii="Arial" w:hAnsi="Arial" w:cs="Arial"/>
          <w:sz w:val="24"/>
          <w:szCs w:val="24"/>
        </w:rPr>
        <w:t xml:space="preserve"> in history, </w:t>
      </w:r>
      <w:r w:rsidR="003E028A" w:rsidRPr="007176D5">
        <w:rPr>
          <w:rFonts w:ascii="Arial" w:hAnsi="Arial" w:cs="Arial"/>
          <w:sz w:val="24"/>
          <w:szCs w:val="24"/>
        </w:rPr>
        <w:t>as</w:t>
      </w:r>
      <w:r w:rsidR="00591605" w:rsidRPr="007176D5">
        <w:rPr>
          <w:rFonts w:ascii="Arial" w:hAnsi="Arial" w:cs="Arial"/>
          <w:sz w:val="24"/>
          <w:szCs w:val="24"/>
        </w:rPr>
        <w:t xml:space="preserve"> if William had </w:t>
      </w:r>
      <w:r w:rsidR="00DC0B71" w:rsidRPr="007176D5">
        <w:rPr>
          <w:rFonts w:ascii="Arial" w:hAnsi="Arial" w:cs="Arial"/>
          <w:sz w:val="24"/>
          <w:szCs w:val="24"/>
        </w:rPr>
        <w:t xml:space="preserve">not </w:t>
      </w:r>
      <w:r w:rsidR="00591605" w:rsidRPr="007176D5">
        <w:rPr>
          <w:rFonts w:ascii="Arial" w:hAnsi="Arial" w:cs="Arial"/>
          <w:sz w:val="24"/>
          <w:szCs w:val="24"/>
        </w:rPr>
        <w:t>decided to reclaim the throne, the line of ascension would have been very different.</w:t>
      </w:r>
    </w:p>
    <w:p w14:paraId="6A323909" w14:textId="0FBBA764" w:rsidR="00D07978" w:rsidRPr="007176D5" w:rsidRDefault="001834BF" w:rsidP="00570C9A">
      <w:pPr>
        <w:spacing w:line="480" w:lineRule="auto"/>
        <w:ind w:firstLine="720"/>
        <w:rPr>
          <w:rFonts w:ascii="Arial" w:hAnsi="Arial" w:cs="Arial"/>
          <w:sz w:val="24"/>
          <w:szCs w:val="24"/>
        </w:rPr>
      </w:pPr>
      <w:r w:rsidRPr="007176D5">
        <w:rPr>
          <w:rFonts w:ascii="Arial" w:hAnsi="Arial" w:cs="Arial"/>
          <w:sz w:val="24"/>
          <w:szCs w:val="24"/>
        </w:rPr>
        <w:t xml:space="preserve">The </w:t>
      </w:r>
      <w:r w:rsidRPr="007176D5">
        <w:rPr>
          <w:rFonts w:ascii="Arial" w:hAnsi="Arial" w:cs="Arial"/>
          <w:i/>
          <w:iCs/>
          <w:sz w:val="24"/>
          <w:szCs w:val="24"/>
        </w:rPr>
        <w:t>Gesta Guillelmi</w:t>
      </w:r>
      <w:r w:rsidR="00A74A94" w:rsidRPr="007176D5">
        <w:rPr>
          <w:rFonts w:ascii="Arial" w:hAnsi="Arial" w:cs="Arial"/>
          <w:sz w:val="24"/>
          <w:szCs w:val="24"/>
        </w:rPr>
        <w:t xml:space="preserve"> appears to </w:t>
      </w:r>
      <w:r w:rsidR="007F65DA" w:rsidRPr="007176D5">
        <w:rPr>
          <w:rFonts w:ascii="Arial" w:hAnsi="Arial" w:cs="Arial"/>
          <w:sz w:val="24"/>
          <w:szCs w:val="24"/>
        </w:rPr>
        <w:t>be</w:t>
      </w:r>
      <w:r w:rsidR="00633C80" w:rsidRPr="007176D5">
        <w:rPr>
          <w:rFonts w:ascii="Arial" w:hAnsi="Arial" w:cs="Arial"/>
          <w:sz w:val="24"/>
          <w:szCs w:val="24"/>
        </w:rPr>
        <w:t xml:space="preserve"> written </w:t>
      </w:r>
      <w:r w:rsidR="00D07978" w:rsidRPr="007176D5">
        <w:rPr>
          <w:rFonts w:ascii="Arial" w:hAnsi="Arial" w:cs="Arial"/>
          <w:sz w:val="24"/>
          <w:szCs w:val="24"/>
        </w:rPr>
        <w:t xml:space="preserve">specifically to pay homage to </w:t>
      </w:r>
      <w:r w:rsidR="00D946AA" w:rsidRPr="007176D5">
        <w:rPr>
          <w:rFonts w:ascii="Arial" w:hAnsi="Arial" w:cs="Arial"/>
          <w:sz w:val="24"/>
          <w:szCs w:val="24"/>
        </w:rPr>
        <w:t>Duke</w:t>
      </w:r>
      <w:r w:rsidR="00D07978" w:rsidRPr="007176D5">
        <w:rPr>
          <w:rFonts w:ascii="Arial" w:hAnsi="Arial" w:cs="Arial"/>
          <w:sz w:val="24"/>
          <w:szCs w:val="24"/>
        </w:rPr>
        <w:t xml:space="preserve"> William</w:t>
      </w:r>
      <w:r w:rsidR="00D946AA" w:rsidRPr="007176D5">
        <w:rPr>
          <w:rFonts w:ascii="Arial" w:hAnsi="Arial" w:cs="Arial"/>
          <w:sz w:val="24"/>
          <w:szCs w:val="24"/>
        </w:rPr>
        <w:t xml:space="preserve">. </w:t>
      </w:r>
      <w:r w:rsidR="00DB7A4C" w:rsidRPr="007176D5">
        <w:rPr>
          <w:rFonts w:ascii="Arial" w:hAnsi="Arial" w:cs="Arial"/>
          <w:sz w:val="24"/>
          <w:szCs w:val="24"/>
        </w:rPr>
        <w:t>Poitiers’s work is eulogistic, r</w:t>
      </w:r>
      <w:r w:rsidR="00D07978" w:rsidRPr="007176D5">
        <w:rPr>
          <w:rFonts w:ascii="Arial" w:hAnsi="Arial" w:cs="Arial"/>
          <w:sz w:val="24"/>
          <w:szCs w:val="24"/>
        </w:rPr>
        <w:t>ecounting the King’s deeds before and after he took the throne.</w:t>
      </w:r>
      <w:r w:rsidR="00DB7A4C" w:rsidRPr="007176D5">
        <w:rPr>
          <w:rFonts w:ascii="Arial" w:hAnsi="Arial" w:cs="Arial"/>
          <w:sz w:val="24"/>
          <w:szCs w:val="24"/>
        </w:rPr>
        <w:t xml:space="preserve"> Eulogies were popular throughout medieval times, normally formed as poems, idolising the subject</w:t>
      </w:r>
      <w:r w:rsidR="00B95FED" w:rsidRPr="007176D5">
        <w:rPr>
          <w:rFonts w:ascii="Arial" w:hAnsi="Arial" w:cs="Arial"/>
          <w:sz w:val="24"/>
          <w:szCs w:val="24"/>
        </w:rPr>
        <w:t>, usually a god or person</w:t>
      </w:r>
      <w:r w:rsidR="00DB7A4C" w:rsidRPr="007176D5">
        <w:rPr>
          <w:rFonts w:ascii="Arial" w:hAnsi="Arial" w:cs="Arial"/>
          <w:sz w:val="24"/>
          <w:szCs w:val="24"/>
        </w:rPr>
        <w:t>.</w:t>
      </w:r>
      <w:r w:rsidR="00DB7A4C" w:rsidRPr="007176D5">
        <w:rPr>
          <w:rStyle w:val="FootnoteReference"/>
          <w:rFonts w:ascii="Arial" w:hAnsi="Arial" w:cs="Arial"/>
          <w:sz w:val="24"/>
          <w:szCs w:val="24"/>
        </w:rPr>
        <w:footnoteReference w:id="4"/>
      </w:r>
      <w:r w:rsidR="00D07978" w:rsidRPr="007176D5">
        <w:rPr>
          <w:rFonts w:ascii="Arial" w:hAnsi="Arial" w:cs="Arial"/>
          <w:sz w:val="24"/>
          <w:szCs w:val="24"/>
        </w:rPr>
        <w:t xml:space="preserve"> </w:t>
      </w:r>
      <w:r w:rsidR="006B71D5" w:rsidRPr="007176D5">
        <w:rPr>
          <w:rFonts w:ascii="Arial" w:hAnsi="Arial" w:cs="Arial"/>
          <w:sz w:val="24"/>
          <w:szCs w:val="24"/>
        </w:rPr>
        <w:t xml:space="preserve">There </w:t>
      </w:r>
      <w:r w:rsidR="001D3FEA" w:rsidRPr="007176D5">
        <w:rPr>
          <w:rFonts w:ascii="Arial" w:hAnsi="Arial" w:cs="Arial"/>
          <w:sz w:val="24"/>
          <w:szCs w:val="24"/>
        </w:rPr>
        <w:t xml:space="preserve">are many examples in the extract that complement </w:t>
      </w:r>
      <w:r w:rsidR="002669D1" w:rsidRPr="007176D5">
        <w:rPr>
          <w:rFonts w:ascii="Arial" w:hAnsi="Arial" w:cs="Arial"/>
          <w:sz w:val="24"/>
          <w:szCs w:val="24"/>
        </w:rPr>
        <w:t>Poitier’s panegyric style</w:t>
      </w:r>
      <w:r w:rsidR="001D3FEA" w:rsidRPr="007176D5">
        <w:rPr>
          <w:rFonts w:ascii="Arial" w:hAnsi="Arial" w:cs="Arial"/>
          <w:sz w:val="24"/>
          <w:szCs w:val="24"/>
        </w:rPr>
        <w:t>, such as ‘all gave way to the wisdom of their prince, as if by divine inspiration he foreknew what was to be done and what avoided’.</w:t>
      </w:r>
      <w:r w:rsidR="001D3FEA" w:rsidRPr="007176D5">
        <w:rPr>
          <w:rStyle w:val="FootnoteReference"/>
          <w:rFonts w:ascii="Arial" w:hAnsi="Arial" w:cs="Arial"/>
          <w:sz w:val="24"/>
          <w:szCs w:val="24"/>
        </w:rPr>
        <w:footnoteReference w:id="5"/>
      </w:r>
      <w:r w:rsidR="001D3FEA" w:rsidRPr="007176D5">
        <w:rPr>
          <w:rFonts w:ascii="Arial" w:hAnsi="Arial" w:cs="Arial"/>
          <w:sz w:val="24"/>
          <w:szCs w:val="24"/>
        </w:rPr>
        <w:t xml:space="preserve"> Poitiers is suggesting William</w:t>
      </w:r>
      <w:r w:rsidR="00553D69">
        <w:rPr>
          <w:rFonts w:ascii="Arial" w:hAnsi="Arial" w:cs="Arial"/>
          <w:sz w:val="24"/>
          <w:szCs w:val="24"/>
        </w:rPr>
        <w:t>’s</w:t>
      </w:r>
      <w:r w:rsidR="001D3FEA" w:rsidRPr="007176D5">
        <w:rPr>
          <w:rFonts w:ascii="Arial" w:hAnsi="Arial" w:cs="Arial"/>
          <w:sz w:val="24"/>
          <w:szCs w:val="24"/>
        </w:rPr>
        <w:t xml:space="preserve"> </w:t>
      </w:r>
      <w:r w:rsidR="00F60323" w:rsidRPr="007176D5">
        <w:rPr>
          <w:rFonts w:ascii="Arial" w:hAnsi="Arial" w:cs="Arial"/>
          <w:sz w:val="24"/>
          <w:szCs w:val="24"/>
        </w:rPr>
        <w:t xml:space="preserve">wisdom is </w:t>
      </w:r>
      <w:r w:rsidR="001D3FEA" w:rsidRPr="007176D5">
        <w:rPr>
          <w:rFonts w:ascii="Arial" w:hAnsi="Arial" w:cs="Arial"/>
          <w:sz w:val="24"/>
          <w:szCs w:val="24"/>
        </w:rPr>
        <w:t xml:space="preserve">so great that it must be God working through him. By comparing him to God, Poitiers is giving him the highest accolade, worthy of only the greatest praise. </w:t>
      </w:r>
      <w:r w:rsidR="00570C9A" w:rsidRPr="007176D5">
        <w:rPr>
          <w:rFonts w:ascii="Arial" w:hAnsi="Arial" w:cs="Arial"/>
          <w:sz w:val="24"/>
          <w:szCs w:val="24"/>
        </w:rPr>
        <w:t xml:space="preserve">This </w:t>
      </w:r>
      <w:r w:rsidR="006E0DAD" w:rsidRPr="007176D5">
        <w:rPr>
          <w:rFonts w:ascii="Arial" w:hAnsi="Arial" w:cs="Arial"/>
          <w:sz w:val="24"/>
          <w:szCs w:val="24"/>
        </w:rPr>
        <w:t>indicates</w:t>
      </w:r>
      <w:r w:rsidR="00570C9A" w:rsidRPr="007176D5">
        <w:rPr>
          <w:rFonts w:ascii="Arial" w:hAnsi="Arial" w:cs="Arial"/>
          <w:sz w:val="24"/>
          <w:szCs w:val="24"/>
        </w:rPr>
        <w:t xml:space="preserve"> God is on the side of the Normans, directly assisting William in becoming conqueror of England. </w:t>
      </w:r>
    </w:p>
    <w:p w14:paraId="186E9157" w14:textId="681B2825" w:rsidR="001829B6" w:rsidRPr="007176D5" w:rsidRDefault="00F90E13" w:rsidP="002B3400">
      <w:pPr>
        <w:spacing w:line="480" w:lineRule="auto"/>
        <w:rPr>
          <w:rFonts w:ascii="Arial" w:hAnsi="Arial" w:cs="Arial"/>
          <w:sz w:val="24"/>
          <w:szCs w:val="24"/>
        </w:rPr>
      </w:pPr>
      <w:r w:rsidRPr="007176D5">
        <w:rPr>
          <w:rFonts w:ascii="Arial" w:hAnsi="Arial" w:cs="Arial"/>
          <w:sz w:val="24"/>
          <w:szCs w:val="24"/>
        </w:rPr>
        <w:tab/>
        <w:t>Th</w:t>
      </w:r>
      <w:r w:rsidR="00741B1B" w:rsidRPr="007176D5">
        <w:rPr>
          <w:rFonts w:ascii="Arial" w:hAnsi="Arial" w:cs="Arial"/>
          <w:sz w:val="24"/>
          <w:szCs w:val="24"/>
        </w:rPr>
        <w:t>e theory of Poitier’s writing being panegyric is further supported in the way</w:t>
      </w:r>
      <w:r w:rsidRPr="007176D5">
        <w:rPr>
          <w:rFonts w:ascii="Arial" w:hAnsi="Arial" w:cs="Arial"/>
          <w:sz w:val="24"/>
          <w:szCs w:val="24"/>
        </w:rPr>
        <w:t xml:space="preserve"> </w:t>
      </w:r>
      <w:r w:rsidR="00741B1B" w:rsidRPr="007176D5">
        <w:rPr>
          <w:rFonts w:ascii="Arial" w:hAnsi="Arial" w:cs="Arial"/>
          <w:sz w:val="24"/>
          <w:szCs w:val="24"/>
        </w:rPr>
        <w:t xml:space="preserve">he </w:t>
      </w:r>
      <w:r w:rsidRPr="007176D5">
        <w:rPr>
          <w:rFonts w:ascii="Arial" w:hAnsi="Arial" w:cs="Arial"/>
          <w:sz w:val="24"/>
          <w:szCs w:val="24"/>
        </w:rPr>
        <w:t>speaks negatively of King Harold:</w:t>
      </w:r>
      <w:r w:rsidR="002B3400" w:rsidRPr="007176D5">
        <w:rPr>
          <w:rFonts w:ascii="Arial" w:hAnsi="Arial" w:cs="Arial"/>
          <w:sz w:val="24"/>
          <w:szCs w:val="24"/>
        </w:rPr>
        <w:t xml:space="preserve"> </w:t>
      </w:r>
      <w:r w:rsidRPr="007176D5">
        <w:rPr>
          <w:rFonts w:ascii="Arial" w:hAnsi="Arial" w:cs="Arial"/>
          <w:sz w:val="24"/>
          <w:szCs w:val="24"/>
        </w:rPr>
        <w:t>‘this mad Englishman could not endure to await’.</w:t>
      </w:r>
      <w:r w:rsidRPr="007176D5">
        <w:rPr>
          <w:rStyle w:val="FootnoteReference"/>
          <w:rFonts w:ascii="Arial" w:hAnsi="Arial" w:cs="Arial"/>
          <w:sz w:val="24"/>
          <w:szCs w:val="24"/>
        </w:rPr>
        <w:footnoteReference w:id="6"/>
      </w:r>
      <w:r w:rsidR="002B3400" w:rsidRPr="007176D5">
        <w:rPr>
          <w:rFonts w:ascii="Arial" w:hAnsi="Arial" w:cs="Arial"/>
          <w:sz w:val="24"/>
          <w:szCs w:val="24"/>
        </w:rPr>
        <w:t xml:space="preserve"> By calling him mad, any reader of the </w:t>
      </w:r>
      <w:r w:rsidR="002B3400" w:rsidRPr="007176D5">
        <w:rPr>
          <w:rFonts w:ascii="Arial" w:hAnsi="Arial" w:cs="Arial"/>
          <w:i/>
          <w:iCs/>
          <w:sz w:val="24"/>
          <w:szCs w:val="24"/>
        </w:rPr>
        <w:t>Gesta Guillelmi</w:t>
      </w:r>
      <w:r w:rsidR="002B3400" w:rsidRPr="007176D5">
        <w:rPr>
          <w:rFonts w:ascii="Arial" w:hAnsi="Arial" w:cs="Arial"/>
          <w:sz w:val="24"/>
          <w:szCs w:val="24"/>
        </w:rPr>
        <w:t xml:space="preserve"> </w:t>
      </w:r>
      <w:r w:rsidR="008F6BCC" w:rsidRPr="007176D5">
        <w:rPr>
          <w:rFonts w:ascii="Arial" w:hAnsi="Arial" w:cs="Arial"/>
          <w:sz w:val="24"/>
          <w:szCs w:val="24"/>
        </w:rPr>
        <w:t xml:space="preserve">starts to see Harold in a negative light, with no justification for the disapproval, except that it is written in this historical text, and the writer claiming Harold unlawfully </w:t>
      </w:r>
      <w:r w:rsidR="00395570" w:rsidRPr="007176D5">
        <w:rPr>
          <w:rFonts w:ascii="Arial" w:hAnsi="Arial" w:cs="Arial"/>
          <w:sz w:val="24"/>
          <w:szCs w:val="24"/>
        </w:rPr>
        <w:t>took</w:t>
      </w:r>
      <w:r w:rsidR="008F6BCC" w:rsidRPr="007176D5">
        <w:rPr>
          <w:rFonts w:ascii="Arial" w:hAnsi="Arial" w:cs="Arial"/>
          <w:sz w:val="24"/>
          <w:szCs w:val="24"/>
        </w:rPr>
        <w:t xml:space="preserve"> the throne for himself.</w:t>
      </w:r>
      <w:r w:rsidR="008F6378" w:rsidRPr="007176D5">
        <w:rPr>
          <w:rFonts w:ascii="Arial" w:hAnsi="Arial" w:cs="Arial"/>
          <w:sz w:val="24"/>
          <w:szCs w:val="24"/>
        </w:rPr>
        <w:t xml:space="preserve"> In contrast, William can do no wrong, even ‘taking counsel with his men’ before </w:t>
      </w:r>
      <w:r w:rsidR="00F632B3" w:rsidRPr="007176D5">
        <w:rPr>
          <w:rFonts w:ascii="Arial" w:hAnsi="Arial" w:cs="Arial"/>
          <w:sz w:val="24"/>
          <w:szCs w:val="24"/>
        </w:rPr>
        <w:t>deciding</w:t>
      </w:r>
      <w:r w:rsidR="008F6378" w:rsidRPr="007176D5">
        <w:rPr>
          <w:rFonts w:ascii="Arial" w:hAnsi="Arial" w:cs="Arial"/>
          <w:sz w:val="24"/>
          <w:szCs w:val="24"/>
        </w:rPr>
        <w:t xml:space="preserve"> to ensure it is just.</w:t>
      </w:r>
      <w:r w:rsidR="008F6378" w:rsidRPr="007176D5">
        <w:rPr>
          <w:rStyle w:val="FootnoteReference"/>
          <w:rFonts w:ascii="Arial" w:hAnsi="Arial" w:cs="Arial"/>
          <w:sz w:val="24"/>
          <w:szCs w:val="24"/>
        </w:rPr>
        <w:footnoteReference w:id="7"/>
      </w:r>
      <w:r w:rsidR="00667A0E" w:rsidRPr="007176D5">
        <w:rPr>
          <w:rFonts w:ascii="Arial" w:hAnsi="Arial" w:cs="Arial"/>
          <w:sz w:val="24"/>
          <w:szCs w:val="24"/>
        </w:rPr>
        <w:t xml:space="preserve"> </w:t>
      </w:r>
      <w:r w:rsidR="000B2F05" w:rsidRPr="007176D5">
        <w:rPr>
          <w:rFonts w:ascii="Arial" w:hAnsi="Arial" w:cs="Arial"/>
          <w:sz w:val="24"/>
          <w:szCs w:val="24"/>
        </w:rPr>
        <w:t xml:space="preserve">It is unsurprising William of Poitiers wanted to write a </w:t>
      </w:r>
      <w:r w:rsidR="000B2F05" w:rsidRPr="007176D5">
        <w:rPr>
          <w:rFonts w:ascii="Arial" w:hAnsi="Arial" w:cs="Arial"/>
          <w:sz w:val="24"/>
          <w:szCs w:val="24"/>
        </w:rPr>
        <w:lastRenderedPageBreak/>
        <w:t xml:space="preserve">glowing tribute to his king, as Orderic Vitalis wrote in his </w:t>
      </w:r>
      <w:r w:rsidR="000B2F05" w:rsidRPr="007176D5">
        <w:rPr>
          <w:rFonts w:ascii="Arial" w:hAnsi="Arial" w:cs="Arial"/>
          <w:i/>
          <w:iCs/>
          <w:sz w:val="24"/>
          <w:szCs w:val="24"/>
        </w:rPr>
        <w:t>Ecclesiastical History</w:t>
      </w:r>
      <w:r w:rsidR="000B2F05" w:rsidRPr="007176D5">
        <w:rPr>
          <w:rFonts w:ascii="Arial" w:hAnsi="Arial" w:cs="Arial"/>
          <w:sz w:val="24"/>
          <w:szCs w:val="24"/>
        </w:rPr>
        <w:t xml:space="preserve"> Poitiers had personally served him.</w:t>
      </w:r>
      <w:r w:rsidR="000B2F05" w:rsidRPr="007176D5">
        <w:rPr>
          <w:rStyle w:val="FootnoteReference"/>
          <w:rFonts w:ascii="Arial" w:hAnsi="Arial" w:cs="Arial"/>
          <w:sz w:val="24"/>
          <w:szCs w:val="24"/>
        </w:rPr>
        <w:footnoteReference w:id="8"/>
      </w:r>
      <w:r w:rsidR="00ED4829" w:rsidRPr="007176D5">
        <w:rPr>
          <w:rFonts w:ascii="Arial" w:hAnsi="Arial" w:cs="Arial"/>
          <w:sz w:val="24"/>
          <w:szCs w:val="24"/>
        </w:rPr>
        <w:t xml:space="preserve"> John Gillingham agrees with this perspective, suggesting Poitiers ‘chose to portray him as a model of generalship.’</w:t>
      </w:r>
      <w:r w:rsidR="00ED4829" w:rsidRPr="007176D5">
        <w:rPr>
          <w:rStyle w:val="FootnoteReference"/>
          <w:rFonts w:ascii="Arial" w:hAnsi="Arial" w:cs="Arial"/>
          <w:sz w:val="24"/>
          <w:szCs w:val="24"/>
        </w:rPr>
        <w:footnoteReference w:id="9"/>
      </w:r>
      <w:r w:rsidR="001829B6" w:rsidRPr="007176D5">
        <w:rPr>
          <w:rFonts w:ascii="Arial" w:hAnsi="Arial" w:cs="Arial"/>
          <w:sz w:val="24"/>
          <w:szCs w:val="24"/>
        </w:rPr>
        <w:t xml:space="preserve"> However, there is some doubt as to the extent of bias in this text.</w:t>
      </w:r>
      <w:r w:rsidR="00E91903" w:rsidRPr="007176D5">
        <w:rPr>
          <w:rFonts w:ascii="Arial" w:hAnsi="Arial" w:cs="Arial"/>
          <w:sz w:val="24"/>
          <w:szCs w:val="24"/>
        </w:rPr>
        <w:t xml:space="preserve"> </w:t>
      </w:r>
      <w:r w:rsidR="001829B6" w:rsidRPr="007176D5">
        <w:rPr>
          <w:rFonts w:ascii="Arial" w:hAnsi="Arial" w:cs="Arial"/>
          <w:sz w:val="24"/>
          <w:szCs w:val="24"/>
        </w:rPr>
        <w:t xml:space="preserve">It is well known that Poitiers </w:t>
      </w:r>
      <w:r w:rsidR="00FA3488" w:rsidRPr="007176D5">
        <w:rPr>
          <w:rFonts w:ascii="Arial" w:hAnsi="Arial" w:cs="Arial"/>
          <w:sz w:val="24"/>
          <w:szCs w:val="24"/>
        </w:rPr>
        <w:t>was an experienced soldier</w:t>
      </w:r>
      <w:r w:rsidR="00E91903" w:rsidRPr="007176D5">
        <w:rPr>
          <w:rFonts w:ascii="Arial" w:hAnsi="Arial" w:cs="Arial"/>
          <w:sz w:val="24"/>
          <w:szCs w:val="24"/>
        </w:rPr>
        <w:t>, and so seeing Duke William as a type of general may not have been as fabricated as previously thought.</w:t>
      </w:r>
      <w:r w:rsidR="003036E1" w:rsidRPr="007176D5">
        <w:rPr>
          <w:rStyle w:val="FootnoteReference"/>
          <w:rFonts w:ascii="Arial" w:hAnsi="Arial" w:cs="Arial"/>
          <w:sz w:val="24"/>
          <w:szCs w:val="24"/>
        </w:rPr>
        <w:footnoteReference w:id="10"/>
      </w:r>
      <w:r w:rsidR="00E91903" w:rsidRPr="007176D5">
        <w:rPr>
          <w:rFonts w:ascii="Arial" w:hAnsi="Arial" w:cs="Arial"/>
          <w:sz w:val="24"/>
          <w:szCs w:val="24"/>
        </w:rPr>
        <w:t xml:space="preserve"> </w:t>
      </w:r>
      <w:r w:rsidR="008114CC" w:rsidRPr="007176D5">
        <w:rPr>
          <w:rFonts w:ascii="Arial" w:hAnsi="Arial" w:cs="Arial"/>
          <w:sz w:val="24"/>
          <w:szCs w:val="24"/>
        </w:rPr>
        <w:t>Gillingham furthers this theory</w:t>
      </w:r>
      <w:r w:rsidR="00C10190" w:rsidRPr="007176D5">
        <w:rPr>
          <w:rFonts w:ascii="Arial" w:hAnsi="Arial" w:cs="Arial"/>
          <w:sz w:val="24"/>
          <w:szCs w:val="24"/>
        </w:rPr>
        <w:t xml:space="preserve">, </w:t>
      </w:r>
      <w:r w:rsidR="007956DA" w:rsidRPr="007176D5">
        <w:rPr>
          <w:rFonts w:ascii="Arial" w:hAnsi="Arial" w:cs="Arial"/>
          <w:sz w:val="24"/>
          <w:szCs w:val="24"/>
        </w:rPr>
        <w:t>implying</w:t>
      </w:r>
      <w:r w:rsidR="00C10190" w:rsidRPr="007176D5">
        <w:rPr>
          <w:rFonts w:ascii="Arial" w:hAnsi="Arial" w:cs="Arial"/>
          <w:sz w:val="24"/>
          <w:szCs w:val="24"/>
        </w:rPr>
        <w:t xml:space="preserve"> </w:t>
      </w:r>
      <w:r w:rsidR="00834C08" w:rsidRPr="007176D5">
        <w:rPr>
          <w:rFonts w:ascii="Arial" w:hAnsi="Arial" w:cs="Arial"/>
          <w:sz w:val="24"/>
          <w:szCs w:val="24"/>
        </w:rPr>
        <w:t xml:space="preserve">Poitiers, </w:t>
      </w:r>
      <w:r w:rsidR="00C10190" w:rsidRPr="007176D5">
        <w:rPr>
          <w:rFonts w:ascii="Arial" w:hAnsi="Arial" w:cs="Arial"/>
          <w:sz w:val="24"/>
          <w:szCs w:val="24"/>
        </w:rPr>
        <w:t xml:space="preserve">‘on the subject of war at least, </w:t>
      </w:r>
      <w:r w:rsidR="00834C08" w:rsidRPr="007176D5">
        <w:rPr>
          <w:rFonts w:ascii="Arial" w:hAnsi="Arial" w:cs="Arial"/>
          <w:sz w:val="24"/>
          <w:szCs w:val="24"/>
        </w:rPr>
        <w:t>knew exactly what he was talking about</w:t>
      </w:r>
      <w:r w:rsidR="00C10190" w:rsidRPr="007176D5">
        <w:rPr>
          <w:rFonts w:ascii="Arial" w:hAnsi="Arial" w:cs="Arial"/>
          <w:sz w:val="24"/>
          <w:szCs w:val="24"/>
        </w:rPr>
        <w:t>’</w:t>
      </w:r>
      <w:r w:rsidR="00834C08" w:rsidRPr="007176D5">
        <w:rPr>
          <w:rFonts w:ascii="Arial" w:hAnsi="Arial" w:cs="Arial"/>
          <w:sz w:val="24"/>
          <w:szCs w:val="24"/>
        </w:rPr>
        <w:t>.</w:t>
      </w:r>
      <w:r w:rsidR="00834C08" w:rsidRPr="007176D5">
        <w:rPr>
          <w:rStyle w:val="FootnoteReference"/>
          <w:rFonts w:ascii="Arial" w:hAnsi="Arial" w:cs="Arial"/>
          <w:sz w:val="24"/>
          <w:szCs w:val="24"/>
        </w:rPr>
        <w:footnoteReference w:id="11"/>
      </w:r>
      <w:r w:rsidR="00834C08" w:rsidRPr="007176D5">
        <w:rPr>
          <w:rFonts w:ascii="Arial" w:hAnsi="Arial" w:cs="Arial"/>
          <w:sz w:val="24"/>
          <w:szCs w:val="24"/>
        </w:rPr>
        <w:t xml:space="preserve"> </w:t>
      </w:r>
      <w:r w:rsidR="00E91903" w:rsidRPr="007176D5">
        <w:rPr>
          <w:rFonts w:ascii="Arial" w:hAnsi="Arial" w:cs="Arial"/>
          <w:sz w:val="24"/>
          <w:szCs w:val="24"/>
        </w:rPr>
        <w:t xml:space="preserve">He did, after all, </w:t>
      </w:r>
      <w:r w:rsidR="007D7DF9" w:rsidRPr="007176D5">
        <w:rPr>
          <w:rFonts w:ascii="Arial" w:hAnsi="Arial" w:cs="Arial"/>
          <w:sz w:val="24"/>
          <w:szCs w:val="24"/>
        </w:rPr>
        <w:t>change</w:t>
      </w:r>
      <w:r w:rsidR="00E91903" w:rsidRPr="007176D5">
        <w:rPr>
          <w:rFonts w:ascii="Arial" w:hAnsi="Arial" w:cs="Arial"/>
          <w:sz w:val="24"/>
          <w:szCs w:val="24"/>
        </w:rPr>
        <w:t xml:space="preserve"> the course of history, and so it is only right that the man who succeeded </w:t>
      </w:r>
      <w:r w:rsidR="00B82E5E" w:rsidRPr="007176D5">
        <w:rPr>
          <w:rFonts w:ascii="Arial" w:hAnsi="Arial" w:cs="Arial"/>
          <w:sz w:val="24"/>
          <w:szCs w:val="24"/>
        </w:rPr>
        <w:t xml:space="preserve">is seen in a positive light, and that some military skill would have been essential </w:t>
      </w:r>
      <w:r w:rsidR="00740545" w:rsidRPr="007176D5">
        <w:rPr>
          <w:rFonts w:ascii="Arial" w:hAnsi="Arial" w:cs="Arial"/>
          <w:sz w:val="24"/>
          <w:szCs w:val="24"/>
        </w:rPr>
        <w:t>to</w:t>
      </w:r>
      <w:r w:rsidR="00B82E5E" w:rsidRPr="007176D5">
        <w:rPr>
          <w:rFonts w:ascii="Arial" w:hAnsi="Arial" w:cs="Arial"/>
          <w:sz w:val="24"/>
          <w:szCs w:val="24"/>
        </w:rPr>
        <w:t xml:space="preserve"> lead so many men in a war to win an entire country.</w:t>
      </w:r>
      <w:r w:rsidR="00A31140" w:rsidRPr="007176D5">
        <w:rPr>
          <w:rFonts w:ascii="Arial" w:hAnsi="Arial" w:cs="Arial"/>
          <w:sz w:val="24"/>
          <w:szCs w:val="24"/>
        </w:rPr>
        <w:t xml:space="preserve"> </w:t>
      </w:r>
      <w:r w:rsidR="008A7D6F" w:rsidRPr="007176D5">
        <w:rPr>
          <w:rFonts w:ascii="Arial" w:hAnsi="Arial" w:cs="Arial"/>
          <w:sz w:val="24"/>
          <w:szCs w:val="24"/>
        </w:rPr>
        <w:t>The</w:t>
      </w:r>
      <w:r w:rsidR="00A31140" w:rsidRPr="007176D5">
        <w:rPr>
          <w:rFonts w:ascii="Arial" w:hAnsi="Arial" w:cs="Arial"/>
          <w:sz w:val="24"/>
          <w:szCs w:val="24"/>
        </w:rPr>
        <w:t xml:space="preserve"> text is written about the ‘</w:t>
      </w:r>
      <w:r w:rsidR="00BD166D" w:rsidRPr="007176D5">
        <w:rPr>
          <w:rFonts w:ascii="Arial" w:hAnsi="Arial" w:cs="Arial"/>
          <w:sz w:val="24"/>
          <w:szCs w:val="24"/>
        </w:rPr>
        <w:t>gesta’ or ‘</w:t>
      </w:r>
      <w:r w:rsidR="00A31140" w:rsidRPr="007176D5">
        <w:rPr>
          <w:rFonts w:ascii="Arial" w:hAnsi="Arial" w:cs="Arial"/>
          <w:sz w:val="24"/>
          <w:szCs w:val="24"/>
        </w:rPr>
        <w:t xml:space="preserve">deeds’ of William. </w:t>
      </w:r>
      <w:r w:rsidR="00BD166D" w:rsidRPr="007176D5">
        <w:rPr>
          <w:rFonts w:ascii="Arial" w:hAnsi="Arial" w:cs="Arial"/>
          <w:sz w:val="24"/>
          <w:szCs w:val="24"/>
        </w:rPr>
        <w:t>The gesta</w:t>
      </w:r>
      <w:r w:rsidR="00A33740" w:rsidRPr="007176D5">
        <w:rPr>
          <w:rFonts w:ascii="Arial" w:hAnsi="Arial" w:cs="Arial"/>
          <w:sz w:val="24"/>
          <w:szCs w:val="24"/>
        </w:rPr>
        <w:t xml:space="preserve">, as with the eulogy, </w:t>
      </w:r>
      <w:r w:rsidR="00BD166D" w:rsidRPr="007176D5">
        <w:rPr>
          <w:rFonts w:ascii="Arial" w:hAnsi="Arial" w:cs="Arial"/>
          <w:sz w:val="24"/>
          <w:szCs w:val="24"/>
        </w:rPr>
        <w:t xml:space="preserve">was </w:t>
      </w:r>
      <w:r w:rsidR="00A33740" w:rsidRPr="007176D5">
        <w:rPr>
          <w:rFonts w:ascii="Arial" w:hAnsi="Arial" w:cs="Arial"/>
          <w:sz w:val="24"/>
          <w:szCs w:val="24"/>
        </w:rPr>
        <w:t xml:space="preserve">popular in Poitiers’ time, </w:t>
      </w:r>
      <w:r w:rsidR="00C35E83" w:rsidRPr="007176D5">
        <w:rPr>
          <w:rFonts w:ascii="Arial" w:hAnsi="Arial" w:cs="Arial"/>
          <w:sz w:val="24"/>
          <w:szCs w:val="24"/>
        </w:rPr>
        <w:t>often as deeds of</w:t>
      </w:r>
      <w:r w:rsidR="00A33740" w:rsidRPr="007176D5">
        <w:rPr>
          <w:rFonts w:ascii="Arial" w:hAnsi="Arial" w:cs="Arial"/>
          <w:sz w:val="24"/>
          <w:szCs w:val="24"/>
        </w:rPr>
        <w:t xml:space="preserve"> abbots and other religious men. They provided</w:t>
      </w:r>
      <w:r w:rsidR="00BD166D" w:rsidRPr="007176D5">
        <w:rPr>
          <w:rFonts w:ascii="Arial" w:hAnsi="Arial" w:cs="Arial"/>
          <w:sz w:val="24"/>
          <w:szCs w:val="24"/>
        </w:rPr>
        <w:t xml:space="preserve"> ‘a contemporary background to the outstanding deeds of its principal character, usually portrayed as the hero of the piece.’</w:t>
      </w:r>
      <w:r w:rsidR="00BD166D" w:rsidRPr="007176D5">
        <w:rPr>
          <w:rStyle w:val="FootnoteReference"/>
          <w:rFonts w:ascii="Arial" w:hAnsi="Arial" w:cs="Arial"/>
          <w:sz w:val="24"/>
          <w:szCs w:val="24"/>
        </w:rPr>
        <w:footnoteReference w:id="12"/>
      </w:r>
      <w:r w:rsidR="00BD166D" w:rsidRPr="007176D5">
        <w:rPr>
          <w:rFonts w:ascii="Arial" w:hAnsi="Arial" w:cs="Arial"/>
          <w:sz w:val="24"/>
          <w:szCs w:val="24"/>
        </w:rPr>
        <w:t xml:space="preserve"> </w:t>
      </w:r>
      <w:r w:rsidR="00C63563" w:rsidRPr="007176D5">
        <w:rPr>
          <w:rFonts w:ascii="Arial" w:hAnsi="Arial" w:cs="Arial"/>
          <w:sz w:val="24"/>
          <w:szCs w:val="24"/>
        </w:rPr>
        <w:t xml:space="preserve">This confirms all the above statements </w:t>
      </w:r>
      <w:r w:rsidR="00C33ABA" w:rsidRPr="007176D5">
        <w:rPr>
          <w:rFonts w:ascii="Arial" w:hAnsi="Arial" w:cs="Arial"/>
          <w:sz w:val="24"/>
          <w:szCs w:val="24"/>
        </w:rPr>
        <w:t>regarding</w:t>
      </w:r>
      <w:r w:rsidR="00C63563" w:rsidRPr="007176D5">
        <w:rPr>
          <w:rFonts w:ascii="Arial" w:hAnsi="Arial" w:cs="Arial"/>
          <w:sz w:val="24"/>
          <w:szCs w:val="24"/>
        </w:rPr>
        <w:t xml:space="preserve"> eulogising Duke William, however, if Poitiers was a military expert, many aspects of the </w:t>
      </w:r>
      <w:r w:rsidR="00C63563" w:rsidRPr="007176D5">
        <w:rPr>
          <w:rFonts w:ascii="Arial" w:hAnsi="Arial" w:cs="Arial"/>
          <w:i/>
          <w:iCs/>
          <w:sz w:val="24"/>
          <w:szCs w:val="24"/>
        </w:rPr>
        <w:t>Gesta Guillelmi</w:t>
      </w:r>
      <w:r w:rsidR="00C63563" w:rsidRPr="007176D5">
        <w:rPr>
          <w:rFonts w:ascii="Arial" w:hAnsi="Arial" w:cs="Arial"/>
          <w:sz w:val="24"/>
          <w:szCs w:val="24"/>
        </w:rPr>
        <w:t xml:space="preserve"> may be fact</w:t>
      </w:r>
      <w:r w:rsidR="00BE0F2C" w:rsidRPr="007176D5">
        <w:rPr>
          <w:rFonts w:ascii="Arial" w:hAnsi="Arial" w:cs="Arial"/>
          <w:sz w:val="24"/>
          <w:szCs w:val="24"/>
        </w:rPr>
        <w:t>ual.</w:t>
      </w:r>
    </w:p>
    <w:p w14:paraId="0718BCBA" w14:textId="74DF79E7" w:rsidR="000036C0" w:rsidRPr="007176D5" w:rsidRDefault="00141C15" w:rsidP="002C0CF0">
      <w:pPr>
        <w:spacing w:line="480" w:lineRule="auto"/>
        <w:rPr>
          <w:rFonts w:ascii="Arial" w:hAnsi="Arial" w:cs="Arial"/>
          <w:sz w:val="24"/>
          <w:szCs w:val="24"/>
        </w:rPr>
      </w:pPr>
      <w:r w:rsidRPr="007176D5">
        <w:rPr>
          <w:rFonts w:ascii="Arial" w:hAnsi="Arial" w:cs="Arial"/>
          <w:sz w:val="24"/>
          <w:szCs w:val="24"/>
        </w:rPr>
        <w:tab/>
        <w:t>William of Poitiers himself claimed that unlike poets who roamed ‘through the fields of fiction’, he was writing within ‘the bounds of truth.’</w:t>
      </w:r>
      <w:r w:rsidRPr="007176D5">
        <w:rPr>
          <w:rStyle w:val="FootnoteReference"/>
          <w:rFonts w:ascii="Arial" w:hAnsi="Arial" w:cs="Arial"/>
          <w:sz w:val="24"/>
          <w:szCs w:val="24"/>
        </w:rPr>
        <w:footnoteReference w:id="13"/>
      </w:r>
      <w:r w:rsidR="00492B04" w:rsidRPr="007176D5">
        <w:rPr>
          <w:rFonts w:ascii="Arial" w:hAnsi="Arial" w:cs="Arial"/>
          <w:sz w:val="24"/>
          <w:szCs w:val="24"/>
        </w:rPr>
        <w:t xml:space="preserve"> This is backed up within the text, with Poitiers </w:t>
      </w:r>
      <w:r w:rsidR="0027335D" w:rsidRPr="007176D5">
        <w:rPr>
          <w:rFonts w:ascii="Arial" w:hAnsi="Arial" w:cs="Arial"/>
          <w:sz w:val="24"/>
          <w:szCs w:val="24"/>
        </w:rPr>
        <w:t>also eulogising</w:t>
      </w:r>
      <w:r w:rsidR="00492B04" w:rsidRPr="007176D5">
        <w:rPr>
          <w:rFonts w:ascii="Arial" w:hAnsi="Arial" w:cs="Arial"/>
          <w:sz w:val="24"/>
          <w:szCs w:val="24"/>
        </w:rPr>
        <w:t xml:space="preserve"> King Edward, </w:t>
      </w:r>
      <w:r w:rsidR="0027335D" w:rsidRPr="007176D5">
        <w:rPr>
          <w:rFonts w:ascii="Arial" w:hAnsi="Arial" w:cs="Arial"/>
          <w:sz w:val="24"/>
          <w:szCs w:val="24"/>
        </w:rPr>
        <w:t>calling him the ‘best of all men</w:t>
      </w:r>
      <w:r w:rsidR="00492B04" w:rsidRPr="007176D5">
        <w:rPr>
          <w:rFonts w:ascii="Arial" w:hAnsi="Arial" w:cs="Arial"/>
          <w:sz w:val="24"/>
          <w:szCs w:val="24"/>
        </w:rPr>
        <w:t>.</w:t>
      </w:r>
      <w:r w:rsidR="00521C9F" w:rsidRPr="007176D5">
        <w:rPr>
          <w:rFonts w:ascii="Arial" w:hAnsi="Arial" w:cs="Arial"/>
          <w:sz w:val="24"/>
          <w:szCs w:val="24"/>
        </w:rPr>
        <w:t>’</w:t>
      </w:r>
      <w:r w:rsidR="00521C9F" w:rsidRPr="007176D5">
        <w:rPr>
          <w:rStyle w:val="FootnoteReference"/>
          <w:rFonts w:ascii="Arial" w:hAnsi="Arial" w:cs="Arial"/>
          <w:sz w:val="24"/>
          <w:szCs w:val="24"/>
        </w:rPr>
        <w:footnoteReference w:id="14"/>
      </w:r>
      <w:r w:rsidR="00492B04" w:rsidRPr="007176D5">
        <w:rPr>
          <w:rFonts w:ascii="Arial" w:hAnsi="Arial" w:cs="Arial"/>
          <w:sz w:val="24"/>
          <w:szCs w:val="24"/>
        </w:rPr>
        <w:t xml:space="preserve"> </w:t>
      </w:r>
      <w:r w:rsidR="00B377E5" w:rsidRPr="007176D5">
        <w:rPr>
          <w:rFonts w:ascii="Arial" w:hAnsi="Arial" w:cs="Arial"/>
          <w:sz w:val="24"/>
          <w:szCs w:val="24"/>
        </w:rPr>
        <w:lastRenderedPageBreak/>
        <w:t xml:space="preserve">It is a contrast </w:t>
      </w:r>
      <w:r w:rsidR="00624012" w:rsidRPr="007176D5">
        <w:rPr>
          <w:rFonts w:ascii="Arial" w:hAnsi="Arial" w:cs="Arial"/>
          <w:sz w:val="24"/>
          <w:szCs w:val="24"/>
        </w:rPr>
        <w:t xml:space="preserve">compared to the </w:t>
      </w:r>
      <w:r w:rsidR="00E61809" w:rsidRPr="007176D5">
        <w:rPr>
          <w:rFonts w:ascii="Arial" w:hAnsi="Arial" w:cs="Arial"/>
          <w:sz w:val="24"/>
          <w:szCs w:val="24"/>
        </w:rPr>
        <w:t>loathing</w:t>
      </w:r>
      <w:r w:rsidR="00624012" w:rsidRPr="007176D5">
        <w:rPr>
          <w:rFonts w:ascii="Arial" w:hAnsi="Arial" w:cs="Arial"/>
          <w:sz w:val="24"/>
          <w:szCs w:val="24"/>
        </w:rPr>
        <w:t xml:space="preserve"> towards Harold.</w:t>
      </w:r>
      <w:r w:rsidR="006A5E17" w:rsidRPr="007176D5">
        <w:rPr>
          <w:rStyle w:val="FootnoteReference"/>
          <w:rFonts w:ascii="Arial" w:hAnsi="Arial" w:cs="Arial"/>
          <w:sz w:val="24"/>
          <w:szCs w:val="24"/>
        </w:rPr>
        <w:footnoteReference w:id="15"/>
      </w:r>
      <w:r w:rsidR="00624012" w:rsidRPr="007176D5">
        <w:rPr>
          <w:rFonts w:ascii="Arial" w:hAnsi="Arial" w:cs="Arial"/>
          <w:sz w:val="24"/>
          <w:szCs w:val="24"/>
        </w:rPr>
        <w:t xml:space="preserve"> </w:t>
      </w:r>
      <w:r w:rsidR="00731305" w:rsidRPr="007176D5">
        <w:rPr>
          <w:rFonts w:ascii="Arial" w:hAnsi="Arial" w:cs="Arial"/>
          <w:sz w:val="24"/>
          <w:szCs w:val="24"/>
        </w:rPr>
        <w:t>This</w:t>
      </w:r>
      <w:r w:rsidR="002C0CF0" w:rsidRPr="007176D5">
        <w:rPr>
          <w:rFonts w:ascii="Arial" w:hAnsi="Arial" w:cs="Arial"/>
          <w:sz w:val="24"/>
          <w:szCs w:val="24"/>
        </w:rPr>
        <w:t xml:space="preserve"> suggests that </w:t>
      </w:r>
      <w:r w:rsidR="000036C0" w:rsidRPr="007176D5">
        <w:rPr>
          <w:rFonts w:ascii="Arial" w:hAnsi="Arial" w:cs="Arial"/>
          <w:sz w:val="24"/>
          <w:szCs w:val="24"/>
        </w:rPr>
        <w:t xml:space="preserve">despite </w:t>
      </w:r>
      <w:r w:rsidR="002C0CF0" w:rsidRPr="007176D5">
        <w:rPr>
          <w:rFonts w:ascii="Arial" w:hAnsi="Arial" w:cs="Arial"/>
          <w:sz w:val="24"/>
          <w:szCs w:val="24"/>
        </w:rPr>
        <w:t>Poitiers</w:t>
      </w:r>
      <w:r w:rsidR="000036C0" w:rsidRPr="007176D5">
        <w:rPr>
          <w:rFonts w:ascii="Arial" w:hAnsi="Arial" w:cs="Arial"/>
          <w:sz w:val="24"/>
          <w:szCs w:val="24"/>
        </w:rPr>
        <w:t xml:space="preserve"> being against Harold, </w:t>
      </w:r>
      <w:r w:rsidR="002C0CF0" w:rsidRPr="007176D5">
        <w:rPr>
          <w:rFonts w:ascii="Arial" w:hAnsi="Arial" w:cs="Arial"/>
          <w:sz w:val="24"/>
          <w:szCs w:val="24"/>
        </w:rPr>
        <w:t>he is</w:t>
      </w:r>
      <w:r w:rsidR="000036C0" w:rsidRPr="007176D5">
        <w:rPr>
          <w:rFonts w:ascii="Arial" w:hAnsi="Arial" w:cs="Arial"/>
          <w:sz w:val="24"/>
          <w:szCs w:val="24"/>
        </w:rPr>
        <w:t xml:space="preserve"> wise to the fact that Edward was a good king, to those in Normandy at least.</w:t>
      </w:r>
    </w:p>
    <w:p w14:paraId="04BC29BF" w14:textId="429FCF8C" w:rsidR="00A97D1C" w:rsidRPr="007176D5" w:rsidRDefault="00D64AC4" w:rsidP="00CD2B00">
      <w:pPr>
        <w:spacing w:line="480" w:lineRule="auto"/>
        <w:rPr>
          <w:rFonts w:ascii="Arial" w:hAnsi="Arial" w:cs="Arial"/>
          <w:sz w:val="24"/>
          <w:szCs w:val="24"/>
        </w:rPr>
      </w:pPr>
      <w:r w:rsidRPr="007176D5">
        <w:rPr>
          <w:rFonts w:ascii="Arial" w:hAnsi="Arial" w:cs="Arial"/>
          <w:sz w:val="24"/>
          <w:szCs w:val="24"/>
        </w:rPr>
        <w:tab/>
      </w:r>
      <w:r w:rsidR="003A3609" w:rsidRPr="007176D5">
        <w:rPr>
          <w:rFonts w:ascii="Arial" w:hAnsi="Arial" w:cs="Arial"/>
          <w:sz w:val="24"/>
          <w:szCs w:val="24"/>
        </w:rPr>
        <w:t>It</w:t>
      </w:r>
      <w:r w:rsidRPr="007176D5">
        <w:rPr>
          <w:rFonts w:ascii="Arial" w:hAnsi="Arial" w:cs="Arial"/>
          <w:sz w:val="24"/>
          <w:szCs w:val="24"/>
        </w:rPr>
        <w:t xml:space="preserve"> is impossible to tell how much </w:t>
      </w:r>
      <w:r w:rsidR="003A3609" w:rsidRPr="007176D5">
        <w:rPr>
          <w:rFonts w:ascii="Arial" w:hAnsi="Arial" w:cs="Arial"/>
          <w:sz w:val="24"/>
          <w:szCs w:val="24"/>
        </w:rPr>
        <w:t xml:space="preserve">of the </w:t>
      </w:r>
      <w:r w:rsidR="003A3609" w:rsidRPr="007176D5">
        <w:rPr>
          <w:rFonts w:ascii="Arial" w:hAnsi="Arial" w:cs="Arial"/>
          <w:i/>
          <w:iCs/>
          <w:sz w:val="24"/>
          <w:szCs w:val="24"/>
        </w:rPr>
        <w:t>Gesta Guillelmi</w:t>
      </w:r>
      <w:r w:rsidR="003A3609" w:rsidRPr="007176D5">
        <w:rPr>
          <w:rFonts w:ascii="Arial" w:hAnsi="Arial" w:cs="Arial"/>
          <w:sz w:val="24"/>
          <w:szCs w:val="24"/>
        </w:rPr>
        <w:t xml:space="preserve"> was factually accurate</w:t>
      </w:r>
      <w:r w:rsidRPr="007176D5">
        <w:rPr>
          <w:rFonts w:ascii="Arial" w:hAnsi="Arial" w:cs="Arial"/>
          <w:sz w:val="24"/>
          <w:szCs w:val="24"/>
        </w:rPr>
        <w:t xml:space="preserve">, as history is written about the winners and not the losers. Even with the evidence </w:t>
      </w:r>
      <w:r w:rsidR="002D5176" w:rsidRPr="007176D5">
        <w:rPr>
          <w:rFonts w:ascii="Arial" w:hAnsi="Arial" w:cs="Arial"/>
          <w:sz w:val="24"/>
          <w:szCs w:val="24"/>
        </w:rPr>
        <w:t>provided</w:t>
      </w:r>
      <w:r w:rsidRPr="007176D5">
        <w:rPr>
          <w:rFonts w:ascii="Arial" w:hAnsi="Arial" w:cs="Arial"/>
          <w:sz w:val="24"/>
          <w:szCs w:val="24"/>
        </w:rPr>
        <w:t xml:space="preserve">, it may be that Poitiers only </w:t>
      </w:r>
      <w:r w:rsidR="00E07222" w:rsidRPr="007176D5">
        <w:rPr>
          <w:rFonts w:ascii="Arial" w:hAnsi="Arial" w:cs="Arial"/>
          <w:sz w:val="24"/>
          <w:szCs w:val="24"/>
        </w:rPr>
        <w:t>idolised King Edward</w:t>
      </w:r>
      <w:r w:rsidRPr="007176D5">
        <w:rPr>
          <w:rFonts w:ascii="Arial" w:hAnsi="Arial" w:cs="Arial"/>
          <w:sz w:val="24"/>
          <w:szCs w:val="24"/>
        </w:rPr>
        <w:t xml:space="preserve"> because he had promised </w:t>
      </w:r>
      <w:r w:rsidR="00981E13" w:rsidRPr="007176D5">
        <w:rPr>
          <w:rFonts w:ascii="Arial" w:hAnsi="Arial" w:cs="Arial"/>
          <w:sz w:val="24"/>
          <w:szCs w:val="24"/>
        </w:rPr>
        <w:t>the throne to Duke William</w:t>
      </w:r>
      <w:r w:rsidRPr="007176D5">
        <w:rPr>
          <w:rFonts w:ascii="Arial" w:hAnsi="Arial" w:cs="Arial"/>
          <w:sz w:val="24"/>
          <w:szCs w:val="24"/>
        </w:rPr>
        <w:t xml:space="preserve">, which meant the Normans were on his side. </w:t>
      </w:r>
      <w:r w:rsidR="00A97D1C" w:rsidRPr="007176D5">
        <w:rPr>
          <w:rFonts w:ascii="Arial" w:hAnsi="Arial" w:cs="Arial"/>
          <w:sz w:val="24"/>
          <w:szCs w:val="24"/>
        </w:rPr>
        <w:t xml:space="preserve">Poitiers did include a list of those who took counsel with Duke William to decide whether they should act against Harold, which </w:t>
      </w:r>
      <w:r w:rsidR="000D130C" w:rsidRPr="007176D5">
        <w:rPr>
          <w:rFonts w:ascii="Arial" w:hAnsi="Arial" w:cs="Arial"/>
          <w:sz w:val="24"/>
          <w:szCs w:val="24"/>
        </w:rPr>
        <w:t>indicates</w:t>
      </w:r>
      <w:r w:rsidR="00A97D1C" w:rsidRPr="007176D5">
        <w:rPr>
          <w:rFonts w:ascii="Arial" w:hAnsi="Arial" w:cs="Arial"/>
          <w:sz w:val="24"/>
          <w:szCs w:val="24"/>
        </w:rPr>
        <w:t xml:space="preserve"> the details in the passage are based on real events and the story could be corroborated by those men when Poitiers wrote the </w:t>
      </w:r>
      <w:r w:rsidR="00A97D1C" w:rsidRPr="007176D5">
        <w:rPr>
          <w:rFonts w:ascii="Arial" w:hAnsi="Arial" w:cs="Arial"/>
          <w:i/>
          <w:iCs/>
          <w:sz w:val="24"/>
          <w:szCs w:val="24"/>
        </w:rPr>
        <w:t>Gesta Guillelmi</w:t>
      </w:r>
      <w:r w:rsidR="00A97D1C" w:rsidRPr="007176D5">
        <w:rPr>
          <w:rFonts w:ascii="Arial" w:hAnsi="Arial" w:cs="Arial"/>
          <w:sz w:val="24"/>
          <w:szCs w:val="24"/>
        </w:rPr>
        <w:t>.</w:t>
      </w:r>
      <w:r w:rsidR="004B6785" w:rsidRPr="007176D5">
        <w:rPr>
          <w:rFonts w:ascii="Arial" w:hAnsi="Arial" w:cs="Arial"/>
          <w:sz w:val="24"/>
          <w:szCs w:val="24"/>
        </w:rPr>
        <w:t xml:space="preserve"> It also serves to prove the wisdom of the duke, showing so many great men </w:t>
      </w:r>
      <w:r w:rsidR="00792173" w:rsidRPr="007176D5">
        <w:rPr>
          <w:rFonts w:ascii="Arial" w:hAnsi="Arial" w:cs="Arial"/>
          <w:sz w:val="24"/>
          <w:szCs w:val="24"/>
        </w:rPr>
        <w:t>being on his side.</w:t>
      </w:r>
    </w:p>
    <w:p w14:paraId="503440F0" w14:textId="02A13FA4" w:rsidR="009A47D0" w:rsidRPr="007176D5" w:rsidRDefault="009A47D0" w:rsidP="009A47D0">
      <w:pPr>
        <w:spacing w:line="480" w:lineRule="auto"/>
        <w:rPr>
          <w:rFonts w:ascii="Arial" w:hAnsi="Arial" w:cs="Arial"/>
          <w:sz w:val="24"/>
          <w:szCs w:val="24"/>
        </w:rPr>
      </w:pPr>
      <w:r w:rsidRPr="007176D5">
        <w:rPr>
          <w:rFonts w:ascii="Arial" w:hAnsi="Arial" w:cs="Arial"/>
          <w:sz w:val="24"/>
          <w:szCs w:val="24"/>
        </w:rPr>
        <w:tab/>
      </w:r>
      <w:r w:rsidR="008A12DD" w:rsidRPr="007176D5">
        <w:rPr>
          <w:rFonts w:ascii="Arial" w:hAnsi="Arial" w:cs="Arial"/>
          <w:sz w:val="24"/>
          <w:szCs w:val="24"/>
        </w:rPr>
        <w:t xml:space="preserve">The </w:t>
      </w:r>
      <w:r w:rsidRPr="007176D5">
        <w:rPr>
          <w:rFonts w:ascii="Arial" w:hAnsi="Arial" w:cs="Arial"/>
          <w:sz w:val="24"/>
          <w:szCs w:val="24"/>
        </w:rPr>
        <w:t xml:space="preserve">final factor that suggests historical accuracy in this extract is the way in which Poitiers is clear there was resistance against going to war </w:t>
      </w:r>
      <w:r w:rsidR="00D677DF" w:rsidRPr="007176D5">
        <w:rPr>
          <w:rFonts w:ascii="Arial" w:hAnsi="Arial" w:cs="Arial"/>
          <w:sz w:val="24"/>
          <w:szCs w:val="24"/>
        </w:rPr>
        <w:t>with</w:t>
      </w:r>
      <w:r w:rsidRPr="007176D5">
        <w:rPr>
          <w:rFonts w:ascii="Arial" w:hAnsi="Arial" w:cs="Arial"/>
          <w:sz w:val="24"/>
          <w:szCs w:val="24"/>
        </w:rPr>
        <w:t xml:space="preserve"> Harold. When Duke William told his counsel he wanted to take the throne, ‘many of the greater men argued speciously that the enterprise was too arduous and far beyond the resources of Normandy.’</w:t>
      </w:r>
      <w:r w:rsidR="00A26753" w:rsidRPr="007176D5">
        <w:rPr>
          <w:rStyle w:val="FootnoteReference"/>
          <w:rFonts w:ascii="Arial" w:hAnsi="Arial" w:cs="Arial"/>
          <w:sz w:val="24"/>
          <w:szCs w:val="24"/>
        </w:rPr>
        <w:footnoteReference w:id="16"/>
      </w:r>
      <w:r w:rsidRPr="007176D5">
        <w:rPr>
          <w:rFonts w:ascii="Arial" w:hAnsi="Arial" w:cs="Arial"/>
          <w:sz w:val="24"/>
          <w:szCs w:val="24"/>
        </w:rPr>
        <w:t xml:space="preserve"> </w:t>
      </w:r>
      <w:r w:rsidR="00BE2138" w:rsidRPr="007176D5">
        <w:rPr>
          <w:rFonts w:ascii="Arial" w:hAnsi="Arial" w:cs="Arial"/>
          <w:sz w:val="24"/>
          <w:szCs w:val="24"/>
        </w:rPr>
        <w:t xml:space="preserve">This is the only </w:t>
      </w:r>
      <w:r w:rsidR="007F182D" w:rsidRPr="007176D5">
        <w:rPr>
          <w:rFonts w:ascii="Arial" w:hAnsi="Arial" w:cs="Arial"/>
          <w:sz w:val="24"/>
          <w:szCs w:val="24"/>
        </w:rPr>
        <w:t>portion</w:t>
      </w:r>
      <w:r w:rsidR="00BE2138" w:rsidRPr="007176D5">
        <w:rPr>
          <w:rFonts w:ascii="Arial" w:hAnsi="Arial" w:cs="Arial"/>
          <w:sz w:val="24"/>
          <w:szCs w:val="24"/>
        </w:rPr>
        <w:t xml:space="preserve"> which does not portray the duke as above reproach. Instead, it </w:t>
      </w:r>
      <w:r w:rsidR="002C4BBC" w:rsidRPr="007176D5">
        <w:rPr>
          <w:rFonts w:ascii="Arial" w:hAnsi="Arial" w:cs="Arial"/>
          <w:sz w:val="24"/>
          <w:szCs w:val="24"/>
        </w:rPr>
        <w:t>indicates</w:t>
      </w:r>
      <w:r w:rsidR="00BE2138" w:rsidRPr="007176D5">
        <w:rPr>
          <w:rFonts w:ascii="Arial" w:hAnsi="Arial" w:cs="Arial"/>
          <w:sz w:val="24"/>
          <w:szCs w:val="24"/>
        </w:rPr>
        <w:t xml:space="preserve"> that it took some persuasion to get others to see the duke’s point of view. These ‘greater men’ were thinking of the good of Normandy, and without the duke and much of the army, Normandy may be left vulnerable </w:t>
      </w:r>
      <w:r w:rsidRPr="007176D5">
        <w:rPr>
          <w:rFonts w:ascii="Arial" w:hAnsi="Arial" w:cs="Arial"/>
          <w:sz w:val="24"/>
          <w:szCs w:val="24"/>
        </w:rPr>
        <w:t>to invasion if all the forces were to fight in England.</w:t>
      </w:r>
    </w:p>
    <w:p w14:paraId="15E06AA1" w14:textId="06FCC931" w:rsidR="002C1240" w:rsidRDefault="009A47D0" w:rsidP="00C377AF">
      <w:pPr>
        <w:spacing w:line="480" w:lineRule="auto"/>
        <w:rPr>
          <w:rFonts w:ascii="Arial" w:hAnsi="Arial" w:cs="Arial"/>
          <w:sz w:val="24"/>
          <w:szCs w:val="24"/>
        </w:rPr>
      </w:pPr>
      <w:r w:rsidRPr="007176D5">
        <w:rPr>
          <w:rFonts w:ascii="Arial" w:hAnsi="Arial" w:cs="Arial"/>
          <w:sz w:val="24"/>
          <w:szCs w:val="24"/>
        </w:rPr>
        <w:t xml:space="preserve"> </w:t>
      </w:r>
      <w:r w:rsidR="007F4EC0" w:rsidRPr="007176D5">
        <w:rPr>
          <w:rFonts w:ascii="Arial" w:hAnsi="Arial" w:cs="Arial"/>
          <w:sz w:val="24"/>
          <w:szCs w:val="24"/>
        </w:rPr>
        <w:tab/>
        <w:t xml:space="preserve">Reviewing the conclusions made, despite appearing to be some bias towards King William, which is expected </w:t>
      </w:r>
      <w:r w:rsidR="009C1269" w:rsidRPr="007176D5">
        <w:rPr>
          <w:rFonts w:ascii="Arial" w:hAnsi="Arial" w:cs="Arial"/>
          <w:sz w:val="24"/>
          <w:szCs w:val="24"/>
        </w:rPr>
        <w:t>when reviewing the genres of eulogy and gesta</w:t>
      </w:r>
      <w:r w:rsidR="007F4EC0" w:rsidRPr="007176D5">
        <w:rPr>
          <w:rFonts w:ascii="Arial" w:hAnsi="Arial" w:cs="Arial"/>
          <w:sz w:val="24"/>
          <w:szCs w:val="24"/>
        </w:rPr>
        <w:t xml:space="preserve">, </w:t>
      </w:r>
      <w:r w:rsidR="007F4EC0" w:rsidRPr="007176D5">
        <w:rPr>
          <w:rFonts w:ascii="Arial" w:hAnsi="Arial" w:cs="Arial"/>
          <w:sz w:val="24"/>
          <w:szCs w:val="24"/>
        </w:rPr>
        <w:lastRenderedPageBreak/>
        <w:t xml:space="preserve">William of Poitiers did his best to make </w:t>
      </w:r>
      <w:r w:rsidR="00731AF0" w:rsidRPr="007176D5">
        <w:rPr>
          <w:rFonts w:ascii="Arial" w:hAnsi="Arial" w:cs="Arial"/>
          <w:sz w:val="24"/>
          <w:szCs w:val="24"/>
        </w:rPr>
        <w:t xml:space="preserve">the </w:t>
      </w:r>
      <w:r w:rsidR="00731AF0" w:rsidRPr="007176D5">
        <w:rPr>
          <w:rFonts w:ascii="Arial" w:hAnsi="Arial" w:cs="Arial"/>
          <w:i/>
          <w:iCs/>
          <w:sz w:val="24"/>
          <w:szCs w:val="24"/>
        </w:rPr>
        <w:t>Gesta Guillelmi</w:t>
      </w:r>
      <w:r w:rsidR="00731AF0" w:rsidRPr="007176D5">
        <w:rPr>
          <w:rFonts w:ascii="Arial" w:hAnsi="Arial" w:cs="Arial"/>
          <w:sz w:val="24"/>
          <w:szCs w:val="24"/>
        </w:rPr>
        <w:t xml:space="preserve"> historically accurate. He was not only positive towards his master, Duke William, but also towards the men whom he took counsel with and even King Edward. The final evidence </w:t>
      </w:r>
      <w:r w:rsidR="004F2D71" w:rsidRPr="007176D5">
        <w:rPr>
          <w:rFonts w:ascii="Arial" w:hAnsi="Arial" w:cs="Arial"/>
          <w:sz w:val="24"/>
          <w:szCs w:val="24"/>
        </w:rPr>
        <w:t>regarding</w:t>
      </w:r>
      <w:r w:rsidR="00731AF0" w:rsidRPr="007176D5">
        <w:rPr>
          <w:rFonts w:ascii="Arial" w:hAnsi="Arial" w:cs="Arial"/>
          <w:sz w:val="24"/>
          <w:szCs w:val="24"/>
        </w:rPr>
        <w:t xml:space="preserve"> the historical authenticity of the events within the passage is that Orderic Vitalis, one of Poitiers</w:t>
      </w:r>
      <w:r w:rsidR="00D02901" w:rsidRPr="007176D5">
        <w:rPr>
          <w:rFonts w:ascii="Arial" w:hAnsi="Arial" w:cs="Arial"/>
          <w:sz w:val="24"/>
          <w:szCs w:val="24"/>
        </w:rPr>
        <w:t>’</w:t>
      </w:r>
      <w:r w:rsidR="00731AF0" w:rsidRPr="007176D5">
        <w:rPr>
          <w:rFonts w:ascii="Arial" w:hAnsi="Arial" w:cs="Arial"/>
          <w:sz w:val="24"/>
          <w:szCs w:val="24"/>
        </w:rPr>
        <w:t xml:space="preserve"> contemporaries, used the </w:t>
      </w:r>
      <w:r w:rsidR="00731AF0" w:rsidRPr="007176D5">
        <w:rPr>
          <w:rFonts w:ascii="Arial" w:hAnsi="Arial" w:cs="Arial"/>
          <w:i/>
          <w:iCs/>
          <w:sz w:val="24"/>
          <w:szCs w:val="24"/>
        </w:rPr>
        <w:t>Gesta Guillelmi</w:t>
      </w:r>
      <w:r w:rsidR="00731AF0" w:rsidRPr="007176D5">
        <w:rPr>
          <w:rFonts w:ascii="Arial" w:hAnsi="Arial" w:cs="Arial"/>
          <w:sz w:val="24"/>
          <w:szCs w:val="24"/>
        </w:rPr>
        <w:t xml:space="preserve"> as a basis for his own work, </w:t>
      </w:r>
      <w:r w:rsidR="004F2D71" w:rsidRPr="007176D5">
        <w:rPr>
          <w:rFonts w:ascii="Arial" w:hAnsi="Arial" w:cs="Arial"/>
          <w:sz w:val="24"/>
          <w:szCs w:val="24"/>
        </w:rPr>
        <w:t xml:space="preserve">including many of the political and military events, due to Poitiers being renowned as a soldier, but excluding much of the conjecture such as the duke being without </w:t>
      </w:r>
      <w:r w:rsidR="00B33F93" w:rsidRPr="007176D5">
        <w:rPr>
          <w:rFonts w:ascii="Arial" w:hAnsi="Arial" w:cs="Arial"/>
          <w:sz w:val="24"/>
          <w:szCs w:val="24"/>
        </w:rPr>
        <w:t>fault or flaw. Overall, this suggests that the text is of great importance as the first known source of Duke William’s life, with many elements being authentic and used as a primary source for centuries. However, some elements must not be taken literally, being heavily biased towards the Normans</w:t>
      </w:r>
      <w:r w:rsidR="00210487" w:rsidRPr="007176D5">
        <w:rPr>
          <w:rFonts w:ascii="Arial" w:hAnsi="Arial" w:cs="Arial"/>
          <w:sz w:val="24"/>
          <w:szCs w:val="24"/>
        </w:rPr>
        <w:t>, as the winners of the conquest,</w:t>
      </w:r>
      <w:r w:rsidR="00B33F93" w:rsidRPr="007176D5">
        <w:rPr>
          <w:rFonts w:ascii="Arial" w:hAnsi="Arial" w:cs="Arial"/>
          <w:sz w:val="24"/>
          <w:szCs w:val="24"/>
        </w:rPr>
        <w:t xml:space="preserve"> and against anyone who threatened them.</w:t>
      </w:r>
    </w:p>
    <w:p w14:paraId="2ABEFE85" w14:textId="7C37041D" w:rsidR="00DA1180" w:rsidRDefault="00DA1180" w:rsidP="00C377AF">
      <w:pPr>
        <w:spacing w:line="480" w:lineRule="auto"/>
        <w:rPr>
          <w:rFonts w:ascii="Arial" w:hAnsi="Arial" w:cs="Arial"/>
          <w:sz w:val="24"/>
          <w:szCs w:val="24"/>
        </w:rPr>
      </w:pPr>
    </w:p>
    <w:p w14:paraId="65A5B788" w14:textId="217EC4EF" w:rsidR="00DA1180" w:rsidRDefault="00DA1180" w:rsidP="00C377AF">
      <w:pPr>
        <w:spacing w:line="480" w:lineRule="auto"/>
        <w:rPr>
          <w:rFonts w:ascii="Arial" w:hAnsi="Arial" w:cs="Arial"/>
          <w:sz w:val="24"/>
          <w:szCs w:val="24"/>
        </w:rPr>
      </w:pPr>
    </w:p>
    <w:p w14:paraId="1755C737" w14:textId="50C839E8" w:rsidR="00DA1180" w:rsidRDefault="00DA1180" w:rsidP="00C377AF">
      <w:pPr>
        <w:spacing w:line="480" w:lineRule="auto"/>
        <w:rPr>
          <w:rFonts w:ascii="Arial" w:hAnsi="Arial" w:cs="Arial"/>
          <w:sz w:val="24"/>
          <w:szCs w:val="24"/>
        </w:rPr>
      </w:pPr>
    </w:p>
    <w:p w14:paraId="2C626A93" w14:textId="569F5574" w:rsidR="00DA1180" w:rsidRDefault="00DA1180" w:rsidP="00C377AF">
      <w:pPr>
        <w:spacing w:line="480" w:lineRule="auto"/>
        <w:rPr>
          <w:rFonts w:ascii="Arial" w:hAnsi="Arial" w:cs="Arial"/>
          <w:sz w:val="24"/>
          <w:szCs w:val="24"/>
        </w:rPr>
      </w:pPr>
    </w:p>
    <w:p w14:paraId="399E2AFE" w14:textId="03E422AD" w:rsidR="00DA1180" w:rsidRDefault="00DA1180" w:rsidP="00C377AF">
      <w:pPr>
        <w:spacing w:line="480" w:lineRule="auto"/>
        <w:rPr>
          <w:rFonts w:ascii="Arial" w:hAnsi="Arial" w:cs="Arial"/>
          <w:sz w:val="24"/>
          <w:szCs w:val="24"/>
        </w:rPr>
      </w:pPr>
    </w:p>
    <w:p w14:paraId="6212F680" w14:textId="0C877A6C" w:rsidR="00DA1180" w:rsidRDefault="00DA1180" w:rsidP="00C377AF">
      <w:pPr>
        <w:spacing w:line="480" w:lineRule="auto"/>
        <w:rPr>
          <w:rFonts w:ascii="Arial" w:hAnsi="Arial" w:cs="Arial"/>
          <w:sz w:val="24"/>
          <w:szCs w:val="24"/>
        </w:rPr>
      </w:pPr>
    </w:p>
    <w:p w14:paraId="4470469E" w14:textId="2251FCE2" w:rsidR="00DA1180" w:rsidRDefault="00DA1180" w:rsidP="00C377AF">
      <w:pPr>
        <w:spacing w:line="480" w:lineRule="auto"/>
        <w:rPr>
          <w:rFonts w:ascii="Arial" w:hAnsi="Arial" w:cs="Arial"/>
          <w:sz w:val="24"/>
          <w:szCs w:val="24"/>
        </w:rPr>
      </w:pPr>
    </w:p>
    <w:p w14:paraId="3E5F29A4" w14:textId="6891640C" w:rsidR="00DA1180" w:rsidRDefault="00DA1180" w:rsidP="00C377AF">
      <w:pPr>
        <w:spacing w:line="480" w:lineRule="auto"/>
        <w:rPr>
          <w:rFonts w:ascii="Arial" w:hAnsi="Arial" w:cs="Arial"/>
          <w:sz w:val="24"/>
          <w:szCs w:val="24"/>
        </w:rPr>
      </w:pPr>
    </w:p>
    <w:p w14:paraId="2CB80849" w14:textId="77777777" w:rsidR="00780E65" w:rsidRDefault="00780E65" w:rsidP="00C377AF">
      <w:pPr>
        <w:spacing w:line="480" w:lineRule="auto"/>
        <w:rPr>
          <w:rFonts w:ascii="Arial" w:hAnsi="Arial" w:cs="Arial"/>
          <w:sz w:val="24"/>
          <w:szCs w:val="24"/>
        </w:rPr>
      </w:pPr>
    </w:p>
    <w:p w14:paraId="570DA279" w14:textId="77777777" w:rsidR="00DA1180" w:rsidRPr="007176D5" w:rsidRDefault="00DA1180" w:rsidP="00C377AF">
      <w:pPr>
        <w:spacing w:line="480" w:lineRule="auto"/>
        <w:rPr>
          <w:rFonts w:ascii="Arial" w:hAnsi="Arial" w:cs="Arial"/>
          <w:sz w:val="24"/>
          <w:szCs w:val="24"/>
        </w:rPr>
      </w:pPr>
    </w:p>
    <w:p w14:paraId="468E7BCA" w14:textId="04A7641D" w:rsidR="009A53CB" w:rsidRPr="000A4115" w:rsidRDefault="009A53CB" w:rsidP="009A53CB">
      <w:pPr>
        <w:spacing w:line="480" w:lineRule="auto"/>
        <w:jc w:val="center"/>
        <w:rPr>
          <w:rFonts w:ascii="Arial" w:hAnsi="Arial" w:cs="Arial"/>
          <w:b/>
          <w:bCs/>
          <w:sz w:val="28"/>
          <w:szCs w:val="28"/>
        </w:rPr>
      </w:pPr>
      <w:r w:rsidRPr="000A4115">
        <w:rPr>
          <w:rFonts w:ascii="Arial" w:hAnsi="Arial" w:cs="Arial"/>
          <w:b/>
          <w:bCs/>
          <w:sz w:val="28"/>
          <w:szCs w:val="28"/>
        </w:rPr>
        <w:lastRenderedPageBreak/>
        <w:t>Bibliography</w:t>
      </w:r>
    </w:p>
    <w:p w14:paraId="5E75102E" w14:textId="1850E649" w:rsidR="003B7A7A" w:rsidRPr="007176D5" w:rsidRDefault="003B7A7A" w:rsidP="003B7A7A">
      <w:pPr>
        <w:spacing w:line="480" w:lineRule="auto"/>
        <w:rPr>
          <w:rFonts w:ascii="Arial" w:hAnsi="Arial" w:cs="Arial"/>
          <w:b/>
          <w:bCs/>
          <w:sz w:val="24"/>
          <w:szCs w:val="24"/>
        </w:rPr>
      </w:pPr>
      <w:r w:rsidRPr="007176D5">
        <w:rPr>
          <w:rFonts w:ascii="Arial" w:hAnsi="Arial" w:cs="Arial"/>
          <w:b/>
          <w:bCs/>
          <w:sz w:val="24"/>
          <w:szCs w:val="24"/>
        </w:rPr>
        <w:t>Primary Sources</w:t>
      </w:r>
    </w:p>
    <w:p w14:paraId="2BC02064" w14:textId="6B8F8B4C" w:rsidR="009A53CB" w:rsidRPr="007176D5" w:rsidRDefault="003B7A7A" w:rsidP="003B7A7A">
      <w:pPr>
        <w:spacing w:line="480" w:lineRule="auto"/>
        <w:ind w:firstLine="720"/>
        <w:rPr>
          <w:rFonts w:ascii="Arial" w:hAnsi="Arial" w:cs="Arial"/>
          <w:sz w:val="24"/>
          <w:szCs w:val="24"/>
        </w:rPr>
      </w:pPr>
      <w:r w:rsidRPr="007176D5">
        <w:rPr>
          <w:rFonts w:ascii="Arial" w:hAnsi="Arial" w:cs="Arial"/>
          <w:sz w:val="24"/>
          <w:szCs w:val="24"/>
        </w:rPr>
        <w:t>Poitiers</w:t>
      </w:r>
      <w:r w:rsidR="00B73DE4">
        <w:rPr>
          <w:rFonts w:ascii="Arial" w:hAnsi="Arial" w:cs="Arial"/>
          <w:sz w:val="24"/>
          <w:szCs w:val="24"/>
        </w:rPr>
        <w:t>,</w:t>
      </w:r>
      <w:r w:rsidR="00B73DE4" w:rsidRPr="00B73DE4">
        <w:rPr>
          <w:rFonts w:ascii="Arial" w:hAnsi="Arial" w:cs="Arial"/>
          <w:sz w:val="24"/>
          <w:szCs w:val="24"/>
        </w:rPr>
        <w:t xml:space="preserve"> </w:t>
      </w:r>
      <w:r w:rsidR="00B73DE4" w:rsidRPr="007176D5">
        <w:rPr>
          <w:rFonts w:ascii="Arial" w:hAnsi="Arial" w:cs="Arial"/>
          <w:sz w:val="24"/>
          <w:szCs w:val="24"/>
        </w:rPr>
        <w:t>William of</w:t>
      </w:r>
      <w:r w:rsidRPr="007176D5">
        <w:rPr>
          <w:rFonts w:ascii="Arial" w:hAnsi="Arial" w:cs="Arial"/>
          <w:sz w:val="24"/>
          <w:szCs w:val="24"/>
        </w:rPr>
        <w:t xml:space="preserve">, </w:t>
      </w:r>
      <w:r w:rsidRPr="007176D5">
        <w:rPr>
          <w:rFonts w:ascii="Arial" w:hAnsi="Arial" w:cs="Arial"/>
          <w:i/>
          <w:iCs/>
          <w:sz w:val="24"/>
          <w:szCs w:val="24"/>
        </w:rPr>
        <w:t>Gesta Guillelmi of William of Poitiers</w:t>
      </w:r>
      <w:r w:rsidRPr="007176D5">
        <w:rPr>
          <w:rFonts w:ascii="Arial" w:hAnsi="Arial" w:cs="Arial"/>
          <w:sz w:val="24"/>
          <w:szCs w:val="24"/>
        </w:rPr>
        <w:t>, trans. and ed. by R. H. C. Davis and Marjorie Chibnall (Oxford: Clarendon Press, 1998</w:t>
      </w:r>
      <w:r w:rsidR="00E26C6A" w:rsidRPr="007176D5">
        <w:rPr>
          <w:rFonts w:ascii="Arial" w:hAnsi="Arial" w:cs="Arial"/>
          <w:sz w:val="24"/>
          <w:szCs w:val="24"/>
        </w:rPr>
        <w:t>)</w:t>
      </w:r>
    </w:p>
    <w:p w14:paraId="565509EF" w14:textId="62943D98" w:rsidR="009B49B3" w:rsidRPr="007176D5" w:rsidRDefault="009B49B3" w:rsidP="003B7A7A">
      <w:pPr>
        <w:spacing w:line="480" w:lineRule="auto"/>
        <w:ind w:firstLine="720"/>
        <w:rPr>
          <w:rFonts w:ascii="Arial" w:hAnsi="Arial" w:cs="Arial"/>
          <w:sz w:val="24"/>
          <w:szCs w:val="24"/>
        </w:rPr>
      </w:pPr>
      <w:r w:rsidRPr="007176D5">
        <w:rPr>
          <w:rFonts w:ascii="Arial" w:hAnsi="Arial" w:cs="Arial"/>
          <w:sz w:val="24"/>
          <w:szCs w:val="24"/>
          <w:lang w:val="en-US"/>
        </w:rPr>
        <w:t xml:space="preserve">Vitalis, </w:t>
      </w:r>
      <w:r w:rsidR="00B73DE4" w:rsidRPr="007176D5">
        <w:rPr>
          <w:rFonts w:ascii="Arial" w:hAnsi="Arial" w:cs="Arial"/>
          <w:sz w:val="24"/>
          <w:szCs w:val="24"/>
          <w:lang w:val="en-US"/>
        </w:rPr>
        <w:t>Orderic</w:t>
      </w:r>
      <w:r w:rsidR="00B73DE4">
        <w:rPr>
          <w:rFonts w:ascii="Arial" w:hAnsi="Arial" w:cs="Arial"/>
          <w:sz w:val="24"/>
          <w:szCs w:val="24"/>
          <w:lang w:val="en-US"/>
        </w:rPr>
        <w:t>,</w:t>
      </w:r>
      <w:r w:rsidR="00B73DE4" w:rsidRPr="007176D5">
        <w:rPr>
          <w:rFonts w:ascii="Arial" w:hAnsi="Arial" w:cs="Arial"/>
          <w:sz w:val="24"/>
          <w:szCs w:val="24"/>
          <w:lang w:val="en-US"/>
        </w:rPr>
        <w:t xml:space="preserve"> </w:t>
      </w:r>
      <w:r w:rsidRPr="007176D5">
        <w:rPr>
          <w:rFonts w:ascii="Arial" w:hAnsi="Arial" w:cs="Arial"/>
          <w:i/>
          <w:iCs/>
          <w:sz w:val="24"/>
          <w:szCs w:val="24"/>
          <w:lang w:val="en-US"/>
        </w:rPr>
        <w:t>The Ecclesiastical History of Orderic Vitalis: Volume II: Books III and IV</w:t>
      </w:r>
      <w:r w:rsidRPr="007176D5">
        <w:rPr>
          <w:rFonts w:ascii="Arial" w:hAnsi="Arial" w:cs="Arial"/>
          <w:sz w:val="24"/>
          <w:szCs w:val="24"/>
          <w:lang w:val="en-US"/>
        </w:rPr>
        <w:t>, ed. and trans. by Marjorie Chibnall (Oxford: Clarendon Press, 1969)</w:t>
      </w:r>
    </w:p>
    <w:p w14:paraId="28FD9958" w14:textId="16A3D694" w:rsidR="003B7A7A" w:rsidRPr="007176D5" w:rsidRDefault="003B7A7A" w:rsidP="003B7A7A">
      <w:pPr>
        <w:spacing w:line="480" w:lineRule="auto"/>
        <w:rPr>
          <w:rFonts w:ascii="Arial" w:hAnsi="Arial" w:cs="Arial"/>
          <w:b/>
          <w:bCs/>
          <w:sz w:val="24"/>
          <w:szCs w:val="24"/>
        </w:rPr>
      </w:pPr>
      <w:r w:rsidRPr="007176D5">
        <w:rPr>
          <w:rFonts w:ascii="Arial" w:hAnsi="Arial" w:cs="Arial"/>
          <w:b/>
          <w:bCs/>
          <w:sz w:val="24"/>
          <w:szCs w:val="24"/>
        </w:rPr>
        <w:t>Secondary Sources</w:t>
      </w:r>
    </w:p>
    <w:p w14:paraId="1F8FC866" w14:textId="77777777" w:rsidR="00FE16F4" w:rsidRDefault="003B7A7A" w:rsidP="00FE16F4">
      <w:pPr>
        <w:spacing w:line="480" w:lineRule="auto"/>
        <w:rPr>
          <w:rFonts w:ascii="Arial" w:hAnsi="Arial" w:cs="Arial"/>
          <w:sz w:val="24"/>
          <w:szCs w:val="24"/>
        </w:rPr>
      </w:pPr>
      <w:r w:rsidRPr="007176D5">
        <w:rPr>
          <w:rFonts w:ascii="Arial" w:hAnsi="Arial" w:cs="Arial"/>
          <w:sz w:val="24"/>
          <w:szCs w:val="24"/>
        </w:rPr>
        <w:tab/>
      </w:r>
      <w:r w:rsidR="00FE16F4" w:rsidRPr="007176D5">
        <w:rPr>
          <w:rFonts w:ascii="Arial" w:hAnsi="Arial" w:cs="Arial"/>
          <w:sz w:val="24"/>
          <w:szCs w:val="24"/>
          <w:lang w:val="en-US"/>
        </w:rPr>
        <w:t>Bolton</w:t>
      </w:r>
      <w:r w:rsidR="00FE16F4">
        <w:rPr>
          <w:rFonts w:ascii="Arial" w:hAnsi="Arial" w:cs="Arial"/>
          <w:sz w:val="24"/>
          <w:szCs w:val="24"/>
          <w:lang w:val="en-US"/>
        </w:rPr>
        <w:t>,</w:t>
      </w:r>
      <w:r w:rsidR="00FE16F4" w:rsidRPr="007176D5">
        <w:rPr>
          <w:rFonts w:ascii="Arial" w:hAnsi="Arial" w:cs="Arial"/>
          <w:sz w:val="24"/>
          <w:szCs w:val="24"/>
          <w:lang w:val="en-US"/>
        </w:rPr>
        <w:t xml:space="preserve"> Brenda, ‘Chapter 6: Too Important to Neglect: The Gesta Innocentii PP III’ in </w:t>
      </w:r>
      <w:r w:rsidR="00FE16F4" w:rsidRPr="007176D5">
        <w:rPr>
          <w:rFonts w:ascii="Arial" w:hAnsi="Arial" w:cs="Arial"/>
          <w:i/>
          <w:iCs/>
          <w:sz w:val="24"/>
          <w:szCs w:val="24"/>
          <w:lang w:val="en-US"/>
        </w:rPr>
        <w:t>Church and Chronicle in the Middle Ages: Essays Presented to John Taylor</w:t>
      </w:r>
      <w:r w:rsidR="00FE16F4" w:rsidRPr="007176D5">
        <w:rPr>
          <w:rFonts w:ascii="Arial" w:hAnsi="Arial" w:cs="Arial"/>
          <w:sz w:val="24"/>
          <w:szCs w:val="24"/>
          <w:lang w:val="en-US"/>
        </w:rPr>
        <w:t>, ed. by Ian Wood and G.A Loud (London: The Hambledon Press, 1991), pp. 87-100</w:t>
      </w:r>
    </w:p>
    <w:p w14:paraId="53FFE8F4" w14:textId="7F7DFE40" w:rsidR="00FE16F4" w:rsidRPr="007176D5" w:rsidRDefault="00FE16F4" w:rsidP="00FE16F4">
      <w:pPr>
        <w:spacing w:line="480" w:lineRule="auto"/>
        <w:ind w:firstLine="720"/>
        <w:rPr>
          <w:rFonts w:ascii="Arial" w:hAnsi="Arial" w:cs="Arial"/>
          <w:sz w:val="24"/>
          <w:szCs w:val="24"/>
        </w:rPr>
      </w:pPr>
      <w:r w:rsidRPr="007176D5">
        <w:rPr>
          <w:rFonts w:ascii="Arial" w:hAnsi="Arial" w:cs="Arial"/>
          <w:sz w:val="24"/>
          <w:szCs w:val="24"/>
        </w:rPr>
        <w:t>Chibnall, Marjorie</w:t>
      </w:r>
      <w:r>
        <w:rPr>
          <w:rFonts w:ascii="Arial" w:hAnsi="Arial" w:cs="Arial"/>
          <w:sz w:val="24"/>
          <w:szCs w:val="24"/>
        </w:rPr>
        <w:t>,</w:t>
      </w:r>
      <w:r w:rsidRPr="007176D5">
        <w:rPr>
          <w:rFonts w:ascii="Arial" w:hAnsi="Arial" w:cs="Arial"/>
          <w:sz w:val="24"/>
          <w:szCs w:val="24"/>
        </w:rPr>
        <w:t xml:space="preserve"> </w:t>
      </w:r>
      <w:r w:rsidRPr="007176D5">
        <w:rPr>
          <w:rFonts w:ascii="Arial" w:hAnsi="Arial" w:cs="Arial"/>
          <w:i/>
          <w:iCs/>
          <w:sz w:val="24"/>
          <w:szCs w:val="24"/>
        </w:rPr>
        <w:t>The World of Orderic Vitalis</w:t>
      </w:r>
      <w:r w:rsidRPr="007176D5">
        <w:rPr>
          <w:rFonts w:ascii="Arial" w:hAnsi="Arial" w:cs="Arial"/>
          <w:sz w:val="24"/>
          <w:szCs w:val="24"/>
        </w:rPr>
        <w:t xml:space="preserve"> (Oxford: Clarendon Press, 1984)</w:t>
      </w:r>
    </w:p>
    <w:p w14:paraId="135DFBAA" w14:textId="77777777" w:rsidR="00FE16F4" w:rsidRPr="007176D5" w:rsidRDefault="00FE16F4" w:rsidP="00FE16F4">
      <w:pPr>
        <w:spacing w:line="480" w:lineRule="auto"/>
        <w:ind w:firstLine="720"/>
        <w:rPr>
          <w:rFonts w:ascii="Arial" w:hAnsi="Arial" w:cs="Arial"/>
          <w:sz w:val="24"/>
          <w:szCs w:val="24"/>
          <w:lang w:val="en-US"/>
        </w:rPr>
      </w:pPr>
      <w:r w:rsidRPr="007176D5">
        <w:rPr>
          <w:rFonts w:ascii="Arial" w:hAnsi="Arial" w:cs="Arial"/>
          <w:sz w:val="24"/>
          <w:szCs w:val="24"/>
        </w:rPr>
        <w:t>Curtius</w:t>
      </w:r>
      <w:r>
        <w:rPr>
          <w:rFonts w:ascii="Arial" w:hAnsi="Arial" w:cs="Arial"/>
          <w:sz w:val="24"/>
          <w:szCs w:val="24"/>
        </w:rPr>
        <w:t>,</w:t>
      </w:r>
      <w:r w:rsidRPr="00382AEC">
        <w:rPr>
          <w:rFonts w:ascii="Arial" w:hAnsi="Arial" w:cs="Arial"/>
          <w:sz w:val="24"/>
          <w:szCs w:val="24"/>
        </w:rPr>
        <w:t xml:space="preserve"> </w:t>
      </w:r>
      <w:r w:rsidRPr="007176D5">
        <w:rPr>
          <w:rFonts w:ascii="Arial" w:hAnsi="Arial" w:cs="Arial"/>
          <w:sz w:val="24"/>
          <w:szCs w:val="24"/>
        </w:rPr>
        <w:t xml:space="preserve">Ernst Robert, ‘Poetry and Rhetoric’, in </w:t>
      </w:r>
      <w:r w:rsidRPr="007176D5">
        <w:rPr>
          <w:rFonts w:ascii="Arial" w:hAnsi="Arial" w:cs="Arial"/>
          <w:i/>
          <w:iCs/>
          <w:sz w:val="24"/>
          <w:szCs w:val="24"/>
          <w:lang w:val="en-US"/>
        </w:rPr>
        <w:t>Landmark Essays on Rhetoric and Literature</w:t>
      </w:r>
      <w:r w:rsidRPr="007176D5">
        <w:rPr>
          <w:rFonts w:ascii="Arial" w:hAnsi="Arial" w:cs="Arial"/>
          <w:sz w:val="24"/>
          <w:szCs w:val="24"/>
          <w:lang w:val="en-US"/>
        </w:rPr>
        <w:t>, ed. by Craig Kallendorf (New Jersey: Hermagoras Press, 1999), pp. 41-61</w:t>
      </w:r>
    </w:p>
    <w:p w14:paraId="266BA144" w14:textId="39FC3185" w:rsidR="003B7A7A" w:rsidRPr="007176D5" w:rsidRDefault="002A4102" w:rsidP="00FE16F4">
      <w:pPr>
        <w:spacing w:line="480" w:lineRule="auto"/>
        <w:ind w:firstLine="720"/>
        <w:rPr>
          <w:rFonts w:ascii="Arial" w:hAnsi="Arial" w:cs="Arial"/>
          <w:sz w:val="24"/>
          <w:szCs w:val="24"/>
        </w:rPr>
      </w:pPr>
      <w:r w:rsidRPr="007176D5">
        <w:rPr>
          <w:rFonts w:ascii="Arial" w:hAnsi="Arial" w:cs="Arial"/>
          <w:sz w:val="24"/>
          <w:szCs w:val="24"/>
        </w:rPr>
        <w:t>Davis</w:t>
      </w:r>
      <w:r w:rsidR="00382AEC">
        <w:rPr>
          <w:rFonts w:ascii="Arial" w:hAnsi="Arial" w:cs="Arial"/>
          <w:sz w:val="24"/>
          <w:szCs w:val="24"/>
        </w:rPr>
        <w:t>,</w:t>
      </w:r>
      <w:r w:rsidR="00382AEC" w:rsidRPr="00382AEC">
        <w:rPr>
          <w:rFonts w:ascii="Arial" w:hAnsi="Arial" w:cs="Arial"/>
          <w:sz w:val="24"/>
          <w:szCs w:val="24"/>
        </w:rPr>
        <w:t xml:space="preserve"> </w:t>
      </w:r>
      <w:r w:rsidR="00382AEC" w:rsidRPr="007176D5">
        <w:rPr>
          <w:rFonts w:ascii="Arial" w:hAnsi="Arial" w:cs="Arial"/>
          <w:sz w:val="24"/>
          <w:szCs w:val="24"/>
        </w:rPr>
        <w:t>R. H. C.</w:t>
      </w:r>
      <w:r w:rsidRPr="007176D5">
        <w:rPr>
          <w:rFonts w:ascii="Arial" w:hAnsi="Arial" w:cs="Arial"/>
          <w:sz w:val="24"/>
          <w:szCs w:val="24"/>
        </w:rPr>
        <w:t xml:space="preserve">, ‘William of Poitiers and His History of William the Conqueror’, in </w:t>
      </w:r>
      <w:r w:rsidRPr="007176D5">
        <w:rPr>
          <w:rFonts w:ascii="Arial" w:hAnsi="Arial" w:cs="Arial"/>
          <w:i/>
          <w:iCs/>
          <w:sz w:val="24"/>
          <w:szCs w:val="24"/>
        </w:rPr>
        <w:t>The Writing of History in the Middle Ages: Essays Presented to Richard William Southern</w:t>
      </w:r>
      <w:r w:rsidRPr="007176D5">
        <w:rPr>
          <w:rFonts w:ascii="Arial" w:hAnsi="Arial" w:cs="Arial"/>
          <w:sz w:val="24"/>
          <w:szCs w:val="24"/>
        </w:rPr>
        <w:t xml:space="preserve">, ed. </w:t>
      </w:r>
      <w:r w:rsidR="009B49B3" w:rsidRPr="007176D5">
        <w:rPr>
          <w:rFonts w:ascii="Arial" w:hAnsi="Arial" w:cs="Arial"/>
          <w:sz w:val="24"/>
          <w:szCs w:val="24"/>
        </w:rPr>
        <w:t>b</w:t>
      </w:r>
      <w:r w:rsidRPr="007176D5">
        <w:rPr>
          <w:rFonts w:ascii="Arial" w:hAnsi="Arial" w:cs="Arial"/>
          <w:sz w:val="24"/>
          <w:szCs w:val="24"/>
        </w:rPr>
        <w:t>y R. H. C. Davis and J. M. Wallace-Hadrill (Oxford: Clarendon Press, 1981), pp. 71-100</w:t>
      </w:r>
    </w:p>
    <w:p w14:paraId="2FEBEC98" w14:textId="7141761A" w:rsidR="002C3FF0" w:rsidRPr="007176D5" w:rsidRDefault="002C3FF0" w:rsidP="00E26C6A">
      <w:pPr>
        <w:spacing w:line="480" w:lineRule="auto"/>
        <w:ind w:firstLine="720"/>
        <w:rPr>
          <w:rFonts w:ascii="Arial" w:hAnsi="Arial" w:cs="Arial"/>
          <w:sz w:val="24"/>
          <w:szCs w:val="24"/>
        </w:rPr>
      </w:pPr>
      <w:r w:rsidRPr="007176D5">
        <w:rPr>
          <w:rFonts w:ascii="Arial" w:hAnsi="Arial" w:cs="Arial"/>
          <w:sz w:val="24"/>
          <w:szCs w:val="24"/>
        </w:rPr>
        <w:t>Gillingham</w:t>
      </w:r>
      <w:r w:rsidR="00382AEC">
        <w:rPr>
          <w:rFonts w:ascii="Arial" w:hAnsi="Arial" w:cs="Arial"/>
          <w:sz w:val="24"/>
          <w:szCs w:val="24"/>
        </w:rPr>
        <w:t>,</w:t>
      </w:r>
      <w:r w:rsidR="00382AEC" w:rsidRPr="00382AEC">
        <w:rPr>
          <w:rFonts w:ascii="Arial" w:hAnsi="Arial" w:cs="Arial"/>
          <w:sz w:val="24"/>
          <w:szCs w:val="24"/>
        </w:rPr>
        <w:t xml:space="preserve"> </w:t>
      </w:r>
      <w:r w:rsidR="00382AEC" w:rsidRPr="007176D5">
        <w:rPr>
          <w:rFonts w:ascii="Arial" w:hAnsi="Arial" w:cs="Arial"/>
          <w:sz w:val="24"/>
          <w:szCs w:val="24"/>
        </w:rPr>
        <w:t>John</w:t>
      </w:r>
      <w:r w:rsidRPr="007176D5">
        <w:rPr>
          <w:rFonts w:ascii="Arial" w:hAnsi="Arial" w:cs="Arial"/>
          <w:sz w:val="24"/>
          <w:szCs w:val="24"/>
        </w:rPr>
        <w:t xml:space="preserve">, ‘William The Bastard At War’ in </w:t>
      </w:r>
      <w:r w:rsidRPr="007176D5">
        <w:rPr>
          <w:rFonts w:ascii="Arial" w:hAnsi="Arial" w:cs="Arial"/>
          <w:i/>
          <w:iCs/>
          <w:sz w:val="24"/>
          <w:szCs w:val="24"/>
        </w:rPr>
        <w:t>Studies in Medieval History Presented To R. Allen Brown</w:t>
      </w:r>
      <w:r w:rsidRPr="007176D5">
        <w:rPr>
          <w:rFonts w:ascii="Arial" w:hAnsi="Arial" w:cs="Arial"/>
          <w:sz w:val="24"/>
          <w:szCs w:val="24"/>
        </w:rPr>
        <w:t>, ed. by R. Allen Brown and others (New Hampshire: Boydell Press, 1989), pp. 141-158</w:t>
      </w:r>
    </w:p>
    <w:sectPr w:rsidR="002C3FF0" w:rsidRPr="007176D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6B7A9" w14:textId="77777777" w:rsidR="00865919" w:rsidRDefault="00865919" w:rsidP="00F05B2B">
      <w:pPr>
        <w:spacing w:after="0" w:line="240" w:lineRule="auto"/>
      </w:pPr>
      <w:r>
        <w:separator/>
      </w:r>
    </w:p>
  </w:endnote>
  <w:endnote w:type="continuationSeparator" w:id="0">
    <w:p w14:paraId="36B9B567" w14:textId="77777777" w:rsidR="00865919" w:rsidRDefault="00865919" w:rsidP="00F05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9218844"/>
      <w:docPartObj>
        <w:docPartGallery w:val="Page Numbers (Bottom of Page)"/>
        <w:docPartUnique/>
      </w:docPartObj>
    </w:sdtPr>
    <w:sdtEndPr>
      <w:rPr>
        <w:noProof/>
      </w:rPr>
    </w:sdtEndPr>
    <w:sdtContent>
      <w:p w14:paraId="16F95D62" w14:textId="58F46345" w:rsidR="00681462" w:rsidRDefault="006814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8D95AD" w14:textId="77777777" w:rsidR="00681462" w:rsidRDefault="00681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DC853" w14:textId="77777777" w:rsidR="00865919" w:rsidRDefault="00865919" w:rsidP="00F05B2B">
      <w:pPr>
        <w:spacing w:after="0" w:line="240" w:lineRule="auto"/>
      </w:pPr>
      <w:r>
        <w:separator/>
      </w:r>
    </w:p>
  </w:footnote>
  <w:footnote w:type="continuationSeparator" w:id="0">
    <w:p w14:paraId="15420D87" w14:textId="77777777" w:rsidR="00865919" w:rsidRDefault="00865919" w:rsidP="00F05B2B">
      <w:pPr>
        <w:spacing w:after="0" w:line="240" w:lineRule="auto"/>
      </w:pPr>
      <w:r>
        <w:continuationSeparator/>
      </w:r>
    </w:p>
  </w:footnote>
  <w:footnote w:id="1">
    <w:p w14:paraId="456DE061" w14:textId="024059CB" w:rsidR="00100745" w:rsidRPr="00100745" w:rsidRDefault="00100745">
      <w:pPr>
        <w:pStyle w:val="FootnoteText"/>
      </w:pPr>
      <w:r>
        <w:rPr>
          <w:rStyle w:val="FootnoteReference"/>
        </w:rPr>
        <w:footnoteRef/>
      </w:r>
      <w:r>
        <w:t xml:space="preserve"> William of Poitiers, </w:t>
      </w:r>
      <w:r w:rsidRPr="00AA2EC4">
        <w:rPr>
          <w:i/>
          <w:iCs/>
        </w:rPr>
        <w:t>Gesta Guillelmi of William of Poitiers</w:t>
      </w:r>
      <w:r>
        <w:t>, trans. and ed. by R. H. C. Davis and Marjorie Chibnall (Oxford: Clarendon Press, 1998), p. 101 – 103.</w:t>
      </w:r>
    </w:p>
  </w:footnote>
  <w:footnote w:id="2">
    <w:p w14:paraId="703EAED9" w14:textId="4415D76C" w:rsidR="00F05B2B" w:rsidRDefault="00F05B2B">
      <w:pPr>
        <w:pStyle w:val="FootnoteText"/>
      </w:pPr>
      <w:r>
        <w:rPr>
          <w:rStyle w:val="FootnoteReference"/>
        </w:rPr>
        <w:footnoteRef/>
      </w:r>
      <w:r>
        <w:t xml:space="preserve"> </w:t>
      </w:r>
      <w:r w:rsidR="00AA2EC4">
        <w:t>Poitiers</w:t>
      </w:r>
      <w:r w:rsidR="00236D48">
        <w:t>, p. 101 – 103.</w:t>
      </w:r>
    </w:p>
  </w:footnote>
  <w:footnote w:id="3">
    <w:p w14:paraId="3B8B6B83" w14:textId="1595FDA3" w:rsidR="00BF4365" w:rsidRPr="00F90E13" w:rsidRDefault="00BF4365">
      <w:pPr>
        <w:pStyle w:val="FootnoteText"/>
      </w:pPr>
      <w:r>
        <w:rPr>
          <w:rStyle w:val="FootnoteReference"/>
        </w:rPr>
        <w:footnoteRef/>
      </w:r>
      <w:r>
        <w:t xml:space="preserve"> </w:t>
      </w:r>
      <w:r w:rsidR="00F914DC">
        <w:t>R. H. C. Davis, ‘</w:t>
      </w:r>
      <w:r w:rsidR="00985743">
        <w:t xml:space="preserve">William of Poitiers and </w:t>
      </w:r>
      <w:r w:rsidR="00F914DC">
        <w:t>H</w:t>
      </w:r>
      <w:r w:rsidR="00985743">
        <w:t>is History of William the Conqueror</w:t>
      </w:r>
      <w:r w:rsidR="00F914DC">
        <w:t>’</w:t>
      </w:r>
      <w:r w:rsidR="004E27AC">
        <w:t>, in</w:t>
      </w:r>
      <w:r w:rsidR="00985743">
        <w:t xml:space="preserve"> </w:t>
      </w:r>
      <w:r w:rsidR="004E27AC" w:rsidRPr="004E27AC">
        <w:rPr>
          <w:i/>
          <w:iCs/>
        </w:rPr>
        <w:t>The Writing of History in the Middle Ages: Essays Presented to Richard William Southern</w:t>
      </w:r>
      <w:r w:rsidR="004E27AC">
        <w:t xml:space="preserve">, </w:t>
      </w:r>
      <w:r w:rsidR="00C000FF">
        <w:t xml:space="preserve">ed. </w:t>
      </w:r>
      <w:r w:rsidR="0081179A">
        <w:t>b</w:t>
      </w:r>
      <w:r w:rsidR="00C000FF">
        <w:t>y R. H. C. Davis and J. M. Wallace-Hadrill (Oxford: Clarendon Press, 1981)</w:t>
      </w:r>
      <w:r w:rsidR="001F37EE">
        <w:t>, pp.</w:t>
      </w:r>
      <w:r w:rsidR="00985743">
        <w:t xml:space="preserve"> 71-100 </w:t>
      </w:r>
      <w:r w:rsidR="001F37EE">
        <w:t>(</w:t>
      </w:r>
      <w:r w:rsidR="00985743">
        <w:t>p. 74</w:t>
      </w:r>
      <w:r w:rsidR="001F37EE">
        <w:t>).</w:t>
      </w:r>
    </w:p>
  </w:footnote>
  <w:footnote w:id="4">
    <w:p w14:paraId="4EC8D201" w14:textId="5D0F4421" w:rsidR="00DB7A4C" w:rsidRPr="00DB7A4C" w:rsidRDefault="00DB7A4C">
      <w:pPr>
        <w:pStyle w:val="FootnoteText"/>
        <w:rPr>
          <w:lang w:val="en-US"/>
        </w:rPr>
      </w:pPr>
      <w:r>
        <w:rPr>
          <w:rStyle w:val="FootnoteReference"/>
        </w:rPr>
        <w:footnoteRef/>
      </w:r>
      <w:r>
        <w:t xml:space="preserve"> </w:t>
      </w:r>
      <w:r w:rsidR="006E787F">
        <w:t>Ernst Robert Curtius, ‘</w:t>
      </w:r>
      <w:r w:rsidR="00DE644E">
        <w:t>Poetry and Rhetoric</w:t>
      </w:r>
      <w:r w:rsidR="006E787F">
        <w:t xml:space="preserve">’, </w:t>
      </w:r>
      <w:r w:rsidR="00DE644E">
        <w:t xml:space="preserve">in </w:t>
      </w:r>
      <w:r w:rsidRPr="006E787F">
        <w:rPr>
          <w:i/>
          <w:iCs/>
          <w:lang w:val="en-US"/>
        </w:rPr>
        <w:t>Landmark Essays on Rhetoric and Literature</w:t>
      </w:r>
      <w:r w:rsidR="006E787F">
        <w:rPr>
          <w:lang w:val="en-US"/>
        </w:rPr>
        <w:t xml:space="preserve">, ed. </w:t>
      </w:r>
      <w:r>
        <w:rPr>
          <w:lang w:val="en-US"/>
        </w:rPr>
        <w:t>by Craig Kallendorf</w:t>
      </w:r>
      <w:r w:rsidR="00E26C6A">
        <w:rPr>
          <w:lang w:val="en-US"/>
        </w:rPr>
        <w:t xml:space="preserve"> (New Jersey: Hermagoras Press, 1999),</w:t>
      </w:r>
      <w:r w:rsidR="00DE644E">
        <w:rPr>
          <w:lang w:val="en-US"/>
        </w:rPr>
        <w:t xml:space="preserve"> pp. 41-61 </w:t>
      </w:r>
      <w:r w:rsidR="00E26C6A">
        <w:rPr>
          <w:lang w:val="en-US"/>
        </w:rPr>
        <w:t>(p. 49).</w:t>
      </w:r>
    </w:p>
  </w:footnote>
  <w:footnote w:id="5">
    <w:p w14:paraId="65EAFA90" w14:textId="17AAB855" w:rsidR="001D3FEA" w:rsidRPr="001D3FEA" w:rsidRDefault="001D3FEA">
      <w:pPr>
        <w:pStyle w:val="FootnoteText"/>
        <w:rPr>
          <w:lang w:val="en-US"/>
        </w:rPr>
      </w:pPr>
      <w:r>
        <w:rPr>
          <w:rStyle w:val="FootnoteReference"/>
        </w:rPr>
        <w:footnoteRef/>
      </w:r>
      <w:r>
        <w:t xml:space="preserve"> Poitiers, p. 102.</w:t>
      </w:r>
    </w:p>
  </w:footnote>
  <w:footnote w:id="6">
    <w:p w14:paraId="6C682422" w14:textId="26DFA9BA" w:rsidR="00F90E13" w:rsidRPr="00F90E13" w:rsidRDefault="00F90E13">
      <w:pPr>
        <w:pStyle w:val="FootnoteText"/>
        <w:rPr>
          <w:lang w:val="en-US"/>
        </w:rPr>
      </w:pPr>
      <w:r>
        <w:rPr>
          <w:rStyle w:val="FootnoteReference"/>
        </w:rPr>
        <w:footnoteRef/>
      </w:r>
      <w:r>
        <w:t xml:space="preserve"> </w:t>
      </w:r>
      <w:r>
        <w:rPr>
          <w:lang w:val="en-US"/>
        </w:rPr>
        <w:t>Poitiers, p. 101.</w:t>
      </w:r>
    </w:p>
  </w:footnote>
  <w:footnote w:id="7">
    <w:p w14:paraId="454F71F0" w14:textId="6D7F1EB5" w:rsidR="008F6378" w:rsidRPr="008F6378" w:rsidRDefault="008F6378">
      <w:pPr>
        <w:pStyle w:val="FootnoteText"/>
        <w:rPr>
          <w:lang w:val="en-US"/>
        </w:rPr>
      </w:pPr>
      <w:r>
        <w:rPr>
          <w:rStyle w:val="FootnoteReference"/>
        </w:rPr>
        <w:footnoteRef/>
      </w:r>
      <w:r>
        <w:t xml:space="preserve"> </w:t>
      </w:r>
      <w:r>
        <w:rPr>
          <w:lang w:val="en-US"/>
        </w:rPr>
        <w:t>Poitiers, p. 101.</w:t>
      </w:r>
    </w:p>
  </w:footnote>
  <w:footnote w:id="8">
    <w:p w14:paraId="77E9FC44" w14:textId="528345A7" w:rsidR="000B2F05" w:rsidRPr="00D07978" w:rsidRDefault="000B2F05" w:rsidP="000B2F05">
      <w:pPr>
        <w:pStyle w:val="FootnoteText"/>
        <w:rPr>
          <w:lang w:val="en-US"/>
        </w:rPr>
      </w:pPr>
      <w:r>
        <w:rPr>
          <w:rStyle w:val="FootnoteReference"/>
        </w:rPr>
        <w:footnoteRef/>
      </w:r>
      <w:r>
        <w:t xml:space="preserve"> </w:t>
      </w:r>
      <w:r>
        <w:rPr>
          <w:lang w:val="en-US"/>
        </w:rPr>
        <w:t xml:space="preserve">Orderic </w:t>
      </w:r>
      <w:r w:rsidR="0081179A">
        <w:rPr>
          <w:lang w:val="en-US"/>
        </w:rPr>
        <w:t>V</w:t>
      </w:r>
      <w:r>
        <w:rPr>
          <w:lang w:val="en-US"/>
        </w:rPr>
        <w:t xml:space="preserve">italis, </w:t>
      </w:r>
      <w:r w:rsidR="0081179A" w:rsidRPr="0081179A">
        <w:rPr>
          <w:i/>
          <w:iCs/>
          <w:lang w:val="en-US"/>
        </w:rPr>
        <w:t>The Ecclesiastical History of Orderic Vitalis: Volume II: Books III and IV</w:t>
      </w:r>
      <w:r w:rsidR="0081179A">
        <w:rPr>
          <w:lang w:val="en-US"/>
        </w:rPr>
        <w:t>, ed. and trans. by Marjorie Chibnall</w:t>
      </w:r>
      <w:r w:rsidR="006762BA">
        <w:rPr>
          <w:lang w:val="en-US"/>
        </w:rPr>
        <w:t xml:space="preserve"> (Oxford: Clarendon Press, 1969),</w:t>
      </w:r>
      <w:r w:rsidR="0081179A">
        <w:rPr>
          <w:lang w:val="en-US"/>
        </w:rPr>
        <w:t xml:space="preserve"> </w:t>
      </w:r>
      <w:r w:rsidR="006762BA">
        <w:rPr>
          <w:lang w:val="en-US"/>
        </w:rPr>
        <w:t>p. 259</w:t>
      </w:r>
      <w:r w:rsidR="0081179A">
        <w:rPr>
          <w:lang w:val="en-US"/>
        </w:rPr>
        <w:t>.</w:t>
      </w:r>
    </w:p>
  </w:footnote>
  <w:footnote w:id="9">
    <w:p w14:paraId="2F94074D" w14:textId="2192F54B" w:rsidR="00ED4829" w:rsidRPr="00F172C3" w:rsidRDefault="00ED4829" w:rsidP="00F172C3">
      <w:pPr>
        <w:pStyle w:val="FootnoteText"/>
        <w:rPr>
          <w:lang w:val="en-US"/>
        </w:rPr>
      </w:pPr>
      <w:r>
        <w:rPr>
          <w:rStyle w:val="FootnoteReference"/>
        </w:rPr>
        <w:footnoteRef/>
      </w:r>
      <w:r>
        <w:t xml:space="preserve"> </w:t>
      </w:r>
      <w:r w:rsidR="00F172C3" w:rsidRPr="00306340">
        <w:t>John Gillingham</w:t>
      </w:r>
      <w:r w:rsidR="00F172C3">
        <w:t>, ‘</w:t>
      </w:r>
      <w:r w:rsidR="00F172C3" w:rsidRPr="00306340">
        <w:t>William The Bastard At War</w:t>
      </w:r>
      <w:r w:rsidR="00F172C3">
        <w:t>’</w:t>
      </w:r>
      <w:r w:rsidR="00F172C3" w:rsidRPr="00306340">
        <w:t xml:space="preserve"> in </w:t>
      </w:r>
      <w:r w:rsidR="00F172C3" w:rsidRPr="00306340">
        <w:rPr>
          <w:i/>
          <w:iCs/>
        </w:rPr>
        <w:t>Studies in Medieval History Presented To R. Allen Brown</w:t>
      </w:r>
      <w:r w:rsidR="00F172C3">
        <w:t>, ed. by</w:t>
      </w:r>
      <w:r w:rsidR="00F172C3" w:rsidRPr="00306340">
        <w:t xml:space="preserve"> R. Allen Brown</w:t>
      </w:r>
      <w:r w:rsidR="00F172C3">
        <w:t xml:space="preserve"> and others</w:t>
      </w:r>
      <w:r w:rsidR="00F172C3" w:rsidRPr="00306340">
        <w:t xml:space="preserve"> </w:t>
      </w:r>
      <w:r w:rsidR="00F172C3">
        <w:t xml:space="preserve">(New Hampshire: </w:t>
      </w:r>
      <w:r w:rsidR="00F172C3" w:rsidRPr="00306340">
        <w:t>Boydell Press, 1989</w:t>
      </w:r>
      <w:r w:rsidR="00F172C3">
        <w:t xml:space="preserve">), pp. </w:t>
      </w:r>
      <w:r w:rsidR="00F172C3" w:rsidRPr="00306340">
        <w:t xml:space="preserve">141-158 </w:t>
      </w:r>
      <w:r w:rsidR="00F172C3">
        <w:t xml:space="preserve">(p. </w:t>
      </w:r>
      <w:r w:rsidR="00F172C3" w:rsidRPr="00306340">
        <w:t>14</w:t>
      </w:r>
      <w:r w:rsidR="00F172C3">
        <w:t>1</w:t>
      </w:r>
      <w:r w:rsidR="00F172C3">
        <w:t>).</w:t>
      </w:r>
    </w:p>
  </w:footnote>
  <w:footnote w:id="10">
    <w:p w14:paraId="3A8D66E2" w14:textId="66D87744" w:rsidR="003036E1" w:rsidRPr="003036E1" w:rsidRDefault="003036E1">
      <w:pPr>
        <w:pStyle w:val="FootnoteText"/>
        <w:rPr>
          <w:lang w:val="en-US"/>
        </w:rPr>
      </w:pPr>
      <w:r>
        <w:rPr>
          <w:rStyle w:val="FootnoteReference"/>
        </w:rPr>
        <w:footnoteRef/>
      </w:r>
      <w:r>
        <w:t xml:space="preserve"> </w:t>
      </w:r>
      <w:r>
        <w:rPr>
          <w:lang w:val="en-US"/>
        </w:rPr>
        <w:t>Vitalis</w:t>
      </w:r>
      <w:r w:rsidR="00093D32">
        <w:rPr>
          <w:lang w:val="en-US"/>
        </w:rPr>
        <w:t xml:space="preserve">, p. </w:t>
      </w:r>
      <w:r>
        <w:rPr>
          <w:lang w:val="en-US"/>
        </w:rPr>
        <w:t>185.</w:t>
      </w:r>
    </w:p>
  </w:footnote>
  <w:footnote w:id="11">
    <w:p w14:paraId="1154E5B8" w14:textId="403BDCC2" w:rsidR="00834C08" w:rsidRPr="00834C08" w:rsidRDefault="00834C08">
      <w:pPr>
        <w:pStyle w:val="FootnoteText"/>
        <w:rPr>
          <w:lang w:val="en-US"/>
        </w:rPr>
      </w:pPr>
      <w:r>
        <w:rPr>
          <w:rStyle w:val="FootnoteReference"/>
        </w:rPr>
        <w:footnoteRef/>
      </w:r>
      <w:r>
        <w:t xml:space="preserve"> </w:t>
      </w:r>
      <w:r w:rsidR="00306340" w:rsidRPr="00306340">
        <w:t>Gillingham</w:t>
      </w:r>
      <w:r w:rsidR="00306340">
        <w:t xml:space="preserve">, </w:t>
      </w:r>
      <w:r w:rsidR="002C3FF0">
        <w:t xml:space="preserve">p. </w:t>
      </w:r>
      <w:r w:rsidR="002C3FF0" w:rsidRPr="00306340">
        <w:t>142</w:t>
      </w:r>
      <w:r w:rsidR="002C3FF0">
        <w:t>.</w:t>
      </w:r>
    </w:p>
  </w:footnote>
  <w:footnote w:id="12">
    <w:p w14:paraId="45DE00FC" w14:textId="1F682BAD" w:rsidR="00BD166D" w:rsidRPr="00BD166D" w:rsidRDefault="00BD166D">
      <w:pPr>
        <w:pStyle w:val="FootnoteText"/>
        <w:rPr>
          <w:lang w:val="en-US"/>
        </w:rPr>
      </w:pPr>
      <w:r>
        <w:rPr>
          <w:rStyle w:val="FootnoteReference"/>
        </w:rPr>
        <w:footnoteRef/>
      </w:r>
      <w:r>
        <w:t xml:space="preserve"> </w:t>
      </w:r>
      <w:r w:rsidR="00194207">
        <w:rPr>
          <w:lang w:val="en-US"/>
        </w:rPr>
        <w:t>Brenda Bolton, ‘</w:t>
      </w:r>
      <w:r>
        <w:rPr>
          <w:lang w:val="en-US"/>
        </w:rPr>
        <w:t>Chapter 6: Too Important to Neglect: The Gesta Innocentii PP III</w:t>
      </w:r>
      <w:r w:rsidR="00194207">
        <w:rPr>
          <w:lang w:val="en-US"/>
        </w:rPr>
        <w:t xml:space="preserve">’ in </w:t>
      </w:r>
      <w:r w:rsidR="00194207" w:rsidRPr="00194207">
        <w:rPr>
          <w:i/>
          <w:iCs/>
          <w:lang w:val="en-US"/>
        </w:rPr>
        <w:t>Church and Chronicle in the Middle Ages: Essays Presented to John Taylor</w:t>
      </w:r>
      <w:r w:rsidR="00194207">
        <w:rPr>
          <w:lang w:val="en-US"/>
        </w:rPr>
        <w:t>, ed. by Ian Wood and G.A Loud (London: The Hambledon Press, 1991)</w:t>
      </w:r>
      <w:r w:rsidR="006E1B7C">
        <w:rPr>
          <w:lang w:val="en-US"/>
        </w:rPr>
        <w:t xml:space="preserve">, </w:t>
      </w:r>
      <w:r>
        <w:rPr>
          <w:lang w:val="en-US"/>
        </w:rPr>
        <w:t>pp</w:t>
      </w:r>
      <w:r w:rsidR="006E1B7C">
        <w:rPr>
          <w:lang w:val="en-US"/>
        </w:rPr>
        <w:t>.</w:t>
      </w:r>
      <w:r>
        <w:rPr>
          <w:lang w:val="en-US"/>
        </w:rPr>
        <w:t xml:space="preserve"> 87-100 </w:t>
      </w:r>
      <w:r w:rsidR="006E1B7C">
        <w:rPr>
          <w:lang w:val="en-US"/>
        </w:rPr>
        <w:t>(</w:t>
      </w:r>
      <w:r>
        <w:rPr>
          <w:lang w:val="en-US"/>
        </w:rPr>
        <w:t>p</w:t>
      </w:r>
      <w:r w:rsidR="006E1B7C">
        <w:rPr>
          <w:lang w:val="en-US"/>
        </w:rPr>
        <w:t xml:space="preserve">. </w:t>
      </w:r>
      <w:r>
        <w:rPr>
          <w:lang w:val="en-US"/>
        </w:rPr>
        <w:t>87</w:t>
      </w:r>
      <w:r w:rsidR="006E1B7C">
        <w:rPr>
          <w:lang w:val="en-US"/>
        </w:rPr>
        <w:t>).</w:t>
      </w:r>
      <w:r>
        <w:rPr>
          <w:lang w:val="en-US"/>
        </w:rPr>
        <w:t xml:space="preserve"> </w:t>
      </w:r>
    </w:p>
  </w:footnote>
  <w:footnote w:id="13">
    <w:p w14:paraId="6EE1E2DD" w14:textId="3EC44BBA" w:rsidR="00141C15" w:rsidRPr="00141C15" w:rsidRDefault="00141C15">
      <w:pPr>
        <w:pStyle w:val="FootnoteText"/>
        <w:rPr>
          <w:lang w:val="en-US"/>
        </w:rPr>
      </w:pPr>
      <w:r>
        <w:rPr>
          <w:rStyle w:val="FootnoteReference"/>
        </w:rPr>
        <w:footnoteRef/>
      </w:r>
      <w:r>
        <w:t xml:space="preserve"> </w:t>
      </w:r>
      <w:r>
        <w:rPr>
          <w:lang w:val="en-US"/>
        </w:rPr>
        <w:t>Poitiers, p. 29.</w:t>
      </w:r>
    </w:p>
  </w:footnote>
  <w:footnote w:id="14">
    <w:p w14:paraId="741F91DF" w14:textId="4EA0FCBC" w:rsidR="00521C9F" w:rsidRPr="00521C9F" w:rsidRDefault="00521C9F">
      <w:pPr>
        <w:pStyle w:val="FootnoteText"/>
        <w:rPr>
          <w:lang w:val="en-US"/>
        </w:rPr>
      </w:pPr>
      <w:r>
        <w:rPr>
          <w:rStyle w:val="FootnoteReference"/>
        </w:rPr>
        <w:footnoteRef/>
      </w:r>
      <w:r>
        <w:t xml:space="preserve"> </w:t>
      </w:r>
      <w:r>
        <w:rPr>
          <w:lang w:val="en-US"/>
        </w:rPr>
        <w:t>Poitiers, p. 101.</w:t>
      </w:r>
    </w:p>
  </w:footnote>
  <w:footnote w:id="15">
    <w:p w14:paraId="03861E36" w14:textId="69C99D1A" w:rsidR="006A5E17" w:rsidRPr="006A5E17" w:rsidRDefault="006A5E17">
      <w:pPr>
        <w:pStyle w:val="FootnoteText"/>
        <w:rPr>
          <w:lang w:val="en-US"/>
        </w:rPr>
      </w:pPr>
      <w:r>
        <w:rPr>
          <w:rStyle w:val="FootnoteReference"/>
        </w:rPr>
        <w:footnoteRef/>
      </w:r>
      <w:r w:rsidR="00E81E76">
        <w:rPr>
          <w:lang w:val="en-US"/>
        </w:rPr>
        <w:t xml:space="preserve"> </w:t>
      </w:r>
      <w:r>
        <w:rPr>
          <w:lang w:val="en-US"/>
        </w:rPr>
        <w:t>Poitiers, p. 101.</w:t>
      </w:r>
    </w:p>
  </w:footnote>
  <w:footnote w:id="16">
    <w:p w14:paraId="0E96BB0A" w14:textId="480B908E" w:rsidR="00A26753" w:rsidRPr="00A26753" w:rsidRDefault="00A26753">
      <w:pPr>
        <w:pStyle w:val="FootnoteText"/>
        <w:rPr>
          <w:lang w:val="en-US"/>
        </w:rPr>
      </w:pPr>
      <w:r>
        <w:rPr>
          <w:rStyle w:val="FootnoteReference"/>
        </w:rPr>
        <w:footnoteRef/>
      </w:r>
      <w:r>
        <w:t xml:space="preserve"> </w:t>
      </w:r>
      <w:r w:rsidR="00443785">
        <w:t>Poitiers, p</w:t>
      </w:r>
      <w:r>
        <w:rPr>
          <w:lang w:val="en-US"/>
        </w:rPr>
        <w:t>. 101.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363A6" w14:textId="27E64833" w:rsidR="00681462" w:rsidRDefault="00681462">
    <w:pPr>
      <w:pStyle w:val="Header"/>
    </w:pPr>
    <w:r>
      <w:tab/>
    </w:r>
    <w:r>
      <w:tab/>
      <w:t>Bethan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25A38"/>
    <w:multiLevelType w:val="hybridMultilevel"/>
    <w:tmpl w:val="DA629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105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88E"/>
    <w:rsid w:val="000036C0"/>
    <w:rsid w:val="0000493B"/>
    <w:rsid w:val="00036E9A"/>
    <w:rsid w:val="000578CF"/>
    <w:rsid w:val="00060A16"/>
    <w:rsid w:val="000931DB"/>
    <w:rsid w:val="00093D32"/>
    <w:rsid w:val="000A4115"/>
    <w:rsid w:val="000B2F05"/>
    <w:rsid w:val="000B6A42"/>
    <w:rsid w:val="000D130C"/>
    <w:rsid w:val="000D780A"/>
    <w:rsid w:val="00100536"/>
    <w:rsid w:val="00100745"/>
    <w:rsid w:val="00104E0F"/>
    <w:rsid w:val="00125A8C"/>
    <w:rsid w:val="00141C15"/>
    <w:rsid w:val="00153214"/>
    <w:rsid w:val="00172532"/>
    <w:rsid w:val="00172BE3"/>
    <w:rsid w:val="001829B6"/>
    <w:rsid w:val="001834BF"/>
    <w:rsid w:val="00194207"/>
    <w:rsid w:val="0019479E"/>
    <w:rsid w:val="001D3FEA"/>
    <w:rsid w:val="001D667C"/>
    <w:rsid w:val="001F32F9"/>
    <w:rsid w:val="001F37EE"/>
    <w:rsid w:val="001F6D69"/>
    <w:rsid w:val="00210487"/>
    <w:rsid w:val="00217856"/>
    <w:rsid w:val="00236D48"/>
    <w:rsid w:val="00261648"/>
    <w:rsid w:val="00262E7B"/>
    <w:rsid w:val="002669D1"/>
    <w:rsid w:val="0027335D"/>
    <w:rsid w:val="00280D45"/>
    <w:rsid w:val="002926E3"/>
    <w:rsid w:val="002A4102"/>
    <w:rsid w:val="002A52D5"/>
    <w:rsid w:val="002A6254"/>
    <w:rsid w:val="002B3400"/>
    <w:rsid w:val="002C0CF0"/>
    <w:rsid w:val="002C1240"/>
    <w:rsid w:val="002C3FF0"/>
    <w:rsid w:val="002C4BBC"/>
    <w:rsid w:val="002D2B09"/>
    <w:rsid w:val="002D5176"/>
    <w:rsid w:val="002E2113"/>
    <w:rsid w:val="002E2129"/>
    <w:rsid w:val="002F43B3"/>
    <w:rsid w:val="00302367"/>
    <w:rsid w:val="003036E1"/>
    <w:rsid w:val="00306340"/>
    <w:rsid w:val="00341D67"/>
    <w:rsid w:val="00353ED6"/>
    <w:rsid w:val="003546DB"/>
    <w:rsid w:val="00357997"/>
    <w:rsid w:val="00362426"/>
    <w:rsid w:val="00373195"/>
    <w:rsid w:val="00382AEC"/>
    <w:rsid w:val="00394F45"/>
    <w:rsid w:val="00395570"/>
    <w:rsid w:val="003A3609"/>
    <w:rsid w:val="003A6754"/>
    <w:rsid w:val="003B20C0"/>
    <w:rsid w:val="003B7A7A"/>
    <w:rsid w:val="003E028A"/>
    <w:rsid w:val="003F5A5E"/>
    <w:rsid w:val="0040478B"/>
    <w:rsid w:val="00423921"/>
    <w:rsid w:val="004258D5"/>
    <w:rsid w:val="00443785"/>
    <w:rsid w:val="00451401"/>
    <w:rsid w:val="00455336"/>
    <w:rsid w:val="00492B04"/>
    <w:rsid w:val="004955A2"/>
    <w:rsid w:val="00497A03"/>
    <w:rsid w:val="004B388E"/>
    <w:rsid w:val="004B6785"/>
    <w:rsid w:val="004C3C2E"/>
    <w:rsid w:val="004C7888"/>
    <w:rsid w:val="004D40C0"/>
    <w:rsid w:val="004E27AC"/>
    <w:rsid w:val="004F2D71"/>
    <w:rsid w:val="00505419"/>
    <w:rsid w:val="00521C9F"/>
    <w:rsid w:val="00521E13"/>
    <w:rsid w:val="00524633"/>
    <w:rsid w:val="005438C3"/>
    <w:rsid w:val="00553D69"/>
    <w:rsid w:val="00554C8C"/>
    <w:rsid w:val="00570C9A"/>
    <w:rsid w:val="00576CE1"/>
    <w:rsid w:val="0057749F"/>
    <w:rsid w:val="00585992"/>
    <w:rsid w:val="00591605"/>
    <w:rsid w:val="005B0CFF"/>
    <w:rsid w:val="005E7028"/>
    <w:rsid w:val="0061297A"/>
    <w:rsid w:val="0061749D"/>
    <w:rsid w:val="00624012"/>
    <w:rsid w:val="00633C80"/>
    <w:rsid w:val="006352FF"/>
    <w:rsid w:val="00667865"/>
    <w:rsid w:val="00667A0E"/>
    <w:rsid w:val="006762BA"/>
    <w:rsid w:val="00680175"/>
    <w:rsid w:val="00681462"/>
    <w:rsid w:val="006A5E17"/>
    <w:rsid w:val="006A601C"/>
    <w:rsid w:val="006B2F77"/>
    <w:rsid w:val="006B5424"/>
    <w:rsid w:val="006B71D5"/>
    <w:rsid w:val="006D79D6"/>
    <w:rsid w:val="006E0DAD"/>
    <w:rsid w:val="006E1B7C"/>
    <w:rsid w:val="006E787F"/>
    <w:rsid w:val="006F093B"/>
    <w:rsid w:val="007176D5"/>
    <w:rsid w:val="00724809"/>
    <w:rsid w:val="00731305"/>
    <w:rsid w:val="007314F6"/>
    <w:rsid w:val="00731AF0"/>
    <w:rsid w:val="00736330"/>
    <w:rsid w:val="00736801"/>
    <w:rsid w:val="00740545"/>
    <w:rsid w:val="00741B1B"/>
    <w:rsid w:val="00747002"/>
    <w:rsid w:val="00753D43"/>
    <w:rsid w:val="00771995"/>
    <w:rsid w:val="007742E8"/>
    <w:rsid w:val="00780E65"/>
    <w:rsid w:val="00784D2B"/>
    <w:rsid w:val="00792173"/>
    <w:rsid w:val="007956DA"/>
    <w:rsid w:val="007A154E"/>
    <w:rsid w:val="007A3A2F"/>
    <w:rsid w:val="007D7DF9"/>
    <w:rsid w:val="007E1225"/>
    <w:rsid w:val="007F04F9"/>
    <w:rsid w:val="007F182D"/>
    <w:rsid w:val="007F4EC0"/>
    <w:rsid w:val="007F65DA"/>
    <w:rsid w:val="008114CC"/>
    <w:rsid w:val="0081179A"/>
    <w:rsid w:val="00813F8D"/>
    <w:rsid w:val="008202DC"/>
    <w:rsid w:val="00834C08"/>
    <w:rsid w:val="00865919"/>
    <w:rsid w:val="00872CC6"/>
    <w:rsid w:val="00877117"/>
    <w:rsid w:val="00882E46"/>
    <w:rsid w:val="00887706"/>
    <w:rsid w:val="008A12DD"/>
    <w:rsid w:val="008A7D6F"/>
    <w:rsid w:val="008B5C78"/>
    <w:rsid w:val="008E44AA"/>
    <w:rsid w:val="008F6378"/>
    <w:rsid w:val="008F6BCC"/>
    <w:rsid w:val="009007B7"/>
    <w:rsid w:val="00907972"/>
    <w:rsid w:val="00926BA4"/>
    <w:rsid w:val="0095264A"/>
    <w:rsid w:val="00981E13"/>
    <w:rsid w:val="00983955"/>
    <w:rsid w:val="009850CE"/>
    <w:rsid w:val="00985743"/>
    <w:rsid w:val="009A47D0"/>
    <w:rsid w:val="009A53CB"/>
    <w:rsid w:val="009B1464"/>
    <w:rsid w:val="009B49B3"/>
    <w:rsid w:val="009C0E2E"/>
    <w:rsid w:val="009C1269"/>
    <w:rsid w:val="009C14BA"/>
    <w:rsid w:val="009E322A"/>
    <w:rsid w:val="009E533E"/>
    <w:rsid w:val="009E7884"/>
    <w:rsid w:val="009E78BF"/>
    <w:rsid w:val="009F6012"/>
    <w:rsid w:val="00A04373"/>
    <w:rsid w:val="00A26098"/>
    <w:rsid w:val="00A26753"/>
    <w:rsid w:val="00A31140"/>
    <w:rsid w:val="00A33740"/>
    <w:rsid w:val="00A36887"/>
    <w:rsid w:val="00A4133B"/>
    <w:rsid w:val="00A53847"/>
    <w:rsid w:val="00A6118A"/>
    <w:rsid w:val="00A6546C"/>
    <w:rsid w:val="00A6650D"/>
    <w:rsid w:val="00A70552"/>
    <w:rsid w:val="00A7433C"/>
    <w:rsid w:val="00A74A94"/>
    <w:rsid w:val="00A8685F"/>
    <w:rsid w:val="00A97D1C"/>
    <w:rsid w:val="00AA2EC4"/>
    <w:rsid w:val="00AA679F"/>
    <w:rsid w:val="00AB4AE0"/>
    <w:rsid w:val="00AF4FAD"/>
    <w:rsid w:val="00B240ED"/>
    <w:rsid w:val="00B24BE2"/>
    <w:rsid w:val="00B3268F"/>
    <w:rsid w:val="00B3370D"/>
    <w:rsid w:val="00B33F93"/>
    <w:rsid w:val="00B36F67"/>
    <w:rsid w:val="00B377E5"/>
    <w:rsid w:val="00B57D7B"/>
    <w:rsid w:val="00B659CC"/>
    <w:rsid w:val="00B73DE4"/>
    <w:rsid w:val="00B80325"/>
    <w:rsid w:val="00B82E5E"/>
    <w:rsid w:val="00B91D66"/>
    <w:rsid w:val="00B927FE"/>
    <w:rsid w:val="00B946F2"/>
    <w:rsid w:val="00B95FED"/>
    <w:rsid w:val="00BB578C"/>
    <w:rsid w:val="00BC1F89"/>
    <w:rsid w:val="00BD166D"/>
    <w:rsid w:val="00BD5658"/>
    <w:rsid w:val="00BE0F2C"/>
    <w:rsid w:val="00BE2138"/>
    <w:rsid w:val="00BF04F4"/>
    <w:rsid w:val="00BF1EB7"/>
    <w:rsid w:val="00BF4365"/>
    <w:rsid w:val="00C000FF"/>
    <w:rsid w:val="00C058E0"/>
    <w:rsid w:val="00C07261"/>
    <w:rsid w:val="00C07B34"/>
    <w:rsid w:val="00C07F94"/>
    <w:rsid w:val="00C10190"/>
    <w:rsid w:val="00C11F3D"/>
    <w:rsid w:val="00C2076C"/>
    <w:rsid w:val="00C33ABA"/>
    <w:rsid w:val="00C35E83"/>
    <w:rsid w:val="00C377AF"/>
    <w:rsid w:val="00C5711D"/>
    <w:rsid w:val="00C576E1"/>
    <w:rsid w:val="00C63563"/>
    <w:rsid w:val="00C87E9E"/>
    <w:rsid w:val="00C93B2B"/>
    <w:rsid w:val="00CB75E9"/>
    <w:rsid w:val="00CC1705"/>
    <w:rsid w:val="00CC6676"/>
    <w:rsid w:val="00CD2B00"/>
    <w:rsid w:val="00CF0A68"/>
    <w:rsid w:val="00D02901"/>
    <w:rsid w:val="00D042F3"/>
    <w:rsid w:val="00D0796B"/>
    <w:rsid w:val="00D07978"/>
    <w:rsid w:val="00D12224"/>
    <w:rsid w:val="00D16B1B"/>
    <w:rsid w:val="00D444D2"/>
    <w:rsid w:val="00D627F1"/>
    <w:rsid w:val="00D64AC4"/>
    <w:rsid w:val="00D677DF"/>
    <w:rsid w:val="00D85478"/>
    <w:rsid w:val="00D946AA"/>
    <w:rsid w:val="00DA1180"/>
    <w:rsid w:val="00DB01BE"/>
    <w:rsid w:val="00DB5138"/>
    <w:rsid w:val="00DB6EFB"/>
    <w:rsid w:val="00DB7A4C"/>
    <w:rsid w:val="00DC0868"/>
    <w:rsid w:val="00DC0B71"/>
    <w:rsid w:val="00DC0E8B"/>
    <w:rsid w:val="00DE644E"/>
    <w:rsid w:val="00DF0AC5"/>
    <w:rsid w:val="00E0474D"/>
    <w:rsid w:val="00E05626"/>
    <w:rsid w:val="00E07222"/>
    <w:rsid w:val="00E07FE8"/>
    <w:rsid w:val="00E16E80"/>
    <w:rsid w:val="00E22888"/>
    <w:rsid w:val="00E26C6A"/>
    <w:rsid w:val="00E431E6"/>
    <w:rsid w:val="00E52C3C"/>
    <w:rsid w:val="00E61809"/>
    <w:rsid w:val="00E63F45"/>
    <w:rsid w:val="00E706F7"/>
    <w:rsid w:val="00E74E86"/>
    <w:rsid w:val="00E76F99"/>
    <w:rsid w:val="00E81E76"/>
    <w:rsid w:val="00E91903"/>
    <w:rsid w:val="00E934A7"/>
    <w:rsid w:val="00E9648C"/>
    <w:rsid w:val="00EA6CD4"/>
    <w:rsid w:val="00EB0136"/>
    <w:rsid w:val="00EB7AE6"/>
    <w:rsid w:val="00ED3951"/>
    <w:rsid w:val="00ED4829"/>
    <w:rsid w:val="00ED55EE"/>
    <w:rsid w:val="00ED5F77"/>
    <w:rsid w:val="00EF66D7"/>
    <w:rsid w:val="00F04598"/>
    <w:rsid w:val="00F05B2B"/>
    <w:rsid w:val="00F102D1"/>
    <w:rsid w:val="00F172C3"/>
    <w:rsid w:val="00F179F1"/>
    <w:rsid w:val="00F20C89"/>
    <w:rsid w:val="00F266DA"/>
    <w:rsid w:val="00F34BCA"/>
    <w:rsid w:val="00F45399"/>
    <w:rsid w:val="00F60323"/>
    <w:rsid w:val="00F632B3"/>
    <w:rsid w:val="00F81B17"/>
    <w:rsid w:val="00F90E13"/>
    <w:rsid w:val="00F914DC"/>
    <w:rsid w:val="00FA3488"/>
    <w:rsid w:val="00FA4B77"/>
    <w:rsid w:val="00FA4E98"/>
    <w:rsid w:val="00FA7E69"/>
    <w:rsid w:val="00FB4CCA"/>
    <w:rsid w:val="00FE16F4"/>
    <w:rsid w:val="00FF32CD"/>
    <w:rsid w:val="00FF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049D0D"/>
  <w15:chartTrackingRefBased/>
  <w15:docId w15:val="{A4AB5C00-B772-434F-9992-5FAC83D31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88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388E"/>
    <w:pPr>
      <w:ind w:left="720"/>
      <w:contextualSpacing/>
    </w:pPr>
  </w:style>
  <w:style w:type="paragraph" w:styleId="FootnoteText">
    <w:name w:val="footnote text"/>
    <w:basedOn w:val="Normal"/>
    <w:link w:val="FootnoteTextChar"/>
    <w:uiPriority w:val="99"/>
    <w:unhideWhenUsed/>
    <w:rsid w:val="00F05B2B"/>
    <w:pPr>
      <w:spacing w:after="0" w:line="240" w:lineRule="auto"/>
    </w:pPr>
    <w:rPr>
      <w:sz w:val="20"/>
      <w:szCs w:val="20"/>
    </w:rPr>
  </w:style>
  <w:style w:type="character" w:customStyle="1" w:styleId="FootnoteTextChar">
    <w:name w:val="Footnote Text Char"/>
    <w:basedOn w:val="DefaultParagraphFont"/>
    <w:link w:val="FootnoteText"/>
    <w:uiPriority w:val="99"/>
    <w:rsid w:val="00F05B2B"/>
    <w:rPr>
      <w:sz w:val="20"/>
      <w:szCs w:val="20"/>
    </w:rPr>
  </w:style>
  <w:style w:type="character" w:styleId="FootnoteReference">
    <w:name w:val="footnote reference"/>
    <w:basedOn w:val="DefaultParagraphFont"/>
    <w:uiPriority w:val="99"/>
    <w:semiHidden/>
    <w:unhideWhenUsed/>
    <w:rsid w:val="00F05B2B"/>
    <w:rPr>
      <w:vertAlign w:val="superscript"/>
    </w:rPr>
  </w:style>
  <w:style w:type="paragraph" w:styleId="Header">
    <w:name w:val="header"/>
    <w:basedOn w:val="Normal"/>
    <w:link w:val="HeaderChar"/>
    <w:uiPriority w:val="99"/>
    <w:unhideWhenUsed/>
    <w:rsid w:val="0068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462"/>
  </w:style>
  <w:style w:type="paragraph" w:styleId="Footer">
    <w:name w:val="footer"/>
    <w:basedOn w:val="Normal"/>
    <w:link w:val="FooterChar"/>
    <w:uiPriority w:val="99"/>
    <w:unhideWhenUsed/>
    <w:rsid w:val="0068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5367">
      <w:bodyDiv w:val="1"/>
      <w:marLeft w:val="0"/>
      <w:marRight w:val="0"/>
      <w:marTop w:val="0"/>
      <w:marBottom w:val="0"/>
      <w:divBdr>
        <w:top w:val="none" w:sz="0" w:space="0" w:color="auto"/>
        <w:left w:val="none" w:sz="0" w:space="0" w:color="auto"/>
        <w:bottom w:val="none" w:sz="0" w:space="0" w:color="auto"/>
        <w:right w:val="none" w:sz="0" w:space="0" w:color="auto"/>
      </w:divBdr>
    </w:div>
    <w:div w:id="78022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F7FBC-A819-4A05-BBBF-87D3AC35F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1444</Words>
  <Characters>8236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13</cp:revision>
  <dcterms:created xsi:type="dcterms:W3CDTF">2022-11-11T17:28:00Z</dcterms:created>
  <dcterms:modified xsi:type="dcterms:W3CDTF">2022-11-11T17:33:00Z</dcterms:modified>
</cp:coreProperties>
</file>