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EA78CD" w14:textId="77777777" w:rsidR="00B04B50" w:rsidRDefault="002B67CA">
      <w:pPr>
        <w:spacing w:before="1200"/>
        <w:jc w:val="center"/>
      </w:pPr>
      <w:r>
        <w:rPr>
          <w:rFonts w:ascii="Arial" w:eastAsia="Arial" w:hAnsi="Arial" w:cs="Arial"/>
          <w:b/>
          <w:bCs/>
          <w:sz w:val="32"/>
          <w:szCs w:val="32"/>
        </w:rPr>
        <w:t>Contemporary HR Challenges at Marks &amp; Spencer: Technology, Talent, and Diversity, Equity and Inclusion</w:t>
      </w:r>
    </w:p>
    <w:p w14:paraId="0629455D" w14:textId="77777777" w:rsidR="00B04B50" w:rsidRDefault="002B67CA">
      <w:pPr>
        <w:spacing w:before="800"/>
        <w:jc w:val="center"/>
      </w:pPr>
      <w:r>
        <w:rPr>
          <w:rFonts w:ascii="Arial" w:eastAsia="Arial" w:hAnsi="Arial" w:cs="Arial"/>
          <w:sz w:val="24"/>
          <w:szCs w:val="24"/>
        </w:rPr>
        <w:t>A Report Prepared from the Perspective of an HR Practitioner</w:t>
      </w:r>
    </w:p>
    <w:p w14:paraId="7856C20B" w14:textId="77777777" w:rsidR="00B04B50" w:rsidRDefault="002B67CA">
      <w:pPr>
        <w:spacing w:before="1200"/>
        <w:jc w:val="center"/>
      </w:pPr>
      <w:r>
        <w:rPr>
          <w:rFonts w:ascii="Arial" w:eastAsia="Arial" w:hAnsi="Arial" w:cs="Arial"/>
          <w:sz w:val="22"/>
          <w:szCs w:val="22"/>
        </w:rPr>
        <w:t>Name: Anthony Bennett</w:t>
      </w:r>
    </w:p>
    <w:p w14:paraId="335F2838" w14:textId="77777777" w:rsidR="00B04B50" w:rsidRDefault="002B67CA">
      <w:pPr>
        <w:spacing w:before="150"/>
        <w:jc w:val="center"/>
      </w:pPr>
      <w:r>
        <w:rPr>
          <w:rFonts w:ascii="Arial" w:eastAsia="Arial" w:hAnsi="Arial" w:cs="Arial"/>
          <w:sz w:val="22"/>
          <w:szCs w:val="22"/>
        </w:rPr>
        <w:t>Student Number: 2443047</w:t>
      </w:r>
    </w:p>
    <w:p w14:paraId="6496A882" w14:textId="77777777" w:rsidR="00B04B50" w:rsidRDefault="002B67CA">
      <w:pPr>
        <w:spacing w:before="150"/>
        <w:jc w:val="center"/>
      </w:pPr>
      <w:r>
        <w:rPr>
          <w:rFonts w:ascii="Arial" w:eastAsia="Arial" w:hAnsi="Arial" w:cs="Arial"/>
          <w:sz w:val="22"/>
          <w:szCs w:val="22"/>
        </w:rPr>
        <w:t>Programme: BA (Hons) Leadership and Management Skills for the Workplace</w:t>
      </w:r>
    </w:p>
    <w:p w14:paraId="02CB7DF7" w14:textId="77777777" w:rsidR="00B04B50" w:rsidRDefault="002B67CA">
      <w:pPr>
        <w:spacing w:before="150"/>
        <w:jc w:val="center"/>
      </w:pPr>
      <w:r>
        <w:rPr>
          <w:rFonts w:ascii="Arial" w:eastAsia="Arial" w:hAnsi="Arial" w:cs="Arial"/>
          <w:sz w:val="22"/>
          <w:szCs w:val="22"/>
        </w:rPr>
        <w:t>Module: LCLM5002 — Developing and Managing Individuals and Teams</w:t>
      </w:r>
    </w:p>
    <w:p w14:paraId="53AC0E13" w14:textId="77777777" w:rsidR="00B04B50" w:rsidRDefault="002B67CA">
      <w:pPr>
        <w:spacing w:before="150"/>
        <w:jc w:val="center"/>
      </w:pPr>
      <w:r>
        <w:rPr>
          <w:rFonts w:ascii="Arial" w:eastAsia="Arial" w:hAnsi="Arial" w:cs="Arial"/>
          <w:sz w:val="22"/>
          <w:szCs w:val="22"/>
        </w:rPr>
        <w:t>Lecturer: Amer Kareem</w:t>
      </w:r>
    </w:p>
    <w:p w14:paraId="0AA4C23B" w14:textId="77777777" w:rsidR="00B04B50" w:rsidRDefault="002B67CA">
      <w:r>
        <w:br w:type="page"/>
      </w:r>
    </w:p>
    <w:p w14:paraId="6DBBF4F2" w14:textId="77777777" w:rsidR="00B04B50" w:rsidRDefault="00B04B50">
      <w:pPr>
        <w:sectPr w:rsidR="00B04B50">
          <w:pgSz w:w="11906" w:h="16838"/>
          <w:pgMar w:top="1440" w:right="1440" w:bottom="1440" w:left="1440" w:header="708" w:footer="708" w:gutter="0"/>
          <w:cols w:space="720"/>
          <w:docGrid w:linePitch="360"/>
        </w:sectPr>
      </w:pPr>
    </w:p>
    <w:p w14:paraId="5EB0EBDC" w14:textId="77777777" w:rsidR="00B04B50" w:rsidRDefault="002B67CA">
      <w:pPr>
        <w:pStyle w:val="Heading1"/>
        <w:spacing w:before="300" w:after="200" w:line="360" w:lineRule="auto"/>
      </w:pPr>
      <w:r>
        <w:rPr>
          <w:rFonts w:ascii="Arial" w:eastAsia="Arial" w:hAnsi="Arial" w:cs="Arial"/>
          <w:b/>
          <w:bCs/>
        </w:rPr>
        <w:lastRenderedPageBreak/>
        <w:t>Introduction</w:t>
      </w:r>
    </w:p>
    <w:p w14:paraId="4455522E" w14:textId="77777777" w:rsidR="00B04B50" w:rsidRDefault="002B67CA">
      <w:pPr>
        <w:spacing w:after="200" w:line="360" w:lineRule="auto"/>
        <w:jc w:val="both"/>
      </w:pPr>
      <w:r>
        <w:rPr>
          <w:rFonts w:ascii="Arial" w:eastAsia="Arial" w:hAnsi="Arial" w:cs="Arial"/>
          <w:sz w:val="22"/>
          <w:szCs w:val="22"/>
        </w:rPr>
        <w:t>Marks &amp; Spencer (M&amp;S) is one of the UK's most established retailers, h</w:t>
      </w:r>
      <w:r>
        <w:rPr>
          <w:rFonts w:ascii="Arial" w:eastAsia="Arial" w:hAnsi="Arial" w:cs="Arial"/>
          <w:sz w:val="22"/>
          <w:szCs w:val="22"/>
        </w:rPr>
        <w:t>aving been founded in 1884. Today, the company operates in 57 countries, with over 1,000 stores across the UK, and employs around 65,000 people across its food, clothing and home businesses. Since 2022, M&amp;S has also placed significant emphasis on digital t</w:t>
      </w:r>
      <w:r>
        <w:rPr>
          <w:rFonts w:ascii="Arial" w:eastAsia="Arial" w:hAnsi="Arial" w:cs="Arial"/>
          <w:sz w:val="22"/>
          <w:szCs w:val="22"/>
        </w:rPr>
        <w:t>ransformation, investing approximately £480 million in areas such as digital technology and the modernisation of its supply chain.</w:t>
      </w:r>
    </w:p>
    <w:p w14:paraId="183E80D6" w14:textId="77777777" w:rsidR="00B04B50" w:rsidRDefault="002B67CA">
      <w:pPr>
        <w:spacing w:after="200" w:line="360" w:lineRule="auto"/>
        <w:jc w:val="both"/>
      </w:pPr>
      <w:r>
        <w:rPr>
          <w:rFonts w:ascii="Arial" w:eastAsia="Arial" w:hAnsi="Arial" w:cs="Arial"/>
          <w:sz w:val="22"/>
          <w:szCs w:val="22"/>
        </w:rPr>
        <w:t>Like many organisations in the retail industry, M&amp;S faces increasing HR challenges linked to technological development, attra</w:t>
      </w:r>
      <w:r>
        <w:rPr>
          <w:rFonts w:ascii="Arial" w:eastAsia="Arial" w:hAnsi="Arial" w:cs="Arial"/>
          <w:sz w:val="22"/>
          <w:szCs w:val="22"/>
        </w:rPr>
        <w:t>cting and retaining talented employees, and creating a diverse and inclusive workforce. Effective people management has a direct impact on organisational performance (Marchington and Wilkinson, 2002), and as a large and long-established retailer, M&amp;S provi</w:t>
      </w:r>
      <w:r>
        <w:rPr>
          <w:rFonts w:ascii="Arial" w:eastAsia="Arial" w:hAnsi="Arial" w:cs="Arial"/>
          <w:sz w:val="22"/>
          <w:szCs w:val="22"/>
        </w:rPr>
        <w:t>des a useful example of how these issues can affect HR strategy. From the perspective of an HR Practitioner, this report will examine the main challenges M&amp;S faces in these areas, consider HR practices that could help overcome them, and critically assess h</w:t>
      </w:r>
      <w:r>
        <w:rPr>
          <w:rFonts w:ascii="Arial" w:eastAsia="Arial" w:hAnsi="Arial" w:cs="Arial"/>
          <w:sz w:val="22"/>
          <w:szCs w:val="22"/>
        </w:rPr>
        <w:t>ow managers can implement these approaches effectively.</w:t>
      </w:r>
    </w:p>
    <w:p w14:paraId="30E14837" w14:textId="77777777" w:rsidR="00B04B50" w:rsidRDefault="002B67CA">
      <w:pPr>
        <w:pStyle w:val="Heading1"/>
        <w:spacing w:before="300" w:after="200" w:line="360" w:lineRule="auto"/>
      </w:pPr>
      <w:r>
        <w:rPr>
          <w:rFonts w:ascii="Arial" w:eastAsia="Arial" w:hAnsi="Arial" w:cs="Arial"/>
          <w:b/>
          <w:bCs/>
        </w:rPr>
        <w:t>1. Explanation of Key Factors</w:t>
      </w:r>
    </w:p>
    <w:p w14:paraId="4D9C41D8" w14:textId="77777777" w:rsidR="00B04B50" w:rsidRDefault="002B67CA">
      <w:pPr>
        <w:pStyle w:val="Heading2"/>
        <w:spacing w:before="200" w:after="150" w:line="360" w:lineRule="auto"/>
      </w:pPr>
      <w:r>
        <w:rPr>
          <w:rFonts w:ascii="Arial" w:eastAsia="Arial" w:hAnsi="Arial" w:cs="Arial"/>
          <w:b/>
          <w:bCs/>
          <w:i/>
          <w:iCs/>
        </w:rPr>
        <w:t>Technology</w:t>
      </w:r>
    </w:p>
    <w:p w14:paraId="7E96C977" w14:textId="77777777" w:rsidR="00B04B50" w:rsidRDefault="002B67CA">
      <w:pPr>
        <w:spacing w:after="200" w:line="360" w:lineRule="auto"/>
        <w:jc w:val="both"/>
      </w:pPr>
      <w:r>
        <w:rPr>
          <w:rFonts w:ascii="Arial" w:eastAsia="Arial" w:hAnsi="Arial" w:cs="Arial"/>
          <w:sz w:val="22"/>
          <w:szCs w:val="22"/>
        </w:rPr>
        <w:t>Technology presents an important challenge for HR at M&amp;S. The company's investment of approximately £480 million in digital systems since 2022 has introduced n</w:t>
      </w:r>
      <w:r>
        <w:rPr>
          <w:rFonts w:ascii="Arial" w:eastAsia="Arial" w:hAnsi="Arial" w:cs="Arial"/>
          <w:sz w:val="22"/>
          <w:szCs w:val="22"/>
        </w:rPr>
        <w:t>ew technology across areas such as stores, supply chains and customer services. As a result, employees at different levels of the organisation need to develop the digital skills required to work effectively with these new systems. This relates to the conce</w:t>
      </w:r>
      <w:r>
        <w:rPr>
          <w:rFonts w:ascii="Arial" w:eastAsia="Arial" w:hAnsi="Arial" w:cs="Arial"/>
          <w:sz w:val="22"/>
          <w:szCs w:val="22"/>
        </w:rPr>
        <w:t>pt of Digital HRM, which refers to the use of technology, data and automated systems to improve the way HR activities are managed (Armstrong, 2020).</w:t>
      </w:r>
    </w:p>
    <w:p w14:paraId="79BBDDCD" w14:textId="77777777" w:rsidR="00B04B50" w:rsidRDefault="002B67CA">
      <w:pPr>
        <w:spacing w:after="200" w:line="360" w:lineRule="auto"/>
        <w:jc w:val="both"/>
      </w:pPr>
      <w:r>
        <w:rPr>
          <w:rFonts w:ascii="Arial" w:eastAsia="Arial" w:hAnsi="Arial" w:cs="Arial"/>
          <w:sz w:val="22"/>
          <w:szCs w:val="22"/>
        </w:rPr>
        <w:t>Digital transformation can have both positive and negative effects on employees. When introduced effectivel</w:t>
      </w:r>
      <w:r>
        <w:rPr>
          <w:rFonts w:ascii="Arial" w:eastAsia="Arial" w:hAnsi="Arial" w:cs="Arial"/>
          <w:sz w:val="22"/>
          <w:szCs w:val="22"/>
        </w:rPr>
        <w:t>y, new technology can improve productivity, simplify tasks and give employees greater independence through more flexible ways of working, an approach reflected in the concept of smart working, which combines flexibility, autonomy and collaboration (McEwan,</w:t>
      </w:r>
      <w:r>
        <w:rPr>
          <w:rFonts w:ascii="Arial" w:eastAsia="Arial" w:hAnsi="Arial" w:cs="Arial"/>
          <w:sz w:val="22"/>
          <w:szCs w:val="22"/>
        </w:rPr>
        <w:t xml:space="preserve"> 2013). However, poorly managed technological change can also create uncertainty about job security and leave employees feeling overwhelmed if they have not received sufficient training. This can negatively affect employee engagement and </w:t>
      </w:r>
      <w:r>
        <w:rPr>
          <w:rFonts w:ascii="Arial" w:eastAsia="Arial" w:hAnsi="Arial" w:cs="Arial"/>
          <w:sz w:val="22"/>
          <w:szCs w:val="22"/>
        </w:rPr>
        <w:lastRenderedPageBreak/>
        <w:t>motivation. For an</w:t>
      </w:r>
      <w:r>
        <w:rPr>
          <w:rFonts w:ascii="Arial" w:eastAsia="Arial" w:hAnsi="Arial" w:cs="Arial"/>
          <w:sz w:val="22"/>
          <w:szCs w:val="22"/>
        </w:rPr>
        <w:t xml:space="preserve"> organisation such as M&amp;S, with a large workforce made up of employees with different levels of experience and digital ability, HR must ensure that staff are properly supported and trained. This will help prevent employees from being excluded from the comp</w:t>
      </w:r>
      <w:r>
        <w:rPr>
          <w:rFonts w:ascii="Arial" w:eastAsia="Arial" w:hAnsi="Arial" w:cs="Arial"/>
          <w:sz w:val="22"/>
          <w:szCs w:val="22"/>
        </w:rPr>
        <w:t>any's wider digital transformation.</w:t>
      </w:r>
    </w:p>
    <w:p w14:paraId="3739002D" w14:textId="77777777" w:rsidR="00B04B50" w:rsidRDefault="002B67CA">
      <w:pPr>
        <w:pStyle w:val="Heading2"/>
        <w:spacing w:before="200" w:after="150" w:line="360" w:lineRule="auto"/>
      </w:pPr>
      <w:r>
        <w:rPr>
          <w:rFonts w:ascii="Arial" w:eastAsia="Arial" w:hAnsi="Arial" w:cs="Arial"/>
          <w:b/>
          <w:bCs/>
          <w:i/>
          <w:iCs/>
        </w:rPr>
        <w:t>Talent Acquisition and Retention</w:t>
      </w:r>
    </w:p>
    <w:p w14:paraId="20C89E2F" w14:textId="77777777" w:rsidR="00B04B50" w:rsidRDefault="002B67CA">
      <w:pPr>
        <w:spacing w:after="200" w:line="360" w:lineRule="auto"/>
        <w:jc w:val="both"/>
      </w:pPr>
      <w:r>
        <w:rPr>
          <w:rFonts w:ascii="Arial" w:eastAsia="Arial" w:hAnsi="Arial" w:cs="Arial"/>
          <w:sz w:val="22"/>
          <w:szCs w:val="22"/>
        </w:rPr>
        <w:t>Attracting and retaining capable employees remains an important issue for retailers such as M&amp;S, particularly within store-based roles where employee turnover can be relatively high. Atki</w:t>
      </w:r>
      <w:r>
        <w:rPr>
          <w:rFonts w:ascii="Arial" w:eastAsia="Arial" w:hAnsi="Arial" w:cs="Arial"/>
          <w:sz w:val="22"/>
          <w:szCs w:val="22"/>
        </w:rPr>
        <w:t>nson's (1984) Flexible Firm model provides one way of understanding how organisations manage their workforce. The model separates employees into a core workforce of permanent staff who may carry out a range of responsibilities and a peripheral workforce ma</w:t>
      </w:r>
      <w:r>
        <w:rPr>
          <w:rFonts w:ascii="Arial" w:eastAsia="Arial" w:hAnsi="Arial" w:cs="Arial"/>
          <w:sz w:val="22"/>
          <w:szCs w:val="22"/>
        </w:rPr>
        <w:t>de up of temporary, part-time or contract workers who provide greater flexibility. M&amp;S uses a combination of these types of employees, although relying on a flexible workforce can create challenges because peripheral workers may feel less connected or comm</w:t>
      </w:r>
      <w:r>
        <w:rPr>
          <w:rFonts w:ascii="Arial" w:eastAsia="Arial" w:hAnsi="Arial" w:cs="Arial"/>
          <w:sz w:val="22"/>
          <w:szCs w:val="22"/>
        </w:rPr>
        <w:t>itted to the organisation, potentially increasing staff turnover.</w:t>
      </w:r>
    </w:p>
    <w:p w14:paraId="4B6930C3" w14:textId="77777777" w:rsidR="00B04B50" w:rsidRDefault="002B67CA">
      <w:pPr>
        <w:spacing w:after="200" w:line="360" w:lineRule="auto"/>
        <w:jc w:val="both"/>
      </w:pPr>
      <w:r>
        <w:rPr>
          <w:rFonts w:ascii="Arial" w:eastAsia="Arial" w:hAnsi="Arial" w:cs="Arial"/>
          <w:sz w:val="22"/>
          <w:szCs w:val="22"/>
        </w:rPr>
        <w:t>Effective talent management therefore involves more than recruiting new employees. It also requires organisations to develop existing staff and create conditions that encourage them to remai</w:t>
      </w:r>
      <w:r>
        <w:rPr>
          <w:rFonts w:ascii="Arial" w:eastAsia="Arial" w:hAnsi="Arial" w:cs="Arial"/>
          <w:sz w:val="22"/>
          <w:szCs w:val="22"/>
        </w:rPr>
        <w:t>n with the business. M&amp;S must compete with other retailers, as well as employers in other industries, for employees with valuable skills, particularly those working in digital, technology and transformation-related positions. Retaining these employees is i</w:t>
      </w:r>
      <w:r>
        <w:rPr>
          <w:rFonts w:ascii="Arial" w:eastAsia="Arial" w:hAnsi="Arial" w:cs="Arial"/>
          <w:sz w:val="22"/>
          <w:szCs w:val="22"/>
        </w:rPr>
        <w:t>mportant because when experienced or skilled workers leave, the organisation loses not only the cost of recruiting replacements but also valuable knowledge, experience and skills that may be needed to support its ongoing transformation strategy.</w:t>
      </w:r>
    </w:p>
    <w:p w14:paraId="1D8091D1" w14:textId="77777777" w:rsidR="00B04B50" w:rsidRDefault="002B67CA">
      <w:pPr>
        <w:pStyle w:val="Heading2"/>
        <w:spacing w:before="200" w:after="150" w:line="360" w:lineRule="auto"/>
      </w:pPr>
      <w:r>
        <w:rPr>
          <w:rFonts w:ascii="Arial" w:eastAsia="Arial" w:hAnsi="Arial" w:cs="Arial"/>
          <w:b/>
          <w:bCs/>
          <w:i/>
          <w:iCs/>
        </w:rPr>
        <w:t>Diversity,</w:t>
      </w:r>
      <w:r>
        <w:rPr>
          <w:rFonts w:ascii="Arial" w:eastAsia="Arial" w:hAnsi="Arial" w:cs="Arial"/>
          <w:b/>
          <w:bCs/>
          <w:i/>
          <w:iCs/>
        </w:rPr>
        <w:t xml:space="preserve"> Equity and Inclusion (DEI)</w:t>
      </w:r>
    </w:p>
    <w:p w14:paraId="6866C4C2" w14:textId="77777777" w:rsidR="00B04B50" w:rsidRDefault="002B67CA">
      <w:pPr>
        <w:spacing w:after="200" w:line="360" w:lineRule="auto"/>
        <w:jc w:val="both"/>
      </w:pPr>
      <w:r>
        <w:rPr>
          <w:rFonts w:ascii="Arial" w:eastAsia="Arial" w:hAnsi="Arial" w:cs="Arial"/>
          <w:sz w:val="22"/>
          <w:szCs w:val="22"/>
        </w:rPr>
        <w:t xml:space="preserve">Diversity, Equity and Inclusion (DEI) is another important consideration for HR at M&amp;S because of the size and variety of its workforce. M&amp;S employs people from different backgrounds, ages, cultures and experiences, so HR needs </w:t>
      </w:r>
      <w:r>
        <w:rPr>
          <w:rFonts w:ascii="Arial" w:eastAsia="Arial" w:hAnsi="Arial" w:cs="Arial"/>
          <w:sz w:val="22"/>
          <w:szCs w:val="22"/>
        </w:rPr>
        <w:t>to ensure that employees are treated fairly and have equal opportunities within the organisation, in line with the requirements of the Equality Act 2010. Diversity focuses on having a workforce made up of people with different characteristics and backgroun</w:t>
      </w:r>
      <w:r>
        <w:rPr>
          <w:rFonts w:ascii="Arial" w:eastAsia="Arial" w:hAnsi="Arial" w:cs="Arial"/>
          <w:sz w:val="22"/>
          <w:szCs w:val="22"/>
        </w:rPr>
        <w:t>ds, while equity is about making sure individuals receive fair opportunities and support, a concept closely linked to Adams' (1963) equity theory, which explains how employees' perceptions of fairness directly influence their motivation and engagement at w</w:t>
      </w:r>
      <w:r>
        <w:rPr>
          <w:rFonts w:ascii="Arial" w:eastAsia="Arial" w:hAnsi="Arial" w:cs="Arial"/>
          <w:sz w:val="22"/>
          <w:szCs w:val="22"/>
        </w:rPr>
        <w:t>ork. Inclusion means creating a workplace where employees feel respected, valued and able to contribute.</w:t>
      </w:r>
    </w:p>
    <w:p w14:paraId="49972B68" w14:textId="77777777" w:rsidR="00B04B50" w:rsidRDefault="002B67CA">
      <w:pPr>
        <w:spacing w:after="200" w:line="360" w:lineRule="auto"/>
        <w:jc w:val="both"/>
      </w:pPr>
      <w:r>
        <w:rPr>
          <w:rFonts w:ascii="Arial" w:eastAsia="Arial" w:hAnsi="Arial" w:cs="Arial"/>
          <w:sz w:val="22"/>
          <w:szCs w:val="22"/>
        </w:rPr>
        <w:lastRenderedPageBreak/>
        <w:t>For M&amp;S, effective DEI practices can support employee engagement and help the organisation attract and retain a wider range of talent. This can include</w:t>
      </w:r>
      <w:r>
        <w:rPr>
          <w:rFonts w:ascii="Arial" w:eastAsia="Arial" w:hAnsi="Arial" w:cs="Arial"/>
          <w:sz w:val="22"/>
          <w:szCs w:val="22"/>
        </w:rPr>
        <w:t xml:space="preserve"> fair recruitment processes, equal opportunities for promotion, appropriate training for managers and creating an environment where employees feel comfortable expressing their views. However, having a diverse workforce does not automatically mean that an o</w:t>
      </w:r>
      <w:r>
        <w:rPr>
          <w:rFonts w:ascii="Arial" w:eastAsia="Arial" w:hAnsi="Arial" w:cs="Arial"/>
          <w:sz w:val="22"/>
          <w:szCs w:val="22"/>
        </w:rPr>
        <w:t>rganisation is inclusive. HR and managers must actively ensure that policies and workplace practices do not disadvantage particular groups. This makes DEI an ongoing responsibility rather than simply a recruitment target. If managed effectively, DEI can he</w:t>
      </w:r>
      <w:r>
        <w:rPr>
          <w:rFonts w:ascii="Arial" w:eastAsia="Arial" w:hAnsi="Arial" w:cs="Arial"/>
          <w:sz w:val="22"/>
          <w:szCs w:val="22"/>
        </w:rPr>
        <w:t>lp M&amp;S build a stronger workforce while also improving employee experience and supporting the company's reputation as a responsible employer.</w:t>
      </w:r>
    </w:p>
    <w:p w14:paraId="476901F5" w14:textId="77777777" w:rsidR="00B04B50" w:rsidRDefault="002B67CA">
      <w:pPr>
        <w:pStyle w:val="Heading1"/>
        <w:spacing w:before="300" w:after="200" w:line="360" w:lineRule="auto"/>
      </w:pPr>
      <w:r>
        <w:rPr>
          <w:rFonts w:ascii="Arial" w:eastAsia="Arial" w:hAnsi="Arial" w:cs="Arial"/>
          <w:b/>
          <w:bCs/>
        </w:rPr>
        <w:t>2. Evaluation of Contemporary HR Practices</w:t>
      </w:r>
    </w:p>
    <w:p w14:paraId="227CF14B" w14:textId="77777777" w:rsidR="00B04B50" w:rsidRDefault="002B67CA">
      <w:pPr>
        <w:pStyle w:val="Heading2"/>
        <w:spacing w:before="200" w:after="150" w:line="360" w:lineRule="auto"/>
      </w:pPr>
      <w:r>
        <w:rPr>
          <w:rFonts w:ascii="Arial" w:eastAsia="Arial" w:hAnsi="Arial" w:cs="Arial"/>
          <w:b/>
          <w:bCs/>
          <w:i/>
          <w:iCs/>
        </w:rPr>
        <w:t>Technology</w:t>
      </w:r>
    </w:p>
    <w:p w14:paraId="2E418331" w14:textId="77777777" w:rsidR="00B04B50" w:rsidRDefault="002B67CA">
      <w:pPr>
        <w:spacing w:after="200" w:line="360" w:lineRule="auto"/>
        <w:jc w:val="both"/>
      </w:pPr>
      <w:r>
        <w:rPr>
          <w:rFonts w:ascii="Arial" w:eastAsia="Arial" w:hAnsi="Arial" w:cs="Arial"/>
          <w:sz w:val="22"/>
          <w:szCs w:val="22"/>
        </w:rPr>
        <w:t>To manage the challenges created by new technology, M&amp;S could use digital HR platforms and workforce data more effectively. These systems allow HR to monitor areas such as employee performance, training requirements and staff turnover. Using this informati</w:t>
      </w:r>
      <w:r>
        <w:rPr>
          <w:rFonts w:ascii="Arial" w:eastAsia="Arial" w:hAnsi="Arial" w:cs="Arial"/>
          <w:sz w:val="22"/>
          <w:szCs w:val="22"/>
        </w:rPr>
        <w:t>on can help HR identify potential issues earlier rather than relying only on assumptions. For example, data could highlight particular teams that are finding it difficult to use a new digital system, allowing additional support or training to be provided.</w:t>
      </w:r>
    </w:p>
    <w:p w14:paraId="2252CA71" w14:textId="77777777" w:rsidR="00B04B50" w:rsidRDefault="002B67CA">
      <w:pPr>
        <w:spacing w:after="200" w:line="360" w:lineRule="auto"/>
        <w:jc w:val="both"/>
      </w:pPr>
      <w:r>
        <w:rPr>
          <w:rFonts w:ascii="Arial" w:eastAsia="Arial" w:hAnsi="Arial" w:cs="Arial"/>
          <w:sz w:val="22"/>
          <w:szCs w:val="22"/>
        </w:rPr>
        <w:t>Providing employees with suitable training when new technology is introduced is also an important HR practice. Staff should not be expected to adapt to new systems without guidance or support. This links to the module's discussion of smart and agile workin</w:t>
      </w:r>
      <w:r>
        <w:rPr>
          <w:rFonts w:ascii="Arial" w:eastAsia="Arial" w:hAnsi="Arial" w:cs="Arial"/>
          <w:sz w:val="22"/>
          <w:szCs w:val="22"/>
        </w:rPr>
        <w:t>g, where technology should help employees work more effectively while still providing the support they need.</w:t>
      </w:r>
    </w:p>
    <w:p w14:paraId="5D2D0A25" w14:textId="77777777" w:rsidR="00B04B50" w:rsidRDefault="002B67CA">
      <w:pPr>
        <w:spacing w:after="200" w:line="360" w:lineRule="auto"/>
        <w:jc w:val="both"/>
      </w:pPr>
      <w:r>
        <w:rPr>
          <w:rFonts w:ascii="Arial" w:eastAsia="Arial" w:hAnsi="Arial" w:cs="Arial"/>
          <w:sz w:val="22"/>
          <w:szCs w:val="22"/>
        </w:rPr>
        <w:t>However, there are some disadvantages to relying on digital HR practices. Implementing and maintaining these systems can be costly, and employees a</w:t>
      </w:r>
      <w:r>
        <w:rPr>
          <w:rFonts w:ascii="Arial" w:eastAsia="Arial" w:hAnsi="Arial" w:cs="Arial"/>
          <w:sz w:val="22"/>
          <w:szCs w:val="22"/>
        </w:rPr>
        <w:t>cross different stores may respond to technological changes differently. HR also needs to avoid depending too heavily on data, as statistics cannot always explain how employees feel about changes. Therefore, M&amp;S should combine digital tools with regular co</w:t>
      </w:r>
      <w:r>
        <w:rPr>
          <w:rFonts w:ascii="Arial" w:eastAsia="Arial" w:hAnsi="Arial" w:cs="Arial"/>
          <w:sz w:val="22"/>
          <w:szCs w:val="22"/>
        </w:rPr>
        <w:t>mmunication and personal support to achieve the best results.</w:t>
      </w:r>
    </w:p>
    <w:p w14:paraId="23EB1704" w14:textId="77777777" w:rsidR="00B04B50" w:rsidRDefault="002B67CA">
      <w:pPr>
        <w:pStyle w:val="Heading2"/>
        <w:spacing w:before="200" w:after="150" w:line="360" w:lineRule="auto"/>
      </w:pPr>
      <w:r>
        <w:rPr>
          <w:rFonts w:ascii="Arial" w:eastAsia="Arial" w:hAnsi="Arial" w:cs="Arial"/>
          <w:b/>
          <w:bCs/>
          <w:i/>
          <w:iCs/>
        </w:rPr>
        <w:t>Talent Acquisition and Retention</w:t>
      </w:r>
    </w:p>
    <w:p w14:paraId="0CDECBAC" w14:textId="77777777" w:rsidR="00B04B50" w:rsidRDefault="002B67CA">
      <w:pPr>
        <w:spacing w:after="200" w:line="360" w:lineRule="auto"/>
        <w:jc w:val="both"/>
      </w:pPr>
      <w:r>
        <w:rPr>
          <w:rFonts w:ascii="Arial" w:eastAsia="Arial" w:hAnsi="Arial" w:cs="Arial"/>
          <w:sz w:val="22"/>
          <w:szCs w:val="22"/>
        </w:rPr>
        <w:t>M&amp;S could use employer branding as an effective way of attracting and retaining employees. Employer branding involves creating a positive reputation as an organi</w:t>
      </w:r>
      <w:r>
        <w:rPr>
          <w:rFonts w:ascii="Arial" w:eastAsia="Arial" w:hAnsi="Arial" w:cs="Arial"/>
          <w:sz w:val="22"/>
          <w:szCs w:val="22"/>
        </w:rPr>
        <w:t xml:space="preserve">sation to work for by offering fair rewards, opportunities for development and a workplace that employees want to </w:t>
      </w:r>
      <w:r>
        <w:rPr>
          <w:rFonts w:ascii="Arial" w:eastAsia="Arial" w:hAnsi="Arial" w:cs="Arial"/>
          <w:sz w:val="22"/>
          <w:szCs w:val="22"/>
        </w:rPr>
        <w:lastRenderedPageBreak/>
        <w:t>be part of. M&amp;S's long history, established reputation and current investment in digital transformation could provide the company with a stron</w:t>
      </w:r>
      <w:r>
        <w:rPr>
          <w:rFonts w:ascii="Arial" w:eastAsia="Arial" w:hAnsi="Arial" w:cs="Arial"/>
          <w:sz w:val="22"/>
          <w:szCs w:val="22"/>
        </w:rPr>
        <w:t>g message when competing for new employees (Taylor, 2005).</w:t>
      </w:r>
    </w:p>
    <w:p w14:paraId="5A384971" w14:textId="77777777" w:rsidR="00B04B50" w:rsidRDefault="002B67CA">
      <w:pPr>
        <w:spacing w:after="200" w:line="360" w:lineRule="auto"/>
        <w:jc w:val="both"/>
      </w:pPr>
      <w:r>
        <w:rPr>
          <w:rFonts w:ascii="Arial" w:eastAsia="Arial" w:hAnsi="Arial" w:cs="Arial"/>
          <w:sz w:val="22"/>
          <w:szCs w:val="22"/>
        </w:rPr>
        <w:t>Strategic workforce planning could also support M&amp;S by helping HR identify the skills and number of employees the organisation is likely to need in the future. Instead of waiting until vacancies ap</w:t>
      </w:r>
      <w:r>
        <w:rPr>
          <w:rFonts w:ascii="Arial" w:eastAsia="Arial" w:hAnsi="Arial" w:cs="Arial"/>
          <w:sz w:val="22"/>
          <w:szCs w:val="22"/>
        </w:rPr>
        <w:t>pear, the business can prepare in advance by developing existing employees and creating a stronger talent pipeline. This could be particularly useful for roles involving technology and digital transformation.</w:t>
      </w:r>
    </w:p>
    <w:p w14:paraId="3C666A96" w14:textId="77777777" w:rsidR="00B04B50" w:rsidRDefault="002B67CA">
      <w:pPr>
        <w:spacing w:after="200" w:line="360" w:lineRule="auto"/>
        <w:jc w:val="both"/>
      </w:pPr>
      <w:r>
        <w:rPr>
          <w:rFonts w:ascii="Arial" w:eastAsia="Arial" w:hAnsi="Arial" w:cs="Arial"/>
          <w:sz w:val="22"/>
          <w:szCs w:val="22"/>
        </w:rPr>
        <w:t>However, these approaches require long-term com</w:t>
      </w:r>
      <w:r>
        <w:rPr>
          <w:rFonts w:ascii="Arial" w:eastAsia="Arial" w:hAnsi="Arial" w:cs="Arial"/>
          <w:sz w:val="22"/>
          <w:szCs w:val="22"/>
        </w:rPr>
        <w:t>mitment and financial investment. Building a positive employer reputation takes time, while workforce planning will only be effective if managers regularly review and act on it. There is also a risk that too much attention is placed on recruiting new emplo</w:t>
      </w:r>
      <w:r>
        <w:rPr>
          <w:rFonts w:ascii="Arial" w:eastAsia="Arial" w:hAnsi="Arial" w:cs="Arial"/>
          <w:sz w:val="22"/>
          <w:szCs w:val="22"/>
        </w:rPr>
        <w:t>yees while existing staff are overlooked. Retaining experienced employees can often be more cost-effective because the organisation keeps their knowledge and reduces recruitment and training costs.</w:t>
      </w:r>
    </w:p>
    <w:p w14:paraId="4013E3F8" w14:textId="77777777" w:rsidR="00B04B50" w:rsidRDefault="002B67CA">
      <w:pPr>
        <w:pStyle w:val="Heading2"/>
        <w:spacing w:before="200" w:after="150" w:line="360" w:lineRule="auto"/>
      </w:pPr>
      <w:r>
        <w:rPr>
          <w:rFonts w:ascii="Arial" w:eastAsia="Arial" w:hAnsi="Arial" w:cs="Arial"/>
          <w:b/>
          <w:bCs/>
          <w:i/>
          <w:iCs/>
        </w:rPr>
        <w:t>Diversity, Equity and Inclusion (DEI)</w:t>
      </w:r>
    </w:p>
    <w:p w14:paraId="561D7503" w14:textId="77777777" w:rsidR="00B04B50" w:rsidRDefault="002B67CA">
      <w:pPr>
        <w:spacing w:after="200" w:line="360" w:lineRule="auto"/>
        <w:jc w:val="both"/>
      </w:pPr>
      <w:r>
        <w:rPr>
          <w:rFonts w:ascii="Arial" w:eastAsia="Arial" w:hAnsi="Arial" w:cs="Arial"/>
          <w:sz w:val="22"/>
          <w:szCs w:val="22"/>
        </w:rPr>
        <w:t>M&amp;S can strengthen i</w:t>
      </w:r>
      <w:r>
        <w:rPr>
          <w:rFonts w:ascii="Arial" w:eastAsia="Arial" w:hAnsi="Arial" w:cs="Arial"/>
          <w:sz w:val="22"/>
          <w:szCs w:val="22"/>
        </w:rPr>
        <w:t>ts approach to Diversity, Equity and Inclusion by making its recruitment processes more inclusive. This could involve checking job descriptions for language that may discourage certain applicants, ensuring interview panels include different perspectives an</w:t>
      </w:r>
      <w:r>
        <w:rPr>
          <w:rFonts w:ascii="Arial" w:eastAsia="Arial" w:hAnsi="Arial" w:cs="Arial"/>
          <w:sz w:val="22"/>
          <w:szCs w:val="22"/>
        </w:rPr>
        <w:t>d reviewing whether unnecessary qualifications or requirements could prevent suitable candidates from applying. Structured, objective recruitment tools such as Rodger's (1952) Seven Point Plan can also help reduce the influence of unconscious bias by focus</w:t>
      </w:r>
      <w:r>
        <w:rPr>
          <w:rFonts w:ascii="Arial" w:eastAsia="Arial" w:hAnsi="Arial" w:cs="Arial"/>
          <w:sz w:val="22"/>
          <w:szCs w:val="22"/>
        </w:rPr>
        <w:t>ing selection decisions on clearly defined, job-relevant criteria.</w:t>
      </w:r>
    </w:p>
    <w:p w14:paraId="431EDEB7" w14:textId="77777777" w:rsidR="00B04B50" w:rsidRDefault="002B67CA">
      <w:pPr>
        <w:spacing w:after="200" w:line="360" w:lineRule="auto"/>
        <w:jc w:val="both"/>
      </w:pPr>
      <w:r>
        <w:rPr>
          <w:rFonts w:ascii="Arial" w:eastAsia="Arial" w:hAnsi="Arial" w:cs="Arial"/>
          <w:sz w:val="22"/>
          <w:szCs w:val="22"/>
        </w:rPr>
        <w:t xml:space="preserve">Training managers and developing effective DEI policies are also important. Having a policy alone does not guarantee that employees will experience fairness in the workplace. Managers need </w:t>
      </w:r>
      <w:r>
        <w:rPr>
          <w:rFonts w:ascii="Arial" w:eastAsia="Arial" w:hAnsi="Arial" w:cs="Arial"/>
          <w:sz w:val="22"/>
          <w:szCs w:val="22"/>
        </w:rPr>
        <w:t>to understand how to apply these policies when making decisions about recruitment, promotion, development and performance. This is particularly important because unconscious bias can influence decisions even when there is no deliberate intention to discrim</w:t>
      </w:r>
      <w:r>
        <w:rPr>
          <w:rFonts w:ascii="Arial" w:eastAsia="Arial" w:hAnsi="Arial" w:cs="Arial"/>
          <w:sz w:val="22"/>
          <w:szCs w:val="22"/>
        </w:rPr>
        <w:t>inate.</w:t>
      </w:r>
    </w:p>
    <w:p w14:paraId="1252D82B" w14:textId="77777777" w:rsidR="00B04B50" w:rsidRDefault="002B67CA">
      <w:pPr>
        <w:spacing w:after="200" w:line="360" w:lineRule="auto"/>
        <w:jc w:val="both"/>
      </w:pPr>
      <w:r>
        <w:rPr>
          <w:rFonts w:ascii="Arial" w:eastAsia="Arial" w:hAnsi="Arial" w:cs="Arial"/>
          <w:sz w:val="22"/>
          <w:szCs w:val="22"/>
        </w:rPr>
        <w:t xml:space="preserve">However, DEI initiatives may have limited impact if they are treated as a formal requirement rather than something that influences everyday behaviour. M&amp;S could have strong policies in place but still fail to create meaningful change if managers do </w:t>
      </w:r>
      <w:r>
        <w:rPr>
          <w:rFonts w:ascii="Arial" w:eastAsia="Arial" w:hAnsi="Arial" w:cs="Arial"/>
          <w:sz w:val="22"/>
          <w:szCs w:val="22"/>
        </w:rPr>
        <w:t xml:space="preserve">not consistently follow them. Measuring progress and holding managers accountable can therefore help ensure that DEI becomes part of the organisation's culture. For M&amp;S, long-term commitment and consistent </w:t>
      </w:r>
      <w:r>
        <w:rPr>
          <w:rFonts w:ascii="Arial" w:eastAsia="Arial" w:hAnsi="Arial" w:cs="Arial"/>
          <w:sz w:val="22"/>
          <w:szCs w:val="22"/>
        </w:rPr>
        <w:lastRenderedPageBreak/>
        <w:t xml:space="preserve">implementation are more likely to produce genuine </w:t>
      </w:r>
      <w:r>
        <w:rPr>
          <w:rFonts w:ascii="Arial" w:eastAsia="Arial" w:hAnsi="Arial" w:cs="Arial"/>
          <w:sz w:val="22"/>
          <w:szCs w:val="22"/>
        </w:rPr>
        <w:t>improvements than policies that exist only on paper.</w:t>
      </w:r>
    </w:p>
    <w:p w14:paraId="0F3B9A41" w14:textId="77777777" w:rsidR="00B04B50" w:rsidRDefault="002B67CA">
      <w:pPr>
        <w:pStyle w:val="Heading1"/>
        <w:spacing w:before="300" w:after="200" w:line="360" w:lineRule="auto"/>
      </w:pPr>
      <w:r>
        <w:rPr>
          <w:rFonts w:ascii="Arial" w:eastAsia="Arial" w:hAnsi="Arial" w:cs="Arial"/>
          <w:b/>
          <w:bCs/>
        </w:rPr>
        <w:t>3. Critical Evaluation of Managerial Implementation</w:t>
      </w:r>
    </w:p>
    <w:p w14:paraId="7C995EAA" w14:textId="77777777" w:rsidR="00B04B50" w:rsidRDefault="002B67CA">
      <w:pPr>
        <w:spacing w:after="200" w:line="360" w:lineRule="auto"/>
        <w:jc w:val="both"/>
      </w:pPr>
      <w:r>
        <w:rPr>
          <w:rFonts w:ascii="Arial" w:eastAsia="Arial" w:hAnsi="Arial" w:cs="Arial"/>
          <w:sz w:val="22"/>
          <w:szCs w:val="22"/>
        </w:rPr>
        <w:t>The success of HR practices at M&amp;S depends not only on having effective policies but also on how well managers apply them in the workplace. Departmenta</w:t>
      </w:r>
      <w:r>
        <w:rPr>
          <w:rFonts w:ascii="Arial" w:eastAsia="Arial" w:hAnsi="Arial" w:cs="Arial"/>
          <w:sz w:val="22"/>
          <w:szCs w:val="22"/>
        </w:rPr>
        <w:t>l and store managers have an important role in turning HR strategies into actions and ensuring they are implemented consistently.</w:t>
      </w:r>
    </w:p>
    <w:p w14:paraId="22D1A2A9" w14:textId="77777777" w:rsidR="00B04B50" w:rsidRDefault="002B67CA">
      <w:pPr>
        <w:spacing w:after="200" w:line="360" w:lineRule="auto"/>
        <w:jc w:val="both"/>
      </w:pPr>
      <w:r>
        <w:rPr>
          <w:rFonts w:ascii="Arial" w:eastAsia="Arial" w:hAnsi="Arial" w:cs="Arial"/>
          <w:sz w:val="22"/>
          <w:szCs w:val="22"/>
        </w:rPr>
        <w:t>Leadership accountability is particularly important. Senior leaders need to take responsibility for making sure changes involving technology, talent management and DEI are properly introduced. If managers are not held accountable, HR initiatives may be vie</w:t>
      </w:r>
      <w:r>
        <w:rPr>
          <w:rFonts w:ascii="Arial" w:eastAsia="Arial" w:hAnsi="Arial" w:cs="Arial"/>
          <w:sz w:val="22"/>
          <w:szCs w:val="22"/>
        </w:rPr>
        <w:t>wed as optional and gradually lose importance. Setting clear responsibilities and measuring areas such as staff training, employee turnover and DEI progress can encourage managers to take implementation more seriously.</w:t>
      </w:r>
    </w:p>
    <w:p w14:paraId="5F59ED75" w14:textId="77777777" w:rsidR="00B04B50" w:rsidRDefault="002B67CA">
      <w:pPr>
        <w:spacing w:after="200" w:line="360" w:lineRule="auto"/>
        <w:jc w:val="both"/>
      </w:pPr>
      <w:r>
        <w:rPr>
          <w:rFonts w:ascii="Arial" w:eastAsia="Arial" w:hAnsi="Arial" w:cs="Arial"/>
          <w:sz w:val="22"/>
          <w:szCs w:val="22"/>
        </w:rPr>
        <w:t>Effective communication is another ke</w:t>
      </w:r>
      <w:r>
        <w:rPr>
          <w:rFonts w:ascii="Arial" w:eastAsia="Arial" w:hAnsi="Arial" w:cs="Arial"/>
          <w:sz w:val="22"/>
          <w:szCs w:val="22"/>
        </w:rPr>
        <w:t xml:space="preserve">y factor. Employees are more likely to respond positively to change when managers explain what is changing, why it is necessary and how it will affect them. This is especially important when introducing new technology or workplace policies. If information </w:t>
      </w:r>
      <w:r>
        <w:rPr>
          <w:rFonts w:ascii="Arial" w:eastAsia="Arial" w:hAnsi="Arial" w:cs="Arial"/>
          <w:sz w:val="22"/>
          <w:szCs w:val="22"/>
        </w:rPr>
        <w:t>is unclear or changes are introduced without sufficient notice, employees may become worried or resistant, making implementation more difficult.</w:t>
      </w:r>
    </w:p>
    <w:p w14:paraId="17F786F6" w14:textId="77777777" w:rsidR="00B04B50" w:rsidRDefault="002B67CA">
      <w:pPr>
        <w:spacing w:after="200" w:line="360" w:lineRule="auto"/>
        <w:jc w:val="both"/>
      </w:pPr>
      <w:r>
        <w:rPr>
          <w:rFonts w:ascii="Arial" w:eastAsia="Arial" w:hAnsi="Arial" w:cs="Arial"/>
          <w:sz w:val="22"/>
          <w:szCs w:val="22"/>
        </w:rPr>
        <w:t>Monitoring and measuring performance can help M&amp;S determine whether its HR practices are producing the intended</w:t>
      </w:r>
      <w:r>
        <w:rPr>
          <w:rFonts w:ascii="Arial" w:eastAsia="Arial" w:hAnsi="Arial" w:cs="Arial"/>
          <w:sz w:val="22"/>
          <w:szCs w:val="22"/>
        </w:rPr>
        <w:t xml:space="preserve"> results. Regular reviews allow managers to identify problems and make adjustments before they become more serious. This links with the performance management cycle discussed in the module, where objectives are planned, progress is monitored and performanc</w:t>
      </w:r>
      <w:r>
        <w:rPr>
          <w:rFonts w:ascii="Arial" w:eastAsia="Arial" w:hAnsi="Arial" w:cs="Arial"/>
          <w:sz w:val="22"/>
          <w:szCs w:val="22"/>
        </w:rPr>
        <w:t>e is reviewed (Armstrong, 2022). Regular monitoring is more useful than waiting until an annual review to identify problems.</w:t>
      </w:r>
    </w:p>
    <w:p w14:paraId="0E013C99" w14:textId="77777777" w:rsidR="00B04B50" w:rsidRDefault="002B67CA">
      <w:pPr>
        <w:spacing w:after="200" w:line="360" w:lineRule="auto"/>
        <w:jc w:val="both"/>
      </w:pPr>
      <w:r>
        <w:rPr>
          <w:rFonts w:ascii="Arial" w:eastAsia="Arial" w:hAnsi="Arial" w:cs="Arial"/>
          <w:sz w:val="22"/>
          <w:szCs w:val="22"/>
        </w:rPr>
        <w:t>Organisational culture can also influence how successfully HR practices are introduced. A positive culture where employees feel lis</w:t>
      </w:r>
      <w:r>
        <w:rPr>
          <w:rFonts w:ascii="Arial" w:eastAsia="Arial" w:hAnsi="Arial" w:cs="Arial"/>
          <w:sz w:val="22"/>
          <w:szCs w:val="22"/>
        </w:rPr>
        <w:t>tened to and are encouraged to share concerns can make people more willing to accept change. In contrast, a workplace where employees distrust management or are resistant to new ideas may make even well-designed HR initiatives difficult to implement.</w:t>
      </w:r>
    </w:p>
    <w:p w14:paraId="607E7A05" w14:textId="77777777" w:rsidR="00B04B50" w:rsidRDefault="002B67CA">
      <w:pPr>
        <w:spacing w:after="200" w:line="360" w:lineRule="auto"/>
        <w:jc w:val="both"/>
      </w:pPr>
      <w:r>
        <w:rPr>
          <w:rFonts w:ascii="Arial" w:eastAsia="Arial" w:hAnsi="Arial" w:cs="Arial"/>
          <w:sz w:val="22"/>
          <w:szCs w:val="22"/>
        </w:rPr>
        <w:t>There</w:t>
      </w:r>
      <w:r>
        <w:rPr>
          <w:rFonts w:ascii="Arial" w:eastAsia="Arial" w:hAnsi="Arial" w:cs="Arial"/>
          <w:sz w:val="22"/>
          <w:szCs w:val="22"/>
        </w:rPr>
        <w:t xml:space="preserve"> are also several barriers to implementation that M&amp;S needs to consider. Managers may already have significant responsibilities managing staff and meeting operational targets, meaning new HR activities could be given less attention. M&amp;S's large number of s</w:t>
      </w:r>
      <w:r>
        <w:rPr>
          <w:rFonts w:ascii="Arial" w:eastAsia="Arial" w:hAnsi="Arial" w:cs="Arial"/>
          <w:sz w:val="22"/>
          <w:szCs w:val="22"/>
        </w:rPr>
        <w:t xml:space="preserve">tores also </w:t>
      </w:r>
      <w:r>
        <w:rPr>
          <w:rFonts w:ascii="Arial" w:eastAsia="Arial" w:hAnsi="Arial" w:cs="Arial"/>
          <w:sz w:val="22"/>
          <w:szCs w:val="22"/>
        </w:rPr>
        <w:lastRenderedPageBreak/>
        <w:t>creates a risk of inconsistency, with different managers applying policies in different ways. Clear guidance from senior management can help address this, while still allowing managers some flexibility to respond to the needs of their individual</w:t>
      </w:r>
      <w:r>
        <w:rPr>
          <w:rFonts w:ascii="Arial" w:eastAsia="Arial" w:hAnsi="Arial" w:cs="Arial"/>
          <w:sz w:val="22"/>
          <w:szCs w:val="22"/>
        </w:rPr>
        <w:t xml:space="preserve"> teams.</w:t>
      </w:r>
    </w:p>
    <w:p w14:paraId="6F1BF3BF" w14:textId="77777777" w:rsidR="00B04B50" w:rsidRDefault="002B67CA">
      <w:pPr>
        <w:spacing w:after="200" w:line="360" w:lineRule="auto"/>
        <w:jc w:val="both"/>
      </w:pPr>
      <w:r>
        <w:rPr>
          <w:rFonts w:ascii="Arial" w:eastAsia="Arial" w:hAnsi="Arial" w:cs="Arial"/>
          <w:sz w:val="22"/>
          <w:szCs w:val="22"/>
        </w:rPr>
        <w:t>Overall, effective implementation requires more than simply introducing HR policies. M&amp;S managers need clear expectations, appropriate training, sufficient time and support, as well as the authority to make changes. Combining strong leadership with</w:t>
      </w:r>
      <w:r>
        <w:rPr>
          <w:rFonts w:ascii="Arial" w:eastAsia="Arial" w:hAnsi="Arial" w:cs="Arial"/>
          <w:sz w:val="22"/>
          <w:szCs w:val="22"/>
        </w:rPr>
        <w:t xml:space="preserve"> communication, regular monitoring and a supportive workplace culture can help ensure that HR practices are implemented consistently and produce meaningful results.</w:t>
      </w:r>
    </w:p>
    <w:p w14:paraId="1E62CFBD" w14:textId="77777777" w:rsidR="00B04B50" w:rsidRDefault="002B67CA">
      <w:pPr>
        <w:pStyle w:val="Heading1"/>
        <w:spacing w:before="300" w:after="200" w:line="360" w:lineRule="auto"/>
      </w:pPr>
      <w:r>
        <w:rPr>
          <w:rFonts w:ascii="Arial" w:eastAsia="Arial" w:hAnsi="Arial" w:cs="Arial"/>
          <w:b/>
          <w:bCs/>
        </w:rPr>
        <w:t>4. Conclusion and Recommendations</w:t>
      </w:r>
    </w:p>
    <w:p w14:paraId="4FC8481F" w14:textId="77777777" w:rsidR="00B04B50" w:rsidRDefault="002B67CA">
      <w:pPr>
        <w:spacing w:after="200" w:line="360" w:lineRule="auto"/>
        <w:jc w:val="both"/>
      </w:pPr>
      <w:r>
        <w:rPr>
          <w:rFonts w:ascii="Arial" w:eastAsia="Arial" w:hAnsi="Arial" w:cs="Arial"/>
          <w:sz w:val="22"/>
          <w:szCs w:val="22"/>
        </w:rPr>
        <w:t>This report has examined the key HR challenges facing Mar</w:t>
      </w:r>
      <w:r>
        <w:rPr>
          <w:rFonts w:ascii="Arial" w:eastAsia="Arial" w:hAnsi="Arial" w:cs="Arial"/>
          <w:sz w:val="22"/>
          <w:szCs w:val="22"/>
        </w:rPr>
        <w:t>ks &amp; Spencer in relation to technological change, talent acquisition and retention, and diversity, equity and inclusion. Each of these factors has a direct impact on employee engagement, organisational performance, and long-term sustainability, particularl</w:t>
      </w:r>
      <w:r>
        <w:rPr>
          <w:rFonts w:ascii="Arial" w:eastAsia="Arial" w:hAnsi="Arial" w:cs="Arial"/>
          <w:sz w:val="22"/>
          <w:szCs w:val="22"/>
        </w:rPr>
        <w:t>y for a large, multi-site retailer undergoing significant digital transformation.</w:t>
      </w:r>
    </w:p>
    <w:p w14:paraId="5183AB85" w14:textId="77777777" w:rsidR="00B04B50" w:rsidRDefault="002B67CA">
      <w:pPr>
        <w:spacing w:after="200" w:line="360" w:lineRule="auto"/>
        <w:jc w:val="both"/>
      </w:pPr>
      <w:r>
        <w:rPr>
          <w:rFonts w:ascii="Arial" w:eastAsia="Arial" w:hAnsi="Arial" w:cs="Arial"/>
          <w:sz w:val="22"/>
          <w:szCs w:val="22"/>
        </w:rPr>
        <w:t>Contemporary HR practices, including digital HR systems, employer branding, strategic workforce planning, and inclusive recruitment, offer genuine ways to address these chall</w:t>
      </w:r>
      <w:r>
        <w:rPr>
          <w:rFonts w:ascii="Arial" w:eastAsia="Arial" w:hAnsi="Arial" w:cs="Arial"/>
          <w:sz w:val="22"/>
          <w:szCs w:val="22"/>
        </w:rPr>
        <w:t>enges, but their effectiveness depends heavily on how consistently and urgently departmental managers implement them.</w:t>
      </w:r>
    </w:p>
    <w:p w14:paraId="4357FA7D" w14:textId="77777777" w:rsidR="00B04B50" w:rsidRDefault="002B67CA">
      <w:pPr>
        <w:spacing w:after="200" w:line="360" w:lineRule="auto"/>
        <w:jc w:val="both"/>
      </w:pPr>
      <w:r>
        <w:rPr>
          <w:rFonts w:ascii="Arial" w:eastAsia="Arial" w:hAnsi="Arial" w:cs="Arial"/>
          <w:sz w:val="22"/>
          <w:szCs w:val="22"/>
        </w:rPr>
        <w:t>Three recommendations follow: first, M&amp;S should ensure managers are held clearly accountable for implementing HR initiatives, not just awa</w:t>
      </w:r>
      <w:r>
        <w:rPr>
          <w:rFonts w:ascii="Arial" w:eastAsia="Arial" w:hAnsi="Arial" w:cs="Arial"/>
          <w:sz w:val="22"/>
          <w:szCs w:val="22"/>
        </w:rPr>
        <w:t>re of them; second, communication with staff around any change, technological or policy based, should be clear and given with enough notice to reduce resistance; and third, DEI should be treated as an ongoing, measured commitment rather than a one-off poli</w:t>
      </w:r>
      <w:r>
        <w:rPr>
          <w:rFonts w:ascii="Arial" w:eastAsia="Arial" w:hAnsi="Arial" w:cs="Arial"/>
          <w:sz w:val="22"/>
          <w:szCs w:val="22"/>
        </w:rPr>
        <w:t>cy, with managers trained and held to account for applying it consistently across all stores.</w:t>
      </w:r>
    </w:p>
    <w:p w14:paraId="213159D7" w14:textId="77777777" w:rsidR="00B04B50" w:rsidRDefault="002B67CA">
      <w:r>
        <w:br w:type="page"/>
      </w:r>
    </w:p>
    <w:p w14:paraId="7D504B11" w14:textId="77777777" w:rsidR="00B04B50" w:rsidRDefault="002B67CA">
      <w:pPr>
        <w:pStyle w:val="Heading1"/>
        <w:spacing w:before="300" w:after="200" w:line="360" w:lineRule="auto"/>
      </w:pPr>
      <w:r>
        <w:rPr>
          <w:rFonts w:ascii="Arial" w:eastAsia="Arial" w:hAnsi="Arial" w:cs="Arial"/>
          <w:b/>
          <w:bCs/>
        </w:rPr>
        <w:lastRenderedPageBreak/>
        <w:t>Reference List</w:t>
      </w:r>
    </w:p>
    <w:p w14:paraId="0C5CD3B3" w14:textId="77777777" w:rsidR="00B04B50" w:rsidRDefault="002B67CA">
      <w:pPr>
        <w:spacing w:after="200" w:line="360" w:lineRule="auto"/>
        <w:jc w:val="both"/>
      </w:pPr>
      <w:r>
        <w:rPr>
          <w:rFonts w:ascii="Arial" w:eastAsia="Arial" w:hAnsi="Arial" w:cs="Arial"/>
          <w:sz w:val="22"/>
          <w:szCs w:val="22"/>
        </w:rPr>
        <w:t>Adams, J. S. (1963) 'Towards an understanding of inequity', Journal of Abnormal and Social Psychology, 67(5), p.422.</w:t>
      </w:r>
    </w:p>
    <w:p w14:paraId="60322BB4" w14:textId="77777777" w:rsidR="00B04B50" w:rsidRDefault="002B67CA">
      <w:pPr>
        <w:spacing w:after="200" w:line="360" w:lineRule="auto"/>
        <w:jc w:val="both"/>
      </w:pPr>
      <w:r>
        <w:rPr>
          <w:rFonts w:ascii="Arial" w:eastAsia="Arial" w:hAnsi="Arial" w:cs="Arial"/>
          <w:sz w:val="22"/>
          <w:szCs w:val="22"/>
        </w:rPr>
        <w:t xml:space="preserve">Armstrong, M. (2020) Armstrong's Handbook of Human Resource Management Practice. 15th </w:t>
      </w:r>
      <w:proofErr w:type="spellStart"/>
      <w:r>
        <w:rPr>
          <w:rFonts w:ascii="Arial" w:eastAsia="Arial" w:hAnsi="Arial" w:cs="Arial"/>
          <w:sz w:val="22"/>
          <w:szCs w:val="22"/>
        </w:rPr>
        <w:t>edn</w:t>
      </w:r>
      <w:proofErr w:type="spellEnd"/>
      <w:r>
        <w:rPr>
          <w:rFonts w:ascii="Arial" w:eastAsia="Arial" w:hAnsi="Arial" w:cs="Arial"/>
          <w:sz w:val="22"/>
          <w:szCs w:val="22"/>
        </w:rPr>
        <w:t>. London: Kogan Page.</w:t>
      </w:r>
    </w:p>
    <w:p w14:paraId="7FC382A3" w14:textId="77777777" w:rsidR="00B04B50" w:rsidRDefault="002B67CA">
      <w:pPr>
        <w:spacing w:after="200" w:line="360" w:lineRule="auto"/>
        <w:jc w:val="both"/>
      </w:pPr>
      <w:r>
        <w:rPr>
          <w:rFonts w:ascii="Arial" w:eastAsia="Arial" w:hAnsi="Arial" w:cs="Arial"/>
          <w:sz w:val="22"/>
          <w:szCs w:val="22"/>
        </w:rPr>
        <w:t>Armstrong, M. (2022) Armstro</w:t>
      </w:r>
      <w:r>
        <w:rPr>
          <w:rFonts w:ascii="Arial" w:eastAsia="Arial" w:hAnsi="Arial" w:cs="Arial"/>
          <w:sz w:val="22"/>
          <w:szCs w:val="22"/>
        </w:rPr>
        <w:t>ng's Handbook of Performance Management: An Evidence-Based Guide to Performance Leadership. London: Kogan Page.</w:t>
      </w:r>
    </w:p>
    <w:p w14:paraId="0A7796C9" w14:textId="77777777" w:rsidR="00B04B50" w:rsidRDefault="002B67CA">
      <w:pPr>
        <w:spacing w:after="200" w:line="360" w:lineRule="auto"/>
        <w:jc w:val="both"/>
      </w:pPr>
      <w:r>
        <w:rPr>
          <w:rFonts w:ascii="Arial" w:eastAsia="Arial" w:hAnsi="Arial" w:cs="Arial"/>
          <w:sz w:val="22"/>
          <w:szCs w:val="22"/>
        </w:rPr>
        <w:t>Atkinson, J. (1984) 'Manpower strategies for flexible organisations', Personnel Management, 16(8), pp.28–31.</w:t>
      </w:r>
    </w:p>
    <w:p w14:paraId="28E06254" w14:textId="77777777" w:rsidR="00B04B50" w:rsidRDefault="002B67CA">
      <w:pPr>
        <w:spacing w:after="200" w:line="360" w:lineRule="auto"/>
        <w:jc w:val="both"/>
      </w:pPr>
      <w:r>
        <w:rPr>
          <w:rFonts w:ascii="Arial" w:eastAsia="Arial" w:hAnsi="Arial" w:cs="Arial"/>
          <w:sz w:val="22"/>
          <w:szCs w:val="22"/>
        </w:rPr>
        <w:t>Equality Act 2010, c.15. London: Th</w:t>
      </w:r>
      <w:r>
        <w:rPr>
          <w:rFonts w:ascii="Arial" w:eastAsia="Arial" w:hAnsi="Arial" w:cs="Arial"/>
          <w:sz w:val="22"/>
          <w:szCs w:val="22"/>
        </w:rPr>
        <w:t>e Stationery Office.</w:t>
      </w:r>
    </w:p>
    <w:p w14:paraId="43290B07" w14:textId="77777777" w:rsidR="00B04B50" w:rsidRDefault="002B67CA">
      <w:pPr>
        <w:spacing w:after="200" w:line="360" w:lineRule="auto"/>
        <w:jc w:val="both"/>
      </w:pPr>
      <w:r>
        <w:rPr>
          <w:rFonts w:ascii="Arial" w:eastAsia="Arial" w:hAnsi="Arial" w:cs="Arial"/>
          <w:sz w:val="22"/>
          <w:szCs w:val="22"/>
        </w:rPr>
        <w:t>Marchington, M. and Wilkinson, A. (2002) People Management and Development: Human Resource Management at Work. London: CIPD Publishing.</w:t>
      </w:r>
    </w:p>
    <w:p w14:paraId="1898F592" w14:textId="77777777" w:rsidR="00B04B50" w:rsidRDefault="002B67CA">
      <w:pPr>
        <w:spacing w:after="200" w:line="360" w:lineRule="auto"/>
        <w:jc w:val="both"/>
      </w:pPr>
      <w:r>
        <w:rPr>
          <w:rFonts w:ascii="Arial" w:eastAsia="Arial" w:hAnsi="Arial" w:cs="Arial"/>
          <w:sz w:val="22"/>
          <w:szCs w:val="22"/>
        </w:rPr>
        <w:t>McEwan, A. M. (2013) Smart Working: Creating the Next Wave. Farnham: Gower Publishing.</w:t>
      </w:r>
    </w:p>
    <w:p w14:paraId="3F119657" w14:textId="77777777" w:rsidR="00B04B50" w:rsidRDefault="002B67CA">
      <w:pPr>
        <w:spacing w:after="200" w:line="360" w:lineRule="auto"/>
        <w:jc w:val="both"/>
      </w:pPr>
      <w:r>
        <w:rPr>
          <w:rFonts w:ascii="Arial" w:eastAsia="Arial" w:hAnsi="Arial" w:cs="Arial"/>
          <w:sz w:val="22"/>
          <w:szCs w:val="22"/>
        </w:rPr>
        <w:t>Rodger, A. (</w:t>
      </w:r>
      <w:r>
        <w:rPr>
          <w:rFonts w:ascii="Arial" w:eastAsia="Arial" w:hAnsi="Arial" w:cs="Arial"/>
          <w:sz w:val="22"/>
          <w:szCs w:val="22"/>
        </w:rPr>
        <w:t>1952) The Seven Point Plan. London: National Institute of Industrial Psychology.</w:t>
      </w:r>
    </w:p>
    <w:p w14:paraId="20C15934" w14:textId="77777777" w:rsidR="00B04B50" w:rsidRDefault="002B67CA">
      <w:pPr>
        <w:spacing w:after="200" w:line="360" w:lineRule="auto"/>
        <w:jc w:val="both"/>
      </w:pPr>
      <w:r>
        <w:rPr>
          <w:rFonts w:ascii="Arial" w:eastAsia="Arial" w:hAnsi="Arial" w:cs="Arial"/>
          <w:sz w:val="22"/>
          <w:szCs w:val="22"/>
        </w:rPr>
        <w:t>Taylor, S. (2005) People Resourcing. London: CIPD Publishing.</w:t>
      </w:r>
    </w:p>
    <w:sectPr w:rsidR="00B04B50">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641C0" w14:textId="77777777" w:rsidR="002B67CA" w:rsidRDefault="002B67CA">
      <w:r>
        <w:separator/>
      </w:r>
    </w:p>
  </w:endnote>
  <w:endnote w:type="continuationSeparator" w:id="0">
    <w:p w14:paraId="7096AA3D" w14:textId="77777777" w:rsidR="002B67CA" w:rsidRDefault="002B67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modern"/>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ABD1F" w14:textId="77777777" w:rsidR="00B04B50" w:rsidRDefault="002B67CA">
    <w:pPr>
      <w:jc w:val="center"/>
    </w:pPr>
    <w:r>
      <w:rPr>
        <w:rFonts w:ascii="Arial" w:eastAsia="Arial" w:hAnsi="Arial" w:cs="Arial"/>
      </w:rPr>
      <w:fldChar w:fldCharType="begin"/>
    </w:r>
    <w:r>
      <w:rPr>
        <w:rFonts w:ascii="Arial" w:eastAsia="Arial" w:hAnsi="Arial" w:cs="Arial"/>
      </w:rPr>
      <w:instrText>PAGE</w:instrText>
    </w:r>
    <w:r>
      <w:rPr>
        <w:rFonts w:ascii="Arial" w:eastAsia="Arial" w:hAnsi="Arial" w:cs="Arial"/>
      </w:rPr>
      <w:fldChar w:fldCharType="separate"/>
    </w:r>
    <w:r w:rsidR="00432151">
      <w:rPr>
        <w:rFonts w:ascii="Arial" w:eastAsia="Arial" w:hAnsi="Arial" w:cs="Arial"/>
        <w:noProof/>
      </w:rPr>
      <w:t>2</w:t>
    </w:r>
    <w:r>
      <w:rPr>
        <w:rFonts w:ascii="Arial" w:eastAsia="Arial" w:hAnsi="Arial" w:cs="Arial"/>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8C9744" w14:textId="77777777" w:rsidR="002B67CA" w:rsidRDefault="002B67CA">
      <w:r>
        <w:separator/>
      </w:r>
    </w:p>
  </w:footnote>
  <w:footnote w:type="continuationSeparator" w:id="0">
    <w:p w14:paraId="4D72DE5A" w14:textId="77777777" w:rsidR="002B67CA" w:rsidRDefault="002B67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1F034B"/>
    <w:multiLevelType w:val="hybridMultilevel"/>
    <w:tmpl w:val="07A0BF68"/>
    <w:lvl w:ilvl="0" w:tplc="FFFFFFFF">
      <w:start w:val="1"/>
      <w:numFmt w:val="bullet"/>
      <w:lvlText w:val="●"/>
      <w:lvlJc w:val="left"/>
      <w:pPr>
        <w:ind w:left="720" w:hanging="360"/>
      </w:pPr>
    </w:lvl>
    <w:lvl w:ilvl="1" w:tplc="FFFFFFFF">
      <w:start w:val="1"/>
      <w:numFmt w:val="bullet"/>
      <w:lvlText w:val="○"/>
      <w:lvlJc w:val="left"/>
      <w:pPr>
        <w:ind w:left="1440" w:hanging="360"/>
      </w:pPr>
    </w:lvl>
    <w:lvl w:ilvl="2" w:tplc="FFFFFFFF">
      <w:start w:val="1"/>
      <w:numFmt w:val="bullet"/>
      <w:lvlText w:val="■"/>
      <w:lvlJc w:val="left"/>
      <w:pPr>
        <w:ind w:left="2160" w:hanging="360"/>
      </w:pPr>
    </w:lvl>
    <w:lvl w:ilvl="3" w:tplc="FFFFFFFF">
      <w:start w:val="1"/>
      <w:numFmt w:val="bullet"/>
      <w:lvlText w:val="●"/>
      <w:lvlJc w:val="left"/>
      <w:pPr>
        <w:ind w:left="2880" w:hanging="360"/>
      </w:pPr>
    </w:lvl>
    <w:lvl w:ilvl="4" w:tplc="FFFFFFFF">
      <w:start w:val="1"/>
      <w:numFmt w:val="bullet"/>
      <w:lvlText w:val="○"/>
      <w:lvlJc w:val="left"/>
      <w:pPr>
        <w:ind w:left="3600" w:hanging="360"/>
      </w:pPr>
    </w:lvl>
    <w:lvl w:ilvl="5" w:tplc="FFFFFFFF">
      <w:start w:val="1"/>
      <w:numFmt w:val="bullet"/>
      <w:lvlText w:val="■"/>
      <w:lvlJc w:val="left"/>
      <w:pPr>
        <w:ind w:left="4320" w:hanging="360"/>
      </w:pPr>
    </w:lvl>
    <w:lvl w:ilvl="6" w:tplc="FFFFFFFF">
      <w:start w:val="1"/>
      <w:numFmt w:val="bullet"/>
      <w:lvlText w:val="●"/>
      <w:lvlJc w:val="left"/>
      <w:pPr>
        <w:ind w:left="5040" w:hanging="360"/>
      </w:pPr>
    </w:lvl>
    <w:lvl w:ilvl="7" w:tplc="FFFFFFFF">
      <w:start w:val="1"/>
      <w:numFmt w:val="bullet"/>
      <w:lvlText w:val="●"/>
      <w:lvlJc w:val="left"/>
      <w:pPr>
        <w:ind w:left="5760" w:hanging="360"/>
      </w:pPr>
    </w:lvl>
    <w:lvl w:ilvl="8" w:tplc="FFFFFFFF">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4B50"/>
    <w:rsid w:val="002B67CA"/>
    <w:rsid w:val="00432151"/>
    <w:rsid w:val="00B04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6E7D61"/>
  <w15:docId w15:val="{421A8BB8-F142-C940-BD09-FEF087AC0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2370</Words>
  <Characters>13513</Characters>
  <Application>Microsoft Office Word</Application>
  <DocSecurity>0</DocSecurity>
  <Lines>112</Lines>
  <Paragraphs>31</Paragraphs>
  <ScaleCrop>false</ScaleCrop>
  <Company/>
  <LinksUpToDate>false</LinksUpToDate>
  <CharactersWithSpaces>15852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tonythetitan22@gmail.com</cp:lastModifiedBy>
  <cp:revision>2</cp:revision>
  <dcterms:created xsi:type="dcterms:W3CDTF">2026-08-21T06:01:00Z</dcterms:created>
  <dcterms:modified xsi:type="dcterms:W3CDTF">2026-08-21T06:01:00Z</dcterms:modified>
</cp:coreProperties>
</file>