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76CE04" w14:textId="77777777" w:rsidR="002E2C60" w:rsidRDefault="002E2C60" w:rsidP="002E2C60">
      <w:pPr>
        <w:pStyle w:val="Heading1"/>
      </w:pPr>
      <w:r>
        <w:t xml:space="preserve">References: </w:t>
      </w:r>
    </w:p>
    <w:p w14:paraId="77A12D41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 xml:space="preserve">ACAS (2019) </w:t>
      </w:r>
      <w:r w:rsidRPr="002E2C60">
        <w:rPr>
          <w:rFonts w:ascii="Arial" w:hAnsi="Arial" w:cs="Arial"/>
          <w:i/>
        </w:rPr>
        <w:t>Guidance age discrimination: Key points for the Workplace</w:t>
      </w:r>
      <w:r w:rsidRPr="002E2C60">
        <w:rPr>
          <w:rFonts w:ascii="Arial" w:hAnsi="Arial" w:cs="Arial"/>
        </w:rPr>
        <w:t xml:space="preserve">, </w:t>
      </w:r>
      <w:r w:rsidRPr="002E2C60">
        <w:rPr>
          <w:rFonts w:ascii="Arial" w:hAnsi="Arial" w:cs="Arial"/>
          <w:i/>
        </w:rPr>
        <w:t>ACAS</w:t>
      </w:r>
      <w:r w:rsidRPr="002E2C60">
        <w:rPr>
          <w:rFonts w:ascii="Arial" w:hAnsi="Arial" w:cs="Arial"/>
        </w:rPr>
        <w:t>. Available at: https://www.acas.org.uk/sites/default/files/2024-04/age-discrimination-key-points-for-the-workplace.pdf (Accessed: 03 April 2026).</w:t>
      </w:r>
    </w:p>
    <w:p w14:paraId="52C8413B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ACAS (2025) What the law says – age discrimination, Acas.  Available at: https://www.acas.org.uk/age-discrimination (Accessed: 02 March 2026).</w:t>
      </w:r>
    </w:p>
    <w:p w14:paraId="06FE7BAA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Bryant, L. (2025) Age discrimination tribunal payouts soar, HR Magazine. Available at: https://www.hrmagazine.co.uk/content/news/age-discrimination-tribunal-payouts-soar (Accessed: 03 April 2026).</w:t>
      </w:r>
    </w:p>
    <w:p w14:paraId="19CEF872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Cebola, M.M., dos Santos, N.R. and Dionísio, A. (2021) ‘Worker-related ageism: A systematic review of Empirical Research’, Ageing and Society, 43(8), pp. 1882–1914. doi:10.1017/s0144686x21001380.</w:t>
      </w:r>
    </w:p>
    <w:p w14:paraId="3967492B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Centre for Ageing Better (2023) Good recruitment for older workers: A guide for employers, Centre for Ageing Better. Available at: https://ageing-better.org.uk/resources/good-recruitment-for-older-workers-a-guide-for-employers (Accessed: 03 April 2026).</w:t>
      </w:r>
    </w:p>
    <w:p w14:paraId="4F36B6CA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CIPD (2024) Inclusive recruitment: Guide for employers, CIPD People manager guide: Inclusive recruitment. Available at: https://www.cipd.org/en/knowledge/guides/inclusive-employers (Accessed: 03 April 2026).</w:t>
      </w:r>
    </w:p>
    <w:p w14:paraId="2EBC3012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Clemo, F. (2025) Age discrimination payouts jumped 600 per cent last year, analysis finds, Home. Available at: https://www.peoplemanagement.co.uk/article/1907766/age-discrimination-</w:t>
      </w:r>
      <w:r w:rsidRPr="002E2C60">
        <w:rPr>
          <w:rFonts w:ascii="Arial" w:hAnsi="Arial" w:cs="Arial"/>
        </w:rPr>
        <w:lastRenderedPageBreak/>
        <w:t>payouts-jumped-600-per-cent-last-year-analysis-finds (Accessed: 02 March 2026).</w:t>
      </w:r>
    </w:p>
    <w:p w14:paraId="38E19EF5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Crossdale, R., Foster, L. and Walker, A. (2023) ‘The persistence of age discrimination in shaping late working lives’, Innovation in Aging, 7(Supplement_1), pp. 544–545. doi:10.1093/geroni/igad104.1788.</w:t>
      </w:r>
    </w:p>
    <w:p w14:paraId="4BA5C327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Crowley, L. (2024) Report December 2024 changing face of the youth labour market, CIPD. Available at: https://www.cipd.org/globalassets/media/knowledge/knowledge-hub/reports/2024-pdfs/8735-changing-face-of-the-youth-labour-market-web.pdf (Accessed: 03 April 2026).</w:t>
      </w:r>
    </w:p>
    <w:p w14:paraId="03B012C0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EHRC (2020) Age discrimination | EHRC, Equality and human rights commission. Available at: https://www.equalityhumanrights.com/equality/equality-act-2010/your-rights-under-equality-act-2010/age-discrimination (Accessed: 06 March 2026).</w:t>
      </w:r>
    </w:p>
    <w:p w14:paraId="6F3472CF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Foran, M.P. (2022) ‘Grounding unlawful discrimination’, Legal Theory, 28(1), pp. 3–34. doi:10.1017/s1352325221000264.</w:t>
      </w:r>
    </w:p>
    <w:p w14:paraId="722C4604" w14:textId="538D88B3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GOV.UK (2013) Equality act 2010: Guidance, GOV.UK. Available at: https://www.gov.uk/guidance/equality-act-2010-guidance (Accessed: 29 April 2026).</w:t>
      </w:r>
    </w:p>
    <w:p w14:paraId="5E4BB922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Hampel, K. and Kunze, F. (2023) ‘The older, the less digitally fluent? the role of age stereotypes and supervisor support’, Work, Aging and Retirement, 9(4), pp. 393–398. doi:10.1093/workar/waad001.</w:t>
      </w:r>
    </w:p>
    <w:p w14:paraId="52E37630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Homer v Chief Constable of West Yorkshire Police (2010). Available at: https://www.supremecourt.uk/cases/uksc-2010-0102 (Accessed: 7 May 2026).</w:t>
      </w:r>
    </w:p>
    <w:p w14:paraId="5163ED6E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lastRenderedPageBreak/>
        <w:t>Hulus, A. and Michaelidou, C. (2025) ‘Age discrimination against younger adults in academic and professional settings’, Discover Psychology, 5(1). doi:10.1007/s44202-025-00443-3.</w:t>
      </w:r>
    </w:p>
    <w:p w14:paraId="65EDB0D9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Ingle, K. (2024) Council post: Leading multi-generational teams: Five best practices for leaders, FORBES. Available at: https://www.forbes.com/councils/forbesbusinesscouncil/2024/05/29/leading-multi-generational-teams-five-best-practices-for-leaders/ (Accessed: 03 April 2026).</w:t>
      </w:r>
    </w:p>
    <w:p w14:paraId="1631C7C6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Keane-Dawson, M. (2025) Why employers must ditch generational stereotypes to drive meaningful change, Home. Available at: https://www.peoplemanagement.co.uk/article/1914286/why-employers-ditch-generational-stereotypes-drive-meaningful-change (Accessed: 02 March 2026).</w:t>
      </w:r>
    </w:p>
    <w:p w14:paraId="6CF1FC0B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Malos, S. (2015) ‘Overt stereotype biases and discrimination in the workplace: Why haven’t we fixed this by now?’, Employee Responsibilities and Rights Journal, 27(4), pp. 271–280. doi:10.1007/s10672-015-9264-7.</w:t>
      </w:r>
    </w:p>
    <w:p w14:paraId="47768F31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Nicholls, J. (2019) New guidance on age discrimination, 54396. Available at: https://www.peoplemanagement.co.uk/article/1741250/new-guidance-on-age-discrimination (Accessed: 03 April 2026).</w:t>
      </w:r>
    </w:p>
    <w:p w14:paraId="0A01EEE8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 xml:space="preserve">Sofidel (2025) Code of Ethics. Unpublished internal company document. </w:t>
      </w:r>
    </w:p>
    <w:p w14:paraId="2BED8ED7" w14:textId="77777777" w:rsid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>Vickerstaff, S.A. and van der Horst, M.F. (2019) ‘Training at work: The impact of internalized ageism’, Innovation in Aging, doi:10.1093/geroni/igz038.010.</w:t>
      </w:r>
    </w:p>
    <w:p w14:paraId="00E02C93" w14:textId="69D8597A" w:rsidR="002E2C60" w:rsidRPr="002E2C60" w:rsidRDefault="002E2C60" w:rsidP="002E2C60">
      <w:pPr>
        <w:pStyle w:val="ListParagraph"/>
        <w:numPr>
          <w:ilvl w:val="0"/>
          <w:numId w:val="1"/>
        </w:numPr>
        <w:spacing w:after="0" w:line="480" w:lineRule="auto"/>
        <w:rPr>
          <w:rFonts w:ascii="Arial" w:hAnsi="Arial" w:cs="Arial"/>
        </w:rPr>
      </w:pPr>
      <w:r w:rsidRPr="002E2C60">
        <w:rPr>
          <w:rFonts w:ascii="Arial" w:hAnsi="Arial" w:cs="Arial"/>
        </w:rPr>
        <w:t xml:space="preserve">Wang, Y. and Shi, W. (2024) ‘Effects of age stereotypes of older workers on job performance and intergenerational knowledge transfer intention and </w:t>
      </w:r>
      <w:r w:rsidRPr="002E2C60">
        <w:rPr>
          <w:rFonts w:ascii="Arial" w:hAnsi="Arial" w:cs="Arial"/>
        </w:rPr>
        <w:lastRenderedPageBreak/>
        <w:t>mediating mechanisms’, Behavioral Sciences, 14(6), p. 503. doi:10.3390/bs14060503.</w:t>
      </w:r>
    </w:p>
    <w:p w14:paraId="1F5D29BC" w14:textId="77777777" w:rsidR="00A26343" w:rsidRDefault="00A26343"/>
    <w:sectPr w:rsidR="00A263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0592BEA"/>
    <w:multiLevelType w:val="hybridMultilevel"/>
    <w:tmpl w:val="F21815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50930120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E2C60"/>
    <w:rsid w:val="00201914"/>
    <w:rsid w:val="002E2C60"/>
    <w:rsid w:val="004B6BD8"/>
    <w:rsid w:val="00A26343"/>
    <w:rsid w:val="00D648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A4493D"/>
  <w15:chartTrackingRefBased/>
  <w15:docId w15:val="{56E64B30-3A4C-4297-9703-CBD929F823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E2C60"/>
    <w:pPr>
      <w:spacing w:line="278" w:lineRule="auto"/>
    </w:pPr>
    <w:rPr>
      <w:rFonts w:eastAsiaTheme="minorEastAsia"/>
      <w:sz w:val="24"/>
      <w:szCs w:val="24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2E2C6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E2C6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E2C6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E2C6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E2C6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E2C6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E2C6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E2C6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E2C6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E2C6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E2C6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E2C6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E2C6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E2C6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E2C6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E2C6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E2C6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E2C6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E2C6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E2C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E2C6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E2C6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E2C6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E2C6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E2C6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E2C6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E2C6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E2C6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E2C60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a3b81b6-c42d-4afd-b16a-c781c6f41ef9">
      <Terms xmlns="http://schemas.microsoft.com/office/infopath/2007/PartnerControls"/>
    </lcf76f155ced4ddcb4097134ff3c332f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652776E5E15E045839B18C1C46003C0" ma:contentTypeVersion="12" ma:contentTypeDescription="Create a new document." ma:contentTypeScope="" ma:versionID="98146df54480c7b1ba6cefa8180362a2">
  <xsd:schema xmlns:xsd="http://www.w3.org/2001/XMLSchema" xmlns:xs="http://www.w3.org/2001/XMLSchema" xmlns:p="http://schemas.microsoft.com/office/2006/metadata/properties" xmlns:ns2="7a3b81b6-c42d-4afd-b16a-c781c6f41ef9" targetNamespace="http://schemas.microsoft.com/office/2006/metadata/properties" ma:root="true" ma:fieldsID="2a7143738a1b57ad0cfe5487630cf958" ns2:_="">
    <xsd:import namespace="7a3b81b6-c42d-4afd-b16a-c781c6f41e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3b81b6-c42d-4afd-b16a-c781c6f41e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929422e7-42f7-45ac-b9c1-c99d2cefdee2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DateTaken" ma:index="14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BE6CB70-9735-4246-B0AB-4993EA61A536}">
  <ds:schemaRefs>
    <ds:schemaRef ds:uri="http://schemas.microsoft.com/office/2006/metadata/properties"/>
    <ds:schemaRef ds:uri="http://schemas.microsoft.com/office/infopath/2007/PartnerControls"/>
    <ds:schemaRef ds:uri="7a3b81b6-c42d-4afd-b16a-c781c6f41ef9"/>
  </ds:schemaRefs>
</ds:datastoreItem>
</file>

<file path=customXml/itemProps2.xml><?xml version="1.0" encoding="utf-8"?>
<ds:datastoreItem xmlns:ds="http://schemas.openxmlformats.org/officeDocument/2006/customXml" ds:itemID="{928925E3-3096-4DED-8A50-74920B855D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F587567-85DF-40EB-8488-64C5EF02E80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3b81b6-c42d-4afd-b16a-c781c6f41e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Metadata/LabelInfo.xml><?xml version="1.0" encoding="utf-8"?>
<clbl:labelList xmlns:clbl="http://schemas.microsoft.com/office/2020/mipLabelMetadata">
  <clbl:label id="{d10e1bff-ed4c-49c7-ba7d-da0b37f28173}" enabled="1" method="Privileged" siteId="{39011ac3-7582-45f6-a959-eda3cb4abb11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4</Pages>
  <Words>655</Words>
  <Characters>3737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Rana Ibrahim (1550648)</dc:creator>
  <cp:keywords/>
  <dc:description/>
  <cp:lastModifiedBy/>
  <cp:revision>2</cp:revision>
  <dcterms:created xsi:type="dcterms:W3CDTF">2026-05-11T10:11:00Z</dcterms:created>
  <dcterms:modified xsi:type="dcterms:W3CDTF">2026-05-11T10:24:00Z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0x010100A652776E5E15E045839B18C1C46003C0</vt:lpwstr>
  </property>
</Properties>
</file>