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00F05" w14:textId="77777777" w:rsidR="0005406F" w:rsidRPr="001E1518" w:rsidRDefault="0005406F" w:rsidP="007060DF">
      <w:pPr>
        <w:rPr>
          <w:rFonts w:asciiTheme="minorHAnsi" w:hAnsiTheme="minorHAnsi" w:cstheme="minorHAnsi"/>
        </w:rPr>
      </w:pPr>
    </w:p>
    <w:p w14:paraId="31030654" w14:textId="77777777" w:rsidR="00C63E48" w:rsidRPr="001E1518" w:rsidRDefault="0069058A" w:rsidP="00C63E48">
      <w:pPr>
        <w:rPr>
          <w:rFonts w:asciiTheme="minorHAnsi" w:hAnsiTheme="minorHAnsi" w:cstheme="minorHAnsi"/>
        </w:rPr>
      </w:pPr>
      <w:r w:rsidRPr="001E1518">
        <w:rPr>
          <w:rFonts w:asciiTheme="minorHAnsi" w:hAnsiTheme="minorHAnsi" w:cstheme="minorHAnsi"/>
        </w:rPr>
        <w:t xml:space="preserve">At the Nuremberg trials in 1945, Goering is reported to have said, "The victor will always be the judge, and the vanquished the accused" (Rudolph, 2017, p. 22). Almost 2000 years earlier, Emperor Nero, a fellow art lover, extrovert, hedonist and product of an unusual mother, was unwittingly about to provide graphic proof of this concept. Instead of being remembered as a revolutionary economist and benevolent leader, his reputation has developed into something quite different. Now he is principally known as the Roman Emperor that fiddled while Rome burned. This view has existed for centuries, </w:t>
      </w:r>
      <w:r w:rsidR="00C63E48" w:rsidRPr="001E1518">
        <w:rPr>
          <w:rFonts w:asciiTheme="minorHAnsi" w:hAnsiTheme="minorHAnsi" w:cstheme="minorHAnsi"/>
          <w:b/>
          <w:bCs/>
          <w:u w:val="single"/>
        </w:rPr>
        <w:t>HOW CREDIBLE IS THE ALLEGATION THAT NERO WAS RESPONSIBLE FOR THE GREAT FIRE OF ROME IN AD64? HOW MUCH DID THIS HARM HIS REPUTATION AMONG HIS CONTEMPORARIES?</w:t>
      </w:r>
    </w:p>
    <w:p w14:paraId="315CDD4D" w14:textId="5C169AD5" w:rsidR="0005406F" w:rsidRDefault="0069058A" w:rsidP="007060DF">
      <w:pPr>
        <w:rPr>
          <w:rFonts w:asciiTheme="minorHAnsi" w:hAnsiTheme="minorHAnsi" w:cstheme="minorHAnsi"/>
        </w:rPr>
      </w:pPr>
      <w:r w:rsidRPr="001E1518">
        <w:rPr>
          <w:rFonts w:asciiTheme="minorHAnsi" w:hAnsiTheme="minorHAnsi" w:cstheme="minorHAnsi"/>
        </w:rPr>
        <w:t xml:space="preserve">started by near-contemporary writers such as Suetonius and </w:t>
      </w:r>
      <w:proofErr w:type="gramStart"/>
      <w:r w:rsidRPr="001E1518">
        <w:rPr>
          <w:rFonts w:asciiTheme="minorHAnsi" w:hAnsiTheme="minorHAnsi" w:cstheme="minorHAnsi"/>
        </w:rPr>
        <w:t>Tacitus, and</w:t>
      </w:r>
      <w:proofErr w:type="gramEnd"/>
      <w:r w:rsidRPr="001E1518">
        <w:rPr>
          <w:rFonts w:asciiTheme="minorHAnsi" w:hAnsiTheme="minorHAnsi" w:cstheme="minorHAnsi"/>
        </w:rPr>
        <w:t xml:space="preserve"> perpetuated in popular myth relatively recently by Hollywood in films such as Quo Vadis. Inevitably there have been challenges to this perception, particularly in modern times. Some have sought to portray him more as a victim of circumstance. </w:t>
      </w:r>
    </w:p>
    <w:p w14:paraId="0C8E40CD" w14:textId="77777777" w:rsidR="007060DF" w:rsidRPr="001E1518" w:rsidRDefault="007060DF" w:rsidP="007060DF">
      <w:pPr>
        <w:rPr>
          <w:rFonts w:asciiTheme="minorHAnsi" w:hAnsiTheme="minorHAnsi" w:cstheme="minorHAnsi"/>
        </w:rPr>
      </w:pPr>
    </w:p>
    <w:p w14:paraId="52A2AC70" w14:textId="5BA5CC7A" w:rsidR="0005406F" w:rsidRDefault="0069058A" w:rsidP="007060DF">
      <w:pPr>
        <w:rPr>
          <w:rFonts w:asciiTheme="minorHAnsi" w:hAnsiTheme="minorHAnsi" w:cstheme="minorHAnsi"/>
        </w:rPr>
      </w:pPr>
      <w:r w:rsidRPr="001E1518">
        <w:rPr>
          <w:rFonts w:asciiTheme="minorHAnsi" w:hAnsiTheme="minorHAnsi" w:cstheme="minorHAnsi"/>
        </w:rPr>
        <w:t xml:space="preserve">At first glance, there appears to be some considerable evidence that Nero or at least his regime was indeed responsible for starting the fire. Eyewitness accounts seemed to suggest that its </w:t>
      </w:r>
      <w:r w:rsidR="007E544F">
        <w:rPr>
          <w:rFonts w:asciiTheme="minorHAnsi" w:hAnsiTheme="minorHAnsi" w:cstheme="minorHAnsi"/>
        </w:rPr>
        <w:t>beginning</w:t>
      </w:r>
      <w:r w:rsidRPr="001E1518">
        <w:rPr>
          <w:rFonts w:asciiTheme="minorHAnsi" w:hAnsiTheme="minorHAnsi" w:cstheme="minorHAnsi"/>
        </w:rPr>
        <w:t xml:space="preserve"> and or encouragement was an early example of the malevolent big state in action. "And nobody dared fight the fire: there were repeated threats from numerous people opposing efforts to extinguish it, and others openly hurled in firebrands and barked out that they "had their instructions" (Tacitus, 15:38.7). The damning evidence continues with Suetonius, who says Nero had an artistic motive for initiating the Fire "As though offended by the unsightliness of the old buildings and by the narrow winding streets, he burned down the city" (Suetonius, 38:1). </w:t>
      </w:r>
    </w:p>
    <w:p w14:paraId="0F8F5B02" w14:textId="77777777" w:rsidR="007060DF" w:rsidRPr="001E1518" w:rsidRDefault="007060DF" w:rsidP="007060DF">
      <w:pPr>
        <w:rPr>
          <w:rFonts w:asciiTheme="minorHAnsi" w:hAnsiTheme="minorHAnsi" w:cstheme="minorHAnsi"/>
        </w:rPr>
      </w:pPr>
    </w:p>
    <w:p w14:paraId="45BE30E2" w14:textId="23CF92D4" w:rsidR="0005406F" w:rsidRDefault="0069058A" w:rsidP="007060DF">
      <w:pPr>
        <w:rPr>
          <w:rFonts w:asciiTheme="minorHAnsi" w:hAnsiTheme="minorHAnsi" w:cstheme="minorHAnsi"/>
        </w:rPr>
      </w:pPr>
      <w:r w:rsidRPr="001E1518">
        <w:rPr>
          <w:rFonts w:asciiTheme="minorHAnsi" w:hAnsiTheme="minorHAnsi" w:cstheme="minorHAnsi"/>
        </w:rPr>
        <w:t xml:space="preserve">Another part of the argument for Nero's involvement in the fire revolves around his conduct during it. "For the rumour had spread that, at the very time that the city was ablaze, Nero had appeared on his private stage and sung about the destruction of Troy" (Tacitus, 15:39.3). Therefore, the impression that this was all some pre-conceived grand design starts to become substantiated. Even Nero's efforts to look after his </w:t>
      </w:r>
      <w:r w:rsidR="006A4EC5">
        <w:rPr>
          <w:rFonts w:asciiTheme="minorHAnsi" w:hAnsiTheme="minorHAnsi" w:cstheme="minorHAnsi"/>
        </w:rPr>
        <w:t xml:space="preserve">public </w:t>
      </w:r>
      <w:r w:rsidRPr="001E1518">
        <w:rPr>
          <w:rFonts w:asciiTheme="minorHAnsi" w:hAnsiTheme="minorHAnsi" w:cstheme="minorHAnsi"/>
        </w:rPr>
        <w:t>and introduce regulations that would help prevent further fires are seen as further evidence of a guilty conscience (Pollini, 2017, p. 220).</w:t>
      </w:r>
    </w:p>
    <w:p w14:paraId="5228D16E" w14:textId="77777777" w:rsidR="007060DF" w:rsidRPr="001E1518" w:rsidRDefault="007060DF" w:rsidP="007060DF">
      <w:pPr>
        <w:rPr>
          <w:rFonts w:asciiTheme="minorHAnsi" w:hAnsiTheme="minorHAnsi" w:cstheme="minorHAnsi"/>
        </w:rPr>
      </w:pPr>
    </w:p>
    <w:p w14:paraId="2C663308" w14:textId="44FB882F" w:rsidR="0005406F" w:rsidRPr="001E1518" w:rsidRDefault="0069058A" w:rsidP="007060DF">
      <w:pPr>
        <w:rPr>
          <w:rFonts w:asciiTheme="minorHAnsi" w:hAnsiTheme="minorHAnsi" w:cstheme="minorHAnsi"/>
        </w:rPr>
      </w:pPr>
      <w:r w:rsidRPr="001E1518">
        <w:rPr>
          <w:rFonts w:asciiTheme="minorHAnsi" w:hAnsiTheme="minorHAnsi" w:cstheme="minorHAnsi"/>
        </w:rPr>
        <w:t xml:space="preserve">The overriding </w:t>
      </w:r>
      <w:r w:rsidR="006A4EC5" w:rsidRPr="007E544F">
        <w:rPr>
          <w:rFonts w:asciiTheme="minorHAnsi" w:hAnsiTheme="minorHAnsi" w:cstheme="minorHAnsi"/>
        </w:rPr>
        <w:t>opposing</w:t>
      </w:r>
      <w:r w:rsidR="006A4EC5">
        <w:rPr>
          <w:rFonts w:asciiTheme="minorHAnsi" w:hAnsiTheme="minorHAnsi" w:cstheme="minorHAnsi"/>
        </w:rPr>
        <w:t xml:space="preserve"> </w:t>
      </w:r>
      <w:r w:rsidRPr="001E1518">
        <w:rPr>
          <w:rFonts w:asciiTheme="minorHAnsi" w:hAnsiTheme="minorHAnsi" w:cstheme="minorHAnsi"/>
        </w:rPr>
        <w:t>argument against Nero's involvement with the fire is the unreliability of the main primary sources. All were writing considerably after the event and all during the ascendancy of the Flavians, who had a vested interest in portraying Nero in a less than flattering light. For a crime to be proven, there also has to be a motive. One that is often suggested is that Nero wanted to make room for his new palace, the Domus Aurea. If that had been the case, he was at the very least guilty of an enormous tactical blunder because it originated in the wrong place. This was unlikely because evidence suggests that he was, in fact, a clever man. (Champlin, 1998, p. 97). Compounding that blunder, Nero would have had to order the fire to be started in an area containing considerable art treasures, the destruction of which would have been an unlikely oversight for Nero, the great art lover. (Pollini, 2017, p. 22).</w:t>
      </w:r>
    </w:p>
    <w:p w14:paraId="67C08715" w14:textId="02F7413B" w:rsidR="0005406F" w:rsidRDefault="0069058A" w:rsidP="007060DF">
      <w:pPr>
        <w:rPr>
          <w:rFonts w:asciiTheme="minorHAnsi" w:hAnsiTheme="minorHAnsi" w:cstheme="minorHAnsi"/>
        </w:rPr>
      </w:pPr>
      <w:r w:rsidRPr="001E1518">
        <w:rPr>
          <w:rFonts w:asciiTheme="minorHAnsi" w:hAnsiTheme="minorHAnsi" w:cstheme="minorHAnsi"/>
        </w:rPr>
        <w:lastRenderedPageBreak/>
        <w:t>Another of Nero's character traits was his desire to be the centre of attention, his public perception was of the utmost importance to him, and he therefore "would not have risked the infamy of being discovered an arsonist" (Drinkwater, 2019, p. 236).</w:t>
      </w:r>
    </w:p>
    <w:p w14:paraId="628E26DC" w14:textId="77777777" w:rsidR="007060DF" w:rsidRPr="001E1518" w:rsidRDefault="007060DF" w:rsidP="007060DF">
      <w:pPr>
        <w:rPr>
          <w:rFonts w:asciiTheme="minorHAnsi" w:hAnsiTheme="minorHAnsi" w:cstheme="minorHAnsi"/>
        </w:rPr>
      </w:pPr>
    </w:p>
    <w:p w14:paraId="600B0DEA" w14:textId="0275A922" w:rsidR="0005406F" w:rsidRDefault="0069058A" w:rsidP="007060DF">
      <w:pPr>
        <w:rPr>
          <w:rFonts w:asciiTheme="minorHAnsi" w:hAnsiTheme="minorHAnsi" w:cstheme="minorHAnsi"/>
        </w:rPr>
      </w:pPr>
      <w:r w:rsidRPr="001E1518">
        <w:rPr>
          <w:rFonts w:asciiTheme="minorHAnsi" w:hAnsiTheme="minorHAnsi" w:cstheme="minorHAnsi"/>
        </w:rPr>
        <w:t>It is also possible to challenge the supposedly overwhelming evidence of the time. Not all contemporary sources point the finger at Nero, "It is significant that Nero is not blamed by the contemporary or near- contemporary Josephus Martial and Juvenal" (Drinkwater, 2019, p. 235). Furthermore, the evidence provided could, at best, be circumstantial, offering a gift to any defence lawyer. An alternative explanation to eyewitness accounts of officials starting fires may well have been the "vigiles" (fire-fighters) creating fire breaks in an attempt to prevent the spread (Pollini, 2017, p. 219).</w:t>
      </w:r>
    </w:p>
    <w:p w14:paraId="76E63459" w14:textId="77777777" w:rsidR="007060DF" w:rsidRPr="001E1518" w:rsidRDefault="007060DF" w:rsidP="007060DF">
      <w:pPr>
        <w:rPr>
          <w:rFonts w:asciiTheme="minorHAnsi" w:hAnsiTheme="minorHAnsi" w:cstheme="minorHAnsi"/>
        </w:rPr>
      </w:pPr>
    </w:p>
    <w:p w14:paraId="2321A952" w14:textId="734D1829" w:rsidR="0005406F" w:rsidRDefault="0069058A" w:rsidP="007060DF">
      <w:pPr>
        <w:rPr>
          <w:rFonts w:asciiTheme="minorHAnsi" w:hAnsiTheme="minorHAnsi" w:cstheme="minorHAnsi"/>
        </w:rPr>
      </w:pPr>
      <w:r w:rsidRPr="001E1518">
        <w:rPr>
          <w:rFonts w:asciiTheme="minorHAnsi" w:hAnsiTheme="minorHAnsi" w:cstheme="minorHAnsi"/>
        </w:rPr>
        <w:t>In terms of his conduct during the fire, it points to a number of themes that serve as counterarguments to any guilt. The fact that he only returned to Rome when his own property, the Domus Transitoria, was threatened, whilst irritating to those whose own properties were already ablaze, these are not the actions of an arsonist but rather somebody who was as much surprised by the course of events as anybody else. The reports of Nero singing to the flames may be interpreted as the likely reaction of an artiste faced by a truly epic spectacle (Drinkwater, 2019, p. 236).</w:t>
      </w:r>
    </w:p>
    <w:p w14:paraId="6FA4E0C4" w14:textId="234FB36B" w:rsidR="006A4EC5" w:rsidRDefault="006A4EC5" w:rsidP="007060DF">
      <w:pPr>
        <w:rPr>
          <w:rFonts w:asciiTheme="minorHAnsi" w:hAnsiTheme="minorHAnsi" w:cstheme="minorHAnsi"/>
        </w:rPr>
      </w:pPr>
    </w:p>
    <w:p w14:paraId="435828F2" w14:textId="77777777" w:rsidR="007E544F" w:rsidRPr="005F3106" w:rsidRDefault="0069058A" w:rsidP="007E544F">
      <w:pPr>
        <w:spacing w:after="240"/>
        <w:rPr>
          <w:rFonts w:asciiTheme="minorHAnsi" w:hAnsiTheme="minorHAnsi" w:cstheme="minorHAnsi"/>
        </w:rPr>
      </w:pPr>
      <w:r w:rsidRPr="005F3106">
        <w:rPr>
          <w:rFonts w:asciiTheme="minorHAnsi" w:hAnsiTheme="minorHAnsi" w:cstheme="minorHAnsi"/>
        </w:rPr>
        <w:t>Whilst there had been fires before, and indeed there were similar such disasters afterwards, the sheer extent of the damage made this an unforgettable event. The near-contemporary sources are convinced that the fire had a profound effect upon the average Roman citizen. "There was not a curse that the people did not utter against Nero, although they did not state his name" (Cassius Dio, 18:3). Like most national disasters, people were soon looking around for somebody in authority to blame. Since Nero seemed to have derived some enjoyment from the spectacle, he was an obvious candidate given the lack of any convenient foreign candidates (Drinkwater, 2019, p. 241).</w:t>
      </w:r>
    </w:p>
    <w:p w14:paraId="28279E69" w14:textId="77777777" w:rsidR="007E544F" w:rsidRPr="005F3106" w:rsidRDefault="0069058A" w:rsidP="007E544F">
      <w:pPr>
        <w:spacing w:before="240" w:after="240"/>
        <w:rPr>
          <w:rFonts w:asciiTheme="minorHAnsi" w:hAnsiTheme="minorHAnsi" w:cstheme="minorHAnsi"/>
        </w:rPr>
      </w:pPr>
      <w:r w:rsidRPr="005F3106">
        <w:rPr>
          <w:rFonts w:asciiTheme="minorHAnsi" w:hAnsiTheme="minorHAnsi" w:cstheme="minorHAnsi"/>
        </w:rPr>
        <w:t>Nero, either by accident or intelligent design, appears to have found a group onto which he was able to divert blame; the Christians. This group, with their "errant behaviour and strange language", were almost tailor-made for the purpose (Drinkwater, 2019, p. 245). "The executions were not mere mindless cruelty; they were flamboyantly theatrical depictions of certain myths which were meant to recall the damage done by the fire, the punishments were conceived to fit the crimes" (Champlin, 1998, p. 104). To some extent, Nero pulled off a masterstroke in blaming the Christians for the fire and, with chilling irony, used them as human torches to light his gardens (Champlin, 1998, p. 97).</w:t>
      </w:r>
    </w:p>
    <w:p w14:paraId="12F4FB76" w14:textId="3B840C6F" w:rsidR="007E544F" w:rsidRDefault="0069058A" w:rsidP="007E544F">
      <w:pPr>
        <w:spacing w:before="240" w:after="240"/>
        <w:rPr>
          <w:rFonts w:asciiTheme="minorHAnsi" w:hAnsiTheme="minorHAnsi" w:cstheme="minorHAnsi"/>
        </w:rPr>
      </w:pPr>
      <w:r w:rsidRPr="007E544F">
        <w:rPr>
          <w:rFonts w:asciiTheme="minorHAnsi" w:hAnsiTheme="minorHAnsi" w:cstheme="minorHAnsi"/>
        </w:rPr>
        <w:t>Whist a</w:t>
      </w:r>
      <w:r>
        <w:rPr>
          <w:rFonts w:asciiTheme="minorHAnsi" w:hAnsiTheme="minorHAnsi" w:cstheme="minorHAnsi"/>
        </w:rPr>
        <w:t>ppeasing</w:t>
      </w:r>
      <w:r w:rsidRPr="005F3106">
        <w:rPr>
          <w:rFonts w:asciiTheme="minorHAnsi" w:hAnsiTheme="minorHAnsi" w:cstheme="minorHAnsi"/>
        </w:rPr>
        <w:t xml:space="preserve"> the wrath of his citizens with a </w:t>
      </w:r>
      <w:r w:rsidRPr="0069058A">
        <w:rPr>
          <w:rFonts w:asciiTheme="minorHAnsi" w:hAnsiTheme="minorHAnsi" w:cstheme="minorHAnsi"/>
        </w:rPr>
        <w:t>ferocious</w:t>
      </w:r>
      <w:r w:rsidRPr="005F3106">
        <w:rPr>
          <w:rFonts w:asciiTheme="minorHAnsi" w:hAnsiTheme="minorHAnsi" w:cstheme="minorHAnsi"/>
        </w:rPr>
        <w:t xml:space="preserve"> purge of the Christians, the second part of Nero's strategy was to embark on a rebuilding programme. He "took extensive, even heroic measures to relieve popular suffering and to resurrect the city on a much sounder basis, with a strict and sensible building code" (Champlin, 1998, p. 103). One of the centrepieces of that programme was the Domus Aurea, which </w:t>
      </w:r>
      <w:r>
        <w:rPr>
          <w:rFonts w:asciiTheme="minorHAnsi" w:hAnsiTheme="minorHAnsi" w:cstheme="minorHAnsi"/>
        </w:rPr>
        <w:t>supposedly</w:t>
      </w:r>
      <w:r w:rsidRPr="005F3106">
        <w:rPr>
          <w:rFonts w:asciiTheme="minorHAnsi" w:hAnsiTheme="minorHAnsi" w:cstheme="minorHAnsi"/>
        </w:rPr>
        <w:t xml:space="preserve"> was heavily criticised at the time. However, its size was "wildly exaggerated by hostile contemporaries" (Champlin, 1998, p. 105). </w:t>
      </w:r>
      <w:r w:rsidRPr="005F3106">
        <w:rPr>
          <w:rFonts w:asciiTheme="minorHAnsi" w:hAnsiTheme="minorHAnsi" w:cstheme="minorHAnsi"/>
        </w:rPr>
        <w:lastRenderedPageBreak/>
        <w:t>Furthermore, this was not a simple vanity project but rather was intended as a public amenity and part of Nero's intended image of a god-like father figure. (Champlin, 1998, p. 106).</w:t>
      </w:r>
    </w:p>
    <w:p w14:paraId="5756BBA1" w14:textId="478B1799" w:rsidR="00FF1BFF" w:rsidRPr="00FF1BFF" w:rsidRDefault="0069058A" w:rsidP="00FF1BFF">
      <w:pPr>
        <w:spacing w:after="200"/>
        <w:rPr>
          <w:rFonts w:asciiTheme="minorHAnsi" w:eastAsiaTheme="minorHAnsi" w:hAnsiTheme="minorHAnsi" w:cstheme="minorBidi"/>
          <w:lang w:val="en-GB"/>
        </w:rPr>
      </w:pPr>
      <w:r w:rsidRPr="00FF1BFF">
        <w:rPr>
          <w:rFonts w:asciiTheme="minorHAnsi" w:eastAsiaTheme="minorHAnsi" w:hAnsiTheme="minorHAnsi" w:cstheme="minorBidi"/>
          <w:lang w:val="en-GB"/>
        </w:rPr>
        <w:t xml:space="preserve">Today we are unable to say with absolute certainty whether or not Nero was guilty of starting the Fire in AD64. This was no doubt a position shared by the citizens of Rome at the time. In many ways, people believed what they wanted to believe, and this was probably driven by self-interest.  Although he was no doubt detested by both aristocrats and Christians, some of that outrage was the by-product of the </w:t>
      </w:r>
      <w:r>
        <w:rPr>
          <w:rFonts w:asciiTheme="minorHAnsi" w:eastAsiaTheme="minorHAnsi" w:hAnsiTheme="minorHAnsi" w:cstheme="minorBidi"/>
          <w:lang w:val="en-GB"/>
        </w:rPr>
        <w:t>f</w:t>
      </w:r>
      <w:r w:rsidRPr="00FF1BFF">
        <w:rPr>
          <w:rFonts w:asciiTheme="minorHAnsi" w:eastAsiaTheme="minorHAnsi" w:hAnsiTheme="minorHAnsi" w:cstheme="minorBidi"/>
          <w:lang w:val="en-GB"/>
        </w:rPr>
        <w:t>ire</w:t>
      </w:r>
      <w:r>
        <w:rPr>
          <w:rFonts w:asciiTheme="minorHAnsi" w:eastAsiaTheme="minorHAnsi" w:hAnsiTheme="minorHAnsi" w:cstheme="minorBidi"/>
          <w:lang w:val="en-GB"/>
        </w:rPr>
        <w:t xml:space="preserve">.  </w:t>
      </w:r>
      <w:r w:rsidRPr="00FF1BFF">
        <w:rPr>
          <w:rFonts w:asciiTheme="minorHAnsi" w:eastAsiaTheme="minorHAnsi" w:hAnsiTheme="minorHAnsi" w:cstheme="minorBidi"/>
          <w:lang w:val="en-GB"/>
        </w:rPr>
        <w:t xml:space="preserve"> </w:t>
      </w:r>
      <w:r>
        <w:rPr>
          <w:rFonts w:asciiTheme="minorHAnsi" w:eastAsiaTheme="minorHAnsi" w:hAnsiTheme="minorHAnsi" w:cstheme="minorBidi"/>
          <w:lang w:val="en-GB"/>
        </w:rPr>
        <w:t>I</w:t>
      </w:r>
      <w:r w:rsidRPr="00FF1BFF">
        <w:rPr>
          <w:rFonts w:asciiTheme="minorHAnsi" w:eastAsiaTheme="minorHAnsi" w:hAnsiTheme="minorHAnsi" w:cstheme="minorBidi"/>
          <w:lang w:val="en-GB"/>
        </w:rPr>
        <w:t>t was clear, however, that Nero remained very popular with the masses, and in fact, 90% of the population were not pleased with his death (Champlin</w:t>
      </w:r>
      <w:r>
        <w:rPr>
          <w:rFonts w:asciiTheme="minorHAnsi" w:eastAsiaTheme="minorHAnsi" w:hAnsiTheme="minorHAnsi" w:cstheme="minorBidi"/>
          <w:lang w:val="en-GB"/>
        </w:rPr>
        <w:t>, 1998, p.</w:t>
      </w:r>
      <w:r w:rsidRPr="00FF1BFF">
        <w:rPr>
          <w:rFonts w:asciiTheme="minorHAnsi" w:eastAsiaTheme="minorHAnsi" w:hAnsiTheme="minorHAnsi" w:cstheme="minorBidi"/>
          <w:lang w:val="en-GB"/>
        </w:rPr>
        <w:t xml:space="preserve"> 107).  This almost amounted to cult worship following his demise because “at least three fake Neros appeared and attracted large followings in the East” (Champlin</w:t>
      </w:r>
      <w:r>
        <w:rPr>
          <w:rFonts w:asciiTheme="minorHAnsi" w:eastAsiaTheme="minorHAnsi" w:hAnsiTheme="minorHAnsi" w:cstheme="minorBidi"/>
          <w:lang w:val="en-GB"/>
        </w:rPr>
        <w:t>, 1998,</w:t>
      </w:r>
      <w:r w:rsidRPr="00FF1BFF">
        <w:rPr>
          <w:rFonts w:asciiTheme="minorHAnsi" w:eastAsiaTheme="minorHAnsi" w:hAnsiTheme="minorHAnsi" w:cstheme="minorBidi"/>
          <w:lang w:val="en-GB"/>
        </w:rPr>
        <w:t xml:space="preserve"> p</w:t>
      </w:r>
      <w:r>
        <w:rPr>
          <w:rFonts w:asciiTheme="minorHAnsi" w:eastAsiaTheme="minorHAnsi" w:hAnsiTheme="minorHAnsi" w:cstheme="minorBidi"/>
          <w:lang w:val="en-GB"/>
        </w:rPr>
        <w:t xml:space="preserve">. </w:t>
      </w:r>
      <w:r w:rsidRPr="00FF1BFF">
        <w:rPr>
          <w:rFonts w:asciiTheme="minorHAnsi" w:eastAsiaTheme="minorHAnsi" w:hAnsiTheme="minorHAnsi" w:cstheme="minorBidi"/>
          <w:lang w:val="en-GB"/>
        </w:rPr>
        <w:t xml:space="preserve">97). In this respect, the events surrounding the </w:t>
      </w:r>
      <w:r>
        <w:rPr>
          <w:rFonts w:asciiTheme="minorHAnsi" w:eastAsiaTheme="minorHAnsi" w:hAnsiTheme="minorHAnsi" w:cstheme="minorBidi"/>
          <w:lang w:val="en-GB"/>
        </w:rPr>
        <w:t>f</w:t>
      </w:r>
      <w:r w:rsidRPr="00FF1BFF">
        <w:rPr>
          <w:rFonts w:asciiTheme="minorHAnsi" w:eastAsiaTheme="minorHAnsi" w:hAnsiTheme="minorHAnsi" w:cstheme="minorBidi"/>
          <w:lang w:val="en-GB"/>
        </w:rPr>
        <w:t xml:space="preserve">ire had only a localised impact upon his reputation. </w:t>
      </w:r>
    </w:p>
    <w:p w14:paraId="3568F458" w14:textId="2F285D04" w:rsidR="00FF1BFF" w:rsidRPr="00FF1BFF" w:rsidRDefault="0069058A" w:rsidP="00FF1BFF">
      <w:pPr>
        <w:spacing w:after="200"/>
        <w:rPr>
          <w:rFonts w:asciiTheme="minorHAnsi" w:eastAsiaTheme="minorHAnsi" w:hAnsiTheme="minorHAnsi" w:cstheme="minorBidi"/>
          <w:lang w:val="en-GB"/>
        </w:rPr>
      </w:pPr>
      <w:r w:rsidRPr="00FF1BFF">
        <w:rPr>
          <w:rFonts w:asciiTheme="minorHAnsi" w:eastAsiaTheme="minorHAnsi" w:hAnsiTheme="minorHAnsi" w:cstheme="minorBidi"/>
          <w:lang w:val="en-GB"/>
        </w:rPr>
        <w:t xml:space="preserve">The damage the </w:t>
      </w:r>
      <w:r>
        <w:rPr>
          <w:rFonts w:asciiTheme="minorHAnsi" w:eastAsiaTheme="minorHAnsi" w:hAnsiTheme="minorHAnsi" w:cstheme="minorBidi"/>
          <w:lang w:val="en-GB"/>
        </w:rPr>
        <w:t>f</w:t>
      </w:r>
      <w:r w:rsidRPr="00FF1BFF">
        <w:rPr>
          <w:rFonts w:asciiTheme="minorHAnsi" w:eastAsiaTheme="minorHAnsi" w:hAnsiTheme="minorHAnsi" w:cstheme="minorBidi"/>
          <w:lang w:val="en-GB"/>
        </w:rPr>
        <w:t xml:space="preserve">ire caused to Nero’s reputation occurred largely after his death. Some scholars argue that there was almost no effect on his popularity at the time. “Most people were prepared to acquit Nero of arson and tolerate his building programme” (Drinkwater, </w:t>
      </w:r>
      <w:r>
        <w:rPr>
          <w:rFonts w:asciiTheme="minorHAnsi" w:eastAsiaTheme="minorHAnsi" w:hAnsiTheme="minorHAnsi" w:cstheme="minorBidi"/>
          <w:lang w:val="en-GB"/>
        </w:rPr>
        <w:t xml:space="preserve">2017, </w:t>
      </w:r>
      <w:r w:rsidRPr="00FF1BFF">
        <w:rPr>
          <w:rFonts w:asciiTheme="minorHAnsi" w:eastAsiaTheme="minorHAnsi" w:hAnsiTheme="minorHAnsi" w:cstheme="minorBidi"/>
          <w:lang w:val="en-GB"/>
        </w:rPr>
        <w:t>p</w:t>
      </w:r>
      <w:r>
        <w:rPr>
          <w:rFonts w:asciiTheme="minorHAnsi" w:eastAsiaTheme="minorHAnsi" w:hAnsiTheme="minorHAnsi" w:cstheme="minorBidi"/>
          <w:lang w:val="en-GB"/>
        </w:rPr>
        <w:t xml:space="preserve">. </w:t>
      </w:r>
      <w:r w:rsidRPr="00FF1BFF">
        <w:rPr>
          <w:rFonts w:asciiTheme="minorHAnsi" w:eastAsiaTheme="minorHAnsi" w:hAnsiTheme="minorHAnsi" w:cstheme="minorBidi"/>
          <w:lang w:val="en-GB"/>
        </w:rPr>
        <w:t xml:space="preserve">260).  Ultimately Nero was the victim of a concerted propaganda campaign by the two influential groups who survived him. Firstly, the Flavians, for reasons of political survival, were keen to present him as the villain. To some extent, this backfired on them during the fire in Rome of AD 80 because "if bad emperors meant bad fires, then Domitian had some explaining to do" (Closs, </w:t>
      </w:r>
      <w:r>
        <w:rPr>
          <w:rFonts w:asciiTheme="minorHAnsi" w:eastAsiaTheme="minorHAnsi" w:hAnsiTheme="minorHAnsi" w:cstheme="minorBidi"/>
          <w:lang w:val="en-GB"/>
        </w:rPr>
        <w:t xml:space="preserve">2016, </w:t>
      </w:r>
      <w:r w:rsidRPr="00FF1BFF">
        <w:rPr>
          <w:rFonts w:asciiTheme="minorHAnsi" w:eastAsiaTheme="minorHAnsi" w:hAnsiTheme="minorHAnsi" w:cstheme="minorBidi"/>
          <w:lang w:val="en-GB"/>
        </w:rPr>
        <w:t>p</w:t>
      </w:r>
      <w:r>
        <w:rPr>
          <w:rFonts w:asciiTheme="minorHAnsi" w:eastAsiaTheme="minorHAnsi" w:hAnsiTheme="minorHAnsi" w:cstheme="minorBidi"/>
          <w:lang w:val="en-GB"/>
        </w:rPr>
        <w:t xml:space="preserve">. </w:t>
      </w:r>
      <w:r w:rsidRPr="00FF1BFF">
        <w:rPr>
          <w:rFonts w:asciiTheme="minorHAnsi" w:eastAsiaTheme="minorHAnsi" w:hAnsiTheme="minorHAnsi" w:cstheme="minorBidi"/>
          <w:lang w:val="en-GB"/>
        </w:rPr>
        <w:t xml:space="preserve">118). </w:t>
      </w:r>
      <w:r>
        <w:rPr>
          <w:rFonts w:asciiTheme="minorHAnsi" w:eastAsiaTheme="minorHAnsi" w:hAnsiTheme="minorHAnsi" w:cstheme="minorBidi"/>
          <w:lang w:val="en-GB"/>
        </w:rPr>
        <w:t xml:space="preserve"> </w:t>
      </w:r>
      <w:r w:rsidRPr="00FF1BFF">
        <w:rPr>
          <w:rFonts w:asciiTheme="minorHAnsi" w:eastAsiaTheme="minorHAnsi" w:hAnsiTheme="minorHAnsi" w:cstheme="minorBidi"/>
          <w:lang w:val="en-GB"/>
        </w:rPr>
        <w:t xml:space="preserve">Secondly, the Christians, who had suffered so </w:t>
      </w:r>
      <w:r>
        <w:rPr>
          <w:rFonts w:asciiTheme="minorHAnsi" w:eastAsiaTheme="minorHAnsi" w:hAnsiTheme="minorHAnsi" w:cstheme="minorBidi"/>
          <w:lang w:val="en-GB"/>
        </w:rPr>
        <w:t xml:space="preserve">gravely </w:t>
      </w:r>
      <w:r w:rsidRPr="00FF1BFF">
        <w:rPr>
          <w:rFonts w:asciiTheme="minorHAnsi" w:eastAsiaTheme="minorHAnsi" w:hAnsiTheme="minorHAnsi" w:cstheme="minorBidi"/>
          <w:lang w:val="en-GB"/>
        </w:rPr>
        <w:t>during his reprisals, were inevitably keen to characterise Nero as a monster, an antichrist even, and it this group that were to become the dominant influence on future European and world thinking.</w:t>
      </w:r>
    </w:p>
    <w:p w14:paraId="16729A2E" w14:textId="13DBA398" w:rsidR="00FF1BFF" w:rsidRDefault="0069058A" w:rsidP="00FF1BFF">
      <w:pPr>
        <w:spacing w:after="200"/>
        <w:rPr>
          <w:rFonts w:asciiTheme="minorHAnsi" w:eastAsiaTheme="minorHAnsi" w:hAnsiTheme="minorHAnsi" w:cstheme="minorBidi"/>
          <w:lang w:val="en-GB"/>
        </w:rPr>
      </w:pPr>
      <w:r w:rsidRPr="00FF1BFF">
        <w:rPr>
          <w:rFonts w:asciiTheme="minorHAnsi" w:eastAsiaTheme="minorHAnsi" w:hAnsiTheme="minorHAnsi" w:cstheme="minorBidi"/>
          <w:lang w:val="en-GB"/>
        </w:rPr>
        <w:t xml:space="preserve">The victors were indeed the judge of Nero’s reputation, which suffered not during his own lifetime but over subsequent millennia, and yet I suspect he would not have been entirely displeased with this outcome. During his lifetime, his popularity with his core base did not shrink as a result of the </w:t>
      </w:r>
      <w:r>
        <w:rPr>
          <w:rFonts w:asciiTheme="minorHAnsi" w:eastAsiaTheme="minorHAnsi" w:hAnsiTheme="minorHAnsi" w:cstheme="minorBidi"/>
          <w:lang w:val="en-GB"/>
        </w:rPr>
        <w:t>f</w:t>
      </w:r>
      <w:r w:rsidRPr="00FF1BFF">
        <w:rPr>
          <w:rFonts w:asciiTheme="minorHAnsi" w:eastAsiaTheme="minorHAnsi" w:hAnsiTheme="minorHAnsi" w:cstheme="minorBidi"/>
          <w:lang w:val="en-GB"/>
        </w:rPr>
        <w:t>ire, and in the following centuries, his fame or infamy remained intact. Few remember Domitian, but many still remember Nero.</w:t>
      </w:r>
    </w:p>
    <w:p w14:paraId="6C1FBA75" w14:textId="2E608C3E" w:rsidR="0069058A" w:rsidRPr="00C63E48" w:rsidRDefault="00C63E48" w:rsidP="00FF1BFF">
      <w:pPr>
        <w:spacing w:after="200"/>
        <w:rPr>
          <w:rFonts w:asciiTheme="minorHAnsi" w:eastAsiaTheme="minorHAnsi" w:hAnsiTheme="minorHAnsi" w:cstheme="minorBidi"/>
          <w:color w:val="FF0000"/>
          <w:sz w:val="36"/>
          <w:szCs w:val="36"/>
          <w:lang w:val="en-GB"/>
        </w:rPr>
      </w:pPr>
      <w:r w:rsidRPr="00C63E48">
        <w:rPr>
          <w:rFonts w:asciiTheme="minorHAnsi" w:eastAsiaTheme="minorHAnsi" w:hAnsiTheme="minorHAnsi" w:cstheme="minorBidi"/>
          <w:color w:val="FF0000"/>
          <w:sz w:val="36"/>
          <w:szCs w:val="36"/>
          <w:highlight w:val="yellow"/>
          <w:lang w:val="en-GB"/>
        </w:rPr>
        <w:t>(1464)</w:t>
      </w:r>
    </w:p>
    <w:p w14:paraId="5037130D" w14:textId="77777777" w:rsidR="0069058A" w:rsidRPr="0069058A" w:rsidRDefault="0069058A" w:rsidP="0069058A">
      <w:pPr>
        <w:rPr>
          <w:rFonts w:asciiTheme="minorHAnsi" w:hAnsiTheme="minorHAnsi" w:cstheme="minorHAnsi"/>
        </w:rPr>
      </w:pPr>
      <w:r w:rsidRPr="0069058A">
        <w:rPr>
          <w:rFonts w:asciiTheme="minorHAnsi" w:hAnsiTheme="minorHAnsi" w:cstheme="minorHAnsi"/>
          <w:b/>
          <w:bCs/>
          <w:u w:val="single"/>
        </w:rPr>
        <w:t>BIBLIOGRAPHY</w:t>
      </w:r>
    </w:p>
    <w:p w14:paraId="6BE2AC11" w14:textId="77777777" w:rsidR="0069058A" w:rsidRPr="0069058A" w:rsidRDefault="0069058A" w:rsidP="0069058A">
      <w:pPr>
        <w:jc w:val="both"/>
        <w:rPr>
          <w:rFonts w:asciiTheme="minorHAnsi" w:hAnsiTheme="minorHAnsi" w:cstheme="minorHAnsi"/>
        </w:rPr>
      </w:pPr>
      <w:r w:rsidRPr="0069058A">
        <w:rPr>
          <w:rFonts w:asciiTheme="minorHAnsi" w:hAnsiTheme="minorHAnsi" w:cstheme="minorHAnsi"/>
        </w:rPr>
        <w:t xml:space="preserve">Barrett, A. A. (2020). </w:t>
      </w:r>
      <w:r w:rsidRPr="0069058A">
        <w:rPr>
          <w:rFonts w:asciiTheme="minorHAnsi" w:hAnsiTheme="minorHAnsi" w:cstheme="minorHAnsi"/>
          <w:i/>
          <w:iCs/>
        </w:rPr>
        <w:t>Rome is burning: Nero and the fire that ended a dynasty</w:t>
      </w:r>
      <w:r w:rsidRPr="0069058A">
        <w:rPr>
          <w:rFonts w:asciiTheme="minorHAnsi" w:hAnsiTheme="minorHAnsi" w:cstheme="minorHAnsi"/>
        </w:rPr>
        <w:t xml:space="preserve">. Princeton </w:t>
      </w:r>
      <w:r w:rsidRPr="0069058A">
        <w:rPr>
          <w:rFonts w:asciiTheme="minorHAnsi" w:hAnsiTheme="minorHAnsi" w:cstheme="minorHAnsi"/>
        </w:rPr>
        <w:tab/>
        <w:t>University Press.</w:t>
      </w:r>
    </w:p>
    <w:p w14:paraId="71EFF9EA" w14:textId="77777777" w:rsidR="0069058A" w:rsidRPr="0069058A" w:rsidRDefault="0069058A" w:rsidP="0069058A">
      <w:pPr>
        <w:jc w:val="both"/>
        <w:rPr>
          <w:rFonts w:asciiTheme="minorHAnsi" w:hAnsiTheme="minorHAnsi" w:cstheme="minorHAnsi"/>
        </w:rPr>
      </w:pPr>
    </w:p>
    <w:p w14:paraId="1E537C06" w14:textId="77777777" w:rsidR="0069058A" w:rsidRPr="0069058A" w:rsidRDefault="0069058A" w:rsidP="0069058A">
      <w:pPr>
        <w:rPr>
          <w:rFonts w:asciiTheme="minorHAnsi" w:hAnsiTheme="minorHAnsi" w:cstheme="minorHAnsi"/>
          <w:lang w:eastAsia="en-GB"/>
        </w:rPr>
      </w:pPr>
      <w:r w:rsidRPr="0069058A">
        <w:rPr>
          <w:rFonts w:asciiTheme="minorHAnsi" w:hAnsiTheme="minorHAnsi" w:cstheme="minorHAnsi"/>
          <w:lang w:eastAsia="en-GB"/>
        </w:rPr>
        <w:t xml:space="preserve">Champlin, E. (1998). Nero reconsidered. </w:t>
      </w:r>
      <w:r w:rsidRPr="0069058A">
        <w:rPr>
          <w:rFonts w:asciiTheme="minorHAnsi" w:hAnsiTheme="minorHAnsi" w:cstheme="minorHAnsi"/>
          <w:i/>
          <w:iCs/>
          <w:lang w:eastAsia="en-GB"/>
        </w:rPr>
        <w:t>New England review (1990-)</w:t>
      </w:r>
      <w:r w:rsidRPr="0069058A">
        <w:rPr>
          <w:rFonts w:asciiTheme="minorHAnsi" w:hAnsiTheme="minorHAnsi" w:cstheme="minorHAnsi"/>
          <w:lang w:eastAsia="en-GB"/>
        </w:rPr>
        <w:t xml:space="preserve">, </w:t>
      </w:r>
      <w:r w:rsidRPr="0069058A">
        <w:rPr>
          <w:rFonts w:asciiTheme="minorHAnsi" w:hAnsiTheme="minorHAnsi" w:cstheme="minorHAnsi"/>
          <w:i/>
          <w:iCs/>
          <w:lang w:eastAsia="en-GB"/>
        </w:rPr>
        <w:t>19</w:t>
      </w:r>
      <w:r w:rsidRPr="0069058A">
        <w:rPr>
          <w:rFonts w:asciiTheme="minorHAnsi" w:hAnsiTheme="minorHAnsi" w:cstheme="minorHAnsi"/>
          <w:lang w:eastAsia="en-GB"/>
        </w:rPr>
        <w:t xml:space="preserve">(2), 97–108. </w:t>
      </w:r>
      <w:r w:rsidRPr="0069058A">
        <w:rPr>
          <w:rFonts w:asciiTheme="minorHAnsi" w:hAnsiTheme="minorHAnsi" w:cstheme="minorHAnsi"/>
          <w:lang w:eastAsia="en-GB"/>
        </w:rPr>
        <w:tab/>
      </w:r>
      <w:hyperlink r:id="rId4" w:history="1">
        <w:r w:rsidRPr="0069058A">
          <w:rPr>
            <w:rStyle w:val="Hyperlink"/>
            <w:rFonts w:asciiTheme="minorHAnsi" w:hAnsiTheme="minorHAnsi" w:cstheme="minorHAnsi"/>
            <w:lang w:eastAsia="en-GB"/>
          </w:rPr>
          <w:t>http://www.jstor.org/stable/40243335</w:t>
        </w:r>
      </w:hyperlink>
    </w:p>
    <w:p w14:paraId="03C9A8F5" w14:textId="77777777" w:rsidR="0069058A" w:rsidRPr="0069058A" w:rsidRDefault="0069058A" w:rsidP="0069058A">
      <w:pPr>
        <w:rPr>
          <w:rFonts w:asciiTheme="minorHAnsi" w:hAnsiTheme="minorHAnsi" w:cstheme="minorHAnsi"/>
          <w:lang w:eastAsia="en-GB"/>
        </w:rPr>
      </w:pPr>
    </w:p>
    <w:p w14:paraId="6A636A03" w14:textId="77777777" w:rsidR="0069058A" w:rsidRPr="0069058A" w:rsidRDefault="0069058A" w:rsidP="0069058A">
      <w:pPr>
        <w:rPr>
          <w:rStyle w:val="Hyperlink"/>
          <w:rFonts w:asciiTheme="minorHAnsi" w:hAnsiTheme="minorHAnsi" w:cstheme="minorHAnsi"/>
          <w:lang w:eastAsia="en-GB"/>
        </w:rPr>
      </w:pPr>
      <w:r w:rsidRPr="0069058A">
        <w:rPr>
          <w:rFonts w:asciiTheme="minorHAnsi" w:hAnsiTheme="minorHAnsi" w:cstheme="minorHAnsi"/>
        </w:rPr>
        <w:t>Closs, V. (2016). ‘</w:t>
      </w:r>
      <w:proofErr w:type="spellStart"/>
      <w:r w:rsidRPr="0069058A">
        <w:rPr>
          <w:rFonts w:asciiTheme="minorHAnsi" w:hAnsiTheme="minorHAnsi" w:cstheme="minorHAnsi"/>
        </w:rPr>
        <w:t>Neronianis</w:t>
      </w:r>
      <w:proofErr w:type="spellEnd"/>
      <w:r w:rsidRPr="0069058A">
        <w:rPr>
          <w:rFonts w:asciiTheme="minorHAnsi" w:hAnsiTheme="minorHAnsi" w:cstheme="minorHAnsi"/>
        </w:rPr>
        <w:t xml:space="preserve"> </w:t>
      </w:r>
      <w:proofErr w:type="spellStart"/>
      <w:r w:rsidRPr="0069058A">
        <w:rPr>
          <w:rFonts w:asciiTheme="minorHAnsi" w:hAnsiTheme="minorHAnsi" w:cstheme="minorHAnsi"/>
        </w:rPr>
        <w:t>Temporibus</w:t>
      </w:r>
      <w:proofErr w:type="spellEnd"/>
      <w:r w:rsidRPr="0069058A">
        <w:rPr>
          <w:rFonts w:asciiTheme="minorHAnsi" w:hAnsiTheme="minorHAnsi" w:cstheme="minorHAnsi"/>
        </w:rPr>
        <w:t xml:space="preserve">: The so-called “Arae </w:t>
      </w:r>
      <w:proofErr w:type="spellStart"/>
      <w:r w:rsidRPr="0069058A">
        <w:rPr>
          <w:rFonts w:asciiTheme="minorHAnsi" w:hAnsiTheme="minorHAnsi" w:cstheme="minorHAnsi"/>
        </w:rPr>
        <w:t>Incendii</w:t>
      </w:r>
      <w:proofErr w:type="spellEnd"/>
      <w:r w:rsidRPr="0069058A">
        <w:rPr>
          <w:rFonts w:asciiTheme="minorHAnsi" w:hAnsiTheme="minorHAnsi" w:cstheme="minorHAnsi"/>
        </w:rPr>
        <w:t xml:space="preserve"> </w:t>
      </w:r>
      <w:proofErr w:type="spellStart"/>
      <w:r w:rsidRPr="0069058A">
        <w:rPr>
          <w:rFonts w:asciiTheme="minorHAnsi" w:hAnsiTheme="minorHAnsi" w:cstheme="minorHAnsi"/>
        </w:rPr>
        <w:t>Neroniani</w:t>
      </w:r>
      <w:proofErr w:type="spellEnd"/>
      <w:r w:rsidRPr="0069058A">
        <w:rPr>
          <w:rFonts w:asciiTheme="minorHAnsi" w:hAnsiTheme="minorHAnsi" w:cstheme="minorHAnsi"/>
        </w:rPr>
        <w:t xml:space="preserve">” and the </w:t>
      </w:r>
      <w:r w:rsidRPr="0069058A">
        <w:rPr>
          <w:rFonts w:asciiTheme="minorHAnsi" w:hAnsiTheme="minorHAnsi" w:cstheme="minorHAnsi"/>
        </w:rPr>
        <w:tab/>
        <w:t xml:space="preserve">fire of </w:t>
      </w:r>
      <w:r w:rsidRPr="0069058A">
        <w:rPr>
          <w:rFonts w:asciiTheme="minorHAnsi" w:hAnsiTheme="minorHAnsi" w:cstheme="minorHAnsi"/>
        </w:rPr>
        <w:tab/>
        <w:t>A.D. 64 in Rome's monumental landscape</w:t>
      </w:r>
      <w:r w:rsidRPr="0069058A">
        <w:rPr>
          <w:rFonts w:asciiTheme="minorHAnsi" w:hAnsiTheme="minorHAnsi" w:cstheme="minorHAnsi"/>
          <w:i/>
          <w:iCs/>
        </w:rPr>
        <w:t>, The journal of Roman studies 106:</w:t>
      </w:r>
      <w:r w:rsidRPr="0069058A">
        <w:rPr>
          <w:rFonts w:asciiTheme="minorHAnsi" w:hAnsiTheme="minorHAnsi" w:cstheme="minorHAnsi"/>
        </w:rPr>
        <w:t xml:space="preserve"> </w:t>
      </w:r>
      <w:r w:rsidRPr="0069058A">
        <w:rPr>
          <w:rFonts w:asciiTheme="minorHAnsi" w:hAnsiTheme="minorHAnsi" w:cstheme="minorHAnsi"/>
        </w:rPr>
        <w:tab/>
        <w:t>102-124.</w:t>
      </w:r>
      <w:r w:rsidRPr="0069058A">
        <w:rPr>
          <w:rFonts w:asciiTheme="minorHAnsi" w:hAnsiTheme="minorHAnsi" w:cstheme="minorHAnsi"/>
          <w:lang w:eastAsia="en-GB"/>
        </w:rPr>
        <w:t xml:space="preserve"> </w:t>
      </w:r>
      <w:hyperlink r:id="rId5" w:history="1">
        <w:r w:rsidRPr="0069058A">
          <w:rPr>
            <w:rStyle w:val="Hyperlink"/>
            <w:rFonts w:asciiTheme="minorHAnsi" w:hAnsiTheme="minorHAnsi" w:cstheme="minorHAnsi"/>
            <w:lang w:eastAsia="en-GB"/>
          </w:rPr>
          <w:t>http://www.jstor.org/stable/26346752</w:t>
        </w:r>
      </w:hyperlink>
    </w:p>
    <w:p w14:paraId="02E6D8F9" w14:textId="77777777" w:rsidR="0069058A" w:rsidRPr="0069058A" w:rsidRDefault="0069058A" w:rsidP="0069058A">
      <w:pPr>
        <w:rPr>
          <w:rFonts w:asciiTheme="minorHAnsi" w:hAnsiTheme="minorHAnsi" w:cstheme="minorHAnsi"/>
          <w:lang w:eastAsia="en-GB"/>
        </w:rPr>
      </w:pPr>
    </w:p>
    <w:p w14:paraId="6D1E80CD" w14:textId="77777777" w:rsidR="0069058A" w:rsidRPr="0069058A" w:rsidRDefault="0069058A" w:rsidP="0069058A">
      <w:pPr>
        <w:widowControl w:val="0"/>
        <w:rPr>
          <w:rFonts w:asciiTheme="minorHAnsi" w:hAnsiTheme="minorHAnsi" w:cstheme="minorHAnsi"/>
          <w:color w:val="000000"/>
          <w:kern w:val="28"/>
          <w:lang w:eastAsia="en-GB"/>
          <w14:cntxtAlts/>
        </w:rPr>
      </w:pPr>
      <w:proofErr w:type="spellStart"/>
      <w:r w:rsidRPr="0069058A">
        <w:rPr>
          <w:rFonts w:asciiTheme="minorHAnsi" w:hAnsiTheme="minorHAnsi" w:cstheme="minorHAnsi"/>
          <w:color w:val="212121"/>
          <w:shd w:val="clear" w:color="auto" w:fill="FFFFFF"/>
        </w:rPr>
        <w:t>Dio</w:t>
      </w:r>
      <w:proofErr w:type="spellEnd"/>
      <w:r w:rsidRPr="0069058A">
        <w:rPr>
          <w:rFonts w:asciiTheme="minorHAnsi" w:hAnsiTheme="minorHAnsi" w:cstheme="minorHAnsi"/>
          <w:color w:val="212121"/>
          <w:shd w:val="clear" w:color="auto" w:fill="FFFFFF"/>
        </w:rPr>
        <w:t xml:space="preserve"> Cassius (c.155-235 CE): Roman History, 62.16-18</w:t>
      </w:r>
      <w:r w:rsidRPr="0069058A">
        <w:rPr>
          <w:rFonts w:asciiTheme="minorHAnsi" w:hAnsiTheme="minorHAnsi" w:cstheme="minorHAnsi"/>
          <w:color w:val="000000"/>
          <w:kern w:val="28"/>
          <w:lang w:eastAsia="en-GB"/>
          <w14:cntxtAlts/>
        </w:rPr>
        <w:t>.</w:t>
      </w:r>
    </w:p>
    <w:p w14:paraId="46402918" w14:textId="77777777" w:rsidR="0069058A" w:rsidRPr="0069058A" w:rsidRDefault="0069058A" w:rsidP="0069058A">
      <w:pPr>
        <w:widowControl w:val="0"/>
        <w:rPr>
          <w:rFonts w:asciiTheme="minorHAnsi" w:hAnsiTheme="minorHAnsi" w:cstheme="minorHAnsi"/>
          <w:color w:val="000000"/>
          <w:kern w:val="28"/>
          <w:lang w:eastAsia="en-GB"/>
          <w14:cntxtAlts/>
        </w:rPr>
      </w:pPr>
    </w:p>
    <w:p w14:paraId="2675486D" w14:textId="77777777" w:rsidR="0069058A" w:rsidRPr="0069058A" w:rsidRDefault="0069058A" w:rsidP="0069058A">
      <w:pPr>
        <w:jc w:val="both"/>
        <w:rPr>
          <w:rFonts w:asciiTheme="minorHAnsi" w:hAnsiTheme="minorHAnsi" w:cstheme="minorHAnsi"/>
        </w:rPr>
      </w:pPr>
      <w:r w:rsidRPr="0069058A">
        <w:rPr>
          <w:rFonts w:asciiTheme="minorHAnsi" w:hAnsiTheme="minorHAnsi" w:cstheme="minorHAnsi"/>
        </w:rPr>
        <w:t xml:space="preserve">Drinkwater, J. F. (2019). </w:t>
      </w:r>
      <w:r w:rsidRPr="0069058A">
        <w:rPr>
          <w:rFonts w:asciiTheme="minorHAnsi" w:hAnsiTheme="minorHAnsi" w:cstheme="minorHAnsi"/>
          <w:i/>
          <w:iCs/>
        </w:rPr>
        <w:t>Nero: emperor and court</w:t>
      </w:r>
      <w:r w:rsidRPr="0069058A">
        <w:rPr>
          <w:rFonts w:asciiTheme="minorHAnsi" w:hAnsiTheme="minorHAnsi" w:cstheme="minorHAnsi"/>
        </w:rPr>
        <w:t>. Cambridge University Press.</w:t>
      </w:r>
    </w:p>
    <w:p w14:paraId="7C6834BE" w14:textId="77777777" w:rsidR="0069058A" w:rsidRPr="0069058A" w:rsidRDefault="0069058A" w:rsidP="0069058A">
      <w:pPr>
        <w:jc w:val="both"/>
        <w:rPr>
          <w:rFonts w:asciiTheme="minorHAnsi" w:hAnsiTheme="minorHAnsi" w:cstheme="minorHAnsi"/>
        </w:rPr>
      </w:pPr>
    </w:p>
    <w:p w14:paraId="44BC513D" w14:textId="77777777" w:rsidR="0069058A" w:rsidRPr="0069058A" w:rsidRDefault="0069058A" w:rsidP="0069058A">
      <w:pPr>
        <w:rPr>
          <w:rFonts w:asciiTheme="minorHAnsi" w:hAnsiTheme="minorHAnsi" w:cstheme="minorHAnsi"/>
          <w:lang w:eastAsia="en-GB"/>
        </w:rPr>
      </w:pPr>
      <w:r w:rsidRPr="0069058A">
        <w:rPr>
          <w:rFonts w:asciiTheme="minorHAnsi" w:hAnsiTheme="minorHAnsi" w:cstheme="minorHAnsi"/>
          <w:lang w:eastAsia="en-GB"/>
        </w:rPr>
        <w:t xml:space="preserve">Gray-Fow, M. J. G. (1998). Why the Christians? Nero and the great fire. </w:t>
      </w:r>
      <w:proofErr w:type="spellStart"/>
      <w:r w:rsidRPr="0069058A">
        <w:rPr>
          <w:rFonts w:asciiTheme="minorHAnsi" w:hAnsiTheme="minorHAnsi" w:cstheme="minorHAnsi"/>
          <w:i/>
          <w:iCs/>
          <w:lang w:eastAsia="en-GB"/>
        </w:rPr>
        <w:t>Latomus</w:t>
      </w:r>
      <w:proofErr w:type="spellEnd"/>
      <w:r w:rsidRPr="0069058A">
        <w:rPr>
          <w:rFonts w:asciiTheme="minorHAnsi" w:hAnsiTheme="minorHAnsi" w:cstheme="minorHAnsi"/>
          <w:lang w:eastAsia="en-GB"/>
        </w:rPr>
        <w:t xml:space="preserve">, </w:t>
      </w:r>
      <w:r w:rsidRPr="0069058A">
        <w:rPr>
          <w:rFonts w:asciiTheme="minorHAnsi" w:hAnsiTheme="minorHAnsi" w:cstheme="minorHAnsi"/>
          <w:i/>
          <w:iCs/>
          <w:lang w:eastAsia="en-GB"/>
        </w:rPr>
        <w:t>57</w:t>
      </w:r>
      <w:r w:rsidRPr="0069058A">
        <w:rPr>
          <w:rFonts w:asciiTheme="minorHAnsi" w:hAnsiTheme="minorHAnsi" w:cstheme="minorHAnsi"/>
          <w:lang w:eastAsia="en-GB"/>
        </w:rPr>
        <w:t>(3), 595–</w:t>
      </w:r>
      <w:r w:rsidRPr="0069058A">
        <w:rPr>
          <w:rFonts w:asciiTheme="minorHAnsi" w:hAnsiTheme="minorHAnsi" w:cstheme="minorHAnsi"/>
          <w:lang w:eastAsia="en-GB"/>
        </w:rPr>
        <w:tab/>
        <w:t xml:space="preserve">616. </w:t>
      </w:r>
      <w:hyperlink r:id="rId6" w:history="1">
        <w:r w:rsidRPr="0069058A">
          <w:rPr>
            <w:rStyle w:val="Hyperlink"/>
            <w:rFonts w:asciiTheme="minorHAnsi" w:hAnsiTheme="minorHAnsi" w:cstheme="minorHAnsi"/>
            <w:lang w:eastAsia="en-GB"/>
          </w:rPr>
          <w:t>http://www.jstor.org/stable/41538370</w:t>
        </w:r>
      </w:hyperlink>
    </w:p>
    <w:p w14:paraId="07856083" w14:textId="77777777" w:rsidR="0069058A" w:rsidRPr="0069058A" w:rsidRDefault="0069058A" w:rsidP="0069058A">
      <w:pPr>
        <w:rPr>
          <w:rFonts w:asciiTheme="minorHAnsi" w:hAnsiTheme="minorHAnsi" w:cstheme="minorHAnsi"/>
          <w:lang w:eastAsia="en-GB"/>
        </w:rPr>
      </w:pPr>
    </w:p>
    <w:p w14:paraId="22D442C8" w14:textId="77777777" w:rsidR="0069058A" w:rsidRPr="0069058A" w:rsidRDefault="0069058A" w:rsidP="0069058A">
      <w:pPr>
        <w:rPr>
          <w:rFonts w:asciiTheme="minorHAnsi" w:hAnsiTheme="minorHAnsi" w:cstheme="minorHAnsi"/>
        </w:rPr>
      </w:pPr>
      <w:r w:rsidRPr="0069058A">
        <w:rPr>
          <w:rFonts w:asciiTheme="minorHAnsi" w:hAnsiTheme="minorHAnsi" w:cstheme="minorHAnsi"/>
        </w:rPr>
        <w:t xml:space="preserve">Pollini, J. (2017). Burning Rome, burning </w:t>
      </w:r>
      <w:proofErr w:type="spellStart"/>
      <w:r w:rsidRPr="0069058A">
        <w:rPr>
          <w:rFonts w:asciiTheme="minorHAnsi" w:hAnsiTheme="minorHAnsi" w:cstheme="minorHAnsi"/>
        </w:rPr>
        <w:t>christians</w:t>
      </w:r>
      <w:proofErr w:type="spellEnd"/>
      <w:r w:rsidRPr="0069058A">
        <w:rPr>
          <w:rFonts w:asciiTheme="minorHAnsi" w:hAnsiTheme="minorHAnsi" w:cstheme="minorHAnsi"/>
        </w:rPr>
        <w:t xml:space="preserve">, in </w:t>
      </w:r>
      <w:r w:rsidRPr="0069058A">
        <w:rPr>
          <w:rFonts w:asciiTheme="minorHAnsi" w:hAnsiTheme="minorHAnsi" w:cstheme="minorHAnsi"/>
          <w:i/>
          <w:iCs/>
        </w:rPr>
        <w:t xml:space="preserve">The Cambridge companion to the age </w:t>
      </w:r>
      <w:r w:rsidRPr="0069058A">
        <w:rPr>
          <w:rFonts w:asciiTheme="minorHAnsi" w:hAnsiTheme="minorHAnsi" w:cstheme="minorHAnsi"/>
          <w:i/>
          <w:iCs/>
        </w:rPr>
        <w:tab/>
        <w:t>of Nero</w:t>
      </w:r>
      <w:r w:rsidRPr="0069058A">
        <w:rPr>
          <w:rFonts w:asciiTheme="minorHAnsi" w:hAnsiTheme="minorHAnsi" w:cstheme="minorHAnsi"/>
        </w:rPr>
        <w:t>, Bartsch, S., Freudenburg, K., and Littlewood, C. (eds.), Cambridge: 213-236.</w:t>
      </w:r>
    </w:p>
    <w:p w14:paraId="4412A72E" w14:textId="77777777" w:rsidR="0069058A" w:rsidRPr="0069058A" w:rsidRDefault="0069058A" w:rsidP="0069058A">
      <w:pPr>
        <w:rPr>
          <w:rFonts w:asciiTheme="minorHAnsi" w:hAnsiTheme="minorHAnsi" w:cstheme="minorHAnsi"/>
        </w:rPr>
      </w:pPr>
    </w:p>
    <w:p w14:paraId="1AA47637" w14:textId="77777777" w:rsidR="0069058A" w:rsidRPr="0069058A" w:rsidRDefault="0069058A" w:rsidP="0069058A">
      <w:pPr>
        <w:rPr>
          <w:rFonts w:asciiTheme="minorHAnsi" w:hAnsiTheme="minorHAnsi" w:cstheme="minorHAnsi"/>
          <w:lang w:eastAsia="en-GB"/>
        </w:rPr>
      </w:pPr>
      <w:r w:rsidRPr="00075106">
        <w:rPr>
          <w:rFonts w:asciiTheme="minorHAnsi" w:hAnsiTheme="minorHAnsi" w:cstheme="minorHAnsi"/>
          <w:lang w:eastAsia="en-GB"/>
        </w:rPr>
        <w:t xml:space="preserve">Rudolph, C. (2017). Power and </w:t>
      </w:r>
      <w:r w:rsidRPr="0069058A">
        <w:rPr>
          <w:rFonts w:asciiTheme="minorHAnsi" w:hAnsiTheme="minorHAnsi" w:cstheme="minorHAnsi"/>
          <w:lang w:eastAsia="en-GB"/>
        </w:rPr>
        <w:t>p</w:t>
      </w:r>
      <w:r w:rsidRPr="00075106">
        <w:rPr>
          <w:rFonts w:asciiTheme="minorHAnsi" w:hAnsiTheme="minorHAnsi" w:cstheme="minorHAnsi"/>
          <w:lang w:eastAsia="en-GB"/>
        </w:rPr>
        <w:t xml:space="preserve">rinciple from Nuremberg to The Hague. </w:t>
      </w:r>
      <w:r w:rsidRPr="00075106">
        <w:rPr>
          <w:rFonts w:asciiTheme="minorHAnsi" w:hAnsiTheme="minorHAnsi" w:cstheme="minorHAnsi"/>
          <w:i/>
          <w:iCs/>
          <w:lang w:eastAsia="en-GB"/>
        </w:rPr>
        <w:t xml:space="preserve">In </w:t>
      </w:r>
      <w:r w:rsidRPr="0069058A">
        <w:rPr>
          <w:rFonts w:asciiTheme="minorHAnsi" w:hAnsiTheme="minorHAnsi" w:cstheme="minorHAnsi"/>
          <w:i/>
          <w:iCs/>
          <w:lang w:eastAsia="en-GB"/>
        </w:rPr>
        <w:t>p</w:t>
      </w:r>
      <w:r w:rsidRPr="00075106">
        <w:rPr>
          <w:rFonts w:asciiTheme="minorHAnsi" w:hAnsiTheme="minorHAnsi" w:cstheme="minorHAnsi"/>
          <w:i/>
          <w:iCs/>
          <w:lang w:eastAsia="en-GB"/>
        </w:rPr>
        <w:t xml:space="preserve">ower and </w:t>
      </w:r>
      <w:r w:rsidRPr="0069058A">
        <w:rPr>
          <w:rFonts w:asciiTheme="minorHAnsi" w:hAnsiTheme="minorHAnsi" w:cstheme="minorHAnsi"/>
          <w:i/>
          <w:iCs/>
          <w:lang w:eastAsia="en-GB"/>
        </w:rPr>
        <w:tab/>
        <w:t>p</w:t>
      </w:r>
      <w:r w:rsidRPr="00075106">
        <w:rPr>
          <w:rFonts w:asciiTheme="minorHAnsi" w:hAnsiTheme="minorHAnsi" w:cstheme="minorHAnsi"/>
          <w:i/>
          <w:iCs/>
          <w:lang w:eastAsia="en-GB"/>
        </w:rPr>
        <w:t xml:space="preserve">rinciple: </w:t>
      </w:r>
      <w:r w:rsidRPr="0069058A">
        <w:rPr>
          <w:rFonts w:asciiTheme="minorHAnsi" w:hAnsiTheme="minorHAnsi" w:cstheme="minorHAnsi"/>
          <w:i/>
          <w:iCs/>
          <w:lang w:eastAsia="en-GB"/>
        </w:rPr>
        <w:t>t</w:t>
      </w:r>
      <w:r w:rsidRPr="00075106">
        <w:rPr>
          <w:rFonts w:asciiTheme="minorHAnsi" w:hAnsiTheme="minorHAnsi" w:cstheme="minorHAnsi"/>
          <w:i/>
          <w:iCs/>
          <w:lang w:eastAsia="en-GB"/>
        </w:rPr>
        <w:t xml:space="preserve">he </w:t>
      </w:r>
      <w:r w:rsidRPr="0069058A">
        <w:rPr>
          <w:rFonts w:asciiTheme="minorHAnsi" w:hAnsiTheme="minorHAnsi" w:cstheme="minorHAnsi"/>
          <w:i/>
          <w:iCs/>
          <w:lang w:eastAsia="en-GB"/>
        </w:rPr>
        <w:t>p</w:t>
      </w:r>
      <w:r w:rsidRPr="00075106">
        <w:rPr>
          <w:rFonts w:asciiTheme="minorHAnsi" w:hAnsiTheme="minorHAnsi" w:cstheme="minorHAnsi"/>
          <w:i/>
          <w:iCs/>
          <w:lang w:eastAsia="en-GB"/>
        </w:rPr>
        <w:t xml:space="preserve">olitics of </w:t>
      </w:r>
      <w:r w:rsidRPr="0069058A">
        <w:rPr>
          <w:rFonts w:asciiTheme="minorHAnsi" w:hAnsiTheme="minorHAnsi" w:cstheme="minorHAnsi"/>
          <w:i/>
          <w:iCs/>
          <w:lang w:eastAsia="en-GB"/>
        </w:rPr>
        <w:t>i</w:t>
      </w:r>
      <w:r w:rsidRPr="00075106">
        <w:rPr>
          <w:rFonts w:asciiTheme="minorHAnsi" w:hAnsiTheme="minorHAnsi" w:cstheme="minorHAnsi"/>
          <w:i/>
          <w:iCs/>
          <w:lang w:eastAsia="en-GB"/>
        </w:rPr>
        <w:t xml:space="preserve">nternational </w:t>
      </w:r>
      <w:r w:rsidRPr="0069058A">
        <w:rPr>
          <w:rFonts w:asciiTheme="minorHAnsi" w:hAnsiTheme="minorHAnsi" w:cstheme="minorHAnsi"/>
          <w:i/>
          <w:iCs/>
          <w:lang w:eastAsia="en-GB"/>
        </w:rPr>
        <w:t>c</w:t>
      </w:r>
      <w:r w:rsidRPr="00075106">
        <w:rPr>
          <w:rFonts w:asciiTheme="minorHAnsi" w:hAnsiTheme="minorHAnsi" w:cstheme="minorHAnsi"/>
          <w:i/>
          <w:iCs/>
          <w:lang w:eastAsia="en-GB"/>
        </w:rPr>
        <w:t xml:space="preserve">riminal </w:t>
      </w:r>
      <w:r w:rsidRPr="0069058A">
        <w:rPr>
          <w:rFonts w:asciiTheme="minorHAnsi" w:hAnsiTheme="minorHAnsi" w:cstheme="minorHAnsi"/>
          <w:i/>
          <w:iCs/>
          <w:lang w:eastAsia="en-GB"/>
        </w:rPr>
        <w:t>c</w:t>
      </w:r>
      <w:r w:rsidRPr="00075106">
        <w:rPr>
          <w:rFonts w:asciiTheme="minorHAnsi" w:hAnsiTheme="minorHAnsi" w:cstheme="minorHAnsi"/>
          <w:i/>
          <w:iCs/>
          <w:lang w:eastAsia="en-GB"/>
        </w:rPr>
        <w:t>ourts</w:t>
      </w:r>
      <w:r w:rsidRPr="00075106">
        <w:rPr>
          <w:rFonts w:asciiTheme="minorHAnsi" w:hAnsiTheme="minorHAnsi" w:cstheme="minorHAnsi"/>
          <w:lang w:eastAsia="en-GB"/>
        </w:rPr>
        <w:t xml:space="preserve"> (1st ed., pp. 15–56). Cornell </w:t>
      </w:r>
      <w:r w:rsidRPr="0069058A">
        <w:rPr>
          <w:rFonts w:asciiTheme="minorHAnsi" w:hAnsiTheme="minorHAnsi" w:cstheme="minorHAnsi"/>
          <w:lang w:eastAsia="en-GB"/>
        </w:rPr>
        <w:tab/>
      </w:r>
      <w:r w:rsidRPr="00075106">
        <w:rPr>
          <w:rFonts w:asciiTheme="minorHAnsi" w:hAnsiTheme="minorHAnsi" w:cstheme="minorHAnsi"/>
          <w:lang w:eastAsia="en-GB"/>
        </w:rPr>
        <w:t xml:space="preserve">University Press. </w:t>
      </w:r>
      <w:hyperlink r:id="rId7" w:history="1">
        <w:r w:rsidRPr="00075106">
          <w:rPr>
            <w:rStyle w:val="Hyperlink"/>
            <w:rFonts w:asciiTheme="minorHAnsi" w:hAnsiTheme="minorHAnsi" w:cstheme="minorHAnsi"/>
            <w:lang w:eastAsia="en-GB"/>
          </w:rPr>
          <w:t>http://www.jstor.org/stable/10.7591/j.ctt1qv5q0z.7</w:t>
        </w:r>
      </w:hyperlink>
    </w:p>
    <w:p w14:paraId="3257E20A" w14:textId="77777777" w:rsidR="0069058A" w:rsidRPr="0069058A" w:rsidRDefault="0069058A" w:rsidP="0069058A">
      <w:pPr>
        <w:rPr>
          <w:rFonts w:asciiTheme="minorHAnsi" w:hAnsiTheme="minorHAnsi" w:cstheme="minorHAnsi"/>
          <w:lang w:eastAsia="en-GB"/>
        </w:rPr>
      </w:pPr>
    </w:p>
    <w:p w14:paraId="70876D1A" w14:textId="77777777" w:rsidR="0069058A" w:rsidRPr="0069058A" w:rsidRDefault="0069058A" w:rsidP="0069058A">
      <w:pPr>
        <w:widowControl w:val="0"/>
        <w:rPr>
          <w:rFonts w:asciiTheme="minorHAnsi" w:hAnsiTheme="minorHAnsi" w:cstheme="minorHAnsi"/>
          <w:color w:val="000000"/>
          <w:kern w:val="28"/>
          <w:lang w:eastAsia="en-GB"/>
          <w14:cntxtAlts/>
        </w:rPr>
      </w:pPr>
      <w:r w:rsidRPr="0069058A">
        <w:rPr>
          <w:rFonts w:asciiTheme="minorHAnsi" w:hAnsiTheme="minorHAnsi" w:cstheme="minorHAnsi"/>
          <w:color w:val="000000"/>
          <w:kern w:val="28"/>
          <w:lang w:eastAsia="en-GB"/>
          <w14:cntxtAlts/>
        </w:rPr>
        <w:t xml:space="preserve">Suetonius, &amp; Rolfe, J. C. (1914).  </w:t>
      </w:r>
      <w:r w:rsidRPr="0069058A">
        <w:rPr>
          <w:rFonts w:asciiTheme="minorHAnsi" w:hAnsiTheme="minorHAnsi" w:cstheme="minorHAnsi"/>
          <w:i/>
          <w:iCs/>
          <w:color w:val="000000"/>
          <w:kern w:val="28"/>
          <w:lang w:eastAsia="en-GB"/>
          <w14:cntxtAlts/>
        </w:rPr>
        <w:t>The lives of the twelve Caesars</w:t>
      </w:r>
      <w:r w:rsidRPr="0069058A">
        <w:rPr>
          <w:rFonts w:asciiTheme="minorHAnsi" w:hAnsiTheme="minorHAnsi" w:cstheme="minorHAnsi"/>
          <w:color w:val="000000"/>
          <w:kern w:val="28"/>
          <w:lang w:eastAsia="en-GB"/>
          <w14:cntxtAlts/>
        </w:rPr>
        <w:t>. London.</w:t>
      </w:r>
    </w:p>
    <w:p w14:paraId="167165A0" w14:textId="77777777" w:rsidR="0069058A" w:rsidRPr="0069058A" w:rsidRDefault="0069058A" w:rsidP="0069058A">
      <w:pPr>
        <w:widowControl w:val="0"/>
        <w:rPr>
          <w:rFonts w:asciiTheme="minorHAnsi" w:hAnsiTheme="minorHAnsi" w:cstheme="minorHAnsi"/>
          <w:color w:val="000000"/>
          <w:kern w:val="28"/>
          <w:lang w:eastAsia="en-GB"/>
          <w14:cntxtAlts/>
        </w:rPr>
      </w:pPr>
    </w:p>
    <w:p w14:paraId="17546340" w14:textId="77777777" w:rsidR="0069058A" w:rsidRPr="0069058A" w:rsidRDefault="0069058A" w:rsidP="0069058A">
      <w:pPr>
        <w:widowControl w:val="0"/>
        <w:rPr>
          <w:rFonts w:asciiTheme="minorHAnsi" w:hAnsiTheme="minorHAnsi" w:cstheme="minorHAnsi"/>
          <w:color w:val="000000"/>
          <w:kern w:val="28"/>
          <w:lang w:eastAsia="en-GB"/>
          <w14:cntxtAlts/>
        </w:rPr>
      </w:pPr>
      <w:r w:rsidRPr="0069058A">
        <w:rPr>
          <w:rFonts w:asciiTheme="minorHAnsi" w:hAnsiTheme="minorHAnsi" w:cstheme="minorHAnsi"/>
          <w:color w:val="000000"/>
          <w:kern w:val="28"/>
          <w:lang w:eastAsia="en-GB"/>
          <w14:cntxtAlts/>
        </w:rPr>
        <w:t xml:space="preserve">Tacitus, &amp; </w:t>
      </w:r>
      <w:proofErr w:type="gramStart"/>
      <w:r w:rsidRPr="0069058A">
        <w:rPr>
          <w:rFonts w:asciiTheme="minorHAnsi" w:hAnsiTheme="minorHAnsi" w:cstheme="minorHAnsi"/>
          <w:color w:val="000000"/>
          <w:kern w:val="28"/>
          <w:lang w:eastAsia="en-GB"/>
          <w14:cntxtAlts/>
        </w:rPr>
        <w:t>Yardley ,</w:t>
      </w:r>
      <w:proofErr w:type="gramEnd"/>
      <w:r w:rsidRPr="0069058A">
        <w:rPr>
          <w:rFonts w:asciiTheme="minorHAnsi" w:hAnsiTheme="minorHAnsi" w:cstheme="minorHAnsi"/>
          <w:color w:val="000000"/>
          <w:kern w:val="28"/>
          <w:lang w:eastAsia="en-GB"/>
          <w14:cntxtAlts/>
        </w:rPr>
        <w:t xml:space="preserve"> J. C. (2008). </w:t>
      </w:r>
      <w:r w:rsidRPr="0069058A">
        <w:rPr>
          <w:rFonts w:asciiTheme="minorHAnsi" w:hAnsiTheme="minorHAnsi" w:cstheme="minorHAnsi"/>
          <w:i/>
          <w:iCs/>
          <w:color w:val="000000"/>
          <w:kern w:val="28"/>
          <w:lang w:eastAsia="en-GB"/>
          <w14:cntxtAlts/>
        </w:rPr>
        <w:t xml:space="preserve">The annals. </w:t>
      </w:r>
      <w:r w:rsidRPr="0069058A">
        <w:rPr>
          <w:rFonts w:asciiTheme="minorHAnsi" w:hAnsiTheme="minorHAnsi" w:cstheme="minorHAnsi"/>
          <w:color w:val="000000"/>
          <w:kern w:val="28"/>
          <w:lang w:eastAsia="en-GB"/>
          <w14:cntxtAlts/>
        </w:rPr>
        <w:t>Oxford World Publishing.</w:t>
      </w:r>
    </w:p>
    <w:p w14:paraId="1B70439A" w14:textId="77777777" w:rsidR="0069058A" w:rsidRPr="0069058A" w:rsidRDefault="0069058A" w:rsidP="0069058A">
      <w:pPr>
        <w:widowControl w:val="0"/>
        <w:rPr>
          <w:rFonts w:asciiTheme="minorHAnsi" w:hAnsiTheme="minorHAnsi" w:cstheme="minorHAnsi"/>
          <w:color w:val="000000"/>
          <w:kern w:val="28"/>
          <w:lang w:eastAsia="en-GB"/>
          <w14:cntxtAlts/>
        </w:rPr>
      </w:pPr>
    </w:p>
    <w:p w14:paraId="3CDE2B02" w14:textId="77777777" w:rsidR="0069058A" w:rsidRPr="0069058A" w:rsidRDefault="0069058A" w:rsidP="0069058A">
      <w:pPr>
        <w:widowControl w:val="0"/>
        <w:rPr>
          <w:rFonts w:asciiTheme="minorHAnsi" w:hAnsiTheme="minorHAnsi" w:cstheme="minorHAnsi"/>
          <w:color w:val="000000"/>
          <w:kern w:val="28"/>
          <w:lang w:eastAsia="en-GB"/>
          <w14:cntxtAlts/>
        </w:rPr>
      </w:pPr>
      <w:r w:rsidRPr="0069058A">
        <w:rPr>
          <w:rFonts w:asciiTheme="minorHAnsi" w:hAnsiTheme="minorHAnsi" w:cstheme="minorHAnsi"/>
          <w:color w:val="000000"/>
          <w:kern w:val="28"/>
          <w:lang w:eastAsia="en-GB"/>
          <w14:cntxtAlts/>
        </w:rPr>
        <w:t xml:space="preserve">Walsh, J. J. (2019). </w:t>
      </w:r>
      <w:r w:rsidRPr="0069058A">
        <w:rPr>
          <w:rFonts w:asciiTheme="minorHAnsi" w:hAnsiTheme="minorHAnsi" w:cstheme="minorHAnsi"/>
          <w:i/>
          <w:iCs/>
          <w:color w:val="0F1111"/>
          <w:kern w:val="36"/>
          <w:lang w:eastAsia="en-GB"/>
        </w:rPr>
        <w:t>The great fire of Rome: life and death in the ancient city.</w:t>
      </w:r>
      <w:r w:rsidRPr="0069058A">
        <w:rPr>
          <w:rFonts w:asciiTheme="minorHAnsi" w:hAnsiTheme="minorHAnsi" w:cstheme="minorHAnsi"/>
          <w:color w:val="0F1111"/>
          <w:kern w:val="36"/>
          <w:lang w:eastAsia="en-GB"/>
        </w:rPr>
        <w:t xml:space="preserve"> </w:t>
      </w:r>
      <w:r w:rsidRPr="0069058A">
        <w:rPr>
          <w:rFonts w:asciiTheme="minorHAnsi" w:hAnsiTheme="minorHAnsi" w:cstheme="minorHAnsi"/>
          <w:color w:val="0F1111"/>
          <w:shd w:val="clear" w:color="auto" w:fill="FFFFFF"/>
        </w:rPr>
        <w:t xml:space="preserve">Johns Hopkins </w:t>
      </w:r>
      <w:r w:rsidRPr="0069058A">
        <w:rPr>
          <w:rFonts w:asciiTheme="minorHAnsi" w:hAnsiTheme="minorHAnsi" w:cstheme="minorHAnsi"/>
          <w:color w:val="0F1111"/>
          <w:shd w:val="clear" w:color="auto" w:fill="FFFFFF"/>
        </w:rPr>
        <w:tab/>
        <w:t>University Press.</w:t>
      </w:r>
    </w:p>
    <w:p w14:paraId="3224D12E" w14:textId="77777777" w:rsidR="0069058A" w:rsidRPr="0069058A" w:rsidRDefault="0069058A" w:rsidP="0069058A">
      <w:pPr>
        <w:widowControl w:val="0"/>
        <w:rPr>
          <w:rFonts w:asciiTheme="minorHAnsi" w:hAnsiTheme="minorHAnsi" w:cstheme="minorHAnsi"/>
          <w:color w:val="000000"/>
          <w:kern w:val="28"/>
          <w:lang w:eastAsia="en-GB"/>
          <w14:cntxtAlts/>
        </w:rPr>
      </w:pPr>
    </w:p>
    <w:p w14:paraId="4979A94D" w14:textId="77777777" w:rsidR="0069058A" w:rsidRPr="0069058A" w:rsidRDefault="0069058A" w:rsidP="0069058A">
      <w:pPr>
        <w:rPr>
          <w:rFonts w:asciiTheme="minorHAnsi" w:hAnsiTheme="minorHAnsi" w:cstheme="minorHAnsi"/>
          <w:lang w:eastAsia="en-GB"/>
        </w:rPr>
      </w:pPr>
    </w:p>
    <w:p w14:paraId="5B60D5C6" w14:textId="77777777" w:rsidR="0069058A" w:rsidRPr="0069058A" w:rsidRDefault="0069058A" w:rsidP="0069058A">
      <w:pPr>
        <w:spacing w:after="240"/>
        <w:rPr>
          <w:rFonts w:asciiTheme="minorHAnsi" w:hAnsiTheme="minorHAnsi" w:cstheme="minorHAnsi"/>
        </w:rPr>
      </w:pPr>
    </w:p>
    <w:p w14:paraId="2CF5EEDD" w14:textId="77777777" w:rsidR="0069058A" w:rsidRPr="0069058A" w:rsidRDefault="0069058A" w:rsidP="0069058A">
      <w:pPr>
        <w:spacing w:after="240"/>
        <w:rPr>
          <w:rFonts w:asciiTheme="minorHAnsi" w:hAnsiTheme="minorHAnsi" w:cstheme="minorHAnsi"/>
        </w:rPr>
      </w:pPr>
    </w:p>
    <w:p w14:paraId="71D95745" w14:textId="77777777" w:rsidR="0069058A" w:rsidRPr="007D5AEC" w:rsidRDefault="0069058A" w:rsidP="0069058A">
      <w:pPr>
        <w:spacing w:after="240"/>
        <w:jc w:val="both"/>
        <w:rPr>
          <w:rFonts w:cstheme="minorHAnsi"/>
        </w:rPr>
      </w:pPr>
    </w:p>
    <w:p w14:paraId="39F5DABE" w14:textId="77777777" w:rsidR="0069058A" w:rsidRPr="007D5AEC" w:rsidRDefault="0069058A" w:rsidP="0069058A">
      <w:pPr>
        <w:spacing w:after="240"/>
        <w:rPr>
          <w:rFonts w:cstheme="minorHAnsi"/>
        </w:rPr>
      </w:pPr>
    </w:p>
    <w:p w14:paraId="14E3E0EB" w14:textId="77777777" w:rsidR="0069058A" w:rsidRPr="00FF1BFF" w:rsidRDefault="0069058A" w:rsidP="00FF1BFF">
      <w:pPr>
        <w:spacing w:after="200"/>
        <w:rPr>
          <w:rFonts w:asciiTheme="minorHAnsi" w:eastAsiaTheme="minorHAnsi" w:hAnsiTheme="minorHAnsi" w:cstheme="minorBidi"/>
          <w:lang w:val="en-GB"/>
        </w:rPr>
      </w:pPr>
    </w:p>
    <w:p w14:paraId="6A24443C" w14:textId="77777777" w:rsidR="006A4EC5" w:rsidRPr="006A4EC5" w:rsidRDefault="006A4EC5" w:rsidP="00FF1BFF">
      <w:pPr>
        <w:spacing w:after="200"/>
        <w:rPr>
          <w:rFonts w:asciiTheme="minorHAnsi" w:eastAsiaTheme="minorHAnsi" w:hAnsiTheme="minorHAnsi" w:cstheme="minorBidi"/>
          <w:lang w:val="en-GB"/>
        </w:rPr>
      </w:pPr>
    </w:p>
    <w:p w14:paraId="0C5AAD35" w14:textId="77777777" w:rsidR="006A4EC5" w:rsidRPr="006A4EC5" w:rsidRDefault="006A4EC5" w:rsidP="00FF1BFF">
      <w:pPr>
        <w:spacing w:after="200"/>
        <w:rPr>
          <w:rFonts w:asciiTheme="minorHAnsi" w:eastAsiaTheme="minorHAnsi" w:hAnsiTheme="minorHAnsi" w:cstheme="minorBidi"/>
          <w:lang w:val="en-GB"/>
        </w:rPr>
      </w:pPr>
    </w:p>
    <w:sectPr w:rsidR="006A4EC5" w:rsidRPr="006A4EC5">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06F"/>
    <w:rsid w:val="0005406F"/>
    <w:rsid w:val="001E1518"/>
    <w:rsid w:val="00367DF6"/>
    <w:rsid w:val="003750A6"/>
    <w:rsid w:val="003B2F68"/>
    <w:rsid w:val="00502479"/>
    <w:rsid w:val="005F3106"/>
    <w:rsid w:val="0069010A"/>
    <w:rsid w:val="0069058A"/>
    <w:rsid w:val="006A4EC5"/>
    <w:rsid w:val="007060DF"/>
    <w:rsid w:val="007E544F"/>
    <w:rsid w:val="00C63E48"/>
    <w:rsid w:val="00D769D9"/>
    <w:rsid w:val="00FF1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4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3750A6"/>
    <w:pPr>
      <w:tabs>
        <w:tab w:val="center" w:pos="4513"/>
        <w:tab w:val="right" w:pos="9026"/>
      </w:tabs>
    </w:pPr>
  </w:style>
  <w:style w:type="character" w:customStyle="1" w:styleId="HeaderChar">
    <w:name w:val="Header Char"/>
    <w:basedOn w:val="DefaultParagraphFont"/>
    <w:link w:val="Header"/>
    <w:uiPriority w:val="99"/>
    <w:rsid w:val="003750A6"/>
    <w:rPr>
      <w:sz w:val="24"/>
      <w:szCs w:val="24"/>
    </w:rPr>
  </w:style>
  <w:style w:type="paragraph" w:styleId="Footer">
    <w:name w:val="footer"/>
    <w:basedOn w:val="Normal"/>
    <w:link w:val="FooterChar"/>
    <w:uiPriority w:val="99"/>
    <w:unhideWhenUsed/>
    <w:rsid w:val="003750A6"/>
    <w:pPr>
      <w:tabs>
        <w:tab w:val="center" w:pos="4513"/>
        <w:tab w:val="right" w:pos="9026"/>
      </w:tabs>
    </w:pPr>
  </w:style>
  <w:style w:type="character" w:customStyle="1" w:styleId="FooterChar">
    <w:name w:val="Footer Char"/>
    <w:basedOn w:val="DefaultParagraphFont"/>
    <w:link w:val="Footer"/>
    <w:uiPriority w:val="99"/>
    <w:rsid w:val="003750A6"/>
    <w:rPr>
      <w:sz w:val="24"/>
      <w:szCs w:val="24"/>
    </w:rPr>
  </w:style>
  <w:style w:type="character" w:styleId="Hyperlink">
    <w:name w:val="Hyperlink"/>
    <w:basedOn w:val="DefaultParagraphFont"/>
    <w:uiPriority w:val="99"/>
    <w:unhideWhenUsed/>
    <w:rsid w:val="006905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jstor.org/stable/10.7591/j.ctt1qv5q0z.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tor.org/stable/41538370" TargetMode="External"/><Relationship Id="rId5" Type="http://schemas.openxmlformats.org/officeDocument/2006/relationships/hyperlink" Target="http://www.jstor.org/stable/26346752" TargetMode="External"/><Relationship Id="rId4" Type="http://schemas.openxmlformats.org/officeDocument/2006/relationships/hyperlink" Target="http://www.jstor.org/stable/40243335"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1603</Words>
  <Characters>9141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2021-10-08T14:32:00Z</dcterms:created>
  <dcterms:modified xsi:type="dcterms:W3CDTF">2021-10-08T14:32:00Z</dcterms:modified>
</cp:coreProperties>
</file>