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725B26" w14:textId="77777777" w:rsidR="00373410" w:rsidRPr="00373410" w:rsidRDefault="00373410" w:rsidP="00373410">
      <w:pPr>
        <w:spacing w:line="360" w:lineRule="auto"/>
        <w:rPr>
          <w:rFonts w:ascii="Arial" w:hAnsi="Arial" w:cs="Arial"/>
          <w:sz w:val="22"/>
          <w:szCs w:val="22"/>
        </w:rPr>
      </w:pPr>
      <w:r w:rsidRPr="00373410">
        <w:rPr>
          <w:rFonts w:ascii="Arial" w:hAnsi="Arial" w:cs="Arial"/>
          <w:sz w:val="22"/>
          <w:szCs w:val="22"/>
        </w:rPr>
        <w:t>Name: Petrica Marin</w:t>
      </w:r>
    </w:p>
    <w:p w14:paraId="661FA8CE" w14:textId="77777777" w:rsidR="00373410" w:rsidRPr="00373410" w:rsidRDefault="00373410" w:rsidP="00373410">
      <w:pPr>
        <w:spacing w:line="360" w:lineRule="auto"/>
        <w:rPr>
          <w:rFonts w:ascii="Arial" w:hAnsi="Arial" w:cs="Arial"/>
          <w:sz w:val="22"/>
          <w:szCs w:val="22"/>
        </w:rPr>
      </w:pPr>
      <w:r w:rsidRPr="00373410">
        <w:rPr>
          <w:rFonts w:ascii="Arial" w:hAnsi="Arial" w:cs="Arial"/>
          <w:sz w:val="22"/>
          <w:szCs w:val="22"/>
        </w:rPr>
        <w:t>Student number: 2333794</w:t>
      </w:r>
    </w:p>
    <w:p w14:paraId="679BC52B" w14:textId="1647A2DE" w:rsidR="00373410" w:rsidRPr="00373410" w:rsidRDefault="00373410" w:rsidP="00373410">
      <w:pPr>
        <w:spacing w:line="360" w:lineRule="auto"/>
        <w:rPr>
          <w:rFonts w:ascii="Arial" w:hAnsi="Arial" w:cs="Arial"/>
          <w:sz w:val="22"/>
          <w:szCs w:val="22"/>
        </w:rPr>
      </w:pPr>
      <w:r w:rsidRPr="00373410">
        <w:rPr>
          <w:rFonts w:ascii="Arial" w:hAnsi="Arial" w:cs="Arial"/>
          <w:sz w:val="22"/>
          <w:szCs w:val="22"/>
        </w:rPr>
        <w:t>Module code and title: LCLM_</w:t>
      </w:r>
      <w:r w:rsidRPr="00373410">
        <w:rPr>
          <w:rFonts w:ascii="Arial" w:hAnsi="Arial" w:cs="Arial"/>
          <w:sz w:val="22"/>
          <w:szCs w:val="22"/>
        </w:rPr>
        <w:t>6001</w:t>
      </w:r>
      <w:r w:rsidRPr="00373410">
        <w:rPr>
          <w:rFonts w:ascii="Arial" w:hAnsi="Arial" w:cs="Arial"/>
          <w:sz w:val="22"/>
          <w:szCs w:val="22"/>
        </w:rPr>
        <w:t xml:space="preserve"> </w:t>
      </w:r>
      <w:r w:rsidRPr="00373410">
        <w:rPr>
          <w:rFonts w:ascii="Arial" w:hAnsi="Arial" w:cs="Arial"/>
          <w:bCs/>
          <w:sz w:val="22"/>
          <w:szCs w:val="22"/>
        </w:rPr>
        <w:t>Strategic Management for Business</w:t>
      </w:r>
    </w:p>
    <w:p w14:paraId="5DE7F6C2" w14:textId="2E87ACE0" w:rsidR="00373410" w:rsidRPr="00373410" w:rsidRDefault="00373410" w:rsidP="00373410">
      <w:pPr>
        <w:spacing w:line="360" w:lineRule="auto"/>
        <w:rPr>
          <w:rFonts w:ascii="Arial" w:hAnsi="Arial" w:cs="Arial"/>
          <w:sz w:val="22"/>
          <w:szCs w:val="22"/>
        </w:rPr>
      </w:pPr>
      <w:r w:rsidRPr="00373410">
        <w:rPr>
          <w:rFonts w:ascii="Arial" w:hAnsi="Arial" w:cs="Arial"/>
          <w:sz w:val="22"/>
          <w:szCs w:val="22"/>
        </w:rPr>
        <w:t xml:space="preserve">Lecturer name: </w:t>
      </w:r>
      <w:r w:rsidRPr="00373410">
        <w:rPr>
          <w:rFonts w:ascii="Arial" w:hAnsi="Arial" w:cs="Arial"/>
          <w:sz w:val="22"/>
          <w:szCs w:val="22"/>
        </w:rPr>
        <w:t>Assadullah Memon</w:t>
      </w:r>
    </w:p>
    <w:p w14:paraId="26F25F26" w14:textId="483F3424" w:rsidR="00373410" w:rsidRPr="00373410" w:rsidRDefault="00373410" w:rsidP="00373410">
      <w:pPr>
        <w:spacing w:before="120" w:after="120" w:line="360" w:lineRule="auto"/>
        <w:jc w:val="both"/>
        <w:rPr>
          <w:rFonts w:ascii="Arial" w:hAnsi="Arial" w:cs="Arial"/>
          <w:bCs/>
          <w:sz w:val="22"/>
          <w:szCs w:val="22"/>
        </w:rPr>
      </w:pPr>
      <w:r w:rsidRPr="00373410">
        <w:rPr>
          <w:rFonts w:ascii="Arial" w:hAnsi="Arial" w:cs="Arial"/>
          <w:sz w:val="22"/>
          <w:szCs w:val="22"/>
        </w:rPr>
        <w:t xml:space="preserve">Assignment title: </w:t>
      </w:r>
      <w:r w:rsidRPr="00373410">
        <w:rPr>
          <w:rFonts w:ascii="Arial" w:hAnsi="Arial" w:cs="Arial"/>
          <w:bCs/>
          <w:sz w:val="22"/>
          <w:szCs w:val="22"/>
        </w:rPr>
        <w:t>Individual Report</w:t>
      </w:r>
    </w:p>
    <w:p w14:paraId="721B3BCE" w14:textId="77777777" w:rsidR="00373410" w:rsidRPr="00373410" w:rsidRDefault="00373410" w:rsidP="00373410">
      <w:pPr>
        <w:spacing w:before="120" w:after="120" w:line="360" w:lineRule="auto"/>
        <w:jc w:val="both"/>
        <w:rPr>
          <w:rFonts w:ascii="Arial" w:hAnsi="Arial" w:cs="Arial"/>
          <w:b/>
          <w:sz w:val="22"/>
          <w:szCs w:val="22"/>
        </w:rPr>
      </w:pPr>
    </w:p>
    <w:p w14:paraId="758D01D5" w14:textId="77777777" w:rsidR="00373410" w:rsidRPr="00373410" w:rsidRDefault="00373410" w:rsidP="00373410">
      <w:pPr>
        <w:pStyle w:val="Heading1"/>
        <w:spacing w:line="360" w:lineRule="auto"/>
        <w:jc w:val="center"/>
        <w:rPr>
          <w:rFonts w:ascii="Arial" w:hAnsi="Arial" w:cs="Arial"/>
          <w:sz w:val="22"/>
          <w:szCs w:val="22"/>
        </w:rPr>
      </w:pPr>
      <w:r w:rsidRPr="00373410">
        <w:rPr>
          <w:rFonts w:ascii="Arial" w:hAnsi="Arial" w:cs="Arial"/>
          <w:sz w:val="22"/>
          <w:szCs w:val="22"/>
        </w:rPr>
        <w:t>Vodafone UK in a Period of Strategic Transformation</w:t>
      </w:r>
    </w:p>
    <w:p w14:paraId="73D09876" w14:textId="77777777" w:rsidR="00373410" w:rsidRPr="00373410" w:rsidRDefault="00373410" w:rsidP="00373410">
      <w:pPr>
        <w:pStyle w:val="Heading1"/>
        <w:spacing w:before="320" w:after="200" w:line="360" w:lineRule="auto"/>
        <w:rPr>
          <w:rFonts w:ascii="Arial" w:eastAsia="Calibri" w:hAnsi="Arial" w:cs="Arial"/>
          <w:b/>
          <w:bCs/>
          <w:color w:val="1F3864"/>
          <w:sz w:val="22"/>
          <w:szCs w:val="22"/>
        </w:rPr>
      </w:pPr>
    </w:p>
    <w:p w14:paraId="0E7DF905" w14:textId="4A27CC2C" w:rsidR="00373410" w:rsidRPr="00373410" w:rsidRDefault="00373410" w:rsidP="00373410">
      <w:pPr>
        <w:pStyle w:val="Heading1"/>
        <w:spacing w:before="320" w:after="200" w:line="360" w:lineRule="auto"/>
        <w:rPr>
          <w:rFonts w:ascii="Arial" w:hAnsi="Arial" w:cs="Arial"/>
          <w:sz w:val="22"/>
          <w:szCs w:val="22"/>
        </w:rPr>
      </w:pPr>
      <w:r w:rsidRPr="00373410">
        <w:rPr>
          <w:rFonts w:ascii="Arial" w:eastAsia="Calibri" w:hAnsi="Arial" w:cs="Arial"/>
          <w:b/>
          <w:bCs/>
          <w:color w:val="1F3864"/>
          <w:sz w:val="22"/>
          <w:szCs w:val="22"/>
        </w:rPr>
        <w:t>1. Executive Summary</w:t>
      </w:r>
    </w:p>
    <w:p w14:paraId="11C6DDCE" w14:textId="77777777" w:rsidR="00373410" w:rsidRPr="00373410" w:rsidRDefault="00373410" w:rsidP="00373410">
      <w:pPr>
        <w:spacing w:after="160" w:line="360" w:lineRule="auto"/>
        <w:jc w:val="both"/>
        <w:rPr>
          <w:rFonts w:ascii="Arial" w:hAnsi="Arial" w:cs="Arial"/>
          <w:sz w:val="22"/>
          <w:szCs w:val="22"/>
        </w:rPr>
      </w:pPr>
      <w:r w:rsidRPr="00373410">
        <w:rPr>
          <w:rFonts w:ascii="Arial" w:eastAsia="Calibri" w:hAnsi="Arial" w:cs="Arial"/>
          <w:sz w:val="22"/>
          <w:szCs w:val="22"/>
        </w:rPr>
        <w:t xml:space="preserve">This report advises the Vodafone board on growth strategies for the UK business following the completion of the £16.5 billion merger between Vodafone UK and Three UK on 31 May 2025, which created </w:t>
      </w:r>
      <w:proofErr w:type="spellStart"/>
      <w:r w:rsidRPr="00373410">
        <w:rPr>
          <w:rFonts w:ascii="Arial" w:eastAsia="Calibri" w:hAnsi="Arial" w:cs="Arial"/>
          <w:sz w:val="22"/>
          <w:szCs w:val="22"/>
        </w:rPr>
        <w:t>VodafoneThree</w:t>
      </w:r>
      <w:proofErr w:type="spellEnd"/>
      <w:r w:rsidRPr="00373410">
        <w:rPr>
          <w:rFonts w:ascii="Arial" w:eastAsia="Calibri" w:hAnsi="Arial" w:cs="Arial"/>
          <w:sz w:val="22"/>
          <w:szCs w:val="22"/>
        </w:rPr>
        <w:t>, the largest mobile operator in the UK with around 27 million customers (Vodafone, 2025). The analysis of the external environment shows a market with intense rivalry, strong regulation and rapidly growing data demand: UK mobile data use rose 18% in 2025 and 5G traffic grew 53% (Ofcom, 2025). The internal analysis shows that Vodafone now holds a rare set of strengths, including scale, spectrum and a fully funded £11 billion network investment plan, but it also carries high debt and significant integration risk.</w:t>
      </w:r>
    </w:p>
    <w:p w14:paraId="1537E907" w14:textId="77777777" w:rsidR="00373410" w:rsidRPr="00373410" w:rsidRDefault="00373410" w:rsidP="00373410">
      <w:pPr>
        <w:spacing w:after="160" w:line="360" w:lineRule="auto"/>
        <w:jc w:val="both"/>
        <w:rPr>
          <w:rFonts w:ascii="Arial" w:hAnsi="Arial" w:cs="Arial"/>
          <w:sz w:val="22"/>
          <w:szCs w:val="22"/>
        </w:rPr>
      </w:pPr>
      <w:r w:rsidRPr="00373410">
        <w:rPr>
          <w:rFonts w:ascii="Arial" w:eastAsia="Calibri" w:hAnsi="Arial" w:cs="Arial"/>
          <w:sz w:val="22"/>
          <w:szCs w:val="22"/>
        </w:rPr>
        <w:t>The report recommends a combined strategy of market penetration and product development, delivered through differentiation based on network quality (Ansoff, 1957; Porter, 1985). In practice, this means using the new 5G Standalone network to win and keep customers and building new revenue from 5G-enabled products such as fixed wireless broadband, IoT and business digital services. The strategy is evaluated using the SFA framework and is found to be suitable, feasible and acceptable (Johnson et al., 2020). The report closes with a stakeholder engagement plan and an implementation plan with clear objectives and KPIs.</w:t>
      </w:r>
    </w:p>
    <w:p w14:paraId="1CF36612" w14:textId="77777777" w:rsidR="00373410" w:rsidRPr="00373410" w:rsidRDefault="00373410" w:rsidP="00373410">
      <w:pPr>
        <w:pStyle w:val="Heading1"/>
        <w:spacing w:before="320" w:after="200" w:line="360" w:lineRule="auto"/>
        <w:rPr>
          <w:rFonts w:ascii="Arial" w:hAnsi="Arial" w:cs="Arial"/>
          <w:sz w:val="22"/>
          <w:szCs w:val="22"/>
        </w:rPr>
      </w:pPr>
      <w:r w:rsidRPr="00373410">
        <w:rPr>
          <w:rFonts w:ascii="Arial" w:eastAsia="Calibri" w:hAnsi="Arial" w:cs="Arial"/>
          <w:b/>
          <w:bCs/>
          <w:color w:val="1F3864"/>
          <w:sz w:val="22"/>
          <w:szCs w:val="22"/>
        </w:rPr>
        <w:t>2. Introduction to Vodafone</w:t>
      </w:r>
    </w:p>
    <w:p w14:paraId="409F80AE" w14:textId="77777777" w:rsidR="00373410" w:rsidRPr="00373410" w:rsidRDefault="00373410" w:rsidP="00373410">
      <w:pPr>
        <w:spacing w:after="160" w:line="360" w:lineRule="auto"/>
        <w:jc w:val="both"/>
        <w:rPr>
          <w:rFonts w:ascii="Arial" w:hAnsi="Arial" w:cs="Arial"/>
          <w:sz w:val="22"/>
          <w:szCs w:val="22"/>
        </w:rPr>
      </w:pPr>
      <w:r w:rsidRPr="00373410">
        <w:rPr>
          <w:rFonts w:ascii="Arial" w:eastAsia="Calibri" w:hAnsi="Arial" w:cs="Arial"/>
          <w:sz w:val="22"/>
          <w:szCs w:val="22"/>
        </w:rPr>
        <w:t xml:space="preserve">Vodafone Group Plc is one of the leading telecommunications companies in Europe and Africa, providing mobile and fixed services to more than 340 million customers in 15 countries and partnering with mobile networks in over 40 more (Vodafone, 2025). In the UK, the group now operates through </w:t>
      </w:r>
      <w:proofErr w:type="spellStart"/>
      <w:r w:rsidRPr="00373410">
        <w:rPr>
          <w:rFonts w:ascii="Arial" w:eastAsia="Calibri" w:hAnsi="Arial" w:cs="Arial"/>
          <w:sz w:val="22"/>
          <w:szCs w:val="22"/>
        </w:rPr>
        <w:t>VodafoneThree</w:t>
      </w:r>
      <w:proofErr w:type="spellEnd"/>
      <w:r w:rsidRPr="00373410">
        <w:rPr>
          <w:rFonts w:ascii="Arial" w:eastAsia="Calibri" w:hAnsi="Arial" w:cs="Arial"/>
          <w:sz w:val="22"/>
          <w:szCs w:val="22"/>
        </w:rPr>
        <w:t xml:space="preserve">, formed when the merger of Vodafone UK and Three UK completed on 31 May 2025. The joint venture was initially owned 51% by Vodafone and 49% by CK Hutchison, and in May 2026 Vodafone agreed to buy out CK Hutchison’s stake for </w:t>
      </w:r>
      <w:r w:rsidRPr="00373410">
        <w:rPr>
          <w:rFonts w:ascii="Arial" w:eastAsia="Calibri" w:hAnsi="Arial" w:cs="Arial"/>
          <w:sz w:val="22"/>
          <w:szCs w:val="22"/>
        </w:rPr>
        <w:lastRenderedPageBreak/>
        <w:t xml:space="preserve">£4.3 billion to take full ownership (Vodafone, 2026b). The UK business includes the Vodafone, Three, VOXI, SMARTY and </w:t>
      </w:r>
      <w:proofErr w:type="spellStart"/>
      <w:r w:rsidRPr="00373410">
        <w:rPr>
          <w:rFonts w:ascii="Arial" w:eastAsia="Calibri" w:hAnsi="Arial" w:cs="Arial"/>
          <w:sz w:val="22"/>
          <w:szCs w:val="22"/>
        </w:rPr>
        <w:t>Talkmobile</w:t>
      </w:r>
      <w:proofErr w:type="spellEnd"/>
      <w:r w:rsidRPr="00373410">
        <w:rPr>
          <w:rFonts w:ascii="Arial" w:eastAsia="Calibri" w:hAnsi="Arial" w:cs="Arial"/>
          <w:sz w:val="22"/>
          <w:szCs w:val="22"/>
        </w:rPr>
        <w:t xml:space="preserve"> brands.</w:t>
      </w:r>
    </w:p>
    <w:p w14:paraId="42185945" w14:textId="77777777" w:rsidR="00373410" w:rsidRPr="00373410" w:rsidRDefault="00373410" w:rsidP="00373410">
      <w:pPr>
        <w:spacing w:after="160" w:line="360" w:lineRule="auto"/>
        <w:jc w:val="both"/>
        <w:rPr>
          <w:rFonts w:ascii="Arial" w:hAnsi="Arial" w:cs="Arial"/>
          <w:sz w:val="22"/>
          <w:szCs w:val="22"/>
        </w:rPr>
      </w:pPr>
      <w:r w:rsidRPr="00373410">
        <w:rPr>
          <w:rFonts w:ascii="Arial" w:eastAsia="Calibri" w:hAnsi="Arial" w:cs="Arial"/>
          <w:sz w:val="22"/>
          <w:szCs w:val="22"/>
        </w:rPr>
        <w:t>Vodafone’s purpose is simple and clear: “we connect for a better future”. The company believes connectivity is a force for good and aims to use technology to empower people, help protect the planet and maintain trust with customers (Vodafone, no date). Its vision is to become a new generation connectivity and digital services provider for Europe and Africa, enabling an inclusive and sustainable digital society. Its values are expressed through the “Spirit of Vodafone”, which encourages employees to earn customer loyalty, experiment and learn fast, create the future and get things done together. These values matter for this report because any growth strategy proposed to the board should fit them. A strategy built on network quality, wider coverage and closing digital divides supports the purpose directly, while a strategy built purely on cutting prices or cutting investment would not (Vodafone, no date; Johnson et al., 2020).</w:t>
      </w:r>
    </w:p>
    <w:p w14:paraId="3B257F8A" w14:textId="77777777" w:rsidR="00373410" w:rsidRPr="00373410" w:rsidRDefault="00373410" w:rsidP="00373410">
      <w:pPr>
        <w:pStyle w:val="Heading1"/>
        <w:spacing w:before="320" w:after="200" w:line="360" w:lineRule="auto"/>
        <w:rPr>
          <w:rFonts w:ascii="Arial" w:hAnsi="Arial" w:cs="Arial"/>
          <w:sz w:val="22"/>
          <w:szCs w:val="22"/>
        </w:rPr>
      </w:pPr>
      <w:r w:rsidRPr="00373410">
        <w:rPr>
          <w:rFonts w:ascii="Arial" w:eastAsia="Calibri" w:hAnsi="Arial" w:cs="Arial"/>
          <w:b/>
          <w:bCs/>
          <w:color w:val="1F3864"/>
          <w:sz w:val="22"/>
          <w:szCs w:val="22"/>
        </w:rPr>
        <w:t>3. Evaluation of the Current Market Situation</w:t>
      </w:r>
    </w:p>
    <w:p w14:paraId="289A91F3" w14:textId="77777777" w:rsidR="00373410" w:rsidRPr="00373410" w:rsidRDefault="00373410" w:rsidP="00373410">
      <w:pPr>
        <w:spacing w:after="160" w:line="360" w:lineRule="auto"/>
        <w:jc w:val="both"/>
        <w:rPr>
          <w:rFonts w:ascii="Arial" w:hAnsi="Arial" w:cs="Arial"/>
          <w:sz w:val="22"/>
          <w:szCs w:val="22"/>
        </w:rPr>
      </w:pPr>
      <w:r w:rsidRPr="00373410">
        <w:rPr>
          <w:rFonts w:ascii="Arial" w:eastAsia="Calibri" w:hAnsi="Arial" w:cs="Arial"/>
          <w:sz w:val="22"/>
          <w:szCs w:val="22"/>
        </w:rPr>
        <w:t>This section analyses Vodafone’s business environment using PESTEL, Porter’s Five Forces and SWOT. PESTEL examines the macro-environment, the Five Forces examine the industry, and SWOT brings the external and internal pictures together (Johnson et al., 2020).</w:t>
      </w:r>
    </w:p>
    <w:p w14:paraId="4CDDCF53" w14:textId="77777777" w:rsidR="00373410" w:rsidRPr="00373410" w:rsidRDefault="00373410" w:rsidP="00373410">
      <w:pPr>
        <w:pStyle w:val="Heading2"/>
        <w:spacing w:before="240" w:after="140" w:line="360" w:lineRule="auto"/>
        <w:rPr>
          <w:rFonts w:ascii="Arial" w:hAnsi="Arial" w:cs="Arial"/>
          <w:sz w:val="22"/>
          <w:szCs w:val="22"/>
        </w:rPr>
      </w:pPr>
      <w:r w:rsidRPr="00373410">
        <w:rPr>
          <w:rFonts w:ascii="Arial" w:eastAsia="Calibri" w:hAnsi="Arial" w:cs="Arial"/>
          <w:b/>
          <w:bCs/>
          <w:color w:val="2E5395"/>
          <w:sz w:val="22"/>
          <w:szCs w:val="22"/>
        </w:rPr>
        <w:t>3.1 PESTEL analysis</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729"/>
        <w:gridCol w:w="7631"/>
      </w:tblGrid>
      <w:tr w:rsidR="00373410" w:rsidRPr="00373410" w14:paraId="0F2B15E4" w14:textId="77777777">
        <w:tc>
          <w:tcPr>
            <w:tcW w:w="1500" w:type="dxa"/>
            <w:tcBorders>
              <w:top w:val="single" w:sz="4" w:space="0" w:color="auto"/>
              <w:left w:val="single" w:sz="4" w:space="0" w:color="auto"/>
              <w:bottom w:val="single" w:sz="4" w:space="0" w:color="auto"/>
              <w:right w:val="single" w:sz="4" w:space="0" w:color="auto"/>
            </w:tcBorders>
            <w:shd w:val="clear" w:color="auto" w:fill="D9E2F3"/>
            <w:tcMar>
              <w:top w:w="80" w:type="dxa"/>
              <w:left w:w="100" w:type="dxa"/>
              <w:bottom w:w="80" w:type="dxa"/>
              <w:right w:w="100" w:type="dxa"/>
            </w:tcMar>
            <w:hideMark/>
          </w:tcPr>
          <w:p w14:paraId="746777E5" w14:textId="77777777" w:rsidR="00373410" w:rsidRPr="00373410" w:rsidRDefault="00373410" w:rsidP="00373410">
            <w:pPr>
              <w:spacing w:after="40" w:line="360" w:lineRule="auto"/>
              <w:rPr>
                <w:rFonts w:ascii="Arial" w:hAnsi="Arial" w:cs="Arial"/>
                <w:sz w:val="22"/>
                <w:szCs w:val="22"/>
              </w:rPr>
            </w:pPr>
            <w:r w:rsidRPr="00373410">
              <w:rPr>
                <w:rFonts w:ascii="Arial" w:eastAsia="Calibri" w:hAnsi="Arial" w:cs="Arial"/>
                <w:b/>
                <w:bCs/>
                <w:sz w:val="22"/>
                <w:szCs w:val="22"/>
              </w:rPr>
              <w:t>Factor</w:t>
            </w:r>
          </w:p>
        </w:tc>
        <w:tc>
          <w:tcPr>
            <w:tcW w:w="7860" w:type="dxa"/>
            <w:tcBorders>
              <w:top w:val="single" w:sz="4" w:space="0" w:color="auto"/>
              <w:left w:val="single" w:sz="4" w:space="0" w:color="auto"/>
              <w:bottom w:val="single" w:sz="4" w:space="0" w:color="auto"/>
              <w:right w:val="single" w:sz="4" w:space="0" w:color="auto"/>
            </w:tcBorders>
            <w:shd w:val="clear" w:color="auto" w:fill="D9E2F3"/>
            <w:tcMar>
              <w:top w:w="80" w:type="dxa"/>
              <w:left w:w="100" w:type="dxa"/>
              <w:bottom w:w="80" w:type="dxa"/>
              <w:right w:w="100" w:type="dxa"/>
            </w:tcMar>
            <w:hideMark/>
          </w:tcPr>
          <w:p w14:paraId="406F76BD" w14:textId="77777777" w:rsidR="00373410" w:rsidRPr="00373410" w:rsidRDefault="00373410" w:rsidP="00373410">
            <w:pPr>
              <w:spacing w:after="40" w:line="360" w:lineRule="auto"/>
              <w:rPr>
                <w:rFonts w:ascii="Arial" w:hAnsi="Arial" w:cs="Arial"/>
                <w:sz w:val="22"/>
                <w:szCs w:val="22"/>
              </w:rPr>
            </w:pPr>
            <w:r w:rsidRPr="00373410">
              <w:rPr>
                <w:rFonts w:ascii="Arial" w:eastAsia="Calibri" w:hAnsi="Arial" w:cs="Arial"/>
                <w:b/>
                <w:bCs/>
                <w:sz w:val="22"/>
                <w:szCs w:val="22"/>
              </w:rPr>
              <w:t>Key points for Vodafone</w:t>
            </w:r>
          </w:p>
        </w:tc>
      </w:tr>
      <w:tr w:rsidR="00373410" w:rsidRPr="00373410" w14:paraId="5F080EEC" w14:textId="77777777">
        <w:tc>
          <w:tcPr>
            <w:tcW w:w="1500" w:type="dxa"/>
            <w:tcBorders>
              <w:top w:val="single" w:sz="4" w:space="0" w:color="auto"/>
              <w:left w:val="single" w:sz="4" w:space="0" w:color="auto"/>
              <w:bottom w:val="single" w:sz="4" w:space="0" w:color="auto"/>
              <w:right w:val="single" w:sz="4" w:space="0" w:color="auto"/>
            </w:tcBorders>
            <w:tcMar>
              <w:top w:w="80" w:type="dxa"/>
              <w:left w:w="100" w:type="dxa"/>
              <w:bottom w:w="80" w:type="dxa"/>
              <w:right w:w="100" w:type="dxa"/>
            </w:tcMar>
            <w:hideMark/>
          </w:tcPr>
          <w:p w14:paraId="02F38E85" w14:textId="77777777" w:rsidR="00373410" w:rsidRPr="00373410" w:rsidRDefault="00373410" w:rsidP="00373410">
            <w:pPr>
              <w:spacing w:after="40" w:line="360" w:lineRule="auto"/>
              <w:rPr>
                <w:rFonts w:ascii="Arial" w:hAnsi="Arial" w:cs="Arial"/>
                <w:sz w:val="22"/>
                <w:szCs w:val="22"/>
              </w:rPr>
            </w:pPr>
            <w:r w:rsidRPr="00373410">
              <w:rPr>
                <w:rFonts w:ascii="Arial" w:eastAsia="Calibri" w:hAnsi="Arial" w:cs="Arial"/>
                <w:b/>
                <w:bCs/>
                <w:sz w:val="22"/>
                <w:szCs w:val="22"/>
              </w:rPr>
              <w:t>Political</w:t>
            </w:r>
          </w:p>
        </w:tc>
        <w:tc>
          <w:tcPr>
            <w:tcW w:w="7860" w:type="dxa"/>
            <w:tcBorders>
              <w:top w:val="single" w:sz="4" w:space="0" w:color="auto"/>
              <w:left w:val="single" w:sz="4" w:space="0" w:color="auto"/>
              <w:bottom w:val="single" w:sz="4" w:space="0" w:color="auto"/>
              <w:right w:val="single" w:sz="4" w:space="0" w:color="auto"/>
            </w:tcBorders>
            <w:tcMar>
              <w:top w:w="80" w:type="dxa"/>
              <w:left w:w="100" w:type="dxa"/>
              <w:bottom w:w="80" w:type="dxa"/>
              <w:right w:w="100" w:type="dxa"/>
            </w:tcMar>
            <w:hideMark/>
          </w:tcPr>
          <w:p w14:paraId="54AF2AC1" w14:textId="77777777" w:rsidR="00373410" w:rsidRPr="00373410" w:rsidRDefault="00373410" w:rsidP="00373410">
            <w:pPr>
              <w:spacing w:after="40" w:line="360" w:lineRule="auto"/>
              <w:rPr>
                <w:rFonts w:ascii="Arial" w:hAnsi="Arial" w:cs="Arial"/>
                <w:sz w:val="22"/>
                <w:szCs w:val="22"/>
              </w:rPr>
            </w:pPr>
            <w:r w:rsidRPr="00373410">
              <w:rPr>
                <w:rFonts w:ascii="Arial" w:eastAsia="Calibri" w:hAnsi="Arial" w:cs="Arial"/>
                <w:sz w:val="22"/>
                <w:szCs w:val="22"/>
              </w:rPr>
              <w:t xml:space="preserve">The UK government supports investment-led growth in digital infrastructure, and the merger was cleared partly because of its promised contribution to national 5G capability. However, the sector is politically sensitive: the CMA and Ofcom will oversee </w:t>
            </w:r>
            <w:proofErr w:type="spellStart"/>
            <w:r w:rsidRPr="00373410">
              <w:rPr>
                <w:rFonts w:ascii="Arial" w:eastAsia="Calibri" w:hAnsi="Arial" w:cs="Arial"/>
                <w:sz w:val="22"/>
                <w:szCs w:val="22"/>
              </w:rPr>
              <w:t>VodafoneThree’s</w:t>
            </w:r>
            <w:proofErr w:type="spellEnd"/>
            <w:r w:rsidRPr="00373410">
              <w:rPr>
                <w:rFonts w:ascii="Arial" w:eastAsia="Calibri" w:hAnsi="Arial" w:cs="Arial"/>
                <w:sz w:val="22"/>
                <w:szCs w:val="22"/>
              </w:rPr>
              <w:t xml:space="preserve"> legally binding network commitments for eight years (CMA, 2024).</w:t>
            </w:r>
          </w:p>
        </w:tc>
      </w:tr>
      <w:tr w:rsidR="00373410" w:rsidRPr="00373410" w14:paraId="66D222A8" w14:textId="77777777">
        <w:tc>
          <w:tcPr>
            <w:tcW w:w="1500" w:type="dxa"/>
            <w:tcBorders>
              <w:top w:val="single" w:sz="4" w:space="0" w:color="auto"/>
              <w:left w:val="single" w:sz="4" w:space="0" w:color="auto"/>
              <w:bottom w:val="single" w:sz="4" w:space="0" w:color="auto"/>
              <w:right w:val="single" w:sz="4" w:space="0" w:color="auto"/>
            </w:tcBorders>
            <w:tcMar>
              <w:top w:w="80" w:type="dxa"/>
              <w:left w:w="100" w:type="dxa"/>
              <w:bottom w:w="80" w:type="dxa"/>
              <w:right w:w="100" w:type="dxa"/>
            </w:tcMar>
            <w:hideMark/>
          </w:tcPr>
          <w:p w14:paraId="5331584A" w14:textId="77777777" w:rsidR="00373410" w:rsidRPr="00373410" w:rsidRDefault="00373410" w:rsidP="00373410">
            <w:pPr>
              <w:spacing w:after="40" w:line="360" w:lineRule="auto"/>
              <w:rPr>
                <w:rFonts w:ascii="Arial" w:hAnsi="Arial" w:cs="Arial"/>
                <w:sz w:val="22"/>
                <w:szCs w:val="22"/>
              </w:rPr>
            </w:pPr>
            <w:r w:rsidRPr="00373410">
              <w:rPr>
                <w:rFonts w:ascii="Arial" w:eastAsia="Calibri" w:hAnsi="Arial" w:cs="Arial"/>
                <w:b/>
                <w:bCs/>
                <w:sz w:val="22"/>
                <w:szCs w:val="22"/>
              </w:rPr>
              <w:t>Economic</w:t>
            </w:r>
          </w:p>
        </w:tc>
        <w:tc>
          <w:tcPr>
            <w:tcW w:w="7860" w:type="dxa"/>
            <w:tcBorders>
              <w:top w:val="single" w:sz="4" w:space="0" w:color="auto"/>
              <w:left w:val="single" w:sz="4" w:space="0" w:color="auto"/>
              <w:bottom w:val="single" w:sz="4" w:space="0" w:color="auto"/>
              <w:right w:val="single" w:sz="4" w:space="0" w:color="auto"/>
            </w:tcBorders>
            <w:tcMar>
              <w:top w:w="80" w:type="dxa"/>
              <w:left w:w="100" w:type="dxa"/>
              <w:bottom w:w="80" w:type="dxa"/>
              <w:right w:w="100" w:type="dxa"/>
            </w:tcMar>
            <w:hideMark/>
          </w:tcPr>
          <w:p w14:paraId="2714DF95" w14:textId="77777777" w:rsidR="00373410" w:rsidRPr="00373410" w:rsidRDefault="00373410" w:rsidP="00373410">
            <w:pPr>
              <w:spacing w:after="40" w:line="360" w:lineRule="auto"/>
              <w:rPr>
                <w:rFonts w:ascii="Arial" w:hAnsi="Arial" w:cs="Arial"/>
                <w:sz w:val="22"/>
                <w:szCs w:val="22"/>
              </w:rPr>
            </w:pPr>
            <w:r w:rsidRPr="00373410">
              <w:rPr>
                <w:rFonts w:ascii="Arial" w:eastAsia="Calibri" w:hAnsi="Arial" w:cs="Arial"/>
                <w:sz w:val="22"/>
                <w:szCs w:val="22"/>
              </w:rPr>
              <w:t>The cost-of-living pressure of recent years has made UK consumers price-sensitive and encouraged switching to low-cost brands and MVNOs. At the same time, the merger is expected to deliver £700 million of annual cost and capex synergies by year five, improving the economics of the combined business (Vodafone, 2025).</w:t>
            </w:r>
          </w:p>
        </w:tc>
      </w:tr>
      <w:tr w:rsidR="00373410" w:rsidRPr="00373410" w14:paraId="150219B8" w14:textId="77777777">
        <w:tc>
          <w:tcPr>
            <w:tcW w:w="1500" w:type="dxa"/>
            <w:tcBorders>
              <w:top w:val="single" w:sz="4" w:space="0" w:color="auto"/>
              <w:left w:val="single" w:sz="4" w:space="0" w:color="auto"/>
              <w:bottom w:val="single" w:sz="4" w:space="0" w:color="auto"/>
              <w:right w:val="single" w:sz="4" w:space="0" w:color="auto"/>
            </w:tcBorders>
            <w:tcMar>
              <w:top w:w="80" w:type="dxa"/>
              <w:left w:w="100" w:type="dxa"/>
              <w:bottom w:w="80" w:type="dxa"/>
              <w:right w:w="100" w:type="dxa"/>
            </w:tcMar>
            <w:hideMark/>
          </w:tcPr>
          <w:p w14:paraId="26886478" w14:textId="77777777" w:rsidR="00373410" w:rsidRPr="00373410" w:rsidRDefault="00373410" w:rsidP="00373410">
            <w:pPr>
              <w:spacing w:after="40" w:line="360" w:lineRule="auto"/>
              <w:rPr>
                <w:rFonts w:ascii="Arial" w:hAnsi="Arial" w:cs="Arial"/>
                <w:sz w:val="22"/>
                <w:szCs w:val="22"/>
              </w:rPr>
            </w:pPr>
            <w:r w:rsidRPr="00373410">
              <w:rPr>
                <w:rFonts w:ascii="Arial" w:eastAsia="Calibri" w:hAnsi="Arial" w:cs="Arial"/>
                <w:b/>
                <w:bCs/>
                <w:sz w:val="22"/>
                <w:szCs w:val="22"/>
              </w:rPr>
              <w:t>Social</w:t>
            </w:r>
          </w:p>
        </w:tc>
        <w:tc>
          <w:tcPr>
            <w:tcW w:w="7860" w:type="dxa"/>
            <w:tcBorders>
              <w:top w:val="single" w:sz="4" w:space="0" w:color="auto"/>
              <w:left w:val="single" w:sz="4" w:space="0" w:color="auto"/>
              <w:bottom w:val="single" w:sz="4" w:space="0" w:color="auto"/>
              <w:right w:val="single" w:sz="4" w:space="0" w:color="auto"/>
            </w:tcBorders>
            <w:tcMar>
              <w:top w:w="80" w:type="dxa"/>
              <w:left w:w="100" w:type="dxa"/>
              <w:bottom w:w="80" w:type="dxa"/>
              <w:right w:w="100" w:type="dxa"/>
            </w:tcMar>
            <w:hideMark/>
          </w:tcPr>
          <w:p w14:paraId="5983167A" w14:textId="77777777" w:rsidR="00373410" w:rsidRPr="00373410" w:rsidRDefault="00373410" w:rsidP="00373410">
            <w:pPr>
              <w:spacing w:after="40" w:line="360" w:lineRule="auto"/>
              <w:rPr>
                <w:rFonts w:ascii="Arial" w:hAnsi="Arial" w:cs="Arial"/>
                <w:sz w:val="22"/>
                <w:szCs w:val="22"/>
              </w:rPr>
            </w:pPr>
            <w:r w:rsidRPr="00373410">
              <w:rPr>
                <w:rFonts w:ascii="Arial" w:eastAsia="Calibri" w:hAnsi="Arial" w:cs="Arial"/>
                <w:sz w:val="22"/>
                <w:szCs w:val="22"/>
              </w:rPr>
              <w:t xml:space="preserve">Demand for connectivity keeps rising: UK mobile data use grew 18% year-on-year in 2025 to over 1.2 billion GB per month, and more than a million </w:t>
            </w:r>
            <w:r w:rsidRPr="00373410">
              <w:rPr>
                <w:rFonts w:ascii="Arial" w:eastAsia="Calibri" w:hAnsi="Arial" w:cs="Arial"/>
                <w:sz w:val="22"/>
                <w:szCs w:val="22"/>
              </w:rPr>
              <w:lastRenderedPageBreak/>
              <w:t>households gave up their landline (Ofcom, 2025). Consumers increasingly expect reliable coverage everywhere, and closing the digital divide is a social expectation placed on operators.</w:t>
            </w:r>
          </w:p>
        </w:tc>
      </w:tr>
      <w:tr w:rsidR="00373410" w:rsidRPr="00373410" w14:paraId="3A7FF2F7" w14:textId="77777777">
        <w:tc>
          <w:tcPr>
            <w:tcW w:w="1500" w:type="dxa"/>
            <w:tcBorders>
              <w:top w:val="single" w:sz="4" w:space="0" w:color="auto"/>
              <w:left w:val="single" w:sz="4" w:space="0" w:color="auto"/>
              <w:bottom w:val="single" w:sz="4" w:space="0" w:color="auto"/>
              <w:right w:val="single" w:sz="4" w:space="0" w:color="auto"/>
            </w:tcBorders>
            <w:tcMar>
              <w:top w:w="80" w:type="dxa"/>
              <w:left w:w="100" w:type="dxa"/>
              <w:bottom w:w="80" w:type="dxa"/>
              <w:right w:w="100" w:type="dxa"/>
            </w:tcMar>
            <w:hideMark/>
          </w:tcPr>
          <w:p w14:paraId="0CA161B1" w14:textId="77777777" w:rsidR="00373410" w:rsidRPr="00373410" w:rsidRDefault="00373410" w:rsidP="00373410">
            <w:pPr>
              <w:spacing w:after="40" w:line="360" w:lineRule="auto"/>
              <w:rPr>
                <w:rFonts w:ascii="Arial" w:hAnsi="Arial" w:cs="Arial"/>
                <w:sz w:val="22"/>
                <w:szCs w:val="22"/>
              </w:rPr>
            </w:pPr>
            <w:r w:rsidRPr="00373410">
              <w:rPr>
                <w:rFonts w:ascii="Arial" w:eastAsia="Calibri" w:hAnsi="Arial" w:cs="Arial"/>
                <w:b/>
                <w:bCs/>
                <w:sz w:val="22"/>
                <w:szCs w:val="22"/>
              </w:rPr>
              <w:lastRenderedPageBreak/>
              <w:t>Technological</w:t>
            </w:r>
          </w:p>
        </w:tc>
        <w:tc>
          <w:tcPr>
            <w:tcW w:w="7860" w:type="dxa"/>
            <w:tcBorders>
              <w:top w:val="single" w:sz="4" w:space="0" w:color="auto"/>
              <w:left w:val="single" w:sz="4" w:space="0" w:color="auto"/>
              <w:bottom w:val="single" w:sz="4" w:space="0" w:color="auto"/>
              <w:right w:val="single" w:sz="4" w:space="0" w:color="auto"/>
            </w:tcBorders>
            <w:tcMar>
              <w:top w:w="80" w:type="dxa"/>
              <w:left w:w="100" w:type="dxa"/>
              <w:bottom w:w="80" w:type="dxa"/>
              <w:right w:w="100" w:type="dxa"/>
            </w:tcMar>
            <w:hideMark/>
          </w:tcPr>
          <w:p w14:paraId="262D7F78" w14:textId="77777777" w:rsidR="00373410" w:rsidRPr="00373410" w:rsidRDefault="00373410" w:rsidP="00373410">
            <w:pPr>
              <w:spacing w:after="40" w:line="360" w:lineRule="auto"/>
              <w:rPr>
                <w:rFonts w:ascii="Arial" w:hAnsi="Arial" w:cs="Arial"/>
                <w:sz w:val="22"/>
                <w:szCs w:val="22"/>
              </w:rPr>
            </w:pPr>
            <w:r w:rsidRPr="00373410">
              <w:rPr>
                <w:rFonts w:ascii="Arial" w:eastAsia="Calibri" w:hAnsi="Arial" w:cs="Arial"/>
                <w:sz w:val="22"/>
                <w:szCs w:val="22"/>
              </w:rPr>
              <w:t>The industry is moving from non-standalone 5G to 5G Standalone (5G SA), which enables faster speeds, lower latency and new services such as network slicing. Ofcom (2025) reports that 5G traffic grew 53% in a year and that 83% of the UK population can now access 5G SA from at least one operator. Satellite connectivity and IoT are emerging technologies that create both opportunity and disruption.</w:t>
            </w:r>
          </w:p>
        </w:tc>
      </w:tr>
      <w:tr w:rsidR="00373410" w:rsidRPr="00373410" w14:paraId="7B7DEEF6" w14:textId="77777777">
        <w:tc>
          <w:tcPr>
            <w:tcW w:w="1500" w:type="dxa"/>
            <w:tcBorders>
              <w:top w:val="single" w:sz="4" w:space="0" w:color="auto"/>
              <w:left w:val="single" w:sz="4" w:space="0" w:color="auto"/>
              <w:bottom w:val="single" w:sz="4" w:space="0" w:color="auto"/>
              <w:right w:val="single" w:sz="4" w:space="0" w:color="auto"/>
            </w:tcBorders>
            <w:tcMar>
              <w:top w:w="80" w:type="dxa"/>
              <w:left w:w="100" w:type="dxa"/>
              <w:bottom w:w="80" w:type="dxa"/>
              <w:right w:w="100" w:type="dxa"/>
            </w:tcMar>
            <w:hideMark/>
          </w:tcPr>
          <w:p w14:paraId="5998B570" w14:textId="77777777" w:rsidR="00373410" w:rsidRPr="00373410" w:rsidRDefault="00373410" w:rsidP="00373410">
            <w:pPr>
              <w:spacing w:after="40" w:line="360" w:lineRule="auto"/>
              <w:rPr>
                <w:rFonts w:ascii="Arial" w:hAnsi="Arial" w:cs="Arial"/>
                <w:sz w:val="22"/>
                <w:szCs w:val="22"/>
              </w:rPr>
            </w:pPr>
            <w:r w:rsidRPr="00373410">
              <w:rPr>
                <w:rFonts w:ascii="Arial" w:eastAsia="Calibri" w:hAnsi="Arial" w:cs="Arial"/>
                <w:b/>
                <w:bCs/>
                <w:sz w:val="22"/>
                <w:szCs w:val="22"/>
              </w:rPr>
              <w:t>Environmental</w:t>
            </w:r>
          </w:p>
        </w:tc>
        <w:tc>
          <w:tcPr>
            <w:tcW w:w="7860" w:type="dxa"/>
            <w:tcBorders>
              <w:top w:val="single" w:sz="4" w:space="0" w:color="auto"/>
              <w:left w:val="single" w:sz="4" w:space="0" w:color="auto"/>
              <w:bottom w:val="single" w:sz="4" w:space="0" w:color="auto"/>
              <w:right w:val="single" w:sz="4" w:space="0" w:color="auto"/>
            </w:tcBorders>
            <w:tcMar>
              <w:top w:w="80" w:type="dxa"/>
              <w:left w:w="100" w:type="dxa"/>
              <w:bottom w:w="80" w:type="dxa"/>
              <w:right w:w="100" w:type="dxa"/>
            </w:tcMar>
            <w:hideMark/>
          </w:tcPr>
          <w:p w14:paraId="52755D02" w14:textId="77777777" w:rsidR="00373410" w:rsidRPr="00373410" w:rsidRDefault="00373410" w:rsidP="00373410">
            <w:pPr>
              <w:spacing w:after="40" w:line="360" w:lineRule="auto"/>
              <w:rPr>
                <w:rFonts w:ascii="Arial" w:hAnsi="Arial" w:cs="Arial"/>
                <w:sz w:val="22"/>
                <w:szCs w:val="22"/>
              </w:rPr>
            </w:pPr>
            <w:r w:rsidRPr="00373410">
              <w:rPr>
                <w:rFonts w:ascii="Arial" w:eastAsia="Calibri" w:hAnsi="Arial" w:cs="Arial"/>
                <w:sz w:val="22"/>
                <w:szCs w:val="22"/>
              </w:rPr>
              <w:t>Networks consume large amounts of energy, and Vodafone has public commitments on energy efficiency, device recycling and reducing its environmental footprint (Vodafone, no date). Decommissioning duplicate sites after the merger should reduce energy use per gigabyte carried.</w:t>
            </w:r>
          </w:p>
        </w:tc>
      </w:tr>
      <w:tr w:rsidR="00373410" w:rsidRPr="00373410" w14:paraId="48F26F8D" w14:textId="77777777">
        <w:tc>
          <w:tcPr>
            <w:tcW w:w="1500" w:type="dxa"/>
            <w:tcBorders>
              <w:top w:val="single" w:sz="4" w:space="0" w:color="auto"/>
              <w:left w:val="single" w:sz="4" w:space="0" w:color="auto"/>
              <w:bottom w:val="single" w:sz="4" w:space="0" w:color="auto"/>
              <w:right w:val="single" w:sz="4" w:space="0" w:color="auto"/>
            </w:tcBorders>
            <w:tcMar>
              <w:top w:w="80" w:type="dxa"/>
              <w:left w:w="100" w:type="dxa"/>
              <w:bottom w:w="80" w:type="dxa"/>
              <w:right w:w="100" w:type="dxa"/>
            </w:tcMar>
            <w:hideMark/>
          </w:tcPr>
          <w:p w14:paraId="29456062" w14:textId="77777777" w:rsidR="00373410" w:rsidRPr="00373410" w:rsidRDefault="00373410" w:rsidP="00373410">
            <w:pPr>
              <w:spacing w:after="40" w:line="360" w:lineRule="auto"/>
              <w:rPr>
                <w:rFonts w:ascii="Arial" w:hAnsi="Arial" w:cs="Arial"/>
                <w:sz w:val="22"/>
                <w:szCs w:val="22"/>
              </w:rPr>
            </w:pPr>
            <w:r w:rsidRPr="00373410">
              <w:rPr>
                <w:rFonts w:ascii="Arial" w:eastAsia="Calibri" w:hAnsi="Arial" w:cs="Arial"/>
                <w:b/>
                <w:bCs/>
                <w:sz w:val="22"/>
                <w:szCs w:val="22"/>
              </w:rPr>
              <w:t>Legal</w:t>
            </w:r>
          </w:p>
        </w:tc>
        <w:tc>
          <w:tcPr>
            <w:tcW w:w="7860" w:type="dxa"/>
            <w:tcBorders>
              <w:top w:val="single" w:sz="4" w:space="0" w:color="auto"/>
              <w:left w:val="single" w:sz="4" w:space="0" w:color="auto"/>
              <w:bottom w:val="single" w:sz="4" w:space="0" w:color="auto"/>
              <w:right w:val="single" w:sz="4" w:space="0" w:color="auto"/>
            </w:tcBorders>
            <w:tcMar>
              <w:top w:w="80" w:type="dxa"/>
              <w:left w:w="100" w:type="dxa"/>
              <w:bottom w:w="80" w:type="dxa"/>
              <w:right w:w="100" w:type="dxa"/>
            </w:tcMar>
            <w:hideMark/>
          </w:tcPr>
          <w:p w14:paraId="658F63BE" w14:textId="77777777" w:rsidR="00373410" w:rsidRPr="00373410" w:rsidRDefault="00373410" w:rsidP="00373410">
            <w:pPr>
              <w:spacing w:after="40" w:line="360" w:lineRule="auto"/>
              <w:rPr>
                <w:rFonts w:ascii="Arial" w:hAnsi="Arial" w:cs="Arial"/>
                <w:sz w:val="22"/>
                <w:szCs w:val="22"/>
              </w:rPr>
            </w:pPr>
            <w:r w:rsidRPr="00373410">
              <w:rPr>
                <w:rFonts w:ascii="Arial" w:eastAsia="Calibri" w:hAnsi="Arial" w:cs="Arial"/>
                <w:sz w:val="22"/>
                <w:szCs w:val="22"/>
              </w:rPr>
              <w:t>The CMA approved the merger only with legally binding remedies: the £11 billion network investment must be delivered over eight years, selected tariffs are capped for three years, and MVNOs must be offered pre-set wholesale prices and terms (CMA, 2024). Data protection (UK GDPR) and telecoms security law also constrain operations.</w:t>
            </w:r>
          </w:p>
        </w:tc>
      </w:tr>
    </w:tbl>
    <w:p w14:paraId="17AE53E9" w14:textId="77777777" w:rsidR="00373410" w:rsidRPr="00373410" w:rsidRDefault="00373410" w:rsidP="00373410">
      <w:pPr>
        <w:spacing w:after="160" w:line="360" w:lineRule="auto"/>
        <w:jc w:val="both"/>
        <w:rPr>
          <w:rFonts w:ascii="Arial" w:eastAsia="Calibri" w:hAnsi="Arial" w:cs="Arial"/>
          <w:i/>
          <w:iCs/>
          <w:color w:val="595959"/>
          <w:sz w:val="22"/>
          <w:szCs w:val="22"/>
        </w:rPr>
      </w:pPr>
    </w:p>
    <w:p w14:paraId="15D5C366" w14:textId="77777777" w:rsidR="00373410" w:rsidRPr="00373410" w:rsidRDefault="00373410" w:rsidP="00373410">
      <w:pPr>
        <w:spacing w:after="160" w:line="360" w:lineRule="auto"/>
        <w:jc w:val="both"/>
        <w:rPr>
          <w:rFonts w:ascii="Arial" w:hAnsi="Arial" w:cs="Arial"/>
          <w:sz w:val="22"/>
          <w:szCs w:val="22"/>
        </w:rPr>
      </w:pPr>
      <w:r w:rsidRPr="00373410">
        <w:rPr>
          <w:rFonts w:ascii="Arial" w:eastAsia="Calibri" w:hAnsi="Arial" w:cs="Arial"/>
          <w:sz w:val="22"/>
          <w:szCs w:val="22"/>
        </w:rPr>
        <w:t>The PESTEL analysis shows a macro-environment that is demanding but favourable to a well-funded network leader. Data demand is growing quickly, the government wants infrastructure investment, and the legal remedies, although restrictive on price, lock in the network advantage Vodafone has committed to build.</w:t>
      </w:r>
    </w:p>
    <w:p w14:paraId="44B5EAE8" w14:textId="77777777" w:rsidR="00373410" w:rsidRPr="00373410" w:rsidRDefault="00373410" w:rsidP="00373410">
      <w:pPr>
        <w:pStyle w:val="Heading2"/>
        <w:spacing w:before="240" w:after="140" w:line="360" w:lineRule="auto"/>
        <w:rPr>
          <w:rFonts w:ascii="Arial" w:hAnsi="Arial" w:cs="Arial"/>
          <w:sz w:val="22"/>
          <w:szCs w:val="22"/>
        </w:rPr>
      </w:pPr>
      <w:r w:rsidRPr="00373410">
        <w:rPr>
          <w:rFonts w:ascii="Arial" w:eastAsia="Calibri" w:hAnsi="Arial" w:cs="Arial"/>
          <w:b/>
          <w:bCs/>
          <w:color w:val="2E5395"/>
          <w:sz w:val="22"/>
          <w:szCs w:val="22"/>
        </w:rPr>
        <w:t>3.2 Porter’s Five Forces</w:t>
      </w:r>
    </w:p>
    <w:p w14:paraId="1201B1BB" w14:textId="77777777" w:rsidR="00373410" w:rsidRPr="00373410" w:rsidRDefault="00373410" w:rsidP="00373410">
      <w:pPr>
        <w:spacing w:after="160" w:line="360" w:lineRule="auto"/>
        <w:jc w:val="both"/>
        <w:rPr>
          <w:rFonts w:ascii="Arial" w:hAnsi="Arial" w:cs="Arial"/>
          <w:sz w:val="22"/>
          <w:szCs w:val="22"/>
        </w:rPr>
      </w:pPr>
      <w:r w:rsidRPr="00373410">
        <w:rPr>
          <w:rFonts w:ascii="Arial" w:eastAsia="Calibri" w:hAnsi="Arial" w:cs="Arial"/>
          <w:sz w:val="22"/>
          <w:szCs w:val="22"/>
        </w:rPr>
        <w:t>Porter (2008) argues that industry profitability is shaped by five competitive forces, assessed below for the UK mobile market.</w:t>
      </w:r>
    </w:p>
    <w:p w14:paraId="660C188A" w14:textId="77777777" w:rsidR="00373410" w:rsidRPr="00373410" w:rsidRDefault="00373410" w:rsidP="00373410">
      <w:pPr>
        <w:pStyle w:val="ListParagraph"/>
        <w:numPr>
          <w:ilvl w:val="0"/>
          <w:numId w:val="1"/>
        </w:numPr>
        <w:spacing w:after="100" w:line="360" w:lineRule="auto"/>
        <w:contextualSpacing w:val="0"/>
        <w:jc w:val="both"/>
        <w:rPr>
          <w:rFonts w:ascii="Arial" w:hAnsi="Arial" w:cs="Arial"/>
          <w:sz w:val="22"/>
          <w:szCs w:val="22"/>
        </w:rPr>
      </w:pPr>
      <w:r w:rsidRPr="00373410">
        <w:rPr>
          <w:rFonts w:ascii="Arial" w:eastAsia="Calibri" w:hAnsi="Arial" w:cs="Arial"/>
          <w:sz w:val="22"/>
          <w:szCs w:val="22"/>
        </w:rPr>
        <w:t xml:space="preserve">Competitive rivalry – High. Even after moving from four to three network operators, rivalry with BT/EE and Virgin Media O2 remains intense. </w:t>
      </w:r>
      <w:proofErr w:type="spellStart"/>
      <w:r w:rsidRPr="00373410">
        <w:rPr>
          <w:rFonts w:ascii="Arial" w:eastAsia="Calibri" w:hAnsi="Arial" w:cs="Arial"/>
          <w:sz w:val="22"/>
          <w:szCs w:val="22"/>
        </w:rPr>
        <w:t>VodafoneThree</w:t>
      </w:r>
      <w:proofErr w:type="spellEnd"/>
      <w:r w:rsidRPr="00373410">
        <w:rPr>
          <w:rFonts w:ascii="Arial" w:eastAsia="Calibri" w:hAnsi="Arial" w:cs="Arial"/>
          <w:sz w:val="22"/>
          <w:szCs w:val="22"/>
        </w:rPr>
        <w:t>, with around 27 million customers, has overtaken EE as the largest operator, so competitors are likely to respond hard on price, network claims and bundling (IG, 2025).</w:t>
      </w:r>
    </w:p>
    <w:p w14:paraId="79165C84" w14:textId="77777777" w:rsidR="00373410" w:rsidRPr="00373410" w:rsidRDefault="00373410" w:rsidP="00373410">
      <w:pPr>
        <w:pStyle w:val="ListParagraph"/>
        <w:numPr>
          <w:ilvl w:val="0"/>
          <w:numId w:val="1"/>
        </w:numPr>
        <w:spacing w:after="100" w:line="360" w:lineRule="auto"/>
        <w:contextualSpacing w:val="0"/>
        <w:jc w:val="both"/>
        <w:rPr>
          <w:rFonts w:ascii="Arial" w:hAnsi="Arial" w:cs="Arial"/>
          <w:sz w:val="22"/>
          <w:szCs w:val="22"/>
        </w:rPr>
      </w:pPr>
      <w:r w:rsidRPr="00373410">
        <w:rPr>
          <w:rFonts w:ascii="Arial" w:eastAsia="Calibri" w:hAnsi="Arial" w:cs="Arial"/>
          <w:sz w:val="22"/>
          <w:szCs w:val="22"/>
        </w:rPr>
        <w:t xml:space="preserve">Threat of new entrants – Low. Spectrum licences, billions in network capital and brand building create very high barriers to entry. Realistically, no new UK mobile network </w:t>
      </w:r>
      <w:r w:rsidRPr="00373410">
        <w:rPr>
          <w:rFonts w:ascii="Arial" w:eastAsia="Calibri" w:hAnsi="Arial" w:cs="Arial"/>
          <w:sz w:val="22"/>
          <w:szCs w:val="22"/>
        </w:rPr>
        <w:lastRenderedPageBreak/>
        <w:t>operator is expected; the CMA itself accepted a reduction from four to three operators (CMA, 2024).</w:t>
      </w:r>
    </w:p>
    <w:p w14:paraId="69E833DA" w14:textId="77777777" w:rsidR="00373410" w:rsidRPr="00373410" w:rsidRDefault="00373410" w:rsidP="00373410">
      <w:pPr>
        <w:pStyle w:val="ListParagraph"/>
        <w:numPr>
          <w:ilvl w:val="0"/>
          <w:numId w:val="1"/>
        </w:numPr>
        <w:spacing w:after="100" w:line="360" w:lineRule="auto"/>
        <w:contextualSpacing w:val="0"/>
        <w:jc w:val="both"/>
        <w:rPr>
          <w:rFonts w:ascii="Arial" w:hAnsi="Arial" w:cs="Arial"/>
          <w:sz w:val="22"/>
          <w:szCs w:val="22"/>
        </w:rPr>
      </w:pPr>
      <w:r w:rsidRPr="00373410">
        <w:rPr>
          <w:rFonts w:ascii="Arial" w:eastAsia="Calibri" w:hAnsi="Arial" w:cs="Arial"/>
          <w:sz w:val="22"/>
          <w:szCs w:val="22"/>
        </w:rPr>
        <w:t xml:space="preserve">Bargaining power of buyers – High. Switching costs are low, price comparison is easy, and MVNOs such as Sky Mobile and </w:t>
      </w:r>
      <w:proofErr w:type="spellStart"/>
      <w:r w:rsidRPr="00373410">
        <w:rPr>
          <w:rFonts w:ascii="Arial" w:eastAsia="Calibri" w:hAnsi="Arial" w:cs="Arial"/>
          <w:sz w:val="22"/>
          <w:szCs w:val="22"/>
        </w:rPr>
        <w:t>iD</w:t>
      </w:r>
      <w:proofErr w:type="spellEnd"/>
      <w:r w:rsidRPr="00373410">
        <w:rPr>
          <w:rFonts w:ascii="Arial" w:eastAsia="Calibri" w:hAnsi="Arial" w:cs="Arial"/>
          <w:sz w:val="22"/>
          <w:szCs w:val="22"/>
        </w:rPr>
        <w:t xml:space="preserve"> Mobile give consumers cheap alternatives. The CMA’s three-year tariff caps further strengthen the customer’s position in the short term (CMA, 2024).</w:t>
      </w:r>
    </w:p>
    <w:p w14:paraId="0C1A34CC" w14:textId="77777777" w:rsidR="00373410" w:rsidRPr="00373410" w:rsidRDefault="00373410" w:rsidP="00373410">
      <w:pPr>
        <w:pStyle w:val="ListParagraph"/>
        <w:numPr>
          <w:ilvl w:val="0"/>
          <w:numId w:val="1"/>
        </w:numPr>
        <w:spacing w:after="100" w:line="360" w:lineRule="auto"/>
        <w:contextualSpacing w:val="0"/>
        <w:jc w:val="both"/>
        <w:rPr>
          <w:rFonts w:ascii="Arial" w:hAnsi="Arial" w:cs="Arial"/>
          <w:sz w:val="22"/>
          <w:szCs w:val="22"/>
        </w:rPr>
      </w:pPr>
      <w:r w:rsidRPr="00373410">
        <w:rPr>
          <w:rFonts w:ascii="Arial" w:eastAsia="Calibri" w:hAnsi="Arial" w:cs="Arial"/>
          <w:sz w:val="22"/>
          <w:szCs w:val="22"/>
        </w:rPr>
        <w:t>Bargaining power of suppliers – Moderate. Network equipment comes from a small number of vendors (for example Ericsson and Nokia, particularly after the UK ban on Huawei in 5G networks), which gives suppliers some power, although the scale of an £11 billion buyer improves Vodafone’s negotiating position.</w:t>
      </w:r>
    </w:p>
    <w:p w14:paraId="64684096" w14:textId="77777777" w:rsidR="00373410" w:rsidRPr="00373410" w:rsidRDefault="00373410" w:rsidP="00373410">
      <w:pPr>
        <w:pStyle w:val="ListParagraph"/>
        <w:numPr>
          <w:ilvl w:val="0"/>
          <w:numId w:val="1"/>
        </w:numPr>
        <w:spacing w:after="100" w:line="360" w:lineRule="auto"/>
        <w:contextualSpacing w:val="0"/>
        <w:jc w:val="both"/>
        <w:rPr>
          <w:rFonts w:ascii="Arial" w:hAnsi="Arial" w:cs="Arial"/>
          <w:sz w:val="22"/>
          <w:szCs w:val="22"/>
        </w:rPr>
      </w:pPr>
      <w:r w:rsidRPr="00373410">
        <w:rPr>
          <w:rFonts w:ascii="Arial" w:eastAsia="Calibri" w:hAnsi="Arial" w:cs="Arial"/>
          <w:sz w:val="22"/>
          <w:szCs w:val="22"/>
        </w:rPr>
        <w:t>Threat of substitutes – Moderate and rising. Wi-Fi and full-fibre broadband (now available to 78% of UK premises) substitute for mobile data at home, and satellite services such as Starlink, with over 110,000 UK users, are an emerging substitute in rural areas (Ofcom, 2025).</w:t>
      </w:r>
    </w:p>
    <w:p w14:paraId="0E82A977" w14:textId="77777777" w:rsidR="00373410" w:rsidRPr="00373410" w:rsidRDefault="00373410" w:rsidP="00373410">
      <w:pPr>
        <w:spacing w:after="160" w:line="360" w:lineRule="auto"/>
        <w:jc w:val="both"/>
        <w:rPr>
          <w:rFonts w:ascii="Arial" w:hAnsi="Arial" w:cs="Arial"/>
          <w:sz w:val="22"/>
          <w:szCs w:val="22"/>
        </w:rPr>
      </w:pPr>
      <w:r w:rsidRPr="00373410">
        <w:rPr>
          <w:rFonts w:ascii="Arial" w:eastAsia="Calibri" w:hAnsi="Arial" w:cs="Arial"/>
          <w:sz w:val="22"/>
          <w:szCs w:val="22"/>
        </w:rPr>
        <w:t>Overall, the industry is structurally tough, which explains why scale, cost synergies and network differentiation are so important to competing profitably in it.</w:t>
      </w:r>
    </w:p>
    <w:p w14:paraId="45ABEE15" w14:textId="77777777" w:rsidR="00373410" w:rsidRPr="00373410" w:rsidRDefault="00373410" w:rsidP="00373410">
      <w:pPr>
        <w:pStyle w:val="Heading2"/>
        <w:spacing w:before="240" w:after="140" w:line="360" w:lineRule="auto"/>
        <w:rPr>
          <w:rFonts w:ascii="Arial" w:hAnsi="Arial" w:cs="Arial"/>
          <w:sz w:val="22"/>
          <w:szCs w:val="22"/>
        </w:rPr>
      </w:pPr>
      <w:r w:rsidRPr="00373410">
        <w:rPr>
          <w:rFonts w:ascii="Arial" w:eastAsia="Calibri" w:hAnsi="Arial" w:cs="Arial"/>
          <w:b/>
          <w:bCs/>
          <w:color w:val="2E5395"/>
          <w:sz w:val="22"/>
          <w:szCs w:val="22"/>
        </w:rPr>
        <w:t>3.3 SWOT analysis</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680"/>
        <w:gridCol w:w="4680"/>
      </w:tblGrid>
      <w:tr w:rsidR="00373410" w:rsidRPr="00373410" w14:paraId="7CEAD94C" w14:textId="77777777">
        <w:tc>
          <w:tcPr>
            <w:tcW w:w="4680" w:type="dxa"/>
            <w:tcBorders>
              <w:top w:val="single" w:sz="4" w:space="0" w:color="auto"/>
              <w:left w:val="single" w:sz="4" w:space="0" w:color="auto"/>
              <w:bottom w:val="single" w:sz="4" w:space="0" w:color="auto"/>
              <w:right w:val="single" w:sz="4" w:space="0" w:color="auto"/>
            </w:tcBorders>
            <w:shd w:val="clear" w:color="auto" w:fill="D9E2F3"/>
            <w:tcMar>
              <w:top w:w="80" w:type="dxa"/>
              <w:left w:w="100" w:type="dxa"/>
              <w:bottom w:w="80" w:type="dxa"/>
              <w:right w:w="100" w:type="dxa"/>
            </w:tcMar>
            <w:hideMark/>
          </w:tcPr>
          <w:p w14:paraId="6FD969C7" w14:textId="77777777" w:rsidR="00373410" w:rsidRPr="00373410" w:rsidRDefault="00373410" w:rsidP="00373410">
            <w:pPr>
              <w:spacing w:after="40" w:line="360" w:lineRule="auto"/>
              <w:rPr>
                <w:rFonts w:ascii="Arial" w:hAnsi="Arial" w:cs="Arial"/>
                <w:sz w:val="22"/>
                <w:szCs w:val="22"/>
              </w:rPr>
            </w:pPr>
            <w:r w:rsidRPr="00373410">
              <w:rPr>
                <w:rFonts w:ascii="Arial" w:eastAsia="Calibri" w:hAnsi="Arial" w:cs="Arial"/>
                <w:b/>
                <w:bCs/>
                <w:sz w:val="22"/>
                <w:szCs w:val="22"/>
              </w:rPr>
              <w:t>Strengths</w:t>
            </w:r>
          </w:p>
        </w:tc>
        <w:tc>
          <w:tcPr>
            <w:tcW w:w="4680" w:type="dxa"/>
            <w:tcBorders>
              <w:top w:val="single" w:sz="4" w:space="0" w:color="auto"/>
              <w:left w:val="single" w:sz="4" w:space="0" w:color="auto"/>
              <w:bottom w:val="single" w:sz="4" w:space="0" w:color="auto"/>
              <w:right w:val="single" w:sz="4" w:space="0" w:color="auto"/>
            </w:tcBorders>
            <w:shd w:val="clear" w:color="auto" w:fill="D9E2F3"/>
            <w:tcMar>
              <w:top w:w="80" w:type="dxa"/>
              <w:left w:w="100" w:type="dxa"/>
              <w:bottom w:w="80" w:type="dxa"/>
              <w:right w:w="100" w:type="dxa"/>
            </w:tcMar>
            <w:hideMark/>
          </w:tcPr>
          <w:p w14:paraId="02BBE272" w14:textId="77777777" w:rsidR="00373410" w:rsidRPr="00373410" w:rsidRDefault="00373410" w:rsidP="00373410">
            <w:pPr>
              <w:spacing w:after="40" w:line="360" w:lineRule="auto"/>
              <w:rPr>
                <w:rFonts w:ascii="Arial" w:hAnsi="Arial" w:cs="Arial"/>
                <w:sz w:val="22"/>
                <w:szCs w:val="22"/>
              </w:rPr>
            </w:pPr>
            <w:r w:rsidRPr="00373410">
              <w:rPr>
                <w:rFonts w:ascii="Arial" w:eastAsia="Calibri" w:hAnsi="Arial" w:cs="Arial"/>
                <w:b/>
                <w:bCs/>
                <w:sz w:val="22"/>
                <w:szCs w:val="22"/>
              </w:rPr>
              <w:t>Weaknesses</w:t>
            </w:r>
          </w:p>
        </w:tc>
      </w:tr>
      <w:tr w:rsidR="00373410" w:rsidRPr="00373410" w14:paraId="77D0BF4B" w14:textId="77777777">
        <w:tc>
          <w:tcPr>
            <w:tcW w:w="4680" w:type="dxa"/>
            <w:tcBorders>
              <w:top w:val="single" w:sz="4" w:space="0" w:color="auto"/>
              <w:left w:val="single" w:sz="4" w:space="0" w:color="auto"/>
              <w:bottom w:val="single" w:sz="4" w:space="0" w:color="auto"/>
              <w:right w:val="single" w:sz="4" w:space="0" w:color="auto"/>
            </w:tcBorders>
            <w:tcMar>
              <w:top w:w="80" w:type="dxa"/>
              <w:left w:w="100" w:type="dxa"/>
              <w:bottom w:w="80" w:type="dxa"/>
              <w:right w:w="100" w:type="dxa"/>
            </w:tcMar>
            <w:hideMark/>
          </w:tcPr>
          <w:p w14:paraId="589F270E" w14:textId="77777777" w:rsidR="00373410" w:rsidRPr="00373410" w:rsidRDefault="00373410" w:rsidP="00373410">
            <w:pPr>
              <w:spacing w:after="60" w:line="360" w:lineRule="auto"/>
              <w:rPr>
                <w:rFonts w:ascii="Arial" w:hAnsi="Arial" w:cs="Arial"/>
                <w:sz w:val="22"/>
                <w:szCs w:val="22"/>
              </w:rPr>
            </w:pPr>
            <w:r w:rsidRPr="00373410">
              <w:rPr>
                <w:rFonts w:ascii="Arial" w:eastAsia="Calibri" w:hAnsi="Arial" w:cs="Arial"/>
                <w:sz w:val="22"/>
                <w:szCs w:val="22"/>
              </w:rPr>
              <w:t>• UK market leadership: c.27m customers, largest mobile operator (Vodafone, 2025).</w:t>
            </w:r>
          </w:p>
          <w:p w14:paraId="6CAA2AF6" w14:textId="77777777" w:rsidR="00373410" w:rsidRPr="00373410" w:rsidRDefault="00373410" w:rsidP="00373410">
            <w:pPr>
              <w:spacing w:after="60" w:line="360" w:lineRule="auto"/>
              <w:rPr>
                <w:rFonts w:ascii="Arial" w:hAnsi="Arial" w:cs="Arial"/>
                <w:sz w:val="22"/>
                <w:szCs w:val="22"/>
              </w:rPr>
            </w:pPr>
            <w:r w:rsidRPr="00373410">
              <w:rPr>
                <w:rFonts w:ascii="Arial" w:eastAsia="Calibri" w:hAnsi="Arial" w:cs="Arial"/>
                <w:sz w:val="22"/>
                <w:szCs w:val="22"/>
              </w:rPr>
              <w:t>• Fully funded, regulator-approved £11bn ten-year network plan, targeting 99% 5G SA population coverage by 2030 (</w:t>
            </w:r>
            <w:proofErr w:type="spellStart"/>
            <w:r w:rsidRPr="00373410">
              <w:rPr>
                <w:rFonts w:ascii="Arial" w:eastAsia="Calibri" w:hAnsi="Arial" w:cs="Arial"/>
                <w:sz w:val="22"/>
                <w:szCs w:val="22"/>
              </w:rPr>
              <w:t>VodafoneThree</w:t>
            </w:r>
            <w:proofErr w:type="spellEnd"/>
            <w:r w:rsidRPr="00373410">
              <w:rPr>
                <w:rFonts w:ascii="Arial" w:eastAsia="Calibri" w:hAnsi="Arial" w:cs="Arial"/>
                <w:sz w:val="22"/>
                <w:szCs w:val="22"/>
              </w:rPr>
              <w:t>, 2025).</w:t>
            </w:r>
          </w:p>
          <w:p w14:paraId="573F0844" w14:textId="77777777" w:rsidR="00373410" w:rsidRPr="00373410" w:rsidRDefault="00373410" w:rsidP="00373410">
            <w:pPr>
              <w:spacing w:after="60" w:line="360" w:lineRule="auto"/>
              <w:rPr>
                <w:rFonts w:ascii="Arial" w:hAnsi="Arial" w:cs="Arial"/>
                <w:sz w:val="22"/>
                <w:szCs w:val="22"/>
              </w:rPr>
            </w:pPr>
            <w:r w:rsidRPr="00373410">
              <w:rPr>
                <w:rFonts w:ascii="Arial" w:eastAsia="Calibri" w:hAnsi="Arial" w:cs="Arial"/>
                <w:sz w:val="22"/>
                <w:szCs w:val="22"/>
              </w:rPr>
              <w:t xml:space="preserve">• Combined spectrum and site portfolio; early merger benefits already visible – network sharing removed 16,500 </w:t>
            </w:r>
            <w:proofErr w:type="spellStart"/>
            <w:r w:rsidRPr="00373410">
              <w:rPr>
                <w:rFonts w:ascii="Arial" w:eastAsia="Calibri" w:hAnsi="Arial" w:cs="Arial"/>
                <w:sz w:val="22"/>
                <w:szCs w:val="22"/>
              </w:rPr>
              <w:t>sq</w:t>
            </w:r>
            <w:proofErr w:type="spellEnd"/>
            <w:r w:rsidRPr="00373410">
              <w:rPr>
                <w:rFonts w:ascii="Arial" w:eastAsia="Calibri" w:hAnsi="Arial" w:cs="Arial"/>
                <w:sz w:val="22"/>
                <w:szCs w:val="22"/>
              </w:rPr>
              <w:t xml:space="preserve"> km of “not spots” by the end of 2025 (Vodafone, 2025).</w:t>
            </w:r>
          </w:p>
          <w:p w14:paraId="282CFDEF" w14:textId="77777777" w:rsidR="00373410" w:rsidRPr="00373410" w:rsidRDefault="00373410" w:rsidP="00373410">
            <w:pPr>
              <w:spacing w:after="60" w:line="360" w:lineRule="auto"/>
              <w:rPr>
                <w:rFonts w:ascii="Arial" w:hAnsi="Arial" w:cs="Arial"/>
                <w:sz w:val="22"/>
                <w:szCs w:val="22"/>
              </w:rPr>
            </w:pPr>
            <w:r w:rsidRPr="00373410">
              <w:rPr>
                <w:rFonts w:ascii="Arial" w:eastAsia="Calibri" w:hAnsi="Arial" w:cs="Arial"/>
                <w:sz w:val="22"/>
                <w:szCs w:val="22"/>
              </w:rPr>
              <w:t>• £700m annual synergies expected by year five; Group FY26 revenue up 8.0% to €40.5bn with operating profit of €2.8bn (Vodafone, 2026a).</w:t>
            </w:r>
          </w:p>
          <w:p w14:paraId="61167C82" w14:textId="77777777" w:rsidR="00373410" w:rsidRPr="00373410" w:rsidRDefault="00373410" w:rsidP="00373410">
            <w:pPr>
              <w:spacing w:after="60" w:line="360" w:lineRule="auto"/>
              <w:rPr>
                <w:rFonts w:ascii="Arial" w:hAnsi="Arial" w:cs="Arial"/>
                <w:sz w:val="22"/>
                <w:szCs w:val="22"/>
              </w:rPr>
            </w:pPr>
            <w:r w:rsidRPr="00373410">
              <w:rPr>
                <w:rFonts w:ascii="Arial" w:eastAsia="Calibri" w:hAnsi="Arial" w:cs="Arial"/>
                <w:sz w:val="22"/>
                <w:szCs w:val="22"/>
              </w:rPr>
              <w:lastRenderedPageBreak/>
              <w:t xml:space="preserve">• Strong multi-brand portfolio (Vodafone, Three, VOXI, SMARTY, </w:t>
            </w:r>
            <w:proofErr w:type="spellStart"/>
            <w:r w:rsidRPr="00373410">
              <w:rPr>
                <w:rFonts w:ascii="Arial" w:eastAsia="Calibri" w:hAnsi="Arial" w:cs="Arial"/>
                <w:sz w:val="22"/>
                <w:szCs w:val="22"/>
              </w:rPr>
              <w:t>Talkmobile</w:t>
            </w:r>
            <w:proofErr w:type="spellEnd"/>
            <w:r w:rsidRPr="00373410">
              <w:rPr>
                <w:rFonts w:ascii="Arial" w:eastAsia="Calibri" w:hAnsi="Arial" w:cs="Arial"/>
                <w:sz w:val="22"/>
                <w:szCs w:val="22"/>
              </w:rPr>
              <w:t>) covering premium and value segments.</w:t>
            </w:r>
          </w:p>
        </w:tc>
        <w:tc>
          <w:tcPr>
            <w:tcW w:w="4680" w:type="dxa"/>
            <w:tcBorders>
              <w:top w:val="single" w:sz="4" w:space="0" w:color="auto"/>
              <w:left w:val="single" w:sz="4" w:space="0" w:color="auto"/>
              <w:bottom w:val="single" w:sz="4" w:space="0" w:color="auto"/>
              <w:right w:val="single" w:sz="4" w:space="0" w:color="auto"/>
            </w:tcBorders>
            <w:tcMar>
              <w:top w:w="80" w:type="dxa"/>
              <w:left w:w="100" w:type="dxa"/>
              <w:bottom w:w="80" w:type="dxa"/>
              <w:right w:w="100" w:type="dxa"/>
            </w:tcMar>
            <w:hideMark/>
          </w:tcPr>
          <w:p w14:paraId="36B37A64" w14:textId="77777777" w:rsidR="00373410" w:rsidRPr="00373410" w:rsidRDefault="00373410" w:rsidP="00373410">
            <w:pPr>
              <w:spacing w:after="60" w:line="360" w:lineRule="auto"/>
              <w:rPr>
                <w:rFonts w:ascii="Arial" w:hAnsi="Arial" w:cs="Arial"/>
                <w:sz w:val="22"/>
                <w:szCs w:val="22"/>
              </w:rPr>
            </w:pPr>
            <w:r w:rsidRPr="00373410">
              <w:rPr>
                <w:rFonts w:ascii="Arial" w:eastAsia="Calibri" w:hAnsi="Arial" w:cs="Arial"/>
                <w:sz w:val="22"/>
                <w:szCs w:val="22"/>
              </w:rPr>
              <w:lastRenderedPageBreak/>
              <w:t xml:space="preserve">• High leverage: Group net debt rose to €25.4bn in FY26, partly due to consolidating </w:t>
            </w:r>
            <w:proofErr w:type="spellStart"/>
            <w:r w:rsidRPr="00373410">
              <w:rPr>
                <w:rFonts w:ascii="Arial" w:eastAsia="Calibri" w:hAnsi="Arial" w:cs="Arial"/>
                <w:sz w:val="22"/>
                <w:szCs w:val="22"/>
              </w:rPr>
              <w:t>VodafoneThree</w:t>
            </w:r>
            <w:proofErr w:type="spellEnd"/>
            <w:r w:rsidRPr="00373410">
              <w:rPr>
                <w:rFonts w:ascii="Arial" w:eastAsia="Calibri" w:hAnsi="Arial" w:cs="Arial"/>
                <w:sz w:val="22"/>
                <w:szCs w:val="22"/>
              </w:rPr>
              <w:t xml:space="preserve"> debt (Vodafone, 2026a).</w:t>
            </w:r>
          </w:p>
          <w:p w14:paraId="1E6B2F23" w14:textId="77777777" w:rsidR="00373410" w:rsidRPr="00373410" w:rsidRDefault="00373410" w:rsidP="00373410">
            <w:pPr>
              <w:spacing w:after="60" w:line="360" w:lineRule="auto"/>
              <w:rPr>
                <w:rFonts w:ascii="Arial" w:hAnsi="Arial" w:cs="Arial"/>
                <w:sz w:val="22"/>
                <w:szCs w:val="22"/>
              </w:rPr>
            </w:pPr>
            <w:r w:rsidRPr="00373410">
              <w:rPr>
                <w:rFonts w:ascii="Arial" w:eastAsia="Calibri" w:hAnsi="Arial" w:cs="Arial"/>
                <w:sz w:val="22"/>
                <w:szCs w:val="22"/>
              </w:rPr>
              <w:t>• Large, complex integration of two networks, IT systems and cultures, with execution risk over several years.</w:t>
            </w:r>
          </w:p>
          <w:p w14:paraId="10FC1F45" w14:textId="77777777" w:rsidR="00373410" w:rsidRPr="00373410" w:rsidRDefault="00373410" w:rsidP="00373410">
            <w:pPr>
              <w:spacing w:after="60" w:line="360" w:lineRule="auto"/>
              <w:rPr>
                <w:rFonts w:ascii="Arial" w:hAnsi="Arial" w:cs="Arial"/>
                <w:sz w:val="22"/>
                <w:szCs w:val="22"/>
              </w:rPr>
            </w:pPr>
            <w:r w:rsidRPr="00373410">
              <w:rPr>
                <w:rFonts w:ascii="Arial" w:eastAsia="Calibri" w:hAnsi="Arial" w:cs="Arial"/>
                <w:sz w:val="22"/>
                <w:szCs w:val="22"/>
              </w:rPr>
              <w:t>• CMA price caps limit short-term pricing freedom on selected tariffs (CMA, 2024).</w:t>
            </w:r>
          </w:p>
          <w:p w14:paraId="33484D78" w14:textId="77777777" w:rsidR="00373410" w:rsidRPr="00373410" w:rsidRDefault="00373410" w:rsidP="00373410">
            <w:pPr>
              <w:spacing w:after="60" w:line="360" w:lineRule="auto"/>
              <w:rPr>
                <w:rFonts w:ascii="Arial" w:hAnsi="Arial" w:cs="Arial"/>
                <w:sz w:val="22"/>
                <w:szCs w:val="22"/>
              </w:rPr>
            </w:pPr>
            <w:r w:rsidRPr="00373410">
              <w:rPr>
                <w:rFonts w:ascii="Arial" w:eastAsia="Calibri" w:hAnsi="Arial" w:cs="Arial"/>
                <w:sz w:val="22"/>
                <w:szCs w:val="22"/>
              </w:rPr>
              <w:t>• Vodafone’s UK brand has historically trailed EE on perceived network quality, which takes time to change.</w:t>
            </w:r>
          </w:p>
        </w:tc>
      </w:tr>
      <w:tr w:rsidR="00373410" w:rsidRPr="00373410" w14:paraId="0DCDB2D0" w14:textId="77777777">
        <w:tc>
          <w:tcPr>
            <w:tcW w:w="4680" w:type="dxa"/>
            <w:tcBorders>
              <w:top w:val="single" w:sz="4" w:space="0" w:color="auto"/>
              <w:left w:val="single" w:sz="4" w:space="0" w:color="auto"/>
              <w:bottom w:val="single" w:sz="4" w:space="0" w:color="auto"/>
              <w:right w:val="single" w:sz="4" w:space="0" w:color="auto"/>
            </w:tcBorders>
            <w:shd w:val="clear" w:color="auto" w:fill="D9E2F3"/>
            <w:tcMar>
              <w:top w:w="80" w:type="dxa"/>
              <w:left w:w="100" w:type="dxa"/>
              <w:bottom w:w="80" w:type="dxa"/>
              <w:right w:w="100" w:type="dxa"/>
            </w:tcMar>
            <w:hideMark/>
          </w:tcPr>
          <w:p w14:paraId="1E47A41F" w14:textId="77777777" w:rsidR="00373410" w:rsidRPr="00373410" w:rsidRDefault="00373410" w:rsidP="00373410">
            <w:pPr>
              <w:spacing w:after="40" w:line="360" w:lineRule="auto"/>
              <w:rPr>
                <w:rFonts w:ascii="Arial" w:hAnsi="Arial" w:cs="Arial"/>
                <w:sz w:val="22"/>
                <w:szCs w:val="22"/>
              </w:rPr>
            </w:pPr>
            <w:r w:rsidRPr="00373410">
              <w:rPr>
                <w:rFonts w:ascii="Arial" w:eastAsia="Calibri" w:hAnsi="Arial" w:cs="Arial"/>
                <w:b/>
                <w:bCs/>
                <w:sz w:val="22"/>
                <w:szCs w:val="22"/>
              </w:rPr>
              <w:t>Opportunities</w:t>
            </w:r>
          </w:p>
        </w:tc>
        <w:tc>
          <w:tcPr>
            <w:tcW w:w="4680" w:type="dxa"/>
            <w:tcBorders>
              <w:top w:val="single" w:sz="4" w:space="0" w:color="auto"/>
              <w:left w:val="single" w:sz="4" w:space="0" w:color="auto"/>
              <w:bottom w:val="single" w:sz="4" w:space="0" w:color="auto"/>
              <w:right w:val="single" w:sz="4" w:space="0" w:color="auto"/>
            </w:tcBorders>
            <w:shd w:val="clear" w:color="auto" w:fill="D9E2F3"/>
            <w:tcMar>
              <w:top w:w="80" w:type="dxa"/>
              <w:left w:w="100" w:type="dxa"/>
              <w:bottom w:w="80" w:type="dxa"/>
              <w:right w:w="100" w:type="dxa"/>
            </w:tcMar>
            <w:hideMark/>
          </w:tcPr>
          <w:p w14:paraId="3D70071D" w14:textId="77777777" w:rsidR="00373410" w:rsidRPr="00373410" w:rsidRDefault="00373410" w:rsidP="00373410">
            <w:pPr>
              <w:spacing w:after="40" w:line="360" w:lineRule="auto"/>
              <w:rPr>
                <w:rFonts w:ascii="Arial" w:hAnsi="Arial" w:cs="Arial"/>
                <w:sz w:val="22"/>
                <w:szCs w:val="22"/>
              </w:rPr>
            </w:pPr>
            <w:r w:rsidRPr="00373410">
              <w:rPr>
                <w:rFonts w:ascii="Arial" w:eastAsia="Calibri" w:hAnsi="Arial" w:cs="Arial"/>
                <w:b/>
                <w:bCs/>
                <w:sz w:val="22"/>
                <w:szCs w:val="22"/>
              </w:rPr>
              <w:t>Threats</w:t>
            </w:r>
          </w:p>
        </w:tc>
      </w:tr>
      <w:tr w:rsidR="00373410" w:rsidRPr="00373410" w14:paraId="15C1DA51" w14:textId="77777777">
        <w:tc>
          <w:tcPr>
            <w:tcW w:w="4680" w:type="dxa"/>
            <w:tcBorders>
              <w:top w:val="single" w:sz="4" w:space="0" w:color="auto"/>
              <w:left w:val="single" w:sz="4" w:space="0" w:color="auto"/>
              <w:bottom w:val="single" w:sz="4" w:space="0" w:color="auto"/>
              <w:right w:val="single" w:sz="4" w:space="0" w:color="auto"/>
            </w:tcBorders>
            <w:tcMar>
              <w:top w:w="80" w:type="dxa"/>
              <w:left w:w="100" w:type="dxa"/>
              <w:bottom w:w="80" w:type="dxa"/>
              <w:right w:w="100" w:type="dxa"/>
            </w:tcMar>
            <w:hideMark/>
          </w:tcPr>
          <w:p w14:paraId="27518FC9" w14:textId="77777777" w:rsidR="00373410" w:rsidRPr="00373410" w:rsidRDefault="00373410" w:rsidP="00373410">
            <w:pPr>
              <w:spacing w:after="60" w:line="360" w:lineRule="auto"/>
              <w:rPr>
                <w:rFonts w:ascii="Arial" w:hAnsi="Arial" w:cs="Arial"/>
                <w:sz w:val="22"/>
                <w:szCs w:val="22"/>
              </w:rPr>
            </w:pPr>
            <w:r w:rsidRPr="00373410">
              <w:rPr>
                <w:rFonts w:ascii="Arial" w:eastAsia="Calibri" w:hAnsi="Arial" w:cs="Arial"/>
                <w:sz w:val="22"/>
                <w:szCs w:val="22"/>
              </w:rPr>
              <w:t>• Booming data demand (+18% p.a.) and the 5G SA transition create room for premium connectivity products (Ofcom, 2025).</w:t>
            </w:r>
          </w:p>
          <w:p w14:paraId="7F05CAA9" w14:textId="77777777" w:rsidR="00373410" w:rsidRPr="00373410" w:rsidRDefault="00373410" w:rsidP="00373410">
            <w:pPr>
              <w:spacing w:after="60" w:line="360" w:lineRule="auto"/>
              <w:rPr>
                <w:rFonts w:ascii="Arial" w:hAnsi="Arial" w:cs="Arial"/>
                <w:sz w:val="22"/>
                <w:szCs w:val="22"/>
              </w:rPr>
            </w:pPr>
            <w:r w:rsidRPr="00373410">
              <w:rPr>
                <w:rFonts w:ascii="Arial" w:eastAsia="Calibri" w:hAnsi="Arial" w:cs="Arial"/>
                <w:sz w:val="22"/>
                <w:szCs w:val="22"/>
              </w:rPr>
              <w:t>• New 5G-enabled revenue: fixed wireless access broadband, IoT, private networks, smart cities and business digital services.</w:t>
            </w:r>
          </w:p>
          <w:p w14:paraId="1C3CC1E3" w14:textId="77777777" w:rsidR="00373410" w:rsidRPr="00373410" w:rsidRDefault="00373410" w:rsidP="00373410">
            <w:pPr>
              <w:spacing w:after="60" w:line="360" w:lineRule="auto"/>
              <w:rPr>
                <w:rFonts w:ascii="Arial" w:hAnsi="Arial" w:cs="Arial"/>
                <w:sz w:val="22"/>
                <w:szCs w:val="22"/>
              </w:rPr>
            </w:pPr>
            <w:r w:rsidRPr="00373410">
              <w:rPr>
                <w:rFonts w:ascii="Arial" w:eastAsia="Calibri" w:hAnsi="Arial" w:cs="Arial"/>
                <w:sz w:val="22"/>
                <w:szCs w:val="22"/>
              </w:rPr>
              <w:t>• Cross-selling and upselling across a 27m customer base to lift ARPU (IG, 2025).</w:t>
            </w:r>
          </w:p>
          <w:p w14:paraId="61E6EB1E" w14:textId="77777777" w:rsidR="00373410" w:rsidRPr="00373410" w:rsidRDefault="00373410" w:rsidP="00373410">
            <w:pPr>
              <w:spacing w:after="60" w:line="360" w:lineRule="auto"/>
              <w:rPr>
                <w:rFonts w:ascii="Arial" w:hAnsi="Arial" w:cs="Arial"/>
                <w:sz w:val="22"/>
                <w:szCs w:val="22"/>
              </w:rPr>
            </w:pPr>
            <w:r w:rsidRPr="00373410">
              <w:rPr>
                <w:rFonts w:ascii="Arial" w:eastAsia="Calibri" w:hAnsi="Arial" w:cs="Arial"/>
                <w:sz w:val="22"/>
                <w:szCs w:val="22"/>
              </w:rPr>
              <w:t xml:space="preserve">• Full ownership of </w:t>
            </w:r>
            <w:proofErr w:type="spellStart"/>
            <w:r w:rsidRPr="00373410">
              <w:rPr>
                <w:rFonts w:ascii="Arial" w:eastAsia="Calibri" w:hAnsi="Arial" w:cs="Arial"/>
                <w:sz w:val="22"/>
                <w:szCs w:val="22"/>
              </w:rPr>
              <w:t>VodafoneThree</w:t>
            </w:r>
            <w:proofErr w:type="spellEnd"/>
            <w:r w:rsidRPr="00373410">
              <w:rPr>
                <w:rFonts w:ascii="Arial" w:eastAsia="Calibri" w:hAnsi="Arial" w:cs="Arial"/>
                <w:sz w:val="22"/>
                <w:szCs w:val="22"/>
              </w:rPr>
              <w:t xml:space="preserve"> from 2026 simplifies governance and captures all synergies (Vodafone, 2026b).</w:t>
            </w:r>
          </w:p>
        </w:tc>
        <w:tc>
          <w:tcPr>
            <w:tcW w:w="4680" w:type="dxa"/>
            <w:tcBorders>
              <w:top w:val="single" w:sz="4" w:space="0" w:color="auto"/>
              <w:left w:val="single" w:sz="4" w:space="0" w:color="auto"/>
              <w:bottom w:val="single" w:sz="4" w:space="0" w:color="auto"/>
              <w:right w:val="single" w:sz="4" w:space="0" w:color="auto"/>
            </w:tcBorders>
            <w:tcMar>
              <w:top w:w="80" w:type="dxa"/>
              <w:left w:w="100" w:type="dxa"/>
              <w:bottom w:w="80" w:type="dxa"/>
              <w:right w:w="100" w:type="dxa"/>
            </w:tcMar>
            <w:hideMark/>
          </w:tcPr>
          <w:p w14:paraId="72D6CCF0" w14:textId="77777777" w:rsidR="00373410" w:rsidRPr="00373410" w:rsidRDefault="00373410" w:rsidP="00373410">
            <w:pPr>
              <w:spacing w:after="60" w:line="360" w:lineRule="auto"/>
              <w:rPr>
                <w:rFonts w:ascii="Arial" w:hAnsi="Arial" w:cs="Arial"/>
                <w:sz w:val="22"/>
                <w:szCs w:val="22"/>
              </w:rPr>
            </w:pPr>
            <w:r w:rsidRPr="00373410">
              <w:rPr>
                <w:rFonts w:ascii="Arial" w:eastAsia="Calibri" w:hAnsi="Arial" w:cs="Arial"/>
                <w:sz w:val="22"/>
                <w:szCs w:val="22"/>
              </w:rPr>
              <w:t>• Aggressive competitive response from BT/EE and Virgin Media O2, including price wars.</w:t>
            </w:r>
          </w:p>
          <w:p w14:paraId="35811ABC" w14:textId="77777777" w:rsidR="00373410" w:rsidRPr="00373410" w:rsidRDefault="00373410" w:rsidP="00373410">
            <w:pPr>
              <w:spacing w:after="60" w:line="360" w:lineRule="auto"/>
              <w:rPr>
                <w:rFonts w:ascii="Arial" w:hAnsi="Arial" w:cs="Arial"/>
                <w:sz w:val="22"/>
                <w:szCs w:val="22"/>
              </w:rPr>
            </w:pPr>
            <w:r w:rsidRPr="00373410">
              <w:rPr>
                <w:rFonts w:ascii="Arial" w:eastAsia="Calibri" w:hAnsi="Arial" w:cs="Arial"/>
                <w:sz w:val="22"/>
                <w:szCs w:val="22"/>
              </w:rPr>
              <w:t>• Regulatory intervention if network commitments slip – the CMA and Ofcom monitor delivery annually (CMA, 2024).</w:t>
            </w:r>
          </w:p>
          <w:p w14:paraId="34EB6867" w14:textId="77777777" w:rsidR="00373410" w:rsidRPr="00373410" w:rsidRDefault="00373410" w:rsidP="00373410">
            <w:pPr>
              <w:spacing w:after="60" w:line="360" w:lineRule="auto"/>
              <w:rPr>
                <w:rFonts w:ascii="Arial" w:hAnsi="Arial" w:cs="Arial"/>
                <w:sz w:val="22"/>
                <w:szCs w:val="22"/>
              </w:rPr>
            </w:pPr>
            <w:r w:rsidRPr="00373410">
              <w:rPr>
                <w:rFonts w:ascii="Arial" w:eastAsia="Calibri" w:hAnsi="Arial" w:cs="Arial"/>
                <w:sz w:val="22"/>
                <w:szCs w:val="22"/>
              </w:rPr>
              <w:t>• Substitutes: expanding full fibre and satellite broadband eroding mobile data revenue (Ofcom, 2025).</w:t>
            </w:r>
          </w:p>
          <w:p w14:paraId="4611038C" w14:textId="77777777" w:rsidR="00373410" w:rsidRPr="00373410" w:rsidRDefault="00373410" w:rsidP="00373410">
            <w:pPr>
              <w:spacing w:after="60" w:line="360" w:lineRule="auto"/>
              <w:rPr>
                <w:rFonts w:ascii="Arial" w:hAnsi="Arial" w:cs="Arial"/>
                <w:sz w:val="22"/>
                <w:szCs w:val="22"/>
              </w:rPr>
            </w:pPr>
            <w:r w:rsidRPr="00373410">
              <w:rPr>
                <w:rFonts w:ascii="Arial" w:eastAsia="Calibri" w:hAnsi="Arial" w:cs="Arial"/>
                <w:sz w:val="22"/>
                <w:szCs w:val="22"/>
              </w:rPr>
              <w:t>• Integration failure or delay, which would postpone synergies and damage customer experience.</w:t>
            </w:r>
          </w:p>
        </w:tc>
      </w:tr>
    </w:tbl>
    <w:p w14:paraId="48E121B4" w14:textId="77777777" w:rsidR="00373410" w:rsidRPr="00373410" w:rsidRDefault="00373410" w:rsidP="00373410">
      <w:pPr>
        <w:spacing w:after="160" w:line="360" w:lineRule="auto"/>
        <w:jc w:val="both"/>
        <w:rPr>
          <w:rFonts w:ascii="Arial" w:eastAsia="Calibri" w:hAnsi="Arial" w:cs="Arial"/>
          <w:i/>
          <w:iCs/>
          <w:color w:val="595959"/>
          <w:sz w:val="22"/>
          <w:szCs w:val="22"/>
        </w:rPr>
      </w:pPr>
    </w:p>
    <w:p w14:paraId="7FD6CCC8" w14:textId="77777777" w:rsidR="00373410" w:rsidRPr="00373410" w:rsidRDefault="00373410" w:rsidP="00373410">
      <w:pPr>
        <w:spacing w:after="160" w:line="360" w:lineRule="auto"/>
        <w:jc w:val="both"/>
        <w:rPr>
          <w:rFonts w:ascii="Arial" w:hAnsi="Arial" w:cs="Arial"/>
          <w:sz w:val="22"/>
          <w:szCs w:val="22"/>
        </w:rPr>
      </w:pPr>
      <w:r w:rsidRPr="00373410">
        <w:rPr>
          <w:rFonts w:ascii="Arial" w:eastAsia="Calibri" w:hAnsi="Arial" w:cs="Arial"/>
          <w:sz w:val="22"/>
          <w:szCs w:val="22"/>
        </w:rPr>
        <w:t>The overall position is promising. Vodafone’s key strengths (scale, spectrum, a funded network plan) match directly onto the biggest opportunities (data growth and 5G SA services), which is exactly the alignment a growth strategy should exploit. The main constraints are debt, integration risk and regulation, and the proposed strategy must respect all three.</w:t>
      </w:r>
    </w:p>
    <w:p w14:paraId="6E7AFF0D" w14:textId="77777777" w:rsidR="00373410" w:rsidRPr="00373410" w:rsidRDefault="00373410" w:rsidP="00373410">
      <w:pPr>
        <w:pStyle w:val="Heading1"/>
        <w:spacing w:before="320" w:after="200" w:line="360" w:lineRule="auto"/>
        <w:rPr>
          <w:rFonts w:ascii="Arial" w:hAnsi="Arial" w:cs="Arial"/>
          <w:sz w:val="22"/>
          <w:szCs w:val="22"/>
        </w:rPr>
      </w:pPr>
      <w:r w:rsidRPr="00373410">
        <w:rPr>
          <w:rFonts w:ascii="Arial" w:eastAsia="Calibri" w:hAnsi="Arial" w:cs="Arial"/>
          <w:b/>
          <w:bCs/>
          <w:color w:val="1F3864"/>
          <w:sz w:val="22"/>
          <w:szCs w:val="22"/>
        </w:rPr>
        <w:t>4. Strategic Growth Options and Proposed Strategy</w:t>
      </w:r>
    </w:p>
    <w:p w14:paraId="7F979339" w14:textId="77777777" w:rsidR="00373410" w:rsidRPr="00373410" w:rsidRDefault="00373410" w:rsidP="00373410">
      <w:pPr>
        <w:pStyle w:val="Heading2"/>
        <w:spacing w:before="240" w:after="140" w:line="360" w:lineRule="auto"/>
        <w:rPr>
          <w:rFonts w:ascii="Arial" w:hAnsi="Arial" w:cs="Arial"/>
          <w:sz w:val="22"/>
          <w:szCs w:val="22"/>
        </w:rPr>
      </w:pPr>
      <w:r w:rsidRPr="00373410">
        <w:rPr>
          <w:rFonts w:ascii="Arial" w:eastAsia="Calibri" w:hAnsi="Arial" w:cs="Arial"/>
          <w:b/>
          <w:bCs/>
          <w:color w:val="2E5395"/>
          <w:sz w:val="22"/>
          <w:szCs w:val="22"/>
        </w:rPr>
        <w:t>4.1 Options using the Ansoff Matrix</w:t>
      </w:r>
    </w:p>
    <w:p w14:paraId="74F7FB7F" w14:textId="77777777" w:rsidR="00373410" w:rsidRPr="00373410" w:rsidRDefault="00373410" w:rsidP="00373410">
      <w:pPr>
        <w:spacing w:after="160" w:line="360" w:lineRule="auto"/>
        <w:jc w:val="both"/>
        <w:rPr>
          <w:rFonts w:ascii="Arial" w:hAnsi="Arial" w:cs="Arial"/>
          <w:sz w:val="22"/>
          <w:szCs w:val="22"/>
        </w:rPr>
      </w:pPr>
      <w:r w:rsidRPr="00373410">
        <w:rPr>
          <w:rFonts w:ascii="Arial" w:eastAsia="Calibri" w:hAnsi="Arial" w:cs="Arial"/>
          <w:sz w:val="22"/>
          <w:szCs w:val="22"/>
        </w:rPr>
        <w:t>The Ansoff Matrix identifies four growth directions based on products and markets (Ansoff, 1957):</w:t>
      </w:r>
    </w:p>
    <w:p w14:paraId="687838D6" w14:textId="77777777" w:rsidR="00373410" w:rsidRPr="00373410" w:rsidRDefault="00373410" w:rsidP="00373410">
      <w:pPr>
        <w:pStyle w:val="ListParagraph"/>
        <w:numPr>
          <w:ilvl w:val="0"/>
          <w:numId w:val="1"/>
        </w:numPr>
        <w:spacing w:after="100" w:line="360" w:lineRule="auto"/>
        <w:contextualSpacing w:val="0"/>
        <w:jc w:val="both"/>
        <w:rPr>
          <w:rFonts w:ascii="Arial" w:hAnsi="Arial" w:cs="Arial"/>
          <w:sz w:val="22"/>
          <w:szCs w:val="22"/>
        </w:rPr>
      </w:pPr>
      <w:r w:rsidRPr="00373410">
        <w:rPr>
          <w:rFonts w:ascii="Arial" w:eastAsia="Calibri" w:hAnsi="Arial" w:cs="Arial"/>
          <w:sz w:val="22"/>
          <w:szCs w:val="22"/>
        </w:rPr>
        <w:t>Market penetration (existing products, existing markets): grow share and reduce churn in UK mobile by converting the new network advantage into customer wins, migrating customers onto 5G plans and cross-selling across the five brands. This is the lowest-risk option and uses assets Vodafone already has.</w:t>
      </w:r>
    </w:p>
    <w:p w14:paraId="672953C3" w14:textId="77777777" w:rsidR="00373410" w:rsidRPr="00373410" w:rsidRDefault="00373410" w:rsidP="00373410">
      <w:pPr>
        <w:pStyle w:val="ListParagraph"/>
        <w:numPr>
          <w:ilvl w:val="0"/>
          <w:numId w:val="1"/>
        </w:numPr>
        <w:spacing w:after="100" w:line="360" w:lineRule="auto"/>
        <w:contextualSpacing w:val="0"/>
        <w:jc w:val="both"/>
        <w:rPr>
          <w:rFonts w:ascii="Arial" w:hAnsi="Arial" w:cs="Arial"/>
          <w:sz w:val="22"/>
          <w:szCs w:val="22"/>
        </w:rPr>
      </w:pPr>
      <w:r w:rsidRPr="00373410">
        <w:rPr>
          <w:rFonts w:ascii="Arial" w:eastAsia="Calibri" w:hAnsi="Arial" w:cs="Arial"/>
          <w:sz w:val="22"/>
          <w:szCs w:val="22"/>
        </w:rPr>
        <w:t xml:space="preserve">Product development (new products, existing markets): launch 5G SA-enabled products for existing UK customers, such as fixed wireless access (FWA) home broadband, IoT </w:t>
      </w:r>
      <w:r w:rsidRPr="00373410">
        <w:rPr>
          <w:rFonts w:ascii="Arial" w:eastAsia="Calibri" w:hAnsi="Arial" w:cs="Arial"/>
          <w:sz w:val="22"/>
          <w:szCs w:val="22"/>
        </w:rPr>
        <w:lastRenderedPageBreak/>
        <w:t>connectivity, private 5G networks for businesses and network slicing services. Ofcom (2025) data showing 53% growth in 5G traffic suggests real demand for these products.</w:t>
      </w:r>
    </w:p>
    <w:p w14:paraId="377F60DE" w14:textId="77777777" w:rsidR="00373410" w:rsidRPr="00373410" w:rsidRDefault="00373410" w:rsidP="00373410">
      <w:pPr>
        <w:pStyle w:val="ListParagraph"/>
        <w:numPr>
          <w:ilvl w:val="0"/>
          <w:numId w:val="1"/>
        </w:numPr>
        <w:spacing w:after="100" w:line="360" w:lineRule="auto"/>
        <w:contextualSpacing w:val="0"/>
        <w:jc w:val="both"/>
        <w:rPr>
          <w:rFonts w:ascii="Arial" w:hAnsi="Arial" w:cs="Arial"/>
          <w:sz w:val="22"/>
          <w:szCs w:val="22"/>
        </w:rPr>
      </w:pPr>
      <w:r w:rsidRPr="00373410">
        <w:rPr>
          <w:rFonts w:ascii="Arial" w:eastAsia="Calibri" w:hAnsi="Arial" w:cs="Arial"/>
          <w:sz w:val="22"/>
          <w:szCs w:val="22"/>
        </w:rPr>
        <w:t>Market development (existing products, new markets): geographic expansion is not realistic for a UK-licensed operator, but Vodafone could push existing services into under-served segments, such as rural areas newly covered by the merged network, or grow wholesale supply to MVNOs.</w:t>
      </w:r>
    </w:p>
    <w:p w14:paraId="2CB3F63F" w14:textId="77777777" w:rsidR="00373410" w:rsidRPr="00373410" w:rsidRDefault="00373410" w:rsidP="00373410">
      <w:pPr>
        <w:pStyle w:val="ListParagraph"/>
        <w:numPr>
          <w:ilvl w:val="0"/>
          <w:numId w:val="1"/>
        </w:numPr>
        <w:spacing w:after="100" w:line="360" w:lineRule="auto"/>
        <w:contextualSpacing w:val="0"/>
        <w:jc w:val="both"/>
        <w:rPr>
          <w:rFonts w:ascii="Arial" w:hAnsi="Arial" w:cs="Arial"/>
          <w:sz w:val="22"/>
          <w:szCs w:val="22"/>
        </w:rPr>
      </w:pPr>
      <w:r w:rsidRPr="00373410">
        <w:rPr>
          <w:rFonts w:ascii="Arial" w:eastAsia="Calibri" w:hAnsi="Arial" w:cs="Arial"/>
          <w:sz w:val="22"/>
          <w:szCs w:val="22"/>
        </w:rPr>
        <w:t>Diversification (new products, new markets): moving into areas such as financial services or media content. This is the highest-risk quadrant, and given Vodafone’s debt and integration workload, it would stretch management attention at exactly the wrong time.</w:t>
      </w:r>
    </w:p>
    <w:p w14:paraId="0EFAA150" w14:textId="77777777" w:rsidR="00373410" w:rsidRPr="00373410" w:rsidRDefault="00373410" w:rsidP="00373410">
      <w:pPr>
        <w:pStyle w:val="Heading2"/>
        <w:spacing w:before="240" w:after="140" w:line="360" w:lineRule="auto"/>
        <w:rPr>
          <w:rFonts w:ascii="Arial" w:hAnsi="Arial" w:cs="Arial"/>
          <w:sz w:val="22"/>
          <w:szCs w:val="22"/>
        </w:rPr>
      </w:pPr>
      <w:r w:rsidRPr="00373410">
        <w:rPr>
          <w:rFonts w:ascii="Arial" w:eastAsia="Calibri" w:hAnsi="Arial" w:cs="Arial"/>
          <w:b/>
          <w:bCs/>
          <w:color w:val="2E5395"/>
          <w:sz w:val="22"/>
          <w:szCs w:val="22"/>
        </w:rPr>
        <w:t>4.2 Proposed strategy and justification</w:t>
      </w:r>
    </w:p>
    <w:p w14:paraId="400B260C" w14:textId="77777777" w:rsidR="00373410" w:rsidRPr="00373410" w:rsidRDefault="00373410" w:rsidP="00373410">
      <w:pPr>
        <w:spacing w:after="160" w:line="360" w:lineRule="auto"/>
        <w:jc w:val="both"/>
        <w:rPr>
          <w:rFonts w:ascii="Arial" w:hAnsi="Arial" w:cs="Arial"/>
          <w:sz w:val="22"/>
          <w:szCs w:val="22"/>
        </w:rPr>
      </w:pPr>
      <w:r w:rsidRPr="00373410">
        <w:rPr>
          <w:rFonts w:ascii="Arial" w:eastAsia="Calibri" w:hAnsi="Arial" w:cs="Arial"/>
          <w:sz w:val="22"/>
          <w:szCs w:val="22"/>
        </w:rPr>
        <w:t>The recommended strategy is a combined market penetration and product development strategy, delivered through a differentiation positioning based on network quality (Porter, 1985). It can be summarised as: “Build the UK’s best network, use it to win and keep customers, and monetise it through new 5G services.”</w:t>
      </w:r>
    </w:p>
    <w:p w14:paraId="06BF65BE" w14:textId="77777777" w:rsidR="00373410" w:rsidRPr="00373410" w:rsidRDefault="00373410" w:rsidP="00373410">
      <w:pPr>
        <w:spacing w:after="160" w:line="360" w:lineRule="auto"/>
        <w:jc w:val="both"/>
        <w:rPr>
          <w:rFonts w:ascii="Arial" w:hAnsi="Arial" w:cs="Arial"/>
          <w:sz w:val="22"/>
          <w:szCs w:val="22"/>
        </w:rPr>
      </w:pPr>
      <w:r w:rsidRPr="00373410">
        <w:rPr>
          <w:rFonts w:ascii="Arial" w:eastAsia="Calibri" w:hAnsi="Arial" w:cs="Arial"/>
          <w:sz w:val="22"/>
          <w:szCs w:val="22"/>
        </w:rPr>
        <w:t xml:space="preserve">In Porter’s (1985) terms, Vodafone should compete as a differentiator, not a cost leader. Cost leadership would mean competing mainly on price, but the CMA’s tariff caps already constrain pricing, a price war would destroy the value of the £11 billion investment, and the value segment is already served by SMARTY, VOXI and </w:t>
      </w:r>
      <w:proofErr w:type="spellStart"/>
      <w:r w:rsidRPr="00373410">
        <w:rPr>
          <w:rFonts w:ascii="Arial" w:eastAsia="Calibri" w:hAnsi="Arial" w:cs="Arial"/>
          <w:sz w:val="22"/>
          <w:szCs w:val="22"/>
        </w:rPr>
        <w:t>Talkmobile</w:t>
      </w:r>
      <w:proofErr w:type="spellEnd"/>
      <w:r w:rsidRPr="00373410">
        <w:rPr>
          <w:rFonts w:ascii="Arial" w:eastAsia="Calibri" w:hAnsi="Arial" w:cs="Arial"/>
          <w:sz w:val="22"/>
          <w:szCs w:val="22"/>
        </w:rPr>
        <w:t xml:space="preserve">. Differentiation on coverage, speed and reliability is more defensible because the £11 billion, regulator-guaranteed network plan is genuinely hard for rivals to copy: </w:t>
      </w:r>
      <w:proofErr w:type="spellStart"/>
      <w:r w:rsidRPr="00373410">
        <w:rPr>
          <w:rFonts w:ascii="Arial" w:eastAsia="Calibri" w:hAnsi="Arial" w:cs="Arial"/>
          <w:sz w:val="22"/>
          <w:szCs w:val="22"/>
        </w:rPr>
        <w:t>VodafoneThree</w:t>
      </w:r>
      <w:proofErr w:type="spellEnd"/>
      <w:r w:rsidRPr="00373410">
        <w:rPr>
          <w:rFonts w:ascii="Arial" w:eastAsia="Calibri" w:hAnsi="Arial" w:cs="Arial"/>
          <w:sz w:val="22"/>
          <w:szCs w:val="22"/>
        </w:rPr>
        <w:t xml:space="preserve"> describes itself as the only UK operator with a fully funded and regulated network build plan, targeting 99% 5G SA population coverage by 2030 (</w:t>
      </w:r>
      <w:proofErr w:type="spellStart"/>
      <w:r w:rsidRPr="00373410">
        <w:rPr>
          <w:rFonts w:ascii="Arial" w:eastAsia="Calibri" w:hAnsi="Arial" w:cs="Arial"/>
          <w:sz w:val="22"/>
          <w:szCs w:val="22"/>
        </w:rPr>
        <w:t>VodafoneThree</w:t>
      </w:r>
      <w:proofErr w:type="spellEnd"/>
      <w:r w:rsidRPr="00373410">
        <w:rPr>
          <w:rFonts w:ascii="Arial" w:eastAsia="Calibri" w:hAnsi="Arial" w:cs="Arial"/>
          <w:sz w:val="22"/>
          <w:szCs w:val="22"/>
        </w:rPr>
        <w:t>, 2025). Early evidence supports the logic, since network sharing has already improved speeds and removed thousands of square kilometres of not spots (Vodafone, 2025).</w:t>
      </w:r>
    </w:p>
    <w:p w14:paraId="77AED328" w14:textId="77777777" w:rsidR="00373410" w:rsidRPr="00373410" w:rsidRDefault="00373410" w:rsidP="00373410">
      <w:pPr>
        <w:spacing w:after="160" w:line="360" w:lineRule="auto"/>
        <w:jc w:val="both"/>
        <w:rPr>
          <w:rFonts w:ascii="Arial" w:hAnsi="Arial" w:cs="Arial"/>
          <w:sz w:val="22"/>
          <w:szCs w:val="22"/>
        </w:rPr>
      </w:pPr>
      <w:r w:rsidRPr="00373410">
        <w:rPr>
          <w:rFonts w:ascii="Arial" w:eastAsia="Calibri" w:hAnsi="Arial" w:cs="Arial"/>
          <w:sz w:val="22"/>
          <w:szCs w:val="22"/>
        </w:rPr>
        <w:t>The penetration element grows the core: winning share from EE and O2, cutting churn through better customer experience, and upselling the 27 million customer base. The product development element builds the future: FWA broadband attacks the fixed market without needing to dig fibre everywhere, and business products such as IoT and private networks ride demand that Vodafone Group is already seeing, with double-digit growth in digital services revenue in FY26 (Vodafone, 2026a).</w:t>
      </w:r>
    </w:p>
    <w:p w14:paraId="08E79B06" w14:textId="77777777" w:rsidR="00373410" w:rsidRPr="00373410" w:rsidRDefault="00373410" w:rsidP="00373410">
      <w:pPr>
        <w:spacing w:after="160" w:line="360" w:lineRule="auto"/>
        <w:jc w:val="both"/>
        <w:rPr>
          <w:rFonts w:ascii="Arial" w:hAnsi="Arial" w:cs="Arial"/>
          <w:sz w:val="22"/>
          <w:szCs w:val="22"/>
        </w:rPr>
      </w:pPr>
      <w:r w:rsidRPr="00373410">
        <w:rPr>
          <w:rFonts w:ascii="Arial" w:eastAsia="Calibri" w:hAnsi="Arial" w:cs="Arial"/>
          <w:sz w:val="22"/>
          <w:szCs w:val="22"/>
        </w:rPr>
        <w:t>Finally, the strategy fits Vodafone’s purpose and values. “We connect for a better future” is directly served by wider coverage and closing digital divides, and the CMA-monitored build plan turns that purpose into a measurable public commitment (CMA, 2024). A growth strategy based on connecting more people, better, is one the board can defend to every stakeholder.</w:t>
      </w:r>
    </w:p>
    <w:p w14:paraId="3832E177" w14:textId="77777777" w:rsidR="00373410" w:rsidRPr="00373410" w:rsidRDefault="00373410" w:rsidP="00373410">
      <w:pPr>
        <w:pStyle w:val="Heading1"/>
        <w:spacing w:before="320" w:after="200" w:line="360" w:lineRule="auto"/>
        <w:rPr>
          <w:rFonts w:ascii="Arial" w:hAnsi="Arial" w:cs="Arial"/>
          <w:sz w:val="22"/>
          <w:szCs w:val="22"/>
        </w:rPr>
      </w:pPr>
      <w:r w:rsidRPr="00373410">
        <w:rPr>
          <w:rFonts w:ascii="Arial" w:eastAsia="Calibri" w:hAnsi="Arial" w:cs="Arial"/>
          <w:b/>
          <w:bCs/>
          <w:color w:val="1F3864"/>
          <w:sz w:val="22"/>
          <w:szCs w:val="22"/>
        </w:rPr>
        <w:lastRenderedPageBreak/>
        <w:t>5. Strategy Evaluation (SFA Framework)</w:t>
      </w:r>
    </w:p>
    <w:p w14:paraId="1300531F" w14:textId="77777777" w:rsidR="00373410" w:rsidRPr="00373410" w:rsidRDefault="00373410" w:rsidP="00373410">
      <w:pPr>
        <w:spacing w:after="160" w:line="360" w:lineRule="auto"/>
        <w:jc w:val="both"/>
        <w:rPr>
          <w:rFonts w:ascii="Arial" w:hAnsi="Arial" w:cs="Arial"/>
          <w:sz w:val="22"/>
          <w:szCs w:val="22"/>
        </w:rPr>
      </w:pPr>
      <w:r w:rsidRPr="00373410">
        <w:rPr>
          <w:rFonts w:ascii="Arial" w:eastAsia="Calibri" w:hAnsi="Arial" w:cs="Arial"/>
          <w:sz w:val="22"/>
          <w:szCs w:val="22"/>
        </w:rPr>
        <w:t>Johnson et al. (2020) evaluate strategic options against three criteria: Suitability, Feasibility and Acceptability (SFA). Table 3 applies these to the proposed strategy.</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700"/>
        <w:gridCol w:w="7660"/>
      </w:tblGrid>
      <w:tr w:rsidR="00373410" w:rsidRPr="00373410" w14:paraId="2A2F146F" w14:textId="77777777">
        <w:tc>
          <w:tcPr>
            <w:tcW w:w="1700" w:type="dxa"/>
            <w:tcBorders>
              <w:top w:val="single" w:sz="4" w:space="0" w:color="auto"/>
              <w:left w:val="single" w:sz="4" w:space="0" w:color="auto"/>
              <w:bottom w:val="single" w:sz="4" w:space="0" w:color="auto"/>
              <w:right w:val="single" w:sz="4" w:space="0" w:color="auto"/>
            </w:tcBorders>
            <w:shd w:val="clear" w:color="auto" w:fill="D9E2F3"/>
            <w:tcMar>
              <w:top w:w="80" w:type="dxa"/>
              <w:left w:w="100" w:type="dxa"/>
              <w:bottom w:w="80" w:type="dxa"/>
              <w:right w:w="100" w:type="dxa"/>
            </w:tcMar>
            <w:hideMark/>
          </w:tcPr>
          <w:p w14:paraId="0E818B48" w14:textId="77777777" w:rsidR="00373410" w:rsidRPr="00373410" w:rsidRDefault="00373410" w:rsidP="00373410">
            <w:pPr>
              <w:spacing w:after="40" w:line="360" w:lineRule="auto"/>
              <w:rPr>
                <w:rFonts w:ascii="Arial" w:hAnsi="Arial" w:cs="Arial"/>
                <w:sz w:val="22"/>
                <w:szCs w:val="22"/>
              </w:rPr>
            </w:pPr>
            <w:r w:rsidRPr="00373410">
              <w:rPr>
                <w:rFonts w:ascii="Arial" w:eastAsia="Calibri" w:hAnsi="Arial" w:cs="Arial"/>
                <w:b/>
                <w:bCs/>
                <w:sz w:val="22"/>
                <w:szCs w:val="22"/>
              </w:rPr>
              <w:t>Criterion</w:t>
            </w:r>
          </w:p>
        </w:tc>
        <w:tc>
          <w:tcPr>
            <w:tcW w:w="7660" w:type="dxa"/>
            <w:tcBorders>
              <w:top w:val="single" w:sz="4" w:space="0" w:color="auto"/>
              <w:left w:val="single" w:sz="4" w:space="0" w:color="auto"/>
              <w:bottom w:val="single" w:sz="4" w:space="0" w:color="auto"/>
              <w:right w:val="single" w:sz="4" w:space="0" w:color="auto"/>
            </w:tcBorders>
            <w:shd w:val="clear" w:color="auto" w:fill="D9E2F3"/>
            <w:tcMar>
              <w:top w:w="80" w:type="dxa"/>
              <w:left w:w="100" w:type="dxa"/>
              <w:bottom w:w="80" w:type="dxa"/>
              <w:right w:w="100" w:type="dxa"/>
            </w:tcMar>
            <w:hideMark/>
          </w:tcPr>
          <w:p w14:paraId="1AC8F36B" w14:textId="77777777" w:rsidR="00373410" w:rsidRPr="00373410" w:rsidRDefault="00373410" w:rsidP="00373410">
            <w:pPr>
              <w:spacing w:after="40" w:line="360" w:lineRule="auto"/>
              <w:rPr>
                <w:rFonts w:ascii="Arial" w:hAnsi="Arial" w:cs="Arial"/>
                <w:sz w:val="22"/>
                <w:szCs w:val="22"/>
              </w:rPr>
            </w:pPr>
            <w:r w:rsidRPr="00373410">
              <w:rPr>
                <w:rFonts w:ascii="Arial" w:eastAsia="Calibri" w:hAnsi="Arial" w:cs="Arial"/>
                <w:b/>
                <w:bCs/>
                <w:sz w:val="22"/>
                <w:szCs w:val="22"/>
              </w:rPr>
              <w:t>Assessment</w:t>
            </w:r>
          </w:p>
        </w:tc>
      </w:tr>
      <w:tr w:rsidR="00373410" w:rsidRPr="00373410" w14:paraId="420842A5" w14:textId="77777777">
        <w:tc>
          <w:tcPr>
            <w:tcW w:w="1700" w:type="dxa"/>
            <w:tcBorders>
              <w:top w:val="single" w:sz="4" w:space="0" w:color="auto"/>
              <w:left w:val="single" w:sz="4" w:space="0" w:color="auto"/>
              <w:bottom w:val="single" w:sz="4" w:space="0" w:color="auto"/>
              <w:right w:val="single" w:sz="4" w:space="0" w:color="auto"/>
            </w:tcBorders>
            <w:tcMar>
              <w:top w:w="80" w:type="dxa"/>
              <w:left w:w="100" w:type="dxa"/>
              <w:bottom w:w="80" w:type="dxa"/>
              <w:right w:w="100" w:type="dxa"/>
            </w:tcMar>
            <w:hideMark/>
          </w:tcPr>
          <w:p w14:paraId="6B2FA184" w14:textId="77777777" w:rsidR="00373410" w:rsidRPr="00373410" w:rsidRDefault="00373410" w:rsidP="00373410">
            <w:pPr>
              <w:spacing w:after="40" w:line="360" w:lineRule="auto"/>
              <w:rPr>
                <w:rFonts w:ascii="Arial" w:hAnsi="Arial" w:cs="Arial"/>
                <w:sz w:val="22"/>
                <w:szCs w:val="22"/>
              </w:rPr>
            </w:pPr>
            <w:r w:rsidRPr="00373410">
              <w:rPr>
                <w:rFonts w:ascii="Arial" w:eastAsia="Calibri" w:hAnsi="Arial" w:cs="Arial"/>
                <w:b/>
                <w:bCs/>
                <w:sz w:val="22"/>
                <w:szCs w:val="22"/>
              </w:rPr>
              <w:t>Suitability</w:t>
            </w:r>
          </w:p>
        </w:tc>
        <w:tc>
          <w:tcPr>
            <w:tcW w:w="7660" w:type="dxa"/>
            <w:tcBorders>
              <w:top w:val="single" w:sz="4" w:space="0" w:color="auto"/>
              <w:left w:val="single" w:sz="4" w:space="0" w:color="auto"/>
              <w:bottom w:val="single" w:sz="4" w:space="0" w:color="auto"/>
              <w:right w:val="single" w:sz="4" w:space="0" w:color="auto"/>
            </w:tcBorders>
            <w:tcMar>
              <w:top w:w="80" w:type="dxa"/>
              <w:left w:w="100" w:type="dxa"/>
              <w:bottom w:w="80" w:type="dxa"/>
              <w:right w:w="100" w:type="dxa"/>
            </w:tcMar>
            <w:hideMark/>
          </w:tcPr>
          <w:p w14:paraId="1D5431D4" w14:textId="77777777" w:rsidR="00373410" w:rsidRPr="00373410" w:rsidRDefault="00373410" w:rsidP="00373410">
            <w:pPr>
              <w:spacing w:after="40" w:line="360" w:lineRule="auto"/>
              <w:rPr>
                <w:rFonts w:ascii="Arial" w:hAnsi="Arial" w:cs="Arial"/>
                <w:sz w:val="22"/>
                <w:szCs w:val="22"/>
              </w:rPr>
            </w:pPr>
            <w:r w:rsidRPr="00373410">
              <w:rPr>
                <w:rFonts w:ascii="Arial" w:eastAsia="Calibri" w:hAnsi="Arial" w:cs="Arial"/>
                <w:sz w:val="22"/>
                <w:szCs w:val="22"/>
              </w:rPr>
              <w:t>Does it address the environment? Yes. It exploits the strongest external trends (18% annual data growth, the 5G SA transition, rural coverage gaps) using the strongest internal resources (scale, spectrum, the funded network plan). It also works within, rather than against, the CMA remedies, because the investment is itself the legal commitment (Ofcom, 2025; CMA, 2024).</w:t>
            </w:r>
          </w:p>
        </w:tc>
      </w:tr>
      <w:tr w:rsidR="00373410" w:rsidRPr="00373410" w14:paraId="48271F5B" w14:textId="77777777">
        <w:tc>
          <w:tcPr>
            <w:tcW w:w="1700" w:type="dxa"/>
            <w:tcBorders>
              <w:top w:val="single" w:sz="4" w:space="0" w:color="auto"/>
              <w:left w:val="single" w:sz="4" w:space="0" w:color="auto"/>
              <w:bottom w:val="single" w:sz="4" w:space="0" w:color="auto"/>
              <w:right w:val="single" w:sz="4" w:space="0" w:color="auto"/>
            </w:tcBorders>
            <w:tcMar>
              <w:top w:w="80" w:type="dxa"/>
              <w:left w:w="100" w:type="dxa"/>
              <w:bottom w:w="80" w:type="dxa"/>
              <w:right w:w="100" w:type="dxa"/>
            </w:tcMar>
            <w:hideMark/>
          </w:tcPr>
          <w:p w14:paraId="51F1895C" w14:textId="77777777" w:rsidR="00373410" w:rsidRPr="00373410" w:rsidRDefault="00373410" w:rsidP="00373410">
            <w:pPr>
              <w:spacing w:after="40" w:line="360" w:lineRule="auto"/>
              <w:rPr>
                <w:rFonts w:ascii="Arial" w:hAnsi="Arial" w:cs="Arial"/>
                <w:sz w:val="22"/>
                <w:szCs w:val="22"/>
              </w:rPr>
            </w:pPr>
            <w:r w:rsidRPr="00373410">
              <w:rPr>
                <w:rFonts w:ascii="Arial" w:eastAsia="Calibri" w:hAnsi="Arial" w:cs="Arial"/>
                <w:b/>
                <w:bCs/>
                <w:sz w:val="22"/>
                <w:szCs w:val="22"/>
              </w:rPr>
              <w:t>Feasibility</w:t>
            </w:r>
          </w:p>
        </w:tc>
        <w:tc>
          <w:tcPr>
            <w:tcW w:w="7660" w:type="dxa"/>
            <w:tcBorders>
              <w:top w:val="single" w:sz="4" w:space="0" w:color="auto"/>
              <w:left w:val="single" w:sz="4" w:space="0" w:color="auto"/>
              <w:bottom w:val="single" w:sz="4" w:space="0" w:color="auto"/>
              <w:right w:val="single" w:sz="4" w:space="0" w:color="auto"/>
            </w:tcBorders>
            <w:tcMar>
              <w:top w:w="80" w:type="dxa"/>
              <w:left w:w="100" w:type="dxa"/>
              <w:bottom w:w="80" w:type="dxa"/>
              <w:right w:w="100" w:type="dxa"/>
            </w:tcMar>
            <w:hideMark/>
          </w:tcPr>
          <w:p w14:paraId="3A2F6AF6" w14:textId="77777777" w:rsidR="00373410" w:rsidRPr="00373410" w:rsidRDefault="00373410" w:rsidP="00373410">
            <w:pPr>
              <w:spacing w:after="40" w:line="360" w:lineRule="auto"/>
              <w:rPr>
                <w:rFonts w:ascii="Arial" w:hAnsi="Arial" w:cs="Arial"/>
                <w:sz w:val="22"/>
                <w:szCs w:val="22"/>
              </w:rPr>
            </w:pPr>
            <w:r w:rsidRPr="00373410">
              <w:rPr>
                <w:rFonts w:ascii="Arial" w:eastAsia="Calibri" w:hAnsi="Arial" w:cs="Arial"/>
                <w:sz w:val="22"/>
                <w:szCs w:val="22"/>
              </w:rPr>
              <w:t xml:space="preserve">Can it be resourced? Broadly yes. The £11bn plan is funded, with £1.3bn capex in year one, and £700m of annual synergies are expected by year five to help pay for it (Vodafone, 2025). Group FY26 results show revenue of €40.5bn and adjusted </w:t>
            </w:r>
            <w:proofErr w:type="spellStart"/>
            <w:r w:rsidRPr="00373410">
              <w:rPr>
                <w:rFonts w:ascii="Arial" w:eastAsia="Calibri" w:hAnsi="Arial" w:cs="Arial"/>
                <w:sz w:val="22"/>
                <w:szCs w:val="22"/>
              </w:rPr>
              <w:t>EBITDAaL</w:t>
            </w:r>
            <w:proofErr w:type="spellEnd"/>
            <w:r w:rsidRPr="00373410">
              <w:rPr>
                <w:rFonts w:ascii="Arial" w:eastAsia="Calibri" w:hAnsi="Arial" w:cs="Arial"/>
                <w:sz w:val="22"/>
                <w:szCs w:val="22"/>
              </w:rPr>
              <w:t xml:space="preserve"> of €11.4bn, giving financial capacity, although net debt of €25.4bn means capital discipline is essential (Vodafone, 2026a). The main feasibility risk is not money but execution: integrating two networks and IT estates at pace.</w:t>
            </w:r>
          </w:p>
        </w:tc>
      </w:tr>
      <w:tr w:rsidR="00373410" w:rsidRPr="00373410" w14:paraId="1479ABAF" w14:textId="77777777">
        <w:tc>
          <w:tcPr>
            <w:tcW w:w="1700" w:type="dxa"/>
            <w:tcBorders>
              <w:top w:val="single" w:sz="4" w:space="0" w:color="auto"/>
              <w:left w:val="single" w:sz="4" w:space="0" w:color="auto"/>
              <w:bottom w:val="single" w:sz="4" w:space="0" w:color="auto"/>
              <w:right w:val="single" w:sz="4" w:space="0" w:color="auto"/>
            </w:tcBorders>
            <w:tcMar>
              <w:top w:w="80" w:type="dxa"/>
              <w:left w:w="100" w:type="dxa"/>
              <w:bottom w:w="80" w:type="dxa"/>
              <w:right w:w="100" w:type="dxa"/>
            </w:tcMar>
            <w:hideMark/>
          </w:tcPr>
          <w:p w14:paraId="1FEAC48C" w14:textId="77777777" w:rsidR="00373410" w:rsidRPr="00373410" w:rsidRDefault="00373410" w:rsidP="00373410">
            <w:pPr>
              <w:spacing w:after="40" w:line="360" w:lineRule="auto"/>
              <w:rPr>
                <w:rFonts w:ascii="Arial" w:hAnsi="Arial" w:cs="Arial"/>
                <w:sz w:val="22"/>
                <w:szCs w:val="22"/>
              </w:rPr>
            </w:pPr>
            <w:r w:rsidRPr="00373410">
              <w:rPr>
                <w:rFonts w:ascii="Arial" w:eastAsia="Calibri" w:hAnsi="Arial" w:cs="Arial"/>
                <w:b/>
                <w:bCs/>
                <w:sz w:val="22"/>
                <w:szCs w:val="22"/>
              </w:rPr>
              <w:t>Acceptability</w:t>
            </w:r>
          </w:p>
        </w:tc>
        <w:tc>
          <w:tcPr>
            <w:tcW w:w="7660" w:type="dxa"/>
            <w:tcBorders>
              <w:top w:val="single" w:sz="4" w:space="0" w:color="auto"/>
              <w:left w:val="single" w:sz="4" w:space="0" w:color="auto"/>
              <w:bottom w:val="single" w:sz="4" w:space="0" w:color="auto"/>
              <w:right w:val="single" w:sz="4" w:space="0" w:color="auto"/>
            </w:tcBorders>
            <w:tcMar>
              <w:top w:w="80" w:type="dxa"/>
              <w:left w:w="100" w:type="dxa"/>
              <w:bottom w:w="80" w:type="dxa"/>
              <w:right w:w="100" w:type="dxa"/>
            </w:tcMar>
            <w:hideMark/>
          </w:tcPr>
          <w:p w14:paraId="0C82E436" w14:textId="77777777" w:rsidR="00373410" w:rsidRPr="00373410" w:rsidRDefault="00373410" w:rsidP="00373410">
            <w:pPr>
              <w:spacing w:after="40" w:line="360" w:lineRule="auto"/>
              <w:rPr>
                <w:rFonts w:ascii="Arial" w:hAnsi="Arial" w:cs="Arial"/>
                <w:sz w:val="22"/>
                <w:szCs w:val="22"/>
              </w:rPr>
            </w:pPr>
            <w:r w:rsidRPr="00373410">
              <w:rPr>
                <w:rFonts w:ascii="Arial" w:eastAsia="Calibri" w:hAnsi="Arial" w:cs="Arial"/>
                <w:sz w:val="22"/>
                <w:szCs w:val="22"/>
              </w:rPr>
              <w:t>Are returns, risk and stakeholder reactions acceptable? Returns: the transaction is expected to become accretive to adjusted free cash flow from FY29, and the strategy raises ARPU through 5G products rather than price rises (Vodafone, 2025). Risk: integration and competitive response are the main risks, mitigated by phased rollout and the multi-brand portfolio. Stakeholders: regulators support the plan they approved, customers gain coverage and capped tariffs, and shareholders saw the dividend raised 2.5% in FY26, suggesting board confidence (Vodafone, 2026a).</w:t>
            </w:r>
          </w:p>
        </w:tc>
      </w:tr>
    </w:tbl>
    <w:p w14:paraId="1ABC17AB" w14:textId="77777777" w:rsidR="00373410" w:rsidRPr="00373410" w:rsidRDefault="00373410" w:rsidP="00373410">
      <w:pPr>
        <w:spacing w:after="160" w:line="360" w:lineRule="auto"/>
        <w:jc w:val="both"/>
        <w:rPr>
          <w:rFonts w:ascii="Arial" w:eastAsia="Calibri" w:hAnsi="Arial" w:cs="Arial"/>
          <w:i/>
          <w:iCs/>
          <w:color w:val="595959"/>
          <w:sz w:val="22"/>
          <w:szCs w:val="22"/>
        </w:rPr>
      </w:pPr>
    </w:p>
    <w:p w14:paraId="3CE4AC59" w14:textId="77777777" w:rsidR="00373410" w:rsidRPr="00373410" w:rsidRDefault="00373410" w:rsidP="00373410">
      <w:pPr>
        <w:spacing w:after="160" w:line="360" w:lineRule="auto"/>
        <w:jc w:val="both"/>
        <w:rPr>
          <w:rFonts w:ascii="Arial" w:hAnsi="Arial" w:cs="Arial"/>
          <w:sz w:val="22"/>
          <w:szCs w:val="22"/>
        </w:rPr>
      </w:pPr>
      <w:r w:rsidRPr="00373410">
        <w:rPr>
          <w:rFonts w:ascii="Arial" w:eastAsia="Calibri" w:hAnsi="Arial" w:cs="Arial"/>
          <w:b/>
          <w:bCs/>
          <w:sz w:val="22"/>
          <w:szCs w:val="22"/>
        </w:rPr>
        <w:t xml:space="preserve">Assumptions. </w:t>
      </w:r>
      <w:r w:rsidRPr="00373410">
        <w:rPr>
          <w:rFonts w:ascii="Arial" w:eastAsia="Calibri" w:hAnsi="Arial" w:cs="Arial"/>
          <w:sz w:val="22"/>
          <w:szCs w:val="22"/>
        </w:rPr>
        <w:t>Where internal data is not public, this report makes the following assumptions: (1) merger integration and synergy delivery remain broadly on schedule, as suggested by the progress reported at the time of the CK Hutchison buyout (Vodafone, 2026b); (2) internal figures such as churn, UK ARPU and exact brand-level market shares are not disclosed, so the analysis assumes they are in line with typical UK operator levels; and (3) the network plan continues to be funded from operating cash flow and existing facilities without new equity. On this basis, the strategy passes all three SFA tests and is recommended to the board.</w:t>
      </w:r>
    </w:p>
    <w:p w14:paraId="2BB4B923" w14:textId="77777777" w:rsidR="00373410" w:rsidRPr="00373410" w:rsidRDefault="00373410" w:rsidP="00373410">
      <w:pPr>
        <w:pStyle w:val="Heading1"/>
        <w:spacing w:before="320" w:after="200" w:line="360" w:lineRule="auto"/>
        <w:rPr>
          <w:rFonts w:ascii="Arial" w:hAnsi="Arial" w:cs="Arial"/>
          <w:sz w:val="22"/>
          <w:szCs w:val="22"/>
        </w:rPr>
      </w:pPr>
      <w:r w:rsidRPr="00373410">
        <w:rPr>
          <w:rFonts w:ascii="Arial" w:eastAsia="Calibri" w:hAnsi="Arial" w:cs="Arial"/>
          <w:b/>
          <w:bCs/>
          <w:color w:val="1F3864"/>
          <w:sz w:val="22"/>
          <w:szCs w:val="22"/>
        </w:rPr>
        <w:lastRenderedPageBreak/>
        <w:t>6. Stakeholder Analysis</w:t>
      </w:r>
    </w:p>
    <w:p w14:paraId="4F2F2F48" w14:textId="77777777" w:rsidR="00373410" w:rsidRPr="00373410" w:rsidRDefault="00373410" w:rsidP="00373410">
      <w:pPr>
        <w:spacing w:after="160" w:line="360" w:lineRule="auto"/>
        <w:jc w:val="both"/>
        <w:rPr>
          <w:rFonts w:ascii="Arial" w:hAnsi="Arial" w:cs="Arial"/>
          <w:sz w:val="22"/>
          <w:szCs w:val="22"/>
        </w:rPr>
      </w:pPr>
      <w:r w:rsidRPr="00373410">
        <w:rPr>
          <w:rFonts w:ascii="Arial" w:eastAsia="Calibri" w:hAnsi="Arial" w:cs="Arial"/>
          <w:sz w:val="22"/>
          <w:szCs w:val="22"/>
        </w:rPr>
        <w:t>Stakeholder theory argues that a strategy succeeds only if the organisation manages the groups who affect, or are affected by, it (Freeman, 1984). Mendelow’s (1991) power/interest matrix helps prioritise them.</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500"/>
        <w:gridCol w:w="3930"/>
        <w:gridCol w:w="3930"/>
      </w:tblGrid>
      <w:tr w:rsidR="00373410" w:rsidRPr="00373410" w14:paraId="2112E08E" w14:textId="77777777">
        <w:tc>
          <w:tcPr>
            <w:tcW w:w="1500" w:type="dxa"/>
            <w:tcBorders>
              <w:top w:val="single" w:sz="4" w:space="0" w:color="auto"/>
              <w:left w:val="single" w:sz="4" w:space="0" w:color="auto"/>
              <w:bottom w:val="single" w:sz="4" w:space="0" w:color="auto"/>
              <w:right w:val="single" w:sz="4" w:space="0" w:color="auto"/>
            </w:tcBorders>
            <w:shd w:val="clear" w:color="auto" w:fill="D9E2F3"/>
            <w:tcMar>
              <w:top w:w="80" w:type="dxa"/>
              <w:left w:w="100" w:type="dxa"/>
              <w:bottom w:w="80" w:type="dxa"/>
              <w:right w:w="100" w:type="dxa"/>
            </w:tcMar>
          </w:tcPr>
          <w:p w14:paraId="6035C681" w14:textId="77777777" w:rsidR="00373410" w:rsidRPr="00373410" w:rsidRDefault="00373410" w:rsidP="00373410">
            <w:pPr>
              <w:spacing w:after="40" w:line="360" w:lineRule="auto"/>
              <w:rPr>
                <w:rFonts w:ascii="Arial" w:hAnsi="Arial" w:cs="Arial"/>
                <w:sz w:val="22"/>
                <w:szCs w:val="22"/>
              </w:rPr>
            </w:pPr>
          </w:p>
        </w:tc>
        <w:tc>
          <w:tcPr>
            <w:tcW w:w="3930" w:type="dxa"/>
            <w:tcBorders>
              <w:top w:val="single" w:sz="4" w:space="0" w:color="auto"/>
              <w:left w:val="single" w:sz="4" w:space="0" w:color="auto"/>
              <w:bottom w:val="single" w:sz="4" w:space="0" w:color="auto"/>
              <w:right w:val="single" w:sz="4" w:space="0" w:color="auto"/>
            </w:tcBorders>
            <w:shd w:val="clear" w:color="auto" w:fill="D9E2F3"/>
            <w:tcMar>
              <w:top w:w="80" w:type="dxa"/>
              <w:left w:w="100" w:type="dxa"/>
              <w:bottom w:w="80" w:type="dxa"/>
              <w:right w:w="100" w:type="dxa"/>
            </w:tcMar>
            <w:hideMark/>
          </w:tcPr>
          <w:p w14:paraId="0A0D2B8B" w14:textId="77777777" w:rsidR="00373410" w:rsidRPr="00373410" w:rsidRDefault="00373410" w:rsidP="00373410">
            <w:pPr>
              <w:spacing w:after="40" w:line="360" w:lineRule="auto"/>
              <w:rPr>
                <w:rFonts w:ascii="Arial" w:hAnsi="Arial" w:cs="Arial"/>
                <w:sz w:val="22"/>
                <w:szCs w:val="22"/>
              </w:rPr>
            </w:pPr>
            <w:r w:rsidRPr="00373410">
              <w:rPr>
                <w:rFonts w:ascii="Arial" w:eastAsia="Calibri" w:hAnsi="Arial" w:cs="Arial"/>
                <w:b/>
                <w:bCs/>
                <w:sz w:val="22"/>
                <w:szCs w:val="22"/>
              </w:rPr>
              <w:t>Low interest</w:t>
            </w:r>
          </w:p>
        </w:tc>
        <w:tc>
          <w:tcPr>
            <w:tcW w:w="3930" w:type="dxa"/>
            <w:tcBorders>
              <w:top w:val="single" w:sz="4" w:space="0" w:color="auto"/>
              <w:left w:val="single" w:sz="4" w:space="0" w:color="auto"/>
              <w:bottom w:val="single" w:sz="4" w:space="0" w:color="auto"/>
              <w:right w:val="single" w:sz="4" w:space="0" w:color="auto"/>
            </w:tcBorders>
            <w:shd w:val="clear" w:color="auto" w:fill="D9E2F3"/>
            <w:tcMar>
              <w:top w:w="80" w:type="dxa"/>
              <w:left w:w="100" w:type="dxa"/>
              <w:bottom w:w="80" w:type="dxa"/>
              <w:right w:w="100" w:type="dxa"/>
            </w:tcMar>
            <w:hideMark/>
          </w:tcPr>
          <w:p w14:paraId="364C1D75" w14:textId="77777777" w:rsidR="00373410" w:rsidRPr="00373410" w:rsidRDefault="00373410" w:rsidP="00373410">
            <w:pPr>
              <w:spacing w:after="40" w:line="360" w:lineRule="auto"/>
              <w:rPr>
                <w:rFonts w:ascii="Arial" w:hAnsi="Arial" w:cs="Arial"/>
                <w:sz w:val="22"/>
                <w:szCs w:val="22"/>
              </w:rPr>
            </w:pPr>
            <w:r w:rsidRPr="00373410">
              <w:rPr>
                <w:rFonts w:ascii="Arial" w:eastAsia="Calibri" w:hAnsi="Arial" w:cs="Arial"/>
                <w:b/>
                <w:bCs/>
                <w:sz w:val="22"/>
                <w:szCs w:val="22"/>
              </w:rPr>
              <w:t>High interest</w:t>
            </w:r>
          </w:p>
        </w:tc>
      </w:tr>
      <w:tr w:rsidR="00373410" w:rsidRPr="00373410" w14:paraId="5A009447" w14:textId="77777777">
        <w:tc>
          <w:tcPr>
            <w:tcW w:w="1500" w:type="dxa"/>
            <w:tcBorders>
              <w:top w:val="single" w:sz="4" w:space="0" w:color="auto"/>
              <w:left w:val="single" w:sz="4" w:space="0" w:color="auto"/>
              <w:bottom w:val="single" w:sz="4" w:space="0" w:color="auto"/>
              <w:right w:val="single" w:sz="4" w:space="0" w:color="auto"/>
            </w:tcBorders>
            <w:tcMar>
              <w:top w:w="80" w:type="dxa"/>
              <w:left w:w="100" w:type="dxa"/>
              <w:bottom w:w="80" w:type="dxa"/>
              <w:right w:w="100" w:type="dxa"/>
            </w:tcMar>
            <w:hideMark/>
          </w:tcPr>
          <w:p w14:paraId="6C3D7343" w14:textId="77777777" w:rsidR="00373410" w:rsidRPr="00373410" w:rsidRDefault="00373410" w:rsidP="00373410">
            <w:pPr>
              <w:spacing w:after="40" w:line="360" w:lineRule="auto"/>
              <w:rPr>
                <w:rFonts w:ascii="Arial" w:hAnsi="Arial" w:cs="Arial"/>
                <w:sz w:val="22"/>
                <w:szCs w:val="22"/>
              </w:rPr>
            </w:pPr>
            <w:r w:rsidRPr="00373410">
              <w:rPr>
                <w:rFonts w:ascii="Arial" w:eastAsia="Calibri" w:hAnsi="Arial" w:cs="Arial"/>
                <w:b/>
                <w:bCs/>
                <w:sz w:val="22"/>
                <w:szCs w:val="22"/>
              </w:rPr>
              <w:t>High power</w:t>
            </w:r>
          </w:p>
        </w:tc>
        <w:tc>
          <w:tcPr>
            <w:tcW w:w="3930" w:type="dxa"/>
            <w:tcBorders>
              <w:top w:val="single" w:sz="4" w:space="0" w:color="auto"/>
              <w:left w:val="single" w:sz="4" w:space="0" w:color="auto"/>
              <w:bottom w:val="single" w:sz="4" w:space="0" w:color="auto"/>
              <w:right w:val="single" w:sz="4" w:space="0" w:color="auto"/>
            </w:tcBorders>
            <w:tcMar>
              <w:top w:w="80" w:type="dxa"/>
              <w:left w:w="100" w:type="dxa"/>
              <w:bottom w:w="80" w:type="dxa"/>
              <w:right w:w="100" w:type="dxa"/>
            </w:tcMar>
            <w:hideMark/>
          </w:tcPr>
          <w:p w14:paraId="0C7BBCB7" w14:textId="77777777" w:rsidR="00373410" w:rsidRPr="00373410" w:rsidRDefault="00373410" w:rsidP="00373410">
            <w:pPr>
              <w:spacing w:after="40" w:line="360" w:lineRule="auto"/>
              <w:rPr>
                <w:rFonts w:ascii="Arial" w:hAnsi="Arial" w:cs="Arial"/>
                <w:sz w:val="22"/>
                <w:szCs w:val="22"/>
              </w:rPr>
            </w:pPr>
            <w:r w:rsidRPr="00373410">
              <w:rPr>
                <w:rFonts w:ascii="Arial" w:eastAsia="Calibri" w:hAnsi="Arial" w:cs="Arial"/>
                <w:sz w:val="22"/>
                <w:szCs w:val="22"/>
              </w:rPr>
              <w:t>Keep satisfied: UK Government / DSIT – interested in national connectivity outcomes rather than daily operations.</w:t>
            </w:r>
          </w:p>
        </w:tc>
        <w:tc>
          <w:tcPr>
            <w:tcW w:w="3930" w:type="dxa"/>
            <w:tcBorders>
              <w:top w:val="single" w:sz="4" w:space="0" w:color="auto"/>
              <w:left w:val="single" w:sz="4" w:space="0" w:color="auto"/>
              <w:bottom w:val="single" w:sz="4" w:space="0" w:color="auto"/>
              <w:right w:val="single" w:sz="4" w:space="0" w:color="auto"/>
            </w:tcBorders>
            <w:tcMar>
              <w:top w:w="80" w:type="dxa"/>
              <w:left w:w="100" w:type="dxa"/>
              <w:bottom w:w="80" w:type="dxa"/>
              <w:right w:w="100" w:type="dxa"/>
            </w:tcMar>
            <w:hideMark/>
          </w:tcPr>
          <w:p w14:paraId="02037733" w14:textId="77777777" w:rsidR="00373410" w:rsidRPr="00373410" w:rsidRDefault="00373410" w:rsidP="00373410">
            <w:pPr>
              <w:spacing w:after="40" w:line="360" w:lineRule="auto"/>
              <w:rPr>
                <w:rFonts w:ascii="Arial" w:hAnsi="Arial" w:cs="Arial"/>
                <w:sz w:val="22"/>
                <w:szCs w:val="22"/>
              </w:rPr>
            </w:pPr>
            <w:r w:rsidRPr="00373410">
              <w:rPr>
                <w:rFonts w:ascii="Arial" w:eastAsia="Calibri" w:hAnsi="Arial" w:cs="Arial"/>
                <w:sz w:val="22"/>
                <w:szCs w:val="22"/>
              </w:rPr>
              <w:t>Manage closely: CMA and Ofcom (enforce binding commitments); Vodafone Group board and shareholders; CK Hutchison until the buyout completes.</w:t>
            </w:r>
          </w:p>
        </w:tc>
      </w:tr>
      <w:tr w:rsidR="00373410" w:rsidRPr="00373410" w14:paraId="7DB10338" w14:textId="77777777">
        <w:tc>
          <w:tcPr>
            <w:tcW w:w="1500" w:type="dxa"/>
            <w:tcBorders>
              <w:top w:val="single" w:sz="4" w:space="0" w:color="auto"/>
              <w:left w:val="single" w:sz="4" w:space="0" w:color="auto"/>
              <w:bottom w:val="single" w:sz="4" w:space="0" w:color="auto"/>
              <w:right w:val="single" w:sz="4" w:space="0" w:color="auto"/>
            </w:tcBorders>
            <w:tcMar>
              <w:top w:w="80" w:type="dxa"/>
              <w:left w:w="100" w:type="dxa"/>
              <w:bottom w:w="80" w:type="dxa"/>
              <w:right w:w="100" w:type="dxa"/>
            </w:tcMar>
            <w:hideMark/>
          </w:tcPr>
          <w:p w14:paraId="63453CD6" w14:textId="77777777" w:rsidR="00373410" w:rsidRPr="00373410" w:rsidRDefault="00373410" w:rsidP="00373410">
            <w:pPr>
              <w:spacing w:after="40" w:line="360" w:lineRule="auto"/>
              <w:rPr>
                <w:rFonts w:ascii="Arial" w:hAnsi="Arial" w:cs="Arial"/>
                <w:sz w:val="22"/>
                <w:szCs w:val="22"/>
              </w:rPr>
            </w:pPr>
            <w:r w:rsidRPr="00373410">
              <w:rPr>
                <w:rFonts w:ascii="Arial" w:eastAsia="Calibri" w:hAnsi="Arial" w:cs="Arial"/>
                <w:b/>
                <w:bCs/>
                <w:sz w:val="22"/>
                <w:szCs w:val="22"/>
              </w:rPr>
              <w:t>Low power</w:t>
            </w:r>
          </w:p>
        </w:tc>
        <w:tc>
          <w:tcPr>
            <w:tcW w:w="3930" w:type="dxa"/>
            <w:tcBorders>
              <w:top w:val="single" w:sz="4" w:space="0" w:color="auto"/>
              <w:left w:val="single" w:sz="4" w:space="0" w:color="auto"/>
              <w:bottom w:val="single" w:sz="4" w:space="0" w:color="auto"/>
              <w:right w:val="single" w:sz="4" w:space="0" w:color="auto"/>
            </w:tcBorders>
            <w:tcMar>
              <w:top w:w="80" w:type="dxa"/>
              <w:left w:w="100" w:type="dxa"/>
              <w:bottom w:w="80" w:type="dxa"/>
              <w:right w:w="100" w:type="dxa"/>
            </w:tcMar>
            <w:hideMark/>
          </w:tcPr>
          <w:p w14:paraId="723BD4CD" w14:textId="77777777" w:rsidR="00373410" w:rsidRPr="00373410" w:rsidRDefault="00373410" w:rsidP="00373410">
            <w:pPr>
              <w:spacing w:after="40" w:line="360" w:lineRule="auto"/>
              <w:rPr>
                <w:rFonts w:ascii="Arial" w:hAnsi="Arial" w:cs="Arial"/>
                <w:sz w:val="22"/>
                <w:szCs w:val="22"/>
              </w:rPr>
            </w:pPr>
            <w:r w:rsidRPr="00373410">
              <w:rPr>
                <w:rFonts w:ascii="Arial" w:eastAsia="Calibri" w:hAnsi="Arial" w:cs="Arial"/>
                <w:sz w:val="22"/>
                <w:szCs w:val="22"/>
              </w:rPr>
              <w:t>Monitor: public, media, local communities near new mast sites.</w:t>
            </w:r>
          </w:p>
        </w:tc>
        <w:tc>
          <w:tcPr>
            <w:tcW w:w="3930" w:type="dxa"/>
            <w:tcBorders>
              <w:top w:val="single" w:sz="4" w:space="0" w:color="auto"/>
              <w:left w:val="single" w:sz="4" w:space="0" w:color="auto"/>
              <w:bottom w:val="single" w:sz="4" w:space="0" w:color="auto"/>
              <w:right w:val="single" w:sz="4" w:space="0" w:color="auto"/>
            </w:tcBorders>
            <w:tcMar>
              <w:top w:w="80" w:type="dxa"/>
              <w:left w:w="100" w:type="dxa"/>
              <w:bottom w:w="80" w:type="dxa"/>
              <w:right w:w="100" w:type="dxa"/>
            </w:tcMar>
            <w:hideMark/>
          </w:tcPr>
          <w:p w14:paraId="7C5FAE5C" w14:textId="77777777" w:rsidR="00373410" w:rsidRPr="00373410" w:rsidRDefault="00373410" w:rsidP="00373410">
            <w:pPr>
              <w:spacing w:after="40" w:line="360" w:lineRule="auto"/>
              <w:rPr>
                <w:rFonts w:ascii="Arial" w:hAnsi="Arial" w:cs="Arial"/>
                <w:sz w:val="22"/>
                <w:szCs w:val="22"/>
              </w:rPr>
            </w:pPr>
            <w:r w:rsidRPr="00373410">
              <w:rPr>
                <w:rFonts w:ascii="Arial" w:eastAsia="Calibri" w:hAnsi="Arial" w:cs="Arial"/>
                <w:sz w:val="22"/>
                <w:szCs w:val="22"/>
              </w:rPr>
              <w:t>Keep informed: customers of all five brands; employees affected by integration; MVNO wholesale partners protected by CMA terms.</w:t>
            </w:r>
          </w:p>
        </w:tc>
      </w:tr>
    </w:tbl>
    <w:p w14:paraId="0AD568AB" w14:textId="77777777" w:rsidR="00373410" w:rsidRPr="00373410" w:rsidRDefault="00373410" w:rsidP="00373410">
      <w:pPr>
        <w:spacing w:after="160" w:line="360" w:lineRule="auto"/>
        <w:jc w:val="both"/>
        <w:rPr>
          <w:rFonts w:ascii="Arial" w:eastAsia="Calibri" w:hAnsi="Arial" w:cs="Arial"/>
          <w:i/>
          <w:iCs/>
          <w:color w:val="595959"/>
          <w:sz w:val="22"/>
          <w:szCs w:val="22"/>
        </w:rPr>
      </w:pPr>
    </w:p>
    <w:p w14:paraId="381D1C32" w14:textId="77777777" w:rsidR="00373410" w:rsidRPr="00373410" w:rsidRDefault="00373410" w:rsidP="00373410">
      <w:pPr>
        <w:spacing w:after="160" w:line="360" w:lineRule="auto"/>
        <w:jc w:val="both"/>
        <w:rPr>
          <w:rFonts w:ascii="Arial" w:hAnsi="Arial" w:cs="Arial"/>
          <w:sz w:val="22"/>
          <w:szCs w:val="22"/>
        </w:rPr>
      </w:pPr>
      <w:r w:rsidRPr="00373410">
        <w:rPr>
          <w:rFonts w:ascii="Arial" w:eastAsia="Calibri" w:hAnsi="Arial" w:cs="Arial"/>
          <w:sz w:val="22"/>
          <w:szCs w:val="22"/>
        </w:rPr>
        <w:t>Engagement plan. Regulators (manage closely): publish the required annual network progress report, hold quarterly compliance reviews and give early warning of any delays, because losing regulator trust is the single biggest strategic risk (CMA, 2024). Shareholders (manage closely): report synergy delivery and free cash flow milestones at each results announcement. Customers (keep informed): communicate concrete benefits, such as coverage gains and speed improvements, honestly and early, and honour the capped tariffs. Employees (keep informed): integration creates uncertainty about overlapping roles, so leadership should run regular town halls, consult early where roles change and retrain staff into network build roles where possible. MVNOs (keep informed): apply the pre-set wholesale terms transparently to avoid disputes. This plan concentrates effort where power and interest are highest while keeping lower-power groups genuinely informed rather than ignored.</w:t>
      </w:r>
    </w:p>
    <w:p w14:paraId="4FCF8D38" w14:textId="77777777" w:rsidR="00373410" w:rsidRPr="00373410" w:rsidRDefault="00373410" w:rsidP="00373410">
      <w:pPr>
        <w:pStyle w:val="Heading1"/>
        <w:spacing w:before="320" w:after="200" w:line="360" w:lineRule="auto"/>
        <w:rPr>
          <w:rFonts w:ascii="Arial" w:hAnsi="Arial" w:cs="Arial"/>
          <w:sz w:val="22"/>
          <w:szCs w:val="22"/>
        </w:rPr>
      </w:pPr>
      <w:r w:rsidRPr="00373410">
        <w:rPr>
          <w:rFonts w:ascii="Arial" w:eastAsia="Calibri" w:hAnsi="Arial" w:cs="Arial"/>
          <w:b/>
          <w:bCs/>
          <w:color w:val="1F3864"/>
          <w:sz w:val="22"/>
          <w:szCs w:val="22"/>
        </w:rPr>
        <w:t>7. Implementation and Monitoring</w:t>
      </w:r>
    </w:p>
    <w:p w14:paraId="68697C20" w14:textId="77777777" w:rsidR="00373410" w:rsidRPr="00373410" w:rsidRDefault="00373410" w:rsidP="00373410">
      <w:pPr>
        <w:spacing w:after="160" w:line="360" w:lineRule="auto"/>
        <w:jc w:val="both"/>
        <w:rPr>
          <w:rFonts w:ascii="Arial" w:hAnsi="Arial" w:cs="Arial"/>
          <w:sz w:val="22"/>
          <w:szCs w:val="22"/>
        </w:rPr>
      </w:pPr>
      <w:r w:rsidRPr="00373410">
        <w:rPr>
          <w:rFonts w:ascii="Arial" w:eastAsia="Calibri" w:hAnsi="Arial" w:cs="Arial"/>
          <w:sz w:val="22"/>
          <w:szCs w:val="22"/>
        </w:rPr>
        <w:t>The strategy should be implemented in three phases over five years, with progress monitored through a small set of KPIs reviewed quarterly by the board. Measurable targets follow good practice in linking strategy to performance measurement (Kaplan and Norton, 1996).</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340"/>
        <w:gridCol w:w="3510"/>
        <w:gridCol w:w="3510"/>
      </w:tblGrid>
      <w:tr w:rsidR="00373410" w:rsidRPr="00373410" w14:paraId="683A0B92" w14:textId="77777777">
        <w:tc>
          <w:tcPr>
            <w:tcW w:w="2340" w:type="dxa"/>
            <w:tcBorders>
              <w:top w:val="single" w:sz="4" w:space="0" w:color="auto"/>
              <w:left w:val="single" w:sz="4" w:space="0" w:color="auto"/>
              <w:bottom w:val="single" w:sz="4" w:space="0" w:color="auto"/>
              <w:right w:val="single" w:sz="4" w:space="0" w:color="auto"/>
            </w:tcBorders>
            <w:shd w:val="clear" w:color="auto" w:fill="D9E2F3"/>
            <w:tcMar>
              <w:top w:w="80" w:type="dxa"/>
              <w:left w:w="100" w:type="dxa"/>
              <w:bottom w:w="80" w:type="dxa"/>
              <w:right w:w="100" w:type="dxa"/>
            </w:tcMar>
            <w:hideMark/>
          </w:tcPr>
          <w:p w14:paraId="31CBCF36" w14:textId="77777777" w:rsidR="00373410" w:rsidRPr="00373410" w:rsidRDefault="00373410" w:rsidP="00373410">
            <w:pPr>
              <w:spacing w:after="40" w:line="360" w:lineRule="auto"/>
              <w:rPr>
                <w:rFonts w:ascii="Arial" w:hAnsi="Arial" w:cs="Arial"/>
                <w:sz w:val="22"/>
                <w:szCs w:val="22"/>
              </w:rPr>
            </w:pPr>
            <w:r w:rsidRPr="00373410">
              <w:rPr>
                <w:rFonts w:ascii="Arial" w:eastAsia="Calibri" w:hAnsi="Arial" w:cs="Arial"/>
                <w:b/>
                <w:bCs/>
                <w:sz w:val="22"/>
                <w:szCs w:val="22"/>
              </w:rPr>
              <w:t>Objective</w:t>
            </w:r>
          </w:p>
        </w:tc>
        <w:tc>
          <w:tcPr>
            <w:tcW w:w="3510" w:type="dxa"/>
            <w:tcBorders>
              <w:top w:val="single" w:sz="4" w:space="0" w:color="auto"/>
              <w:left w:val="single" w:sz="4" w:space="0" w:color="auto"/>
              <w:bottom w:val="single" w:sz="4" w:space="0" w:color="auto"/>
              <w:right w:val="single" w:sz="4" w:space="0" w:color="auto"/>
            </w:tcBorders>
            <w:shd w:val="clear" w:color="auto" w:fill="D9E2F3"/>
            <w:tcMar>
              <w:top w:w="80" w:type="dxa"/>
              <w:left w:w="100" w:type="dxa"/>
              <w:bottom w:w="80" w:type="dxa"/>
              <w:right w:w="100" w:type="dxa"/>
            </w:tcMar>
            <w:hideMark/>
          </w:tcPr>
          <w:p w14:paraId="72D9208F" w14:textId="77777777" w:rsidR="00373410" w:rsidRPr="00373410" w:rsidRDefault="00373410" w:rsidP="00373410">
            <w:pPr>
              <w:spacing w:after="40" w:line="360" w:lineRule="auto"/>
              <w:rPr>
                <w:rFonts w:ascii="Arial" w:hAnsi="Arial" w:cs="Arial"/>
                <w:sz w:val="22"/>
                <w:szCs w:val="22"/>
              </w:rPr>
            </w:pPr>
            <w:r w:rsidRPr="00373410">
              <w:rPr>
                <w:rFonts w:ascii="Arial" w:eastAsia="Calibri" w:hAnsi="Arial" w:cs="Arial"/>
                <w:b/>
                <w:bCs/>
                <w:sz w:val="22"/>
                <w:szCs w:val="22"/>
              </w:rPr>
              <w:t>Key actions</w:t>
            </w:r>
          </w:p>
        </w:tc>
        <w:tc>
          <w:tcPr>
            <w:tcW w:w="3510" w:type="dxa"/>
            <w:tcBorders>
              <w:top w:val="single" w:sz="4" w:space="0" w:color="auto"/>
              <w:left w:val="single" w:sz="4" w:space="0" w:color="auto"/>
              <w:bottom w:val="single" w:sz="4" w:space="0" w:color="auto"/>
              <w:right w:val="single" w:sz="4" w:space="0" w:color="auto"/>
            </w:tcBorders>
            <w:shd w:val="clear" w:color="auto" w:fill="D9E2F3"/>
            <w:tcMar>
              <w:top w:w="80" w:type="dxa"/>
              <w:left w:w="100" w:type="dxa"/>
              <w:bottom w:w="80" w:type="dxa"/>
              <w:right w:w="100" w:type="dxa"/>
            </w:tcMar>
            <w:hideMark/>
          </w:tcPr>
          <w:p w14:paraId="0EC2F4E7" w14:textId="77777777" w:rsidR="00373410" w:rsidRPr="00373410" w:rsidRDefault="00373410" w:rsidP="00373410">
            <w:pPr>
              <w:spacing w:after="40" w:line="360" w:lineRule="auto"/>
              <w:rPr>
                <w:rFonts w:ascii="Arial" w:hAnsi="Arial" w:cs="Arial"/>
                <w:sz w:val="22"/>
                <w:szCs w:val="22"/>
              </w:rPr>
            </w:pPr>
            <w:r w:rsidRPr="00373410">
              <w:rPr>
                <w:rFonts w:ascii="Arial" w:eastAsia="Calibri" w:hAnsi="Arial" w:cs="Arial"/>
                <w:b/>
                <w:bCs/>
                <w:sz w:val="22"/>
                <w:szCs w:val="22"/>
              </w:rPr>
              <w:t>KPIs and targets</w:t>
            </w:r>
          </w:p>
        </w:tc>
      </w:tr>
      <w:tr w:rsidR="00373410" w:rsidRPr="00373410" w14:paraId="1B5E554E" w14:textId="77777777">
        <w:tc>
          <w:tcPr>
            <w:tcW w:w="2340" w:type="dxa"/>
            <w:tcBorders>
              <w:top w:val="single" w:sz="4" w:space="0" w:color="auto"/>
              <w:left w:val="single" w:sz="4" w:space="0" w:color="auto"/>
              <w:bottom w:val="single" w:sz="4" w:space="0" w:color="auto"/>
              <w:right w:val="single" w:sz="4" w:space="0" w:color="auto"/>
            </w:tcBorders>
            <w:tcMar>
              <w:top w:w="80" w:type="dxa"/>
              <w:left w:w="100" w:type="dxa"/>
              <w:bottom w:w="80" w:type="dxa"/>
              <w:right w:w="100" w:type="dxa"/>
            </w:tcMar>
            <w:hideMark/>
          </w:tcPr>
          <w:p w14:paraId="15DACF16" w14:textId="77777777" w:rsidR="00373410" w:rsidRPr="00373410" w:rsidRDefault="00373410" w:rsidP="00373410">
            <w:pPr>
              <w:spacing w:after="40" w:line="360" w:lineRule="auto"/>
              <w:rPr>
                <w:rFonts w:ascii="Arial" w:hAnsi="Arial" w:cs="Arial"/>
                <w:sz w:val="22"/>
                <w:szCs w:val="22"/>
              </w:rPr>
            </w:pPr>
            <w:r w:rsidRPr="00373410">
              <w:rPr>
                <w:rFonts w:ascii="Arial" w:eastAsia="Calibri" w:hAnsi="Arial" w:cs="Arial"/>
                <w:sz w:val="22"/>
                <w:szCs w:val="22"/>
              </w:rPr>
              <w:lastRenderedPageBreak/>
              <w:t>1. Build the network advantage (Years 1–3)</w:t>
            </w:r>
          </w:p>
        </w:tc>
        <w:tc>
          <w:tcPr>
            <w:tcW w:w="3510" w:type="dxa"/>
            <w:tcBorders>
              <w:top w:val="single" w:sz="4" w:space="0" w:color="auto"/>
              <w:left w:val="single" w:sz="4" w:space="0" w:color="auto"/>
              <w:bottom w:val="single" w:sz="4" w:space="0" w:color="auto"/>
              <w:right w:val="single" w:sz="4" w:space="0" w:color="auto"/>
            </w:tcBorders>
            <w:tcMar>
              <w:top w:w="80" w:type="dxa"/>
              <w:left w:w="100" w:type="dxa"/>
              <w:bottom w:w="80" w:type="dxa"/>
              <w:right w:w="100" w:type="dxa"/>
            </w:tcMar>
            <w:hideMark/>
          </w:tcPr>
          <w:p w14:paraId="064739D1" w14:textId="77777777" w:rsidR="00373410" w:rsidRPr="00373410" w:rsidRDefault="00373410" w:rsidP="00373410">
            <w:pPr>
              <w:spacing w:after="60" w:line="360" w:lineRule="auto"/>
              <w:rPr>
                <w:rFonts w:ascii="Arial" w:hAnsi="Arial" w:cs="Arial"/>
                <w:sz w:val="22"/>
                <w:szCs w:val="22"/>
              </w:rPr>
            </w:pPr>
            <w:r w:rsidRPr="00373410">
              <w:rPr>
                <w:rFonts w:ascii="Arial" w:eastAsia="Calibri" w:hAnsi="Arial" w:cs="Arial"/>
                <w:sz w:val="22"/>
                <w:szCs w:val="22"/>
              </w:rPr>
              <w:t>• Deliver the £11bn build plan, starting with £1.3bn year-one capex.</w:t>
            </w:r>
          </w:p>
          <w:p w14:paraId="7581AA97" w14:textId="77777777" w:rsidR="00373410" w:rsidRPr="00373410" w:rsidRDefault="00373410" w:rsidP="00373410">
            <w:pPr>
              <w:spacing w:after="60" w:line="360" w:lineRule="auto"/>
              <w:rPr>
                <w:rFonts w:ascii="Arial" w:hAnsi="Arial" w:cs="Arial"/>
                <w:sz w:val="22"/>
                <w:szCs w:val="22"/>
              </w:rPr>
            </w:pPr>
            <w:r w:rsidRPr="00373410">
              <w:rPr>
                <w:rFonts w:ascii="Arial" w:eastAsia="Calibri" w:hAnsi="Arial" w:cs="Arial"/>
                <w:sz w:val="22"/>
                <w:szCs w:val="22"/>
              </w:rPr>
              <w:t>• Complete network sharing and site consolidation.</w:t>
            </w:r>
          </w:p>
          <w:p w14:paraId="0A7A4E62" w14:textId="77777777" w:rsidR="00373410" w:rsidRPr="00373410" w:rsidRDefault="00373410" w:rsidP="00373410">
            <w:pPr>
              <w:spacing w:after="60" w:line="360" w:lineRule="auto"/>
              <w:rPr>
                <w:rFonts w:ascii="Arial" w:hAnsi="Arial" w:cs="Arial"/>
                <w:sz w:val="22"/>
                <w:szCs w:val="22"/>
              </w:rPr>
            </w:pPr>
            <w:r w:rsidRPr="00373410">
              <w:rPr>
                <w:rFonts w:ascii="Arial" w:eastAsia="Calibri" w:hAnsi="Arial" w:cs="Arial"/>
                <w:sz w:val="22"/>
                <w:szCs w:val="22"/>
              </w:rPr>
              <w:t>• Prioritise not-spot elimination and rural coverage.</w:t>
            </w:r>
          </w:p>
        </w:tc>
        <w:tc>
          <w:tcPr>
            <w:tcW w:w="3510" w:type="dxa"/>
            <w:tcBorders>
              <w:top w:val="single" w:sz="4" w:space="0" w:color="auto"/>
              <w:left w:val="single" w:sz="4" w:space="0" w:color="auto"/>
              <w:bottom w:val="single" w:sz="4" w:space="0" w:color="auto"/>
              <w:right w:val="single" w:sz="4" w:space="0" w:color="auto"/>
            </w:tcBorders>
            <w:tcMar>
              <w:top w:w="80" w:type="dxa"/>
              <w:left w:w="100" w:type="dxa"/>
              <w:bottom w:w="80" w:type="dxa"/>
              <w:right w:w="100" w:type="dxa"/>
            </w:tcMar>
            <w:hideMark/>
          </w:tcPr>
          <w:p w14:paraId="111DABE5" w14:textId="77777777" w:rsidR="00373410" w:rsidRPr="00373410" w:rsidRDefault="00373410" w:rsidP="00373410">
            <w:pPr>
              <w:spacing w:after="60" w:line="360" w:lineRule="auto"/>
              <w:rPr>
                <w:rFonts w:ascii="Arial" w:hAnsi="Arial" w:cs="Arial"/>
                <w:sz w:val="22"/>
                <w:szCs w:val="22"/>
              </w:rPr>
            </w:pPr>
            <w:r w:rsidRPr="00373410">
              <w:rPr>
                <w:rFonts w:ascii="Arial" w:eastAsia="Calibri" w:hAnsi="Arial" w:cs="Arial"/>
                <w:sz w:val="22"/>
                <w:szCs w:val="22"/>
              </w:rPr>
              <w:t>• 5G SA population coverage: on track for 99% by 2030.</w:t>
            </w:r>
          </w:p>
          <w:p w14:paraId="3A581CB3" w14:textId="77777777" w:rsidR="00373410" w:rsidRPr="00373410" w:rsidRDefault="00373410" w:rsidP="00373410">
            <w:pPr>
              <w:spacing w:after="60" w:line="360" w:lineRule="auto"/>
              <w:rPr>
                <w:rFonts w:ascii="Arial" w:hAnsi="Arial" w:cs="Arial"/>
                <w:sz w:val="22"/>
                <w:szCs w:val="22"/>
              </w:rPr>
            </w:pPr>
            <w:r w:rsidRPr="00373410">
              <w:rPr>
                <w:rFonts w:ascii="Arial" w:eastAsia="Calibri" w:hAnsi="Arial" w:cs="Arial"/>
                <w:sz w:val="22"/>
                <w:szCs w:val="22"/>
              </w:rPr>
              <w:t xml:space="preserve">• </w:t>
            </w:r>
            <w:proofErr w:type="spellStart"/>
            <w:r w:rsidRPr="00373410">
              <w:rPr>
                <w:rFonts w:ascii="Arial" w:eastAsia="Calibri" w:hAnsi="Arial" w:cs="Arial"/>
                <w:sz w:val="22"/>
                <w:szCs w:val="22"/>
              </w:rPr>
              <w:t>Sq</w:t>
            </w:r>
            <w:proofErr w:type="spellEnd"/>
            <w:r w:rsidRPr="00373410">
              <w:rPr>
                <w:rFonts w:ascii="Arial" w:eastAsia="Calibri" w:hAnsi="Arial" w:cs="Arial"/>
                <w:sz w:val="22"/>
                <w:szCs w:val="22"/>
              </w:rPr>
              <w:t xml:space="preserve"> km of not spots removed per year.</w:t>
            </w:r>
          </w:p>
          <w:p w14:paraId="6151D4D2" w14:textId="77777777" w:rsidR="00373410" w:rsidRPr="00373410" w:rsidRDefault="00373410" w:rsidP="00373410">
            <w:pPr>
              <w:spacing w:after="60" w:line="360" w:lineRule="auto"/>
              <w:rPr>
                <w:rFonts w:ascii="Arial" w:hAnsi="Arial" w:cs="Arial"/>
                <w:sz w:val="22"/>
                <w:szCs w:val="22"/>
              </w:rPr>
            </w:pPr>
            <w:r w:rsidRPr="00373410">
              <w:rPr>
                <w:rFonts w:ascii="Arial" w:eastAsia="Calibri" w:hAnsi="Arial" w:cs="Arial"/>
                <w:sz w:val="22"/>
                <w:szCs w:val="22"/>
              </w:rPr>
              <w:t>• Independent network test rankings (e.g. best UK network by Year 3).</w:t>
            </w:r>
          </w:p>
        </w:tc>
      </w:tr>
      <w:tr w:rsidR="00373410" w:rsidRPr="00373410" w14:paraId="290B3190" w14:textId="77777777">
        <w:tc>
          <w:tcPr>
            <w:tcW w:w="2340" w:type="dxa"/>
            <w:tcBorders>
              <w:top w:val="single" w:sz="4" w:space="0" w:color="auto"/>
              <w:left w:val="single" w:sz="4" w:space="0" w:color="auto"/>
              <w:bottom w:val="single" w:sz="4" w:space="0" w:color="auto"/>
              <w:right w:val="single" w:sz="4" w:space="0" w:color="auto"/>
            </w:tcBorders>
            <w:tcMar>
              <w:top w:w="80" w:type="dxa"/>
              <w:left w:w="100" w:type="dxa"/>
              <w:bottom w:w="80" w:type="dxa"/>
              <w:right w:w="100" w:type="dxa"/>
            </w:tcMar>
            <w:hideMark/>
          </w:tcPr>
          <w:p w14:paraId="0CFB6316" w14:textId="77777777" w:rsidR="00373410" w:rsidRPr="00373410" w:rsidRDefault="00373410" w:rsidP="00373410">
            <w:pPr>
              <w:spacing w:after="40" w:line="360" w:lineRule="auto"/>
              <w:rPr>
                <w:rFonts w:ascii="Arial" w:hAnsi="Arial" w:cs="Arial"/>
                <w:sz w:val="22"/>
                <w:szCs w:val="22"/>
              </w:rPr>
            </w:pPr>
            <w:r w:rsidRPr="00373410">
              <w:rPr>
                <w:rFonts w:ascii="Arial" w:eastAsia="Calibri" w:hAnsi="Arial" w:cs="Arial"/>
                <w:sz w:val="22"/>
                <w:szCs w:val="22"/>
              </w:rPr>
              <w:t>2. Win and keep customers (Years 1–5)</w:t>
            </w:r>
          </w:p>
        </w:tc>
        <w:tc>
          <w:tcPr>
            <w:tcW w:w="3510" w:type="dxa"/>
            <w:tcBorders>
              <w:top w:val="single" w:sz="4" w:space="0" w:color="auto"/>
              <w:left w:val="single" w:sz="4" w:space="0" w:color="auto"/>
              <w:bottom w:val="single" w:sz="4" w:space="0" w:color="auto"/>
              <w:right w:val="single" w:sz="4" w:space="0" w:color="auto"/>
            </w:tcBorders>
            <w:tcMar>
              <w:top w:w="80" w:type="dxa"/>
              <w:left w:w="100" w:type="dxa"/>
              <w:bottom w:w="80" w:type="dxa"/>
              <w:right w:w="100" w:type="dxa"/>
            </w:tcMar>
            <w:hideMark/>
          </w:tcPr>
          <w:p w14:paraId="2314FCFD" w14:textId="77777777" w:rsidR="00373410" w:rsidRPr="00373410" w:rsidRDefault="00373410" w:rsidP="00373410">
            <w:pPr>
              <w:spacing w:after="60" w:line="360" w:lineRule="auto"/>
              <w:rPr>
                <w:rFonts w:ascii="Arial" w:hAnsi="Arial" w:cs="Arial"/>
                <w:sz w:val="22"/>
                <w:szCs w:val="22"/>
              </w:rPr>
            </w:pPr>
            <w:r w:rsidRPr="00373410">
              <w:rPr>
                <w:rFonts w:ascii="Arial" w:eastAsia="Calibri" w:hAnsi="Arial" w:cs="Arial"/>
                <w:sz w:val="22"/>
                <w:szCs w:val="22"/>
              </w:rPr>
              <w:t>• Migrate the base to 5G plans; cross-sell across the five brands.</w:t>
            </w:r>
          </w:p>
          <w:p w14:paraId="773A4003" w14:textId="77777777" w:rsidR="00373410" w:rsidRPr="00373410" w:rsidRDefault="00373410" w:rsidP="00373410">
            <w:pPr>
              <w:spacing w:after="60" w:line="360" w:lineRule="auto"/>
              <w:rPr>
                <w:rFonts w:ascii="Arial" w:hAnsi="Arial" w:cs="Arial"/>
                <w:sz w:val="22"/>
                <w:szCs w:val="22"/>
              </w:rPr>
            </w:pPr>
            <w:r w:rsidRPr="00373410">
              <w:rPr>
                <w:rFonts w:ascii="Arial" w:eastAsia="Calibri" w:hAnsi="Arial" w:cs="Arial"/>
                <w:sz w:val="22"/>
                <w:szCs w:val="22"/>
              </w:rPr>
              <w:t>• Improve customer service to cut churn.</w:t>
            </w:r>
          </w:p>
          <w:p w14:paraId="10B6A595" w14:textId="77777777" w:rsidR="00373410" w:rsidRPr="00373410" w:rsidRDefault="00373410" w:rsidP="00373410">
            <w:pPr>
              <w:spacing w:after="60" w:line="360" w:lineRule="auto"/>
              <w:rPr>
                <w:rFonts w:ascii="Arial" w:hAnsi="Arial" w:cs="Arial"/>
                <w:sz w:val="22"/>
                <w:szCs w:val="22"/>
              </w:rPr>
            </w:pPr>
            <w:r w:rsidRPr="00373410">
              <w:rPr>
                <w:rFonts w:ascii="Arial" w:eastAsia="Calibri" w:hAnsi="Arial" w:cs="Arial"/>
                <w:sz w:val="22"/>
                <w:szCs w:val="22"/>
              </w:rPr>
              <w:t>• Honour CMA tariff caps and communicate benefits clearly.</w:t>
            </w:r>
          </w:p>
        </w:tc>
        <w:tc>
          <w:tcPr>
            <w:tcW w:w="3510" w:type="dxa"/>
            <w:tcBorders>
              <w:top w:val="single" w:sz="4" w:space="0" w:color="auto"/>
              <w:left w:val="single" w:sz="4" w:space="0" w:color="auto"/>
              <w:bottom w:val="single" w:sz="4" w:space="0" w:color="auto"/>
              <w:right w:val="single" w:sz="4" w:space="0" w:color="auto"/>
            </w:tcBorders>
            <w:tcMar>
              <w:top w:w="80" w:type="dxa"/>
              <w:left w:w="100" w:type="dxa"/>
              <w:bottom w:w="80" w:type="dxa"/>
              <w:right w:w="100" w:type="dxa"/>
            </w:tcMar>
            <w:hideMark/>
          </w:tcPr>
          <w:p w14:paraId="49FB0D96" w14:textId="77777777" w:rsidR="00373410" w:rsidRPr="00373410" w:rsidRDefault="00373410" w:rsidP="00373410">
            <w:pPr>
              <w:spacing w:after="60" w:line="360" w:lineRule="auto"/>
              <w:rPr>
                <w:rFonts w:ascii="Arial" w:hAnsi="Arial" w:cs="Arial"/>
                <w:sz w:val="22"/>
                <w:szCs w:val="22"/>
              </w:rPr>
            </w:pPr>
            <w:r w:rsidRPr="00373410">
              <w:rPr>
                <w:rFonts w:ascii="Arial" w:eastAsia="Calibri" w:hAnsi="Arial" w:cs="Arial"/>
                <w:sz w:val="22"/>
                <w:szCs w:val="22"/>
              </w:rPr>
              <w:t>• Net customer additions per quarter.</w:t>
            </w:r>
          </w:p>
          <w:p w14:paraId="3F44FFC5" w14:textId="77777777" w:rsidR="00373410" w:rsidRPr="00373410" w:rsidRDefault="00373410" w:rsidP="00373410">
            <w:pPr>
              <w:spacing w:after="60" w:line="360" w:lineRule="auto"/>
              <w:rPr>
                <w:rFonts w:ascii="Arial" w:hAnsi="Arial" w:cs="Arial"/>
                <w:sz w:val="22"/>
                <w:szCs w:val="22"/>
              </w:rPr>
            </w:pPr>
            <w:r w:rsidRPr="00373410">
              <w:rPr>
                <w:rFonts w:ascii="Arial" w:eastAsia="Calibri" w:hAnsi="Arial" w:cs="Arial"/>
                <w:sz w:val="22"/>
                <w:szCs w:val="22"/>
              </w:rPr>
              <w:t>• Churn rate reduced year-on-year.</w:t>
            </w:r>
          </w:p>
          <w:p w14:paraId="5514FEF5" w14:textId="77777777" w:rsidR="00373410" w:rsidRPr="00373410" w:rsidRDefault="00373410" w:rsidP="00373410">
            <w:pPr>
              <w:spacing w:after="60" w:line="360" w:lineRule="auto"/>
              <w:rPr>
                <w:rFonts w:ascii="Arial" w:hAnsi="Arial" w:cs="Arial"/>
                <w:sz w:val="22"/>
                <w:szCs w:val="22"/>
              </w:rPr>
            </w:pPr>
            <w:r w:rsidRPr="00373410">
              <w:rPr>
                <w:rFonts w:ascii="Arial" w:eastAsia="Calibri" w:hAnsi="Arial" w:cs="Arial"/>
                <w:sz w:val="22"/>
                <w:szCs w:val="22"/>
              </w:rPr>
              <w:t>• NPS / customer satisfaction improvement.</w:t>
            </w:r>
          </w:p>
          <w:p w14:paraId="2185E767" w14:textId="77777777" w:rsidR="00373410" w:rsidRPr="00373410" w:rsidRDefault="00373410" w:rsidP="00373410">
            <w:pPr>
              <w:spacing w:after="60" w:line="360" w:lineRule="auto"/>
              <w:rPr>
                <w:rFonts w:ascii="Arial" w:hAnsi="Arial" w:cs="Arial"/>
                <w:sz w:val="22"/>
                <w:szCs w:val="22"/>
              </w:rPr>
            </w:pPr>
            <w:r w:rsidRPr="00373410">
              <w:rPr>
                <w:rFonts w:ascii="Arial" w:eastAsia="Calibri" w:hAnsi="Arial" w:cs="Arial"/>
                <w:sz w:val="22"/>
                <w:szCs w:val="22"/>
              </w:rPr>
              <w:t>• ARPU growth without breaching capped tariffs.</w:t>
            </w:r>
          </w:p>
        </w:tc>
      </w:tr>
      <w:tr w:rsidR="00373410" w:rsidRPr="00373410" w14:paraId="6E100135" w14:textId="77777777">
        <w:tc>
          <w:tcPr>
            <w:tcW w:w="2340" w:type="dxa"/>
            <w:tcBorders>
              <w:top w:val="single" w:sz="4" w:space="0" w:color="auto"/>
              <w:left w:val="single" w:sz="4" w:space="0" w:color="auto"/>
              <w:bottom w:val="single" w:sz="4" w:space="0" w:color="auto"/>
              <w:right w:val="single" w:sz="4" w:space="0" w:color="auto"/>
            </w:tcBorders>
            <w:tcMar>
              <w:top w:w="80" w:type="dxa"/>
              <w:left w:w="100" w:type="dxa"/>
              <w:bottom w:w="80" w:type="dxa"/>
              <w:right w:w="100" w:type="dxa"/>
            </w:tcMar>
            <w:hideMark/>
          </w:tcPr>
          <w:p w14:paraId="2D791E4E" w14:textId="77777777" w:rsidR="00373410" w:rsidRPr="00373410" w:rsidRDefault="00373410" w:rsidP="00373410">
            <w:pPr>
              <w:spacing w:after="40" w:line="360" w:lineRule="auto"/>
              <w:rPr>
                <w:rFonts w:ascii="Arial" w:hAnsi="Arial" w:cs="Arial"/>
                <w:sz w:val="22"/>
                <w:szCs w:val="22"/>
              </w:rPr>
            </w:pPr>
            <w:r w:rsidRPr="00373410">
              <w:rPr>
                <w:rFonts w:ascii="Arial" w:eastAsia="Calibri" w:hAnsi="Arial" w:cs="Arial"/>
                <w:sz w:val="22"/>
                <w:szCs w:val="22"/>
              </w:rPr>
              <w:t>3. Monetise 5G services (Years 2–5)</w:t>
            </w:r>
          </w:p>
        </w:tc>
        <w:tc>
          <w:tcPr>
            <w:tcW w:w="3510" w:type="dxa"/>
            <w:tcBorders>
              <w:top w:val="single" w:sz="4" w:space="0" w:color="auto"/>
              <w:left w:val="single" w:sz="4" w:space="0" w:color="auto"/>
              <w:bottom w:val="single" w:sz="4" w:space="0" w:color="auto"/>
              <w:right w:val="single" w:sz="4" w:space="0" w:color="auto"/>
            </w:tcBorders>
            <w:tcMar>
              <w:top w:w="80" w:type="dxa"/>
              <w:left w:w="100" w:type="dxa"/>
              <w:bottom w:w="80" w:type="dxa"/>
              <w:right w:w="100" w:type="dxa"/>
            </w:tcMar>
            <w:hideMark/>
          </w:tcPr>
          <w:p w14:paraId="1A8C6AA2" w14:textId="77777777" w:rsidR="00373410" w:rsidRPr="00373410" w:rsidRDefault="00373410" w:rsidP="00373410">
            <w:pPr>
              <w:spacing w:after="60" w:line="360" w:lineRule="auto"/>
              <w:rPr>
                <w:rFonts w:ascii="Arial" w:hAnsi="Arial" w:cs="Arial"/>
                <w:sz w:val="22"/>
                <w:szCs w:val="22"/>
              </w:rPr>
            </w:pPr>
            <w:r w:rsidRPr="00373410">
              <w:rPr>
                <w:rFonts w:ascii="Arial" w:eastAsia="Calibri" w:hAnsi="Arial" w:cs="Arial"/>
                <w:sz w:val="22"/>
                <w:szCs w:val="22"/>
              </w:rPr>
              <w:t>• Launch FWA home broadband at national scale.</w:t>
            </w:r>
          </w:p>
          <w:p w14:paraId="17E38998" w14:textId="77777777" w:rsidR="00373410" w:rsidRPr="00373410" w:rsidRDefault="00373410" w:rsidP="00373410">
            <w:pPr>
              <w:spacing w:after="60" w:line="360" w:lineRule="auto"/>
              <w:rPr>
                <w:rFonts w:ascii="Arial" w:hAnsi="Arial" w:cs="Arial"/>
                <w:sz w:val="22"/>
                <w:szCs w:val="22"/>
              </w:rPr>
            </w:pPr>
            <w:r w:rsidRPr="00373410">
              <w:rPr>
                <w:rFonts w:ascii="Arial" w:eastAsia="Calibri" w:hAnsi="Arial" w:cs="Arial"/>
                <w:sz w:val="22"/>
                <w:szCs w:val="22"/>
              </w:rPr>
              <w:t>• Expand IoT, private 5G networks and business digital services.</w:t>
            </w:r>
          </w:p>
          <w:p w14:paraId="0F223D4D" w14:textId="77777777" w:rsidR="00373410" w:rsidRPr="00373410" w:rsidRDefault="00373410" w:rsidP="00373410">
            <w:pPr>
              <w:spacing w:after="60" w:line="360" w:lineRule="auto"/>
              <w:rPr>
                <w:rFonts w:ascii="Arial" w:hAnsi="Arial" w:cs="Arial"/>
                <w:sz w:val="22"/>
                <w:szCs w:val="22"/>
              </w:rPr>
            </w:pPr>
            <w:r w:rsidRPr="00373410">
              <w:rPr>
                <w:rFonts w:ascii="Arial" w:eastAsia="Calibri" w:hAnsi="Arial" w:cs="Arial"/>
                <w:sz w:val="22"/>
                <w:szCs w:val="22"/>
              </w:rPr>
              <w:t>• Partner with councils and enterprises on smart city pilots.</w:t>
            </w:r>
          </w:p>
        </w:tc>
        <w:tc>
          <w:tcPr>
            <w:tcW w:w="3510" w:type="dxa"/>
            <w:tcBorders>
              <w:top w:val="single" w:sz="4" w:space="0" w:color="auto"/>
              <w:left w:val="single" w:sz="4" w:space="0" w:color="auto"/>
              <w:bottom w:val="single" w:sz="4" w:space="0" w:color="auto"/>
              <w:right w:val="single" w:sz="4" w:space="0" w:color="auto"/>
            </w:tcBorders>
            <w:tcMar>
              <w:top w:w="80" w:type="dxa"/>
              <w:left w:w="100" w:type="dxa"/>
              <w:bottom w:w="80" w:type="dxa"/>
              <w:right w:w="100" w:type="dxa"/>
            </w:tcMar>
            <w:hideMark/>
          </w:tcPr>
          <w:p w14:paraId="2F96657A" w14:textId="77777777" w:rsidR="00373410" w:rsidRPr="00373410" w:rsidRDefault="00373410" w:rsidP="00373410">
            <w:pPr>
              <w:spacing w:after="60" w:line="360" w:lineRule="auto"/>
              <w:rPr>
                <w:rFonts w:ascii="Arial" w:hAnsi="Arial" w:cs="Arial"/>
                <w:sz w:val="22"/>
                <w:szCs w:val="22"/>
              </w:rPr>
            </w:pPr>
            <w:r w:rsidRPr="00373410">
              <w:rPr>
                <w:rFonts w:ascii="Arial" w:eastAsia="Calibri" w:hAnsi="Arial" w:cs="Arial"/>
                <w:sz w:val="22"/>
                <w:szCs w:val="22"/>
              </w:rPr>
              <w:t>• FWA subscriber growth.</w:t>
            </w:r>
          </w:p>
          <w:p w14:paraId="37BFBD22" w14:textId="77777777" w:rsidR="00373410" w:rsidRPr="00373410" w:rsidRDefault="00373410" w:rsidP="00373410">
            <w:pPr>
              <w:spacing w:after="60" w:line="360" w:lineRule="auto"/>
              <w:rPr>
                <w:rFonts w:ascii="Arial" w:hAnsi="Arial" w:cs="Arial"/>
                <w:sz w:val="22"/>
                <w:szCs w:val="22"/>
              </w:rPr>
            </w:pPr>
            <w:r w:rsidRPr="00373410">
              <w:rPr>
                <w:rFonts w:ascii="Arial" w:eastAsia="Calibri" w:hAnsi="Arial" w:cs="Arial"/>
                <w:sz w:val="22"/>
                <w:szCs w:val="22"/>
              </w:rPr>
              <w:t>• Double-digit annual growth in business digital services revenue (Vodafone, 2026a).</w:t>
            </w:r>
          </w:p>
          <w:p w14:paraId="51C78396" w14:textId="77777777" w:rsidR="00373410" w:rsidRPr="00373410" w:rsidRDefault="00373410" w:rsidP="00373410">
            <w:pPr>
              <w:spacing w:after="60" w:line="360" w:lineRule="auto"/>
              <w:rPr>
                <w:rFonts w:ascii="Arial" w:hAnsi="Arial" w:cs="Arial"/>
                <w:sz w:val="22"/>
                <w:szCs w:val="22"/>
              </w:rPr>
            </w:pPr>
            <w:r w:rsidRPr="00373410">
              <w:rPr>
                <w:rFonts w:ascii="Arial" w:eastAsia="Calibri" w:hAnsi="Arial" w:cs="Arial"/>
                <w:sz w:val="22"/>
                <w:szCs w:val="22"/>
              </w:rPr>
              <w:t>• Share of revenue from new 5G services.</w:t>
            </w:r>
          </w:p>
        </w:tc>
      </w:tr>
      <w:tr w:rsidR="00373410" w:rsidRPr="00373410" w14:paraId="38B05D10" w14:textId="77777777">
        <w:tc>
          <w:tcPr>
            <w:tcW w:w="2340" w:type="dxa"/>
            <w:tcBorders>
              <w:top w:val="single" w:sz="4" w:space="0" w:color="auto"/>
              <w:left w:val="single" w:sz="4" w:space="0" w:color="auto"/>
              <w:bottom w:val="single" w:sz="4" w:space="0" w:color="auto"/>
              <w:right w:val="single" w:sz="4" w:space="0" w:color="auto"/>
            </w:tcBorders>
            <w:tcMar>
              <w:top w:w="80" w:type="dxa"/>
              <w:left w:w="100" w:type="dxa"/>
              <w:bottom w:w="80" w:type="dxa"/>
              <w:right w:w="100" w:type="dxa"/>
            </w:tcMar>
            <w:hideMark/>
          </w:tcPr>
          <w:p w14:paraId="770B47C9" w14:textId="77777777" w:rsidR="00373410" w:rsidRPr="00373410" w:rsidRDefault="00373410" w:rsidP="00373410">
            <w:pPr>
              <w:spacing w:after="40" w:line="360" w:lineRule="auto"/>
              <w:rPr>
                <w:rFonts w:ascii="Arial" w:hAnsi="Arial" w:cs="Arial"/>
                <w:sz w:val="22"/>
                <w:szCs w:val="22"/>
              </w:rPr>
            </w:pPr>
            <w:r w:rsidRPr="00373410">
              <w:rPr>
                <w:rFonts w:ascii="Arial" w:eastAsia="Calibri" w:hAnsi="Arial" w:cs="Arial"/>
                <w:sz w:val="22"/>
                <w:szCs w:val="22"/>
              </w:rPr>
              <w:t>4. Deliver synergies and financial discipline (Years 1–5)</w:t>
            </w:r>
          </w:p>
        </w:tc>
        <w:tc>
          <w:tcPr>
            <w:tcW w:w="3510" w:type="dxa"/>
            <w:tcBorders>
              <w:top w:val="single" w:sz="4" w:space="0" w:color="auto"/>
              <w:left w:val="single" w:sz="4" w:space="0" w:color="auto"/>
              <w:bottom w:val="single" w:sz="4" w:space="0" w:color="auto"/>
              <w:right w:val="single" w:sz="4" w:space="0" w:color="auto"/>
            </w:tcBorders>
            <w:tcMar>
              <w:top w:w="80" w:type="dxa"/>
              <w:left w:w="100" w:type="dxa"/>
              <w:bottom w:w="80" w:type="dxa"/>
              <w:right w:w="100" w:type="dxa"/>
            </w:tcMar>
            <w:hideMark/>
          </w:tcPr>
          <w:p w14:paraId="06CDDBD7" w14:textId="77777777" w:rsidR="00373410" w:rsidRPr="00373410" w:rsidRDefault="00373410" w:rsidP="00373410">
            <w:pPr>
              <w:spacing w:after="60" w:line="360" w:lineRule="auto"/>
              <w:rPr>
                <w:rFonts w:ascii="Arial" w:hAnsi="Arial" w:cs="Arial"/>
                <w:sz w:val="22"/>
                <w:szCs w:val="22"/>
              </w:rPr>
            </w:pPr>
            <w:r w:rsidRPr="00373410">
              <w:rPr>
                <w:rFonts w:ascii="Arial" w:eastAsia="Calibri" w:hAnsi="Arial" w:cs="Arial"/>
                <w:sz w:val="22"/>
                <w:szCs w:val="22"/>
              </w:rPr>
              <w:t>• Integrate IT systems and remove duplicated costs.</w:t>
            </w:r>
          </w:p>
          <w:p w14:paraId="22777749" w14:textId="77777777" w:rsidR="00373410" w:rsidRPr="00373410" w:rsidRDefault="00373410" w:rsidP="00373410">
            <w:pPr>
              <w:spacing w:after="60" w:line="360" w:lineRule="auto"/>
              <w:rPr>
                <w:rFonts w:ascii="Arial" w:hAnsi="Arial" w:cs="Arial"/>
                <w:sz w:val="22"/>
                <w:szCs w:val="22"/>
              </w:rPr>
            </w:pPr>
            <w:r w:rsidRPr="00373410">
              <w:rPr>
                <w:rFonts w:ascii="Arial" w:eastAsia="Calibri" w:hAnsi="Arial" w:cs="Arial"/>
                <w:sz w:val="22"/>
                <w:szCs w:val="22"/>
              </w:rPr>
              <w:t>• Track synergy delivery against the £700m annual target.</w:t>
            </w:r>
          </w:p>
          <w:p w14:paraId="5C27FD7D" w14:textId="77777777" w:rsidR="00373410" w:rsidRPr="00373410" w:rsidRDefault="00373410" w:rsidP="00373410">
            <w:pPr>
              <w:spacing w:after="60" w:line="360" w:lineRule="auto"/>
              <w:rPr>
                <w:rFonts w:ascii="Arial" w:hAnsi="Arial" w:cs="Arial"/>
                <w:sz w:val="22"/>
                <w:szCs w:val="22"/>
              </w:rPr>
            </w:pPr>
            <w:r w:rsidRPr="00373410">
              <w:rPr>
                <w:rFonts w:ascii="Arial" w:eastAsia="Calibri" w:hAnsi="Arial" w:cs="Arial"/>
                <w:sz w:val="22"/>
                <w:szCs w:val="22"/>
              </w:rPr>
              <w:t>• Keep leverage within Group policy.</w:t>
            </w:r>
          </w:p>
        </w:tc>
        <w:tc>
          <w:tcPr>
            <w:tcW w:w="3510" w:type="dxa"/>
            <w:tcBorders>
              <w:top w:val="single" w:sz="4" w:space="0" w:color="auto"/>
              <w:left w:val="single" w:sz="4" w:space="0" w:color="auto"/>
              <w:bottom w:val="single" w:sz="4" w:space="0" w:color="auto"/>
              <w:right w:val="single" w:sz="4" w:space="0" w:color="auto"/>
            </w:tcBorders>
            <w:tcMar>
              <w:top w:w="80" w:type="dxa"/>
              <w:left w:w="100" w:type="dxa"/>
              <w:bottom w:w="80" w:type="dxa"/>
              <w:right w:w="100" w:type="dxa"/>
            </w:tcMar>
            <w:hideMark/>
          </w:tcPr>
          <w:p w14:paraId="053499AD" w14:textId="77777777" w:rsidR="00373410" w:rsidRPr="00373410" w:rsidRDefault="00373410" w:rsidP="00373410">
            <w:pPr>
              <w:spacing w:after="60" w:line="360" w:lineRule="auto"/>
              <w:rPr>
                <w:rFonts w:ascii="Arial" w:hAnsi="Arial" w:cs="Arial"/>
                <w:sz w:val="22"/>
                <w:szCs w:val="22"/>
              </w:rPr>
            </w:pPr>
            <w:r w:rsidRPr="00373410">
              <w:rPr>
                <w:rFonts w:ascii="Arial" w:eastAsia="Calibri" w:hAnsi="Arial" w:cs="Arial"/>
                <w:sz w:val="22"/>
                <w:szCs w:val="22"/>
              </w:rPr>
              <w:t>• Cumulative synergies realised (£m) vs plan.</w:t>
            </w:r>
          </w:p>
          <w:p w14:paraId="4DF83F97" w14:textId="77777777" w:rsidR="00373410" w:rsidRPr="00373410" w:rsidRDefault="00373410" w:rsidP="00373410">
            <w:pPr>
              <w:spacing w:after="60" w:line="360" w:lineRule="auto"/>
              <w:rPr>
                <w:rFonts w:ascii="Arial" w:hAnsi="Arial" w:cs="Arial"/>
                <w:sz w:val="22"/>
                <w:szCs w:val="22"/>
              </w:rPr>
            </w:pPr>
            <w:r w:rsidRPr="00373410">
              <w:rPr>
                <w:rFonts w:ascii="Arial" w:eastAsia="Calibri" w:hAnsi="Arial" w:cs="Arial"/>
                <w:sz w:val="22"/>
                <w:szCs w:val="22"/>
              </w:rPr>
              <w:t>• Adjusted free cash flow accretive from FY29 (Vodafone, 2025).</w:t>
            </w:r>
          </w:p>
          <w:p w14:paraId="47AC511B" w14:textId="77777777" w:rsidR="00373410" w:rsidRPr="00373410" w:rsidRDefault="00373410" w:rsidP="00373410">
            <w:pPr>
              <w:spacing w:after="60" w:line="360" w:lineRule="auto"/>
              <w:rPr>
                <w:rFonts w:ascii="Arial" w:hAnsi="Arial" w:cs="Arial"/>
                <w:sz w:val="22"/>
                <w:szCs w:val="22"/>
              </w:rPr>
            </w:pPr>
            <w:r w:rsidRPr="00373410">
              <w:rPr>
                <w:rFonts w:ascii="Arial" w:eastAsia="Calibri" w:hAnsi="Arial" w:cs="Arial"/>
                <w:sz w:val="22"/>
                <w:szCs w:val="22"/>
              </w:rPr>
              <w:t xml:space="preserve">• Net debt / </w:t>
            </w:r>
            <w:proofErr w:type="spellStart"/>
            <w:r w:rsidRPr="00373410">
              <w:rPr>
                <w:rFonts w:ascii="Arial" w:eastAsia="Calibri" w:hAnsi="Arial" w:cs="Arial"/>
                <w:sz w:val="22"/>
                <w:szCs w:val="22"/>
              </w:rPr>
              <w:t>EBITDAaL</w:t>
            </w:r>
            <w:proofErr w:type="spellEnd"/>
            <w:r w:rsidRPr="00373410">
              <w:rPr>
                <w:rFonts w:ascii="Arial" w:eastAsia="Calibri" w:hAnsi="Arial" w:cs="Arial"/>
                <w:sz w:val="22"/>
                <w:szCs w:val="22"/>
              </w:rPr>
              <w:t xml:space="preserve"> within the 2.25x–2.75x policy range (Vodafone, 2026a).</w:t>
            </w:r>
          </w:p>
        </w:tc>
      </w:tr>
    </w:tbl>
    <w:p w14:paraId="60EF0A00" w14:textId="77777777" w:rsidR="00373410" w:rsidRPr="00373410" w:rsidRDefault="00373410" w:rsidP="00373410">
      <w:pPr>
        <w:spacing w:after="160" w:line="360" w:lineRule="auto"/>
        <w:jc w:val="both"/>
        <w:rPr>
          <w:rFonts w:ascii="Arial" w:eastAsia="Calibri" w:hAnsi="Arial" w:cs="Arial"/>
          <w:i/>
          <w:iCs/>
          <w:color w:val="595959"/>
          <w:sz w:val="22"/>
          <w:szCs w:val="22"/>
        </w:rPr>
      </w:pPr>
    </w:p>
    <w:p w14:paraId="4D5F7E03" w14:textId="77777777" w:rsidR="00373410" w:rsidRPr="00373410" w:rsidRDefault="00373410" w:rsidP="00373410">
      <w:pPr>
        <w:spacing w:after="160" w:line="360" w:lineRule="auto"/>
        <w:jc w:val="both"/>
        <w:rPr>
          <w:rFonts w:ascii="Arial" w:hAnsi="Arial" w:cs="Arial"/>
          <w:sz w:val="22"/>
          <w:szCs w:val="22"/>
        </w:rPr>
      </w:pPr>
      <w:r w:rsidRPr="00373410">
        <w:rPr>
          <w:rFonts w:ascii="Arial" w:eastAsia="Calibri" w:hAnsi="Arial" w:cs="Arial"/>
          <w:sz w:val="22"/>
          <w:szCs w:val="22"/>
        </w:rPr>
        <w:lastRenderedPageBreak/>
        <w:t>Monitoring should follow a simple rhythm: monthly integration dashboards for the executive team, quarterly KPI reviews at board level, and the annual network report required by the CMA. If any KPI falls materially behind for two consecutive quarters, a formal corrective-action review should be triggered so problems are fixed early rather than explained late.</w:t>
      </w:r>
    </w:p>
    <w:p w14:paraId="63721506" w14:textId="77777777" w:rsidR="00373410" w:rsidRPr="00373410" w:rsidRDefault="00373410" w:rsidP="00373410">
      <w:pPr>
        <w:pStyle w:val="Heading1"/>
        <w:spacing w:before="320" w:after="200" w:line="360" w:lineRule="auto"/>
        <w:rPr>
          <w:rFonts w:ascii="Arial" w:hAnsi="Arial" w:cs="Arial"/>
          <w:sz w:val="22"/>
          <w:szCs w:val="22"/>
        </w:rPr>
      </w:pPr>
      <w:r w:rsidRPr="00373410">
        <w:rPr>
          <w:rFonts w:ascii="Arial" w:eastAsia="Calibri" w:hAnsi="Arial" w:cs="Arial"/>
          <w:b/>
          <w:bCs/>
          <w:color w:val="1F3864"/>
          <w:sz w:val="22"/>
          <w:szCs w:val="22"/>
        </w:rPr>
        <w:t>8. Conclusion</w:t>
      </w:r>
    </w:p>
    <w:p w14:paraId="2A9D8283" w14:textId="77777777" w:rsidR="00373410" w:rsidRPr="00373410" w:rsidRDefault="00373410" w:rsidP="00373410">
      <w:pPr>
        <w:spacing w:after="160" w:line="360" w:lineRule="auto"/>
        <w:jc w:val="both"/>
        <w:rPr>
          <w:rFonts w:ascii="Arial" w:hAnsi="Arial" w:cs="Arial"/>
          <w:sz w:val="22"/>
          <w:szCs w:val="22"/>
        </w:rPr>
      </w:pPr>
      <w:r w:rsidRPr="00373410">
        <w:rPr>
          <w:rFonts w:ascii="Arial" w:eastAsia="Calibri" w:hAnsi="Arial" w:cs="Arial"/>
          <w:sz w:val="22"/>
          <w:szCs w:val="22"/>
        </w:rPr>
        <w:t xml:space="preserve">Vodafone enters this period from a position of real strength: the </w:t>
      </w:r>
      <w:proofErr w:type="spellStart"/>
      <w:r w:rsidRPr="00373410">
        <w:rPr>
          <w:rFonts w:ascii="Arial" w:eastAsia="Calibri" w:hAnsi="Arial" w:cs="Arial"/>
          <w:sz w:val="22"/>
          <w:szCs w:val="22"/>
        </w:rPr>
        <w:t>VodafoneThree</w:t>
      </w:r>
      <w:proofErr w:type="spellEnd"/>
      <w:r w:rsidRPr="00373410">
        <w:rPr>
          <w:rFonts w:ascii="Arial" w:eastAsia="Calibri" w:hAnsi="Arial" w:cs="Arial"/>
          <w:sz w:val="22"/>
          <w:szCs w:val="22"/>
        </w:rPr>
        <w:t xml:space="preserve"> merger has created the UK’s largest mobile operator with a legally guaranteed £11 billion network plan, and Group results confirm the turnaround is working, with FY26 revenue up 8% and a return to operating profit (Vodafone, 2026a). The environmental analysis shows fierce rivalry and strong regulation, but also fast-growing data demand that rewards the operator with the best network. This report therefore recommends a differentiation-based strategy combining market penetration and 5G product development: build the best network, win and keep customers with it, and monetise it through FWA, IoT and business digital services. The strategy passes the SFA tests, aligns with Vodafone’s purpose of connecting for a better future, and comes with a clear stakeholder and implementation plan. The board’s task now is disciplined execution.</w:t>
      </w:r>
    </w:p>
    <w:p w14:paraId="77A4B4AD" w14:textId="77777777" w:rsidR="00373410" w:rsidRPr="00373410" w:rsidRDefault="00373410" w:rsidP="00373410">
      <w:pPr>
        <w:pStyle w:val="Heading1"/>
        <w:spacing w:before="320" w:after="200" w:line="360" w:lineRule="auto"/>
        <w:rPr>
          <w:rFonts w:ascii="Arial" w:hAnsi="Arial" w:cs="Arial"/>
          <w:sz w:val="22"/>
          <w:szCs w:val="22"/>
        </w:rPr>
      </w:pPr>
      <w:r w:rsidRPr="00373410">
        <w:rPr>
          <w:rFonts w:ascii="Arial" w:eastAsia="Calibri" w:hAnsi="Arial" w:cs="Arial"/>
          <w:b/>
          <w:bCs/>
          <w:color w:val="1F3864"/>
          <w:sz w:val="22"/>
          <w:szCs w:val="22"/>
        </w:rPr>
        <w:t>References</w:t>
      </w:r>
    </w:p>
    <w:p w14:paraId="04B44FEE" w14:textId="77777777" w:rsidR="00373410" w:rsidRPr="00373410" w:rsidRDefault="00373410" w:rsidP="00373410">
      <w:pPr>
        <w:spacing w:after="140" w:line="360" w:lineRule="auto"/>
        <w:ind w:left="720" w:hanging="720"/>
        <w:rPr>
          <w:rFonts w:ascii="Arial" w:hAnsi="Arial" w:cs="Arial"/>
          <w:sz w:val="22"/>
          <w:szCs w:val="22"/>
        </w:rPr>
      </w:pPr>
      <w:r w:rsidRPr="00373410">
        <w:rPr>
          <w:rFonts w:ascii="Arial" w:eastAsia="Calibri" w:hAnsi="Arial" w:cs="Arial"/>
          <w:sz w:val="22"/>
          <w:szCs w:val="22"/>
        </w:rPr>
        <w:t>Ansoff, H.I. (1957) ‘Strategies for diversification’, Harvard Business Review, 35(5), pp. 113–124.</w:t>
      </w:r>
    </w:p>
    <w:p w14:paraId="146B1356" w14:textId="77777777" w:rsidR="00373410" w:rsidRPr="00373410" w:rsidRDefault="00373410" w:rsidP="00373410">
      <w:pPr>
        <w:spacing w:after="140" w:line="360" w:lineRule="auto"/>
        <w:ind w:left="720" w:hanging="720"/>
        <w:rPr>
          <w:rFonts w:ascii="Arial" w:hAnsi="Arial" w:cs="Arial"/>
          <w:sz w:val="22"/>
          <w:szCs w:val="22"/>
        </w:rPr>
      </w:pPr>
      <w:r w:rsidRPr="00373410">
        <w:rPr>
          <w:rFonts w:ascii="Arial" w:eastAsia="Calibri" w:hAnsi="Arial" w:cs="Arial"/>
          <w:sz w:val="22"/>
          <w:szCs w:val="22"/>
        </w:rPr>
        <w:t>Competition and Markets Authority (CMA) (2024) CMA clears Vodafone / Three merger, subject to legally binding commitments. 5 December. Available at: https://www.gov.uk/government/news/cma-clears-vodafone-three-merger-subject-to-legally-binding-commitments (Accessed: 11 July 2026).</w:t>
      </w:r>
    </w:p>
    <w:p w14:paraId="6AD194B8" w14:textId="77777777" w:rsidR="00373410" w:rsidRPr="00373410" w:rsidRDefault="00373410" w:rsidP="00373410">
      <w:pPr>
        <w:spacing w:after="140" w:line="360" w:lineRule="auto"/>
        <w:ind w:left="720" w:hanging="720"/>
        <w:rPr>
          <w:rFonts w:ascii="Arial" w:hAnsi="Arial" w:cs="Arial"/>
          <w:sz w:val="22"/>
          <w:szCs w:val="22"/>
        </w:rPr>
      </w:pPr>
      <w:r w:rsidRPr="00373410">
        <w:rPr>
          <w:rFonts w:ascii="Arial" w:eastAsia="Calibri" w:hAnsi="Arial" w:cs="Arial"/>
          <w:sz w:val="22"/>
          <w:szCs w:val="22"/>
        </w:rPr>
        <w:t>Freeman, R.E. (1984) Strategic management: a stakeholder approach. Boston: Pitman.</w:t>
      </w:r>
    </w:p>
    <w:p w14:paraId="054345D1" w14:textId="77777777" w:rsidR="00373410" w:rsidRPr="00373410" w:rsidRDefault="00373410" w:rsidP="00373410">
      <w:pPr>
        <w:spacing w:after="140" w:line="360" w:lineRule="auto"/>
        <w:ind w:left="720" w:hanging="720"/>
        <w:rPr>
          <w:rFonts w:ascii="Arial" w:hAnsi="Arial" w:cs="Arial"/>
          <w:sz w:val="22"/>
          <w:szCs w:val="22"/>
        </w:rPr>
      </w:pPr>
      <w:r w:rsidRPr="00373410">
        <w:rPr>
          <w:rFonts w:ascii="Arial" w:eastAsia="Calibri" w:hAnsi="Arial" w:cs="Arial"/>
          <w:sz w:val="22"/>
          <w:szCs w:val="22"/>
        </w:rPr>
        <w:t>IG (2025) Vodafone-Three merger: creating UK’s largest mobile operator. 11 June. Available at: https://www.ig.com/en/news-and-trade-ideas/vodafone-three-merger--what-next-after-the-creation-of-the-uk-s--250611 (Accessed: 11 July 2026).</w:t>
      </w:r>
    </w:p>
    <w:p w14:paraId="00DA16DB" w14:textId="77777777" w:rsidR="00373410" w:rsidRPr="00373410" w:rsidRDefault="00373410" w:rsidP="00373410">
      <w:pPr>
        <w:spacing w:after="140" w:line="360" w:lineRule="auto"/>
        <w:ind w:left="720" w:hanging="720"/>
        <w:rPr>
          <w:rFonts w:ascii="Arial" w:hAnsi="Arial" w:cs="Arial"/>
          <w:sz w:val="22"/>
          <w:szCs w:val="22"/>
        </w:rPr>
      </w:pPr>
      <w:r w:rsidRPr="00373410">
        <w:rPr>
          <w:rFonts w:ascii="Arial" w:eastAsia="Calibri" w:hAnsi="Arial" w:cs="Arial"/>
          <w:sz w:val="22"/>
          <w:szCs w:val="22"/>
        </w:rPr>
        <w:t xml:space="preserve">Johnson, G., Whittington, R., Scholes, K., Angwin, D. and </w:t>
      </w:r>
      <w:proofErr w:type="spellStart"/>
      <w:r w:rsidRPr="00373410">
        <w:rPr>
          <w:rFonts w:ascii="Arial" w:eastAsia="Calibri" w:hAnsi="Arial" w:cs="Arial"/>
          <w:sz w:val="22"/>
          <w:szCs w:val="22"/>
        </w:rPr>
        <w:t>Regnér</w:t>
      </w:r>
      <w:proofErr w:type="spellEnd"/>
      <w:r w:rsidRPr="00373410">
        <w:rPr>
          <w:rFonts w:ascii="Arial" w:eastAsia="Calibri" w:hAnsi="Arial" w:cs="Arial"/>
          <w:sz w:val="22"/>
          <w:szCs w:val="22"/>
        </w:rPr>
        <w:t>, P. (2020) Exploring strategy: text and cases. 12th ed. Harlow: Pearson.</w:t>
      </w:r>
    </w:p>
    <w:p w14:paraId="49AB7E50" w14:textId="77777777" w:rsidR="00373410" w:rsidRPr="00373410" w:rsidRDefault="00373410" w:rsidP="00373410">
      <w:pPr>
        <w:spacing w:after="140" w:line="360" w:lineRule="auto"/>
        <w:ind w:left="720" w:hanging="720"/>
        <w:rPr>
          <w:rFonts w:ascii="Arial" w:hAnsi="Arial" w:cs="Arial"/>
          <w:sz w:val="22"/>
          <w:szCs w:val="22"/>
        </w:rPr>
      </w:pPr>
      <w:r w:rsidRPr="00373410">
        <w:rPr>
          <w:rFonts w:ascii="Arial" w:eastAsia="Calibri" w:hAnsi="Arial" w:cs="Arial"/>
          <w:sz w:val="22"/>
          <w:szCs w:val="22"/>
        </w:rPr>
        <w:t>Kaplan, R.S. and Norton, D.P. (1996) The balanced scorecard: translating strategy into action. Boston: Harvard Business School Press.</w:t>
      </w:r>
    </w:p>
    <w:p w14:paraId="5319AA17" w14:textId="77777777" w:rsidR="00373410" w:rsidRPr="00373410" w:rsidRDefault="00373410" w:rsidP="00373410">
      <w:pPr>
        <w:spacing w:after="140" w:line="360" w:lineRule="auto"/>
        <w:ind w:left="720" w:hanging="720"/>
        <w:rPr>
          <w:rFonts w:ascii="Arial" w:hAnsi="Arial" w:cs="Arial"/>
          <w:sz w:val="22"/>
          <w:szCs w:val="22"/>
        </w:rPr>
      </w:pPr>
      <w:r w:rsidRPr="00373410">
        <w:rPr>
          <w:rFonts w:ascii="Arial" w:eastAsia="Calibri" w:hAnsi="Arial" w:cs="Arial"/>
          <w:sz w:val="22"/>
          <w:szCs w:val="22"/>
        </w:rPr>
        <w:lastRenderedPageBreak/>
        <w:t>Mendelow, A.L. (1991) ‘Environmental scanning: the impact of the stakeholder concept’, Proceedings of the Second International Conference on Information Systems. Cambridge, MA.</w:t>
      </w:r>
    </w:p>
    <w:p w14:paraId="1A9F104C" w14:textId="77777777" w:rsidR="00373410" w:rsidRPr="00373410" w:rsidRDefault="00373410" w:rsidP="00373410">
      <w:pPr>
        <w:spacing w:after="140" w:line="360" w:lineRule="auto"/>
        <w:ind w:left="720" w:hanging="720"/>
        <w:rPr>
          <w:rFonts w:ascii="Arial" w:hAnsi="Arial" w:cs="Arial"/>
          <w:sz w:val="22"/>
          <w:szCs w:val="22"/>
        </w:rPr>
      </w:pPr>
      <w:r w:rsidRPr="00373410">
        <w:rPr>
          <w:rFonts w:ascii="Arial" w:eastAsia="Calibri" w:hAnsi="Arial" w:cs="Arial"/>
          <w:sz w:val="22"/>
          <w:szCs w:val="22"/>
        </w:rPr>
        <w:t>Ofcom (2025) Connected Nations UK report 2025. 19 November. Available at: https://www.ofcom.org.uk/phones-and-broadband/coverage-and-speeds/ (Accessed: 11 July 2026).</w:t>
      </w:r>
    </w:p>
    <w:p w14:paraId="6340E237" w14:textId="77777777" w:rsidR="00373410" w:rsidRPr="00373410" w:rsidRDefault="00373410" w:rsidP="00373410">
      <w:pPr>
        <w:spacing w:after="140" w:line="360" w:lineRule="auto"/>
        <w:ind w:left="720" w:hanging="720"/>
        <w:rPr>
          <w:rFonts w:ascii="Arial" w:hAnsi="Arial" w:cs="Arial"/>
          <w:sz w:val="22"/>
          <w:szCs w:val="22"/>
        </w:rPr>
      </w:pPr>
      <w:r w:rsidRPr="00373410">
        <w:rPr>
          <w:rFonts w:ascii="Arial" w:eastAsia="Calibri" w:hAnsi="Arial" w:cs="Arial"/>
          <w:sz w:val="22"/>
          <w:szCs w:val="22"/>
        </w:rPr>
        <w:t>Ofcom (2026) Connected Nations update: Spring 2026. Available at: https://www.ofcom.org.uk/phones-and-broadband/coverage-and-speeds/connected-nations-update-spring-2026 (Accessed: 11 July 2026).</w:t>
      </w:r>
    </w:p>
    <w:p w14:paraId="4B333112" w14:textId="77777777" w:rsidR="00373410" w:rsidRPr="00373410" w:rsidRDefault="00373410" w:rsidP="00373410">
      <w:pPr>
        <w:spacing w:after="140" w:line="360" w:lineRule="auto"/>
        <w:ind w:left="720" w:hanging="720"/>
        <w:rPr>
          <w:rFonts w:ascii="Arial" w:hAnsi="Arial" w:cs="Arial"/>
          <w:sz w:val="22"/>
          <w:szCs w:val="22"/>
        </w:rPr>
      </w:pPr>
      <w:r w:rsidRPr="00373410">
        <w:rPr>
          <w:rFonts w:ascii="Arial" w:eastAsia="Calibri" w:hAnsi="Arial" w:cs="Arial"/>
          <w:sz w:val="22"/>
          <w:szCs w:val="22"/>
        </w:rPr>
        <w:t>Porter, M.E. (1985) Competitive advantage: creating and sustaining superior performance. New York: Free Press.</w:t>
      </w:r>
    </w:p>
    <w:p w14:paraId="05EE5842" w14:textId="77777777" w:rsidR="00373410" w:rsidRPr="00373410" w:rsidRDefault="00373410" w:rsidP="00373410">
      <w:pPr>
        <w:spacing w:after="140" w:line="360" w:lineRule="auto"/>
        <w:ind w:left="720" w:hanging="720"/>
        <w:rPr>
          <w:rFonts w:ascii="Arial" w:hAnsi="Arial" w:cs="Arial"/>
          <w:sz w:val="22"/>
          <w:szCs w:val="22"/>
        </w:rPr>
      </w:pPr>
      <w:r w:rsidRPr="00373410">
        <w:rPr>
          <w:rFonts w:ascii="Arial" w:eastAsia="Calibri" w:hAnsi="Arial" w:cs="Arial"/>
          <w:sz w:val="22"/>
          <w:szCs w:val="22"/>
        </w:rPr>
        <w:t>Porter, M.E. (2008) ‘The five competitive forces that shape strategy’, Harvard Business Review, 86(1), pp. 78–93.</w:t>
      </w:r>
    </w:p>
    <w:p w14:paraId="23BC91DA" w14:textId="77777777" w:rsidR="00373410" w:rsidRPr="00373410" w:rsidRDefault="00373410" w:rsidP="00373410">
      <w:pPr>
        <w:spacing w:after="140" w:line="360" w:lineRule="auto"/>
        <w:ind w:left="720" w:hanging="720"/>
        <w:rPr>
          <w:rFonts w:ascii="Arial" w:hAnsi="Arial" w:cs="Arial"/>
          <w:sz w:val="22"/>
          <w:szCs w:val="22"/>
        </w:rPr>
      </w:pPr>
      <w:r w:rsidRPr="00373410">
        <w:rPr>
          <w:rFonts w:ascii="Arial" w:eastAsia="Calibri" w:hAnsi="Arial" w:cs="Arial"/>
          <w:sz w:val="22"/>
          <w:szCs w:val="22"/>
        </w:rPr>
        <w:t>Vodafone Group Plc (2025) Completion of Vodafone and Three merger in the UK. 2 June. Available at: https://www.vodafone.com/news/newsroom/corporate-and-financial/completion-of-vodafone-and-three-merger-in-the-uk (Accessed: 11 July 2026).</w:t>
      </w:r>
    </w:p>
    <w:p w14:paraId="143422AD" w14:textId="77777777" w:rsidR="00373410" w:rsidRPr="00373410" w:rsidRDefault="00373410" w:rsidP="00373410">
      <w:pPr>
        <w:spacing w:after="140" w:line="360" w:lineRule="auto"/>
        <w:ind w:left="720" w:hanging="720"/>
        <w:rPr>
          <w:rFonts w:ascii="Arial" w:hAnsi="Arial" w:cs="Arial"/>
          <w:sz w:val="22"/>
          <w:szCs w:val="22"/>
        </w:rPr>
      </w:pPr>
      <w:r w:rsidRPr="00373410">
        <w:rPr>
          <w:rFonts w:ascii="Arial" w:eastAsia="Calibri" w:hAnsi="Arial" w:cs="Arial"/>
          <w:sz w:val="22"/>
          <w:szCs w:val="22"/>
        </w:rPr>
        <w:t>Vodafone Group Plc (2026a) Annual report 2026 and FY26 preliminary results. Available at: https://www.vodafone.com/investors/performance-and-reports/results-and-presentations (Accessed: 11 July 2026).</w:t>
      </w:r>
    </w:p>
    <w:p w14:paraId="2F230F74" w14:textId="77777777" w:rsidR="00373410" w:rsidRPr="00373410" w:rsidRDefault="00373410" w:rsidP="00373410">
      <w:pPr>
        <w:spacing w:after="140" w:line="360" w:lineRule="auto"/>
        <w:ind w:left="720" w:hanging="720"/>
        <w:rPr>
          <w:rFonts w:ascii="Arial" w:hAnsi="Arial" w:cs="Arial"/>
          <w:sz w:val="22"/>
          <w:szCs w:val="22"/>
        </w:rPr>
      </w:pPr>
      <w:r w:rsidRPr="00373410">
        <w:rPr>
          <w:rFonts w:ascii="Arial" w:eastAsia="Calibri" w:hAnsi="Arial" w:cs="Arial"/>
          <w:sz w:val="22"/>
          <w:szCs w:val="22"/>
        </w:rPr>
        <w:t xml:space="preserve">Vodafone Group Plc (2026b) Vodafone to take full ownership of </w:t>
      </w:r>
      <w:proofErr w:type="spellStart"/>
      <w:r w:rsidRPr="00373410">
        <w:rPr>
          <w:rFonts w:ascii="Arial" w:eastAsia="Calibri" w:hAnsi="Arial" w:cs="Arial"/>
          <w:sz w:val="22"/>
          <w:szCs w:val="22"/>
        </w:rPr>
        <w:t>VodafoneThree</w:t>
      </w:r>
      <w:proofErr w:type="spellEnd"/>
      <w:r w:rsidRPr="00373410">
        <w:rPr>
          <w:rFonts w:ascii="Arial" w:eastAsia="Calibri" w:hAnsi="Arial" w:cs="Arial"/>
          <w:sz w:val="22"/>
          <w:szCs w:val="22"/>
        </w:rPr>
        <w:t>. May. Available at: https://www.vodafone.com/news/newsroom/corporate-and-financial/vodafone-to-take-full-ownership-of-vodafone-three (Accessed: 11 July 2026).</w:t>
      </w:r>
    </w:p>
    <w:p w14:paraId="6F14AF5A" w14:textId="77777777" w:rsidR="00373410" w:rsidRPr="00373410" w:rsidRDefault="00373410" w:rsidP="00373410">
      <w:pPr>
        <w:spacing w:after="140" w:line="360" w:lineRule="auto"/>
        <w:ind w:left="720" w:hanging="720"/>
        <w:rPr>
          <w:rFonts w:ascii="Arial" w:hAnsi="Arial" w:cs="Arial"/>
          <w:sz w:val="22"/>
          <w:szCs w:val="22"/>
        </w:rPr>
      </w:pPr>
      <w:r w:rsidRPr="00373410">
        <w:rPr>
          <w:rFonts w:ascii="Arial" w:eastAsia="Calibri" w:hAnsi="Arial" w:cs="Arial"/>
          <w:sz w:val="22"/>
          <w:szCs w:val="22"/>
        </w:rPr>
        <w:t>Vodafone Group Plc (no date) We connect for a better future. Available at: https://www.vodafone.com/news/newsroom/corporate-and-financial/we-connect-for-a-better-future (Accessed: 11 July 2026).</w:t>
      </w:r>
    </w:p>
    <w:p w14:paraId="07980436" w14:textId="77777777" w:rsidR="00373410" w:rsidRPr="00373410" w:rsidRDefault="00373410" w:rsidP="00373410">
      <w:pPr>
        <w:spacing w:after="140" w:line="360" w:lineRule="auto"/>
        <w:ind w:left="720" w:hanging="720"/>
        <w:rPr>
          <w:rFonts w:ascii="Arial" w:hAnsi="Arial" w:cs="Arial"/>
          <w:sz w:val="22"/>
          <w:szCs w:val="22"/>
        </w:rPr>
      </w:pPr>
      <w:proofErr w:type="spellStart"/>
      <w:r w:rsidRPr="00373410">
        <w:rPr>
          <w:rFonts w:ascii="Arial" w:eastAsia="Calibri" w:hAnsi="Arial" w:cs="Arial"/>
          <w:sz w:val="22"/>
          <w:szCs w:val="22"/>
        </w:rPr>
        <w:t>VodafoneThree</w:t>
      </w:r>
      <w:proofErr w:type="spellEnd"/>
      <w:r w:rsidRPr="00373410">
        <w:rPr>
          <w:rFonts w:ascii="Arial" w:eastAsia="Calibri" w:hAnsi="Arial" w:cs="Arial"/>
          <w:sz w:val="22"/>
          <w:szCs w:val="22"/>
        </w:rPr>
        <w:t xml:space="preserve"> (2025) Completion of Vodafone and Three merger in the UK – building the UK’s best network. Available at: https://www.vodafonethree.com/completion-of-vodafone-and-three-merger-in-the-uk/ (Accessed: 11 July 2026).</w:t>
      </w:r>
    </w:p>
    <w:p w14:paraId="732DE8A7" w14:textId="77777777" w:rsidR="00701036" w:rsidRPr="00373410" w:rsidRDefault="00701036" w:rsidP="00373410">
      <w:pPr>
        <w:spacing w:line="360" w:lineRule="auto"/>
        <w:rPr>
          <w:rFonts w:ascii="Arial" w:hAnsi="Arial" w:cs="Arial"/>
          <w:sz w:val="22"/>
          <w:szCs w:val="22"/>
        </w:rPr>
      </w:pPr>
    </w:p>
    <w:sectPr w:rsidR="00701036" w:rsidRPr="00373410">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C67E6C" w14:textId="77777777" w:rsidR="00373410" w:rsidRDefault="00373410" w:rsidP="00373410">
      <w:r>
        <w:separator/>
      </w:r>
    </w:p>
  </w:endnote>
  <w:endnote w:type="continuationSeparator" w:id="0">
    <w:p w14:paraId="4FEEAA67" w14:textId="77777777" w:rsidR="00373410" w:rsidRDefault="00373410" w:rsidP="003734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25804928"/>
      <w:docPartObj>
        <w:docPartGallery w:val="Page Numbers (Bottom of Page)"/>
        <w:docPartUnique/>
      </w:docPartObj>
    </w:sdtPr>
    <w:sdtContent>
      <w:p w14:paraId="25E809F5" w14:textId="1B0A4EB4" w:rsidR="00373410" w:rsidRDefault="00373410" w:rsidP="00BB0A6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7138AA3E" w14:textId="77777777" w:rsidR="00373410" w:rsidRDefault="0037341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10912347"/>
      <w:docPartObj>
        <w:docPartGallery w:val="Page Numbers (Bottom of Page)"/>
        <w:docPartUnique/>
      </w:docPartObj>
    </w:sdtPr>
    <w:sdtContent>
      <w:p w14:paraId="625C7C4E" w14:textId="15B9CC19" w:rsidR="00373410" w:rsidRDefault="00373410" w:rsidP="00BB0A6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EAF9E65" w14:textId="77777777" w:rsidR="00373410" w:rsidRDefault="003734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CB2B6B" w14:textId="77777777" w:rsidR="00373410" w:rsidRDefault="00373410" w:rsidP="00373410">
      <w:r>
        <w:separator/>
      </w:r>
    </w:p>
  </w:footnote>
  <w:footnote w:type="continuationSeparator" w:id="0">
    <w:p w14:paraId="32FE3DF2" w14:textId="77777777" w:rsidR="00373410" w:rsidRDefault="00373410" w:rsidP="0037341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160CD2"/>
    <w:multiLevelType w:val="hybridMultilevel"/>
    <w:tmpl w:val="EB48CBBE"/>
    <w:lvl w:ilvl="0" w:tplc="E27E977A">
      <w:start w:val="1"/>
      <w:numFmt w:val="bullet"/>
      <w:lvlText w:val="•"/>
      <w:lvlJc w:val="left"/>
      <w:pPr>
        <w:ind w:left="431" w:hanging="288"/>
      </w:pPr>
    </w:lvl>
    <w:lvl w:ilvl="1" w:tplc="89863CD4">
      <w:numFmt w:val="decimal"/>
      <w:lvlText w:val=""/>
      <w:lvlJc w:val="left"/>
      <w:pPr>
        <w:ind w:left="0" w:firstLine="0"/>
      </w:pPr>
    </w:lvl>
    <w:lvl w:ilvl="2" w:tplc="1F0EC5A2">
      <w:numFmt w:val="decimal"/>
      <w:lvlText w:val=""/>
      <w:lvlJc w:val="left"/>
      <w:pPr>
        <w:ind w:left="0" w:firstLine="0"/>
      </w:pPr>
    </w:lvl>
    <w:lvl w:ilvl="3" w:tplc="532A0862">
      <w:numFmt w:val="decimal"/>
      <w:lvlText w:val=""/>
      <w:lvlJc w:val="left"/>
      <w:pPr>
        <w:ind w:left="0" w:firstLine="0"/>
      </w:pPr>
    </w:lvl>
    <w:lvl w:ilvl="4" w:tplc="0FB27F90">
      <w:numFmt w:val="decimal"/>
      <w:lvlText w:val=""/>
      <w:lvlJc w:val="left"/>
      <w:pPr>
        <w:ind w:left="0" w:firstLine="0"/>
      </w:pPr>
    </w:lvl>
    <w:lvl w:ilvl="5" w:tplc="358A3B82">
      <w:numFmt w:val="decimal"/>
      <w:lvlText w:val=""/>
      <w:lvlJc w:val="left"/>
      <w:pPr>
        <w:ind w:left="0" w:firstLine="0"/>
      </w:pPr>
    </w:lvl>
    <w:lvl w:ilvl="6" w:tplc="7E26EC66">
      <w:numFmt w:val="decimal"/>
      <w:lvlText w:val=""/>
      <w:lvlJc w:val="left"/>
      <w:pPr>
        <w:ind w:left="0" w:firstLine="0"/>
      </w:pPr>
    </w:lvl>
    <w:lvl w:ilvl="7" w:tplc="8648D950">
      <w:numFmt w:val="decimal"/>
      <w:lvlText w:val=""/>
      <w:lvlJc w:val="left"/>
      <w:pPr>
        <w:ind w:left="0" w:firstLine="0"/>
      </w:pPr>
    </w:lvl>
    <w:lvl w:ilvl="8" w:tplc="7936717C">
      <w:numFmt w:val="decimal"/>
      <w:lvlText w:val=""/>
      <w:lvlJc w:val="left"/>
      <w:pPr>
        <w:ind w:left="0" w:firstLine="0"/>
      </w:pPr>
    </w:lvl>
  </w:abstractNum>
  <w:num w:numId="1" w16cid:durableId="1879008534">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3410"/>
    <w:rsid w:val="00201DD1"/>
    <w:rsid w:val="00373410"/>
    <w:rsid w:val="00654551"/>
    <w:rsid w:val="007010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5179A7"/>
  <w15:chartTrackingRefBased/>
  <w15:docId w15:val="{B17CFA73-C88F-F749-9C23-80659D1CDE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3410"/>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3734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734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734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734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734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7341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7341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7341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7341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4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734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734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734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734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734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734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734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73410"/>
    <w:rPr>
      <w:rFonts w:eastAsiaTheme="majorEastAsia" w:cstheme="majorBidi"/>
      <w:color w:val="272727" w:themeColor="text1" w:themeTint="D8"/>
    </w:rPr>
  </w:style>
  <w:style w:type="paragraph" w:styleId="Title">
    <w:name w:val="Title"/>
    <w:basedOn w:val="Normal"/>
    <w:next w:val="Normal"/>
    <w:link w:val="TitleChar"/>
    <w:uiPriority w:val="10"/>
    <w:qFormat/>
    <w:rsid w:val="0037341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34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734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734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73410"/>
    <w:pPr>
      <w:spacing w:before="160"/>
      <w:jc w:val="center"/>
    </w:pPr>
    <w:rPr>
      <w:i/>
      <w:iCs/>
      <w:color w:val="404040" w:themeColor="text1" w:themeTint="BF"/>
    </w:rPr>
  </w:style>
  <w:style w:type="character" w:customStyle="1" w:styleId="QuoteChar">
    <w:name w:val="Quote Char"/>
    <w:basedOn w:val="DefaultParagraphFont"/>
    <w:link w:val="Quote"/>
    <w:uiPriority w:val="29"/>
    <w:rsid w:val="00373410"/>
    <w:rPr>
      <w:i/>
      <w:iCs/>
      <w:color w:val="404040" w:themeColor="text1" w:themeTint="BF"/>
    </w:rPr>
  </w:style>
  <w:style w:type="paragraph" w:styleId="ListParagraph">
    <w:name w:val="List Paragraph"/>
    <w:basedOn w:val="Normal"/>
    <w:qFormat/>
    <w:rsid w:val="00373410"/>
    <w:pPr>
      <w:ind w:left="720"/>
      <w:contextualSpacing/>
    </w:pPr>
  </w:style>
  <w:style w:type="character" w:styleId="IntenseEmphasis">
    <w:name w:val="Intense Emphasis"/>
    <w:basedOn w:val="DefaultParagraphFont"/>
    <w:uiPriority w:val="21"/>
    <w:qFormat/>
    <w:rsid w:val="00373410"/>
    <w:rPr>
      <w:i/>
      <w:iCs/>
      <w:color w:val="0F4761" w:themeColor="accent1" w:themeShade="BF"/>
    </w:rPr>
  </w:style>
  <w:style w:type="paragraph" w:styleId="IntenseQuote">
    <w:name w:val="Intense Quote"/>
    <w:basedOn w:val="Normal"/>
    <w:next w:val="Normal"/>
    <w:link w:val="IntenseQuoteChar"/>
    <w:uiPriority w:val="30"/>
    <w:qFormat/>
    <w:rsid w:val="003734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73410"/>
    <w:rPr>
      <w:i/>
      <w:iCs/>
      <w:color w:val="0F4761" w:themeColor="accent1" w:themeShade="BF"/>
    </w:rPr>
  </w:style>
  <w:style w:type="character" w:styleId="IntenseReference">
    <w:name w:val="Intense Reference"/>
    <w:basedOn w:val="DefaultParagraphFont"/>
    <w:uiPriority w:val="32"/>
    <w:qFormat/>
    <w:rsid w:val="00373410"/>
    <w:rPr>
      <w:b/>
      <w:bCs/>
      <w:smallCaps/>
      <w:color w:val="0F4761" w:themeColor="accent1" w:themeShade="BF"/>
      <w:spacing w:val="5"/>
    </w:rPr>
  </w:style>
  <w:style w:type="paragraph" w:styleId="Footer">
    <w:name w:val="footer"/>
    <w:basedOn w:val="Normal"/>
    <w:link w:val="FooterChar"/>
    <w:uiPriority w:val="99"/>
    <w:unhideWhenUsed/>
    <w:rsid w:val="00373410"/>
    <w:pPr>
      <w:tabs>
        <w:tab w:val="center" w:pos="4513"/>
        <w:tab w:val="right" w:pos="9026"/>
      </w:tabs>
    </w:pPr>
  </w:style>
  <w:style w:type="character" w:customStyle="1" w:styleId="FooterChar">
    <w:name w:val="Footer Char"/>
    <w:basedOn w:val="DefaultParagraphFont"/>
    <w:link w:val="Footer"/>
    <w:uiPriority w:val="99"/>
    <w:rsid w:val="00373410"/>
    <w:rPr>
      <w:rFonts w:ascii="Times New Roman" w:eastAsia="Times New Roman" w:hAnsi="Times New Roman" w:cs="Times New Roman"/>
      <w:kern w:val="0"/>
      <w:sz w:val="20"/>
      <w:szCs w:val="20"/>
      <w:lang w:eastAsia="en-GB"/>
      <w14:ligatures w14:val="none"/>
    </w:rPr>
  </w:style>
  <w:style w:type="character" w:styleId="PageNumber">
    <w:name w:val="page number"/>
    <w:basedOn w:val="DefaultParagraphFont"/>
    <w:uiPriority w:val="99"/>
    <w:semiHidden/>
    <w:unhideWhenUsed/>
    <w:rsid w:val="003734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8</TotalTime>
  <Pages>11</Pages>
  <Words>3503</Words>
  <Characters>19973</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Petrica Marin (2333794)</dc:creator>
  <cp:keywords/>
  <dc:description/>
  <cp:lastModifiedBy>Petrica Marin (2333794)</cp:lastModifiedBy>
  <cp:revision>1</cp:revision>
  <dcterms:created xsi:type="dcterms:W3CDTF">2026-07-11T19:42:00Z</dcterms:created>
  <dcterms:modified xsi:type="dcterms:W3CDTF">2026-07-11T19:54:00Z</dcterms:modified>
</cp:coreProperties>
</file>