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left"/>
        <w:rPr>
          <w:sz w:val="24"/>
          <w:szCs w:val="24"/>
        </w:rPr>
      </w:pPr>
      <w:r w:rsidDel="00000000" w:rsidR="00000000" w:rsidRPr="00000000">
        <w:rPr>
          <w:b w:val="1"/>
          <w:sz w:val="24"/>
          <w:szCs w:val="24"/>
          <w:rtl w:val="0"/>
        </w:rPr>
        <w:t xml:space="preserve">PESTLE Tool</w:t>
      </w:r>
      <w:r w:rsidDel="00000000" w:rsidR="00000000" w:rsidRPr="00000000">
        <w:rPr>
          <w:rtl w:val="0"/>
        </w:rPr>
      </w:r>
    </w:p>
    <w:p w:rsidR="00000000" w:rsidDel="00000000" w:rsidP="00000000" w:rsidRDefault="00000000" w:rsidRPr="00000000" w14:paraId="00000002">
      <w:pPr>
        <w:rPr>
          <w:sz w:val="24"/>
          <w:szCs w:val="24"/>
        </w:rPr>
      </w:pPr>
      <w:r w:rsidDel="00000000" w:rsidR="00000000" w:rsidRPr="00000000">
        <w:rPr>
          <w:rtl w:val="0"/>
        </w:rPr>
      </w:r>
    </w:p>
    <w:p w:rsidR="00000000" w:rsidDel="00000000" w:rsidP="00000000" w:rsidRDefault="00000000" w:rsidRPr="00000000" w14:paraId="00000003">
      <w:pPr>
        <w:rPr>
          <w:sz w:val="24"/>
          <w:szCs w:val="24"/>
        </w:rPr>
      </w:pPr>
      <w:r w:rsidDel="00000000" w:rsidR="00000000" w:rsidRPr="00000000">
        <w:rPr>
          <w:sz w:val="24"/>
          <w:szCs w:val="24"/>
          <w:rtl w:val="0"/>
        </w:rPr>
        <w:t xml:space="preserve">A PESTLE tool is used to analyse external factors that could impact an organisation. These include political, economical, sociological, technological, legal and environmental factors (Battista, 2024). Organisations can use this tool to support decision making and to plan for the future by identifying external pressures. The tool has since evolved to include an ‘E’, known as STEEPLE, to analyse ethical factors as well (Taylor and Perkins, 2021). </w:t>
      </w:r>
    </w:p>
    <w:p w:rsidR="00000000" w:rsidDel="00000000" w:rsidP="00000000" w:rsidRDefault="00000000" w:rsidRPr="00000000" w14:paraId="00000004">
      <w:pPr>
        <w:rPr>
          <w:sz w:val="24"/>
          <w:szCs w:val="24"/>
        </w:rPr>
      </w:pPr>
      <w:r w:rsidDel="00000000" w:rsidR="00000000" w:rsidRPr="00000000">
        <w:rPr>
          <w:rtl w:val="0"/>
        </w:rPr>
      </w:r>
    </w:p>
    <w:p w:rsidR="00000000" w:rsidDel="00000000" w:rsidP="00000000" w:rsidRDefault="00000000" w:rsidRPr="00000000" w14:paraId="00000005">
      <w:pPr>
        <w:rPr>
          <w:sz w:val="24"/>
          <w:szCs w:val="24"/>
        </w:rPr>
      </w:pPr>
      <w:r w:rsidDel="00000000" w:rsidR="00000000" w:rsidRPr="00000000">
        <w:rPr>
          <w:sz w:val="24"/>
          <w:szCs w:val="24"/>
          <w:rtl w:val="0"/>
        </w:rPr>
        <w:t xml:space="preserve">This infographic will demonstrate the use of the PESTLE tool to analyse the technological and political factors impacting Bridgend College. </w:t>
      </w:r>
    </w:p>
    <w:p w:rsidR="00000000" w:rsidDel="00000000" w:rsidP="00000000" w:rsidRDefault="00000000" w:rsidRPr="00000000" w14:paraId="00000006">
      <w:pPr>
        <w:rPr>
          <w:sz w:val="24"/>
          <w:szCs w:val="24"/>
        </w:rPr>
      </w:pPr>
      <w:r w:rsidDel="00000000" w:rsidR="00000000" w:rsidRPr="00000000">
        <w:rPr>
          <w:rtl w:val="0"/>
        </w:rPr>
      </w:r>
    </w:p>
    <w:p w:rsidR="00000000" w:rsidDel="00000000" w:rsidP="00000000" w:rsidRDefault="00000000" w:rsidRPr="00000000" w14:paraId="00000007">
      <w:pPr>
        <w:rPr>
          <w:color w:val="4a86e8"/>
          <w:sz w:val="24"/>
          <w:szCs w:val="24"/>
        </w:rPr>
      </w:pPr>
      <w:r w:rsidDel="00000000" w:rsidR="00000000" w:rsidRPr="00000000">
        <w:rPr>
          <w:b w:val="1"/>
          <w:sz w:val="24"/>
          <w:szCs w:val="24"/>
          <w:rtl w:val="0"/>
        </w:rPr>
        <w:t xml:space="preserve">Technological Factors</w:t>
      </w:r>
      <w:r w:rsidDel="00000000" w:rsidR="00000000" w:rsidRPr="00000000">
        <w:rPr>
          <w:color w:val="4a86e8"/>
          <w:sz w:val="24"/>
          <w:szCs w:val="24"/>
          <w:rtl w:val="0"/>
        </w:rPr>
        <w:t xml:space="preserve"> </w:t>
      </w:r>
    </w:p>
    <w:p w:rsidR="00000000" w:rsidDel="00000000" w:rsidP="00000000" w:rsidRDefault="00000000" w:rsidRPr="00000000" w14:paraId="00000008">
      <w:pPr>
        <w:ind w:left="0" w:firstLine="0"/>
        <w:rPr>
          <w:sz w:val="24"/>
          <w:szCs w:val="24"/>
        </w:rPr>
      </w:pPr>
      <w:r w:rsidDel="00000000" w:rsidR="00000000" w:rsidRPr="00000000">
        <w:rPr>
          <w:rtl w:val="0"/>
        </w:rPr>
      </w:r>
    </w:p>
    <w:p w:rsidR="00000000" w:rsidDel="00000000" w:rsidP="00000000" w:rsidRDefault="00000000" w:rsidRPr="00000000" w14:paraId="00000009">
      <w:pPr>
        <w:ind w:left="0" w:firstLine="0"/>
        <w:rPr>
          <w:sz w:val="24"/>
          <w:szCs w:val="24"/>
        </w:rPr>
      </w:pPr>
      <w:r w:rsidDel="00000000" w:rsidR="00000000" w:rsidRPr="00000000">
        <w:rPr>
          <w:sz w:val="24"/>
          <w:szCs w:val="24"/>
          <w:rtl w:val="0"/>
        </w:rPr>
        <w:t xml:space="preserve">Since the Covid-19 pandemic the use of digital technologies has evolved at a fast pace. The pandemic has accelerated the use of digital technologies for teaching and learning (Timotheou et al, 2023). </w:t>
      </w:r>
    </w:p>
    <w:p w:rsidR="00000000" w:rsidDel="00000000" w:rsidP="00000000" w:rsidRDefault="00000000" w:rsidRPr="00000000" w14:paraId="0000000A">
      <w:pPr>
        <w:ind w:left="0" w:firstLine="0"/>
        <w:rPr>
          <w:sz w:val="24"/>
          <w:szCs w:val="24"/>
        </w:rPr>
      </w:pPr>
      <w:r w:rsidDel="00000000" w:rsidR="00000000" w:rsidRPr="00000000">
        <w:rPr>
          <w:rtl w:val="0"/>
        </w:rPr>
      </w:r>
    </w:p>
    <w:p w:rsidR="00000000" w:rsidDel="00000000" w:rsidP="00000000" w:rsidRDefault="00000000" w:rsidRPr="00000000" w14:paraId="0000000B">
      <w:pPr>
        <w:ind w:left="0" w:firstLine="0"/>
        <w:rPr>
          <w:sz w:val="24"/>
          <w:szCs w:val="24"/>
        </w:rPr>
      </w:pPr>
      <w:r w:rsidDel="00000000" w:rsidR="00000000" w:rsidRPr="00000000">
        <w:rPr>
          <w:sz w:val="24"/>
          <w:szCs w:val="24"/>
          <w:rtl w:val="0"/>
        </w:rPr>
        <w:t xml:space="preserve">New tools and technologies such as generative artificial intelligence (AI) and mobile learning are creating an enhanced learning environment for learners. As Bridgend College is an educational institution in the Further Education (FE) sector, it has had to embrace these digital technologies quite quickly (Jisc, 2023). Bridgend College has developed an effective and ethical guide to AI to include what AI can be used for and what falls under learner malpractice (Bridgend College, 2024). </w:t>
      </w:r>
      <w:r w:rsidDel="00000000" w:rsidR="00000000" w:rsidRPr="00000000">
        <w:rPr>
          <w:sz w:val="24"/>
          <w:szCs w:val="24"/>
          <w:rtl w:val="0"/>
        </w:rPr>
        <w:t xml:space="preserve">Teaching staff need to be aware of the possibilities and the challenges associated with AI, which might create an upskilling need for some staff. This could impact on the workload of the HR and Learning and Development team (Jackson, 2024). </w:t>
      </w:r>
    </w:p>
    <w:p w:rsidR="00000000" w:rsidDel="00000000" w:rsidP="00000000" w:rsidRDefault="00000000" w:rsidRPr="00000000" w14:paraId="0000000C">
      <w:pPr>
        <w:ind w:left="0" w:firstLine="0"/>
        <w:rPr>
          <w:sz w:val="24"/>
          <w:szCs w:val="24"/>
        </w:rPr>
      </w:pPr>
      <w:r w:rsidDel="00000000" w:rsidR="00000000" w:rsidRPr="00000000">
        <w:rPr>
          <w:rtl w:val="0"/>
        </w:rPr>
      </w:r>
    </w:p>
    <w:p w:rsidR="00000000" w:rsidDel="00000000" w:rsidP="00000000" w:rsidRDefault="00000000" w:rsidRPr="00000000" w14:paraId="0000000D">
      <w:pPr>
        <w:rPr>
          <w:sz w:val="24"/>
          <w:szCs w:val="24"/>
        </w:rPr>
      </w:pPr>
      <w:r w:rsidDel="00000000" w:rsidR="00000000" w:rsidRPr="00000000">
        <w:rPr>
          <w:sz w:val="24"/>
          <w:szCs w:val="24"/>
          <w:rtl w:val="0"/>
        </w:rPr>
        <w:t xml:space="preserve">Workload remains to be a concern in the FE sector, with a Workforce Survey (EWC, 2023) finding that full time (37</w:t>
      </w:r>
      <w:r w:rsidDel="00000000" w:rsidR="00000000" w:rsidRPr="00000000">
        <w:rPr>
          <w:sz w:val="24"/>
          <w:szCs w:val="24"/>
          <w:rtl w:val="0"/>
        </w:rPr>
        <w:t xml:space="preserve"> hours per week) full time FE Lecturers worked on average 49 hours per week. It has also been raised as a concern by some in the Bridgend College internal ‘just checking in’ October 2024 survey. </w:t>
      </w:r>
      <w:r w:rsidDel="00000000" w:rsidR="00000000" w:rsidRPr="00000000">
        <w:rPr>
          <w:sz w:val="24"/>
          <w:szCs w:val="24"/>
          <w:rtl w:val="0"/>
        </w:rPr>
        <w:t xml:space="preserve">AI could help with reducing workload by supporting the creation of schemes of work or quizzes (Felix and Webb, 2024; Albadarin et al, 2024). However, as these should test learner knowledge and understanding, checking the accuracy of the information is still required (National Educational Union, 2024; Loos, Gröpler and </w:t>
      </w:r>
      <w:r w:rsidDel="00000000" w:rsidR="00000000" w:rsidRPr="00000000">
        <w:rPr>
          <w:sz w:val="24"/>
          <w:szCs w:val="24"/>
          <w:highlight w:val="white"/>
          <w:rtl w:val="0"/>
        </w:rPr>
        <w:t xml:space="preserve">Goudeau, 2023</w:t>
      </w:r>
      <w:r w:rsidDel="00000000" w:rsidR="00000000" w:rsidRPr="00000000">
        <w:rPr>
          <w:sz w:val="24"/>
          <w:szCs w:val="24"/>
          <w:rtl w:val="0"/>
        </w:rPr>
        <w:t xml:space="preserve">). It is recommended that a combination of AI and human approach is required to review and provide the best possible outputs (Biswas, Dobaria and Cohen, 2023). </w:t>
      </w:r>
    </w:p>
    <w:p w:rsidR="00000000" w:rsidDel="00000000" w:rsidP="00000000" w:rsidRDefault="00000000" w:rsidRPr="00000000" w14:paraId="0000000E">
      <w:pPr>
        <w:rPr>
          <w:color w:val="9900ff"/>
          <w:sz w:val="24"/>
          <w:szCs w:val="24"/>
        </w:rPr>
      </w:pPr>
      <w:r w:rsidDel="00000000" w:rsidR="00000000" w:rsidRPr="00000000">
        <w:rPr>
          <w:rtl w:val="0"/>
        </w:rPr>
      </w:r>
    </w:p>
    <w:p w:rsidR="00000000" w:rsidDel="00000000" w:rsidP="00000000" w:rsidRDefault="00000000" w:rsidRPr="00000000" w14:paraId="0000000F">
      <w:pPr>
        <w:rPr>
          <w:sz w:val="24"/>
          <w:szCs w:val="24"/>
        </w:rPr>
      </w:pPr>
      <w:r w:rsidDel="00000000" w:rsidR="00000000" w:rsidRPr="00000000">
        <w:rPr>
          <w:sz w:val="24"/>
          <w:szCs w:val="24"/>
          <w:rtl w:val="0"/>
        </w:rPr>
        <w:t xml:space="preserve">Overall the development of digital technologies could be argued to have a positive impact with removing barriers to learning and creating a more collaborative learning environment for learners (Pearce, 2024; Albadarin et al, 2024). However, as almost half of Bridgend College learners live in areas classified as ‘most deprived’ (Buckley, 2024; Morgan, 2024), many learners could not have access to suitable devices, which is seen to be an issue across the FE sector (Jisc data analytics, 2024). Learners might also be at a disadvantage if newer versions of AI become available that require a fee (Webb, 2023). </w:t>
      </w:r>
    </w:p>
    <w:p w:rsidR="00000000" w:rsidDel="00000000" w:rsidP="00000000" w:rsidRDefault="00000000" w:rsidRPr="00000000" w14:paraId="00000010">
      <w:pPr>
        <w:rPr>
          <w:sz w:val="24"/>
          <w:szCs w:val="24"/>
        </w:rPr>
      </w:pPr>
      <w:r w:rsidDel="00000000" w:rsidR="00000000" w:rsidRPr="00000000">
        <w:rPr>
          <w:rtl w:val="0"/>
        </w:rPr>
      </w:r>
    </w:p>
    <w:p w:rsidR="00000000" w:rsidDel="00000000" w:rsidP="00000000" w:rsidRDefault="00000000" w:rsidRPr="00000000" w14:paraId="00000011">
      <w:pPr>
        <w:rPr>
          <w:sz w:val="24"/>
          <w:szCs w:val="24"/>
        </w:rPr>
      </w:pPr>
      <w:r w:rsidDel="00000000" w:rsidR="00000000" w:rsidRPr="00000000">
        <w:rPr>
          <w:sz w:val="24"/>
          <w:szCs w:val="24"/>
          <w:rtl w:val="0"/>
        </w:rPr>
        <w:t xml:space="preserve">Bridgend College needs to adapt with the developing technologies, to ensure that staff can provide a learning environment to enable students to be all that they can be.</w:t>
      </w:r>
    </w:p>
    <w:p w:rsidR="00000000" w:rsidDel="00000000" w:rsidP="00000000" w:rsidRDefault="00000000" w:rsidRPr="00000000" w14:paraId="00000012">
      <w:pPr>
        <w:rPr>
          <w:color w:val="9900ff"/>
          <w:sz w:val="24"/>
          <w:szCs w:val="24"/>
          <w:highlight w:val="white"/>
        </w:rPr>
      </w:pPr>
      <w:r w:rsidDel="00000000" w:rsidR="00000000" w:rsidRPr="00000000">
        <w:rPr>
          <w:rtl w:val="0"/>
        </w:rPr>
      </w:r>
    </w:p>
    <w:p w:rsidR="00000000" w:rsidDel="00000000" w:rsidP="00000000" w:rsidRDefault="00000000" w:rsidRPr="00000000" w14:paraId="00000013">
      <w:pPr>
        <w:rPr>
          <w:color w:val="4a86e8"/>
          <w:sz w:val="24"/>
          <w:szCs w:val="24"/>
        </w:rPr>
      </w:pPr>
      <w:r w:rsidDel="00000000" w:rsidR="00000000" w:rsidRPr="00000000">
        <w:rPr>
          <w:b w:val="1"/>
          <w:sz w:val="24"/>
          <w:szCs w:val="24"/>
          <w:rtl w:val="0"/>
        </w:rPr>
        <w:t xml:space="preserve">Political factors </w:t>
      </w:r>
      <w:r w:rsidDel="00000000" w:rsidR="00000000" w:rsidRPr="00000000">
        <w:rPr>
          <w:rtl w:val="0"/>
        </w:rPr>
      </w:r>
    </w:p>
    <w:p w:rsidR="00000000" w:rsidDel="00000000" w:rsidP="00000000" w:rsidRDefault="00000000" w:rsidRPr="00000000" w14:paraId="00000014">
      <w:pPr>
        <w:rPr>
          <w:sz w:val="24"/>
          <w:szCs w:val="24"/>
        </w:rPr>
      </w:pPr>
      <w:r w:rsidDel="00000000" w:rsidR="00000000" w:rsidRPr="00000000">
        <w:rPr>
          <w:rtl w:val="0"/>
        </w:rPr>
      </w:r>
    </w:p>
    <w:p w:rsidR="00000000" w:rsidDel="00000000" w:rsidP="00000000" w:rsidRDefault="00000000" w:rsidRPr="00000000" w14:paraId="00000015">
      <w:pPr>
        <w:rPr>
          <w:sz w:val="24"/>
          <w:szCs w:val="24"/>
        </w:rPr>
      </w:pPr>
      <w:r w:rsidDel="00000000" w:rsidR="00000000" w:rsidRPr="00000000">
        <w:rPr>
          <w:sz w:val="24"/>
          <w:szCs w:val="24"/>
          <w:rtl w:val="0"/>
        </w:rPr>
        <w:t xml:space="preserve">A significant amount of employment law is established through regulations legislated under Acts of Parliament (Taylor and Perkins, 2021). The UK Labour Government has recently announced their Employment Rights Bill as a part of their ‘Make Work Pay’ plan. These proposed changes include removal of the qualifying period of service for various rights including unfair dismissal, the right to statutory sick pay on day one of absence, and the introduction of the ‘right to switch off’ through a code of practice (CIPD, 2024). </w:t>
      </w:r>
    </w:p>
    <w:p w:rsidR="00000000" w:rsidDel="00000000" w:rsidP="00000000" w:rsidRDefault="00000000" w:rsidRPr="00000000" w14:paraId="00000016">
      <w:pPr>
        <w:rPr>
          <w:sz w:val="24"/>
          <w:szCs w:val="24"/>
        </w:rPr>
      </w:pPr>
      <w:r w:rsidDel="00000000" w:rsidR="00000000" w:rsidRPr="00000000">
        <w:rPr>
          <w:rtl w:val="0"/>
        </w:rPr>
      </w:r>
    </w:p>
    <w:p w:rsidR="00000000" w:rsidDel="00000000" w:rsidP="00000000" w:rsidRDefault="00000000" w:rsidRPr="00000000" w14:paraId="00000017">
      <w:pPr>
        <w:rPr>
          <w:sz w:val="24"/>
          <w:szCs w:val="24"/>
        </w:rPr>
      </w:pPr>
      <w:r w:rsidDel="00000000" w:rsidR="00000000" w:rsidRPr="00000000">
        <w:rPr>
          <w:sz w:val="24"/>
          <w:szCs w:val="24"/>
          <w:rtl w:val="0"/>
        </w:rPr>
        <w:t xml:space="preserve">The right to claim for unfair dismissal from day one will end the current two-year qualifying period (Acas, 2024) which was introduced by the Coalition Government in 2012. The Government at the time claimed that the two-year rule would save employers £6 million from unfair dismissal claims (Ewing and Hendy, 2012), however this didn’t include the right to claim for automatically unfair dismissal. Automatically unfair dismissal includes dismissal for reasons such as pregnancy (Collins, 2022). The new Labour Government’s intent is to strengthen employment rights (UK Government, 2024), suggesting a shift in focus, as Collins (2022) argues that unfair dismissal law currently favours employers.  </w:t>
      </w:r>
    </w:p>
    <w:p w:rsidR="00000000" w:rsidDel="00000000" w:rsidP="00000000" w:rsidRDefault="00000000" w:rsidRPr="00000000" w14:paraId="00000018">
      <w:pPr>
        <w:rPr>
          <w:sz w:val="24"/>
          <w:szCs w:val="24"/>
        </w:rPr>
      </w:pPr>
      <w:r w:rsidDel="00000000" w:rsidR="00000000" w:rsidRPr="00000000">
        <w:rPr>
          <w:rtl w:val="0"/>
        </w:rPr>
      </w:r>
    </w:p>
    <w:p w:rsidR="00000000" w:rsidDel="00000000" w:rsidP="00000000" w:rsidRDefault="00000000" w:rsidRPr="00000000" w14:paraId="00000019">
      <w:pPr>
        <w:rPr>
          <w:sz w:val="24"/>
          <w:szCs w:val="24"/>
        </w:rPr>
      </w:pPr>
      <w:r w:rsidDel="00000000" w:rsidR="00000000" w:rsidRPr="00000000">
        <w:rPr>
          <w:sz w:val="24"/>
          <w:szCs w:val="24"/>
          <w:rtl w:val="0"/>
        </w:rPr>
        <w:t xml:space="preserve">The Labour Government also proposes to introduce statutory nine month probationary periods (CIPD, 2024) to be able to assess the suitability of the new starter for the role and where a ‘lighter touch’ process to fairly dismiss someone will apply (UK Government, 2024). Further detail on this process is required. This new statutory probationary period will impact management and business support staff which currently have six months probationary periods in the nationally agreed contracts in Wales. </w:t>
      </w:r>
    </w:p>
    <w:p w:rsidR="00000000" w:rsidDel="00000000" w:rsidP="00000000" w:rsidRDefault="00000000" w:rsidRPr="00000000" w14:paraId="0000001A">
      <w:pPr>
        <w:rPr>
          <w:sz w:val="24"/>
          <w:szCs w:val="24"/>
        </w:rPr>
      </w:pPr>
      <w:r w:rsidDel="00000000" w:rsidR="00000000" w:rsidRPr="00000000">
        <w:rPr>
          <w:rtl w:val="0"/>
        </w:rPr>
      </w:r>
    </w:p>
    <w:p w:rsidR="00000000" w:rsidDel="00000000" w:rsidP="00000000" w:rsidRDefault="00000000" w:rsidRPr="00000000" w14:paraId="0000001B">
      <w:pPr>
        <w:rPr>
          <w:sz w:val="24"/>
          <w:szCs w:val="24"/>
        </w:rPr>
      </w:pPr>
      <w:r w:rsidDel="00000000" w:rsidR="00000000" w:rsidRPr="00000000">
        <w:rPr>
          <w:sz w:val="24"/>
          <w:szCs w:val="24"/>
          <w:rtl w:val="0"/>
        </w:rPr>
        <w:t xml:space="preserve">The introduction of the day one right will impact the way that people managers at Bridgend College handle probationary periods, with them needing to provide significant more evidence of concerns during this period and what they have done to address this. This should also include the support provided to the new starter during a comprehensive induction period (Crossland, 2024). This won’t be coming into force until 2026 if it is passed (UK Government, 2024), however, it will impact the training and development that is needed for people managers in preparation for this change. It could be argued that it will also impact the level of HR support that people managers would need to keep them on top of the management of new employees. </w:t>
      </w:r>
    </w:p>
    <w:p w:rsidR="00000000" w:rsidDel="00000000" w:rsidP="00000000" w:rsidRDefault="00000000" w:rsidRPr="00000000" w14:paraId="0000001C">
      <w:pPr>
        <w:rPr>
          <w:sz w:val="24"/>
          <w:szCs w:val="24"/>
        </w:rPr>
      </w:pPr>
      <w:r w:rsidDel="00000000" w:rsidR="00000000" w:rsidRPr="00000000">
        <w:rPr>
          <w:rtl w:val="0"/>
        </w:rPr>
      </w:r>
    </w:p>
    <w:p w:rsidR="00000000" w:rsidDel="00000000" w:rsidP="00000000" w:rsidRDefault="00000000" w:rsidRPr="00000000" w14:paraId="0000001D">
      <w:pPr>
        <w:rPr>
          <w:sz w:val="24"/>
          <w:szCs w:val="24"/>
        </w:rPr>
      </w:pPr>
      <w:r w:rsidDel="00000000" w:rsidR="00000000" w:rsidRPr="00000000">
        <w:rPr>
          <w:sz w:val="24"/>
          <w:szCs w:val="24"/>
          <w:rtl w:val="0"/>
        </w:rPr>
        <w:t xml:space="preserve">The compensation available for successful unfair dismissal claims includes a basic award, calculated by a formula, and a compensatory award (Citizens Advice, 2021). An Employment Tribunal ordered Jaguar Land Rover to pay £147,000 to a former employee for unfair dismissal and discrimination (Downes, 2023) which shows the extent of the compensation that could be awarded if someone is not fairly dismissed. </w:t>
      </w:r>
    </w:p>
    <w:p w:rsidR="00000000" w:rsidDel="00000000" w:rsidP="00000000" w:rsidRDefault="00000000" w:rsidRPr="00000000" w14:paraId="0000001E">
      <w:pPr>
        <w:rPr>
          <w:sz w:val="24"/>
          <w:szCs w:val="24"/>
        </w:rPr>
      </w:pPr>
      <w:r w:rsidDel="00000000" w:rsidR="00000000" w:rsidRPr="00000000">
        <w:rPr>
          <w:rtl w:val="0"/>
        </w:rPr>
      </w:r>
    </w:p>
    <w:p w:rsidR="00000000" w:rsidDel="00000000" w:rsidP="00000000" w:rsidRDefault="00000000" w:rsidRPr="00000000" w14:paraId="0000001F">
      <w:pPr>
        <w:rPr>
          <w:color w:val="202020"/>
          <w:sz w:val="24"/>
          <w:szCs w:val="24"/>
          <w:highlight w:val="white"/>
        </w:rPr>
      </w:pPr>
      <w:r w:rsidDel="00000000" w:rsidR="00000000" w:rsidRPr="00000000">
        <w:rPr>
          <w:sz w:val="24"/>
          <w:szCs w:val="24"/>
          <w:rtl w:val="0"/>
        </w:rPr>
        <w:t xml:space="preserve">T</w:t>
      </w:r>
      <w:r w:rsidDel="00000000" w:rsidR="00000000" w:rsidRPr="00000000">
        <w:rPr>
          <w:sz w:val="24"/>
          <w:szCs w:val="24"/>
          <w:rtl w:val="0"/>
        </w:rPr>
        <w:t xml:space="preserve">he day one right might impact people managers' hiring decisions, as they might make them more cautious of hiring the wrong people (PM Editorial, 2024), which reinforces the importance of hiring the most suitable candidate aligned to the organisation’s values. </w:t>
      </w:r>
      <w:r w:rsidDel="00000000" w:rsidR="00000000" w:rsidRPr="00000000">
        <w:rPr>
          <w:rtl w:val="0"/>
        </w:rPr>
      </w:r>
    </w:p>
    <w:p w:rsidR="00000000" w:rsidDel="00000000" w:rsidP="00000000" w:rsidRDefault="00000000" w:rsidRPr="00000000" w14:paraId="00000020">
      <w:pPr>
        <w:rPr>
          <w:color w:val="9900ff"/>
          <w:sz w:val="24"/>
          <w:szCs w:val="24"/>
          <w:highlight w:val="white"/>
        </w:rPr>
      </w:pPr>
      <w:r w:rsidDel="00000000" w:rsidR="00000000" w:rsidRPr="00000000">
        <w:rPr>
          <w:rtl w:val="0"/>
        </w:rPr>
      </w:r>
    </w:p>
    <w:p w:rsidR="00000000" w:rsidDel="00000000" w:rsidP="00000000" w:rsidRDefault="00000000" w:rsidRPr="00000000" w14:paraId="00000021">
      <w:pPr>
        <w:rPr>
          <w:color w:val="9900ff"/>
          <w:sz w:val="24"/>
          <w:szCs w:val="24"/>
          <w:highlight w:val="white"/>
        </w:rPr>
      </w:pPr>
      <w:r w:rsidDel="00000000" w:rsidR="00000000" w:rsidRPr="00000000">
        <w:rPr>
          <w:sz w:val="24"/>
          <w:szCs w:val="24"/>
          <w:highlight w:val="white"/>
          <w:rtl w:val="0"/>
        </w:rPr>
        <w:t xml:space="preserve">If you would like further information, please get in touch with the HR team on ext 660.</w:t>
      </w:r>
      <w:r w:rsidDel="00000000" w:rsidR="00000000" w:rsidRPr="00000000">
        <w:rPr>
          <w:rtl w:val="0"/>
        </w:rPr>
      </w:r>
    </w:p>
    <w:p w:rsidR="00000000" w:rsidDel="00000000" w:rsidP="00000000" w:rsidRDefault="00000000" w:rsidRPr="00000000" w14:paraId="00000022">
      <w:pPr>
        <w:rPr>
          <w:b w:val="1"/>
          <w:color w:val="202020"/>
          <w:sz w:val="24"/>
          <w:szCs w:val="24"/>
        </w:rPr>
      </w:pPr>
      <w:r w:rsidDel="00000000" w:rsidR="00000000" w:rsidRPr="00000000">
        <w:rPr>
          <w:rtl w:val="0"/>
        </w:rPr>
      </w:r>
    </w:p>
    <w:p w:rsidR="00000000" w:rsidDel="00000000" w:rsidP="00000000" w:rsidRDefault="00000000" w:rsidRPr="00000000" w14:paraId="00000023">
      <w:pPr>
        <w:rPr>
          <w:b w:val="1"/>
          <w:color w:val="202020"/>
          <w:sz w:val="24"/>
          <w:szCs w:val="24"/>
        </w:rPr>
      </w:pPr>
      <w:r w:rsidDel="00000000" w:rsidR="00000000" w:rsidRPr="00000000">
        <w:rPr>
          <w:b w:val="1"/>
          <w:color w:val="202020"/>
          <w:sz w:val="24"/>
          <w:szCs w:val="24"/>
          <w:rtl w:val="0"/>
        </w:rPr>
        <w:t xml:space="preserve">Word count: 1,002 words</w:t>
      </w:r>
    </w:p>
    <w:p w:rsidR="00000000" w:rsidDel="00000000" w:rsidP="00000000" w:rsidRDefault="00000000" w:rsidRPr="00000000" w14:paraId="00000024">
      <w:pPr>
        <w:rPr>
          <w:b w:val="1"/>
          <w:color w:val="202020"/>
          <w:sz w:val="24"/>
          <w:szCs w:val="24"/>
          <w:highlight w:val="white"/>
        </w:rPr>
      </w:pPr>
      <w:r w:rsidDel="00000000" w:rsidR="00000000" w:rsidRPr="00000000">
        <w:rPr>
          <w:rtl w:val="0"/>
        </w:rPr>
      </w:r>
    </w:p>
    <w:p w:rsidR="00000000" w:rsidDel="00000000" w:rsidP="00000000" w:rsidRDefault="00000000" w:rsidRPr="00000000" w14:paraId="00000025">
      <w:pPr>
        <w:rPr>
          <w:b w:val="1"/>
          <w:color w:val="202020"/>
          <w:sz w:val="24"/>
          <w:szCs w:val="24"/>
          <w:highlight w:val="white"/>
        </w:rPr>
      </w:pPr>
      <w:r w:rsidDel="00000000" w:rsidR="00000000" w:rsidRPr="00000000">
        <w:rPr>
          <w:rtl w:val="0"/>
        </w:rPr>
      </w:r>
    </w:p>
    <w:p w:rsidR="00000000" w:rsidDel="00000000" w:rsidP="00000000" w:rsidRDefault="00000000" w:rsidRPr="00000000" w14:paraId="00000026">
      <w:pPr>
        <w:rPr>
          <w:b w:val="1"/>
          <w:color w:val="202020"/>
          <w:sz w:val="24"/>
          <w:szCs w:val="24"/>
          <w:highlight w:val="white"/>
        </w:rPr>
      </w:pPr>
      <w:r w:rsidDel="00000000" w:rsidR="00000000" w:rsidRPr="00000000">
        <w:rPr>
          <w:rtl w:val="0"/>
        </w:rPr>
      </w:r>
    </w:p>
    <w:p w:rsidR="00000000" w:rsidDel="00000000" w:rsidP="00000000" w:rsidRDefault="00000000" w:rsidRPr="00000000" w14:paraId="00000027">
      <w:pPr>
        <w:rPr>
          <w:b w:val="1"/>
          <w:color w:val="202020"/>
          <w:sz w:val="24"/>
          <w:szCs w:val="24"/>
          <w:highlight w:val="white"/>
        </w:rPr>
      </w:pPr>
      <w:r w:rsidDel="00000000" w:rsidR="00000000" w:rsidRPr="00000000">
        <w:rPr>
          <w:rtl w:val="0"/>
        </w:rPr>
      </w:r>
    </w:p>
    <w:p w:rsidR="00000000" w:rsidDel="00000000" w:rsidP="00000000" w:rsidRDefault="00000000" w:rsidRPr="00000000" w14:paraId="00000028">
      <w:pPr>
        <w:rPr>
          <w:b w:val="1"/>
          <w:color w:val="202020"/>
          <w:sz w:val="24"/>
          <w:szCs w:val="24"/>
          <w:highlight w:val="white"/>
        </w:rPr>
      </w:pPr>
      <w:r w:rsidDel="00000000" w:rsidR="00000000" w:rsidRPr="00000000">
        <w:rPr>
          <w:rtl w:val="0"/>
        </w:rPr>
      </w:r>
    </w:p>
    <w:p w:rsidR="00000000" w:rsidDel="00000000" w:rsidP="00000000" w:rsidRDefault="00000000" w:rsidRPr="00000000" w14:paraId="00000029">
      <w:pPr>
        <w:rPr>
          <w:b w:val="1"/>
          <w:color w:val="202020"/>
          <w:sz w:val="24"/>
          <w:szCs w:val="24"/>
          <w:highlight w:val="white"/>
        </w:rPr>
      </w:pPr>
      <w:r w:rsidDel="00000000" w:rsidR="00000000" w:rsidRPr="00000000">
        <w:rPr>
          <w:rtl w:val="0"/>
        </w:rPr>
      </w:r>
    </w:p>
    <w:p w:rsidR="00000000" w:rsidDel="00000000" w:rsidP="00000000" w:rsidRDefault="00000000" w:rsidRPr="00000000" w14:paraId="0000002A">
      <w:pPr>
        <w:rPr>
          <w:b w:val="1"/>
          <w:color w:val="202020"/>
          <w:sz w:val="24"/>
          <w:szCs w:val="24"/>
          <w:highlight w:val="white"/>
        </w:rPr>
      </w:pPr>
      <w:r w:rsidDel="00000000" w:rsidR="00000000" w:rsidRPr="00000000">
        <w:rPr>
          <w:rtl w:val="0"/>
        </w:rPr>
      </w:r>
    </w:p>
    <w:p w:rsidR="00000000" w:rsidDel="00000000" w:rsidP="00000000" w:rsidRDefault="00000000" w:rsidRPr="00000000" w14:paraId="0000002B">
      <w:pPr>
        <w:rPr>
          <w:b w:val="1"/>
          <w:color w:val="202020"/>
          <w:sz w:val="24"/>
          <w:szCs w:val="24"/>
          <w:highlight w:val="white"/>
        </w:rPr>
      </w:pPr>
      <w:r w:rsidDel="00000000" w:rsidR="00000000" w:rsidRPr="00000000">
        <w:rPr>
          <w:rtl w:val="0"/>
        </w:rPr>
      </w:r>
    </w:p>
    <w:p w:rsidR="00000000" w:rsidDel="00000000" w:rsidP="00000000" w:rsidRDefault="00000000" w:rsidRPr="00000000" w14:paraId="0000002C">
      <w:pPr>
        <w:rPr>
          <w:b w:val="1"/>
          <w:color w:val="202020"/>
          <w:sz w:val="24"/>
          <w:szCs w:val="24"/>
          <w:highlight w:val="white"/>
        </w:rPr>
      </w:pPr>
      <w:r w:rsidDel="00000000" w:rsidR="00000000" w:rsidRPr="00000000">
        <w:rPr>
          <w:rtl w:val="0"/>
        </w:rPr>
      </w:r>
    </w:p>
    <w:p w:rsidR="00000000" w:rsidDel="00000000" w:rsidP="00000000" w:rsidRDefault="00000000" w:rsidRPr="00000000" w14:paraId="0000002D">
      <w:pPr>
        <w:rPr>
          <w:b w:val="1"/>
          <w:color w:val="202020"/>
          <w:sz w:val="24"/>
          <w:szCs w:val="24"/>
          <w:highlight w:val="white"/>
        </w:rPr>
      </w:pPr>
      <w:r w:rsidDel="00000000" w:rsidR="00000000" w:rsidRPr="00000000">
        <w:rPr>
          <w:rtl w:val="0"/>
        </w:rPr>
      </w:r>
    </w:p>
    <w:p w:rsidR="00000000" w:rsidDel="00000000" w:rsidP="00000000" w:rsidRDefault="00000000" w:rsidRPr="00000000" w14:paraId="0000002E">
      <w:pPr>
        <w:rPr>
          <w:b w:val="1"/>
          <w:color w:val="202020"/>
          <w:sz w:val="24"/>
          <w:szCs w:val="24"/>
          <w:highlight w:val="white"/>
        </w:rPr>
      </w:pPr>
      <w:r w:rsidDel="00000000" w:rsidR="00000000" w:rsidRPr="00000000">
        <w:rPr>
          <w:rtl w:val="0"/>
        </w:rPr>
      </w:r>
    </w:p>
    <w:p w:rsidR="00000000" w:rsidDel="00000000" w:rsidP="00000000" w:rsidRDefault="00000000" w:rsidRPr="00000000" w14:paraId="0000002F">
      <w:pPr>
        <w:rPr>
          <w:b w:val="1"/>
          <w:color w:val="202020"/>
          <w:sz w:val="24"/>
          <w:szCs w:val="24"/>
          <w:highlight w:val="white"/>
        </w:rPr>
      </w:pPr>
      <w:r w:rsidDel="00000000" w:rsidR="00000000" w:rsidRPr="00000000">
        <w:rPr>
          <w:rtl w:val="0"/>
        </w:rPr>
      </w:r>
    </w:p>
    <w:p w:rsidR="00000000" w:rsidDel="00000000" w:rsidP="00000000" w:rsidRDefault="00000000" w:rsidRPr="00000000" w14:paraId="00000030">
      <w:pPr>
        <w:rPr>
          <w:b w:val="1"/>
          <w:color w:val="202020"/>
          <w:sz w:val="24"/>
          <w:szCs w:val="24"/>
          <w:highlight w:val="white"/>
        </w:rPr>
      </w:pPr>
      <w:r w:rsidDel="00000000" w:rsidR="00000000" w:rsidRPr="00000000">
        <w:rPr>
          <w:rtl w:val="0"/>
        </w:rPr>
      </w:r>
    </w:p>
    <w:p w:rsidR="00000000" w:rsidDel="00000000" w:rsidP="00000000" w:rsidRDefault="00000000" w:rsidRPr="00000000" w14:paraId="00000031">
      <w:pPr>
        <w:rPr>
          <w:b w:val="1"/>
          <w:color w:val="202020"/>
          <w:sz w:val="24"/>
          <w:szCs w:val="24"/>
          <w:highlight w:val="white"/>
        </w:rPr>
      </w:pPr>
      <w:r w:rsidDel="00000000" w:rsidR="00000000" w:rsidRPr="00000000">
        <w:rPr>
          <w:rtl w:val="0"/>
        </w:rPr>
      </w:r>
    </w:p>
    <w:p w:rsidR="00000000" w:rsidDel="00000000" w:rsidP="00000000" w:rsidRDefault="00000000" w:rsidRPr="00000000" w14:paraId="00000032">
      <w:pPr>
        <w:rPr>
          <w:b w:val="1"/>
          <w:color w:val="202020"/>
          <w:sz w:val="24"/>
          <w:szCs w:val="24"/>
          <w:highlight w:val="white"/>
        </w:rPr>
      </w:pPr>
      <w:r w:rsidDel="00000000" w:rsidR="00000000" w:rsidRPr="00000000">
        <w:rPr>
          <w:rtl w:val="0"/>
        </w:rPr>
      </w:r>
    </w:p>
    <w:p w:rsidR="00000000" w:rsidDel="00000000" w:rsidP="00000000" w:rsidRDefault="00000000" w:rsidRPr="00000000" w14:paraId="00000033">
      <w:pPr>
        <w:rPr>
          <w:b w:val="1"/>
          <w:color w:val="202020"/>
          <w:sz w:val="24"/>
          <w:szCs w:val="24"/>
          <w:highlight w:val="white"/>
        </w:rPr>
      </w:pPr>
      <w:r w:rsidDel="00000000" w:rsidR="00000000" w:rsidRPr="00000000">
        <w:rPr>
          <w:rtl w:val="0"/>
        </w:rPr>
      </w:r>
    </w:p>
    <w:p w:rsidR="00000000" w:rsidDel="00000000" w:rsidP="00000000" w:rsidRDefault="00000000" w:rsidRPr="00000000" w14:paraId="00000034">
      <w:pPr>
        <w:rPr>
          <w:b w:val="1"/>
          <w:color w:val="202020"/>
          <w:sz w:val="24"/>
          <w:szCs w:val="24"/>
          <w:highlight w:val="white"/>
        </w:rPr>
      </w:pPr>
      <w:r w:rsidDel="00000000" w:rsidR="00000000" w:rsidRPr="00000000">
        <w:rPr>
          <w:rtl w:val="0"/>
        </w:rPr>
      </w:r>
    </w:p>
    <w:p w:rsidR="00000000" w:rsidDel="00000000" w:rsidP="00000000" w:rsidRDefault="00000000" w:rsidRPr="00000000" w14:paraId="00000035">
      <w:pPr>
        <w:rPr>
          <w:b w:val="1"/>
          <w:color w:val="202020"/>
          <w:sz w:val="24"/>
          <w:szCs w:val="24"/>
          <w:highlight w:val="white"/>
        </w:rPr>
      </w:pPr>
      <w:r w:rsidDel="00000000" w:rsidR="00000000" w:rsidRPr="00000000">
        <w:rPr>
          <w:rtl w:val="0"/>
        </w:rPr>
      </w:r>
    </w:p>
    <w:p w:rsidR="00000000" w:rsidDel="00000000" w:rsidP="00000000" w:rsidRDefault="00000000" w:rsidRPr="00000000" w14:paraId="00000036">
      <w:pPr>
        <w:rPr>
          <w:b w:val="1"/>
          <w:color w:val="202020"/>
          <w:sz w:val="24"/>
          <w:szCs w:val="24"/>
          <w:highlight w:val="white"/>
        </w:rPr>
      </w:pPr>
      <w:r w:rsidDel="00000000" w:rsidR="00000000" w:rsidRPr="00000000">
        <w:rPr>
          <w:rtl w:val="0"/>
        </w:rPr>
      </w:r>
    </w:p>
    <w:p w:rsidR="00000000" w:rsidDel="00000000" w:rsidP="00000000" w:rsidRDefault="00000000" w:rsidRPr="00000000" w14:paraId="00000037">
      <w:pPr>
        <w:rPr>
          <w:b w:val="1"/>
          <w:color w:val="202020"/>
          <w:sz w:val="24"/>
          <w:szCs w:val="24"/>
          <w:highlight w:val="white"/>
        </w:rPr>
      </w:pPr>
      <w:r w:rsidDel="00000000" w:rsidR="00000000" w:rsidRPr="00000000">
        <w:rPr>
          <w:rtl w:val="0"/>
        </w:rPr>
      </w:r>
    </w:p>
    <w:p w:rsidR="00000000" w:rsidDel="00000000" w:rsidP="00000000" w:rsidRDefault="00000000" w:rsidRPr="00000000" w14:paraId="00000038">
      <w:pPr>
        <w:rPr>
          <w:b w:val="1"/>
          <w:color w:val="202020"/>
          <w:sz w:val="24"/>
          <w:szCs w:val="24"/>
          <w:highlight w:val="white"/>
        </w:rPr>
      </w:pPr>
      <w:r w:rsidDel="00000000" w:rsidR="00000000" w:rsidRPr="00000000">
        <w:rPr>
          <w:rtl w:val="0"/>
        </w:rPr>
      </w:r>
    </w:p>
    <w:p w:rsidR="00000000" w:rsidDel="00000000" w:rsidP="00000000" w:rsidRDefault="00000000" w:rsidRPr="00000000" w14:paraId="00000039">
      <w:pPr>
        <w:rPr>
          <w:b w:val="1"/>
          <w:color w:val="202020"/>
          <w:sz w:val="24"/>
          <w:szCs w:val="24"/>
          <w:highlight w:val="white"/>
        </w:rPr>
      </w:pPr>
      <w:r w:rsidDel="00000000" w:rsidR="00000000" w:rsidRPr="00000000">
        <w:rPr>
          <w:rtl w:val="0"/>
        </w:rPr>
      </w:r>
    </w:p>
    <w:p w:rsidR="00000000" w:rsidDel="00000000" w:rsidP="00000000" w:rsidRDefault="00000000" w:rsidRPr="00000000" w14:paraId="0000003A">
      <w:pPr>
        <w:rPr>
          <w:b w:val="1"/>
          <w:color w:val="202020"/>
          <w:sz w:val="24"/>
          <w:szCs w:val="24"/>
          <w:highlight w:val="white"/>
        </w:rPr>
      </w:pPr>
      <w:r w:rsidDel="00000000" w:rsidR="00000000" w:rsidRPr="00000000">
        <w:rPr>
          <w:rtl w:val="0"/>
        </w:rPr>
      </w:r>
    </w:p>
    <w:p w:rsidR="00000000" w:rsidDel="00000000" w:rsidP="00000000" w:rsidRDefault="00000000" w:rsidRPr="00000000" w14:paraId="0000003B">
      <w:pPr>
        <w:rPr>
          <w:b w:val="1"/>
          <w:color w:val="202020"/>
          <w:sz w:val="24"/>
          <w:szCs w:val="24"/>
          <w:highlight w:val="white"/>
        </w:rPr>
      </w:pPr>
      <w:r w:rsidDel="00000000" w:rsidR="00000000" w:rsidRPr="00000000">
        <w:rPr>
          <w:rtl w:val="0"/>
        </w:rPr>
      </w:r>
    </w:p>
    <w:p w:rsidR="00000000" w:rsidDel="00000000" w:rsidP="00000000" w:rsidRDefault="00000000" w:rsidRPr="00000000" w14:paraId="0000003C">
      <w:pPr>
        <w:rPr>
          <w:b w:val="1"/>
          <w:color w:val="202020"/>
          <w:sz w:val="24"/>
          <w:szCs w:val="24"/>
          <w:highlight w:val="white"/>
        </w:rPr>
      </w:pPr>
      <w:r w:rsidDel="00000000" w:rsidR="00000000" w:rsidRPr="00000000">
        <w:rPr>
          <w:rtl w:val="0"/>
        </w:rPr>
      </w:r>
    </w:p>
    <w:p w:rsidR="00000000" w:rsidDel="00000000" w:rsidP="00000000" w:rsidRDefault="00000000" w:rsidRPr="00000000" w14:paraId="0000003D">
      <w:pPr>
        <w:rPr>
          <w:b w:val="1"/>
          <w:color w:val="202020"/>
          <w:sz w:val="24"/>
          <w:szCs w:val="24"/>
          <w:highlight w:val="white"/>
        </w:rPr>
      </w:pPr>
      <w:r w:rsidDel="00000000" w:rsidR="00000000" w:rsidRPr="00000000">
        <w:rPr>
          <w:rtl w:val="0"/>
        </w:rPr>
      </w:r>
    </w:p>
    <w:p w:rsidR="00000000" w:rsidDel="00000000" w:rsidP="00000000" w:rsidRDefault="00000000" w:rsidRPr="00000000" w14:paraId="0000003E">
      <w:pPr>
        <w:rPr>
          <w:b w:val="1"/>
          <w:sz w:val="24"/>
          <w:szCs w:val="24"/>
          <w:u w:val="single"/>
        </w:rPr>
      </w:pPr>
      <w:r w:rsidDel="00000000" w:rsidR="00000000" w:rsidRPr="00000000">
        <w:rPr>
          <w:b w:val="1"/>
          <w:sz w:val="24"/>
          <w:szCs w:val="24"/>
          <w:u w:val="single"/>
          <w:rtl w:val="0"/>
        </w:rPr>
        <w:t xml:space="preserve">Reference list </w:t>
      </w:r>
    </w:p>
    <w:p w:rsidR="00000000" w:rsidDel="00000000" w:rsidP="00000000" w:rsidRDefault="00000000" w:rsidRPr="00000000" w14:paraId="0000003F">
      <w:pPr>
        <w:rPr>
          <w:sz w:val="24"/>
          <w:szCs w:val="24"/>
        </w:rPr>
      </w:pPr>
      <w:r w:rsidDel="00000000" w:rsidR="00000000" w:rsidRPr="00000000">
        <w:rPr>
          <w:rtl w:val="0"/>
        </w:rPr>
      </w:r>
    </w:p>
    <w:p w:rsidR="00000000" w:rsidDel="00000000" w:rsidP="00000000" w:rsidRDefault="00000000" w:rsidRPr="00000000" w14:paraId="00000040">
      <w:pPr>
        <w:rPr>
          <w:sz w:val="24"/>
          <w:szCs w:val="24"/>
        </w:rPr>
      </w:pPr>
      <w:r w:rsidDel="00000000" w:rsidR="00000000" w:rsidRPr="00000000">
        <w:rPr>
          <w:sz w:val="24"/>
          <w:szCs w:val="24"/>
          <w:rtl w:val="0"/>
        </w:rPr>
        <w:t xml:space="preserve">Acas (2024) </w:t>
      </w:r>
      <w:r w:rsidDel="00000000" w:rsidR="00000000" w:rsidRPr="00000000">
        <w:rPr>
          <w:i w:val="1"/>
          <w:sz w:val="24"/>
          <w:szCs w:val="24"/>
          <w:rtl w:val="0"/>
        </w:rPr>
        <w:t xml:space="preserve">Unfair dismissal.</w:t>
      </w:r>
      <w:r w:rsidDel="00000000" w:rsidR="00000000" w:rsidRPr="00000000">
        <w:rPr>
          <w:sz w:val="24"/>
          <w:szCs w:val="24"/>
          <w:rtl w:val="0"/>
        </w:rPr>
        <w:t xml:space="preserve"> Available at: </w:t>
      </w:r>
      <w:hyperlink r:id="rId6">
        <w:r w:rsidDel="00000000" w:rsidR="00000000" w:rsidRPr="00000000">
          <w:rPr>
            <w:color w:val="1155cc"/>
            <w:sz w:val="24"/>
            <w:szCs w:val="24"/>
            <w:u w:val="single"/>
            <w:rtl w:val="0"/>
          </w:rPr>
          <w:t xml:space="preserve">https://www.acas.org.uk/dismissals/unfair-dismissal</w:t>
        </w:r>
      </w:hyperlink>
      <w:r w:rsidDel="00000000" w:rsidR="00000000" w:rsidRPr="00000000">
        <w:rPr>
          <w:sz w:val="24"/>
          <w:szCs w:val="24"/>
          <w:rtl w:val="0"/>
        </w:rPr>
        <w:t xml:space="preserve"> (Accessed: 22 November 2024).</w:t>
      </w:r>
    </w:p>
    <w:p w:rsidR="00000000" w:rsidDel="00000000" w:rsidP="00000000" w:rsidRDefault="00000000" w:rsidRPr="00000000" w14:paraId="00000041">
      <w:pPr>
        <w:rPr>
          <w:sz w:val="24"/>
          <w:szCs w:val="24"/>
        </w:rPr>
      </w:pPr>
      <w:r w:rsidDel="00000000" w:rsidR="00000000" w:rsidRPr="00000000">
        <w:rPr>
          <w:rtl w:val="0"/>
        </w:rPr>
      </w:r>
    </w:p>
    <w:p w:rsidR="00000000" w:rsidDel="00000000" w:rsidP="00000000" w:rsidRDefault="00000000" w:rsidRPr="00000000" w14:paraId="00000042">
      <w:pPr>
        <w:rPr>
          <w:sz w:val="24"/>
          <w:szCs w:val="24"/>
          <w:highlight w:val="white"/>
        </w:rPr>
      </w:pPr>
      <w:r w:rsidDel="00000000" w:rsidR="00000000" w:rsidRPr="00000000">
        <w:rPr>
          <w:sz w:val="24"/>
          <w:szCs w:val="24"/>
          <w:rtl w:val="0"/>
        </w:rPr>
        <w:t xml:space="preserve">Albadarin, Y., Saqr, M., Pope, N. and Tukiainen, M. (2024) </w:t>
      </w:r>
      <w:r w:rsidDel="00000000" w:rsidR="00000000" w:rsidRPr="00000000">
        <w:rPr>
          <w:sz w:val="24"/>
          <w:szCs w:val="24"/>
          <w:highlight w:val="white"/>
          <w:rtl w:val="0"/>
        </w:rPr>
        <w:t xml:space="preserve">‘A systematic literature review of empirical research on ChatGPT in education’, </w:t>
      </w:r>
      <w:r w:rsidDel="00000000" w:rsidR="00000000" w:rsidRPr="00000000">
        <w:rPr>
          <w:i w:val="1"/>
          <w:sz w:val="24"/>
          <w:szCs w:val="24"/>
          <w:highlight w:val="white"/>
          <w:rtl w:val="0"/>
        </w:rPr>
        <w:t xml:space="preserve">Discover</w:t>
      </w:r>
      <w:r w:rsidDel="00000000" w:rsidR="00000000" w:rsidRPr="00000000">
        <w:rPr>
          <w:i w:val="1"/>
          <w:sz w:val="24"/>
          <w:szCs w:val="24"/>
          <w:highlight w:val="white"/>
          <w:rtl w:val="0"/>
        </w:rPr>
        <w:t xml:space="preserve"> Education</w:t>
      </w:r>
      <w:r w:rsidDel="00000000" w:rsidR="00000000" w:rsidRPr="00000000">
        <w:rPr>
          <w:sz w:val="24"/>
          <w:szCs w:val="24"/>
          <w:highlight w:val="white"/>
          <w:rtl w:val="0"/>
        </w:rPr>
        <w:t xml:space="preserve">, 3(1), pp. 1–26. Available at: </w:t>
      </w:r>
      <w:hyperlink r:id="rId7">
        <w:r w:rsidDel="00000000" w:rsidR="00000000" w:rsidRPr="00000000">
          <w:rPr>
            <w:color w:val="1155cc"/>
            <w:sz w:val="24"/>
            <w:szCs w:val="24"/>
            <w:highlight w:val="white"/>
            <w:u w:val="single"/>
            <w:rtl w:val="0"/>
          </w:rPr>
          <w:t xml:space="preserve">https://doi.org/10.1007/s44217-024-00138-2</w:t>
        </w:r>
      </w:hyperlink>
      <w:r w:rsidDel="00000000" w:rsidR="00000000" w:rsidRPr="00000000">
        <w:rPr>
          <w:rtl w:val="0"/>
        </w:rPr>
      </w:r>
    </w:p>
    <w:p w:rsidR="00000000" w:rsidDel="00000000" w:rsidP="00000000" w:rsidRDefault="00000000" w:rsidRPr="00000000" w14:paraId="00000043">
      <w:pPr>
        <w:rPr>
          <w:sz w:val="24"/>
          <w:szCs w:val="24"/>
        </w:rPr>
      </w:pPr>
      <w:r w:rsidDel="00000000" w:rsidR="00000000" w:rsidRPr="00000000">
        <w:rPr>
          <w:rtl w:val="0"/>
        </w:rPr>
      </w:r>
    </w:p>
    <w:p w:rsidR="00000000" w:rsidDel="00000000" w:rsidP="00000000" w:rsidRDefault="00000000" w:rsidRPr="00000000" w14:paraId="00000044">
      <w:pPr>
        <w:rPr>
          <w:sz w:val="24"/>
          <w:szCs w:val="24"/>
        </w:rPr>
      </w:pPr>
      <w:r w:rsidDel="00000000" w:rsidR="00000000" w:rsidRPr="00000000">
        <w:rPr>
          <w:sz w:val="24"/>
          <w:szCs w:val="24"/>
          <w:rtl w:val="0"/>
        </w:rPr>
        <w:t xml:space="preserve">Battista, M (2024) </w:t>
      </w:r>
      <w:r w:rsidDel="00000000" w:rsidR="00000000" w:rsidRPr="00000000">
        <w:rPr>
          <w:i w:val="1"/>
          <w:sz w:val="24"/>
          <w:szCs w:val="24"/>
          <w:rtl w:val="0"/>
        </w:rPr>
        <w:t xml:space="preserve">PESTLE analysis</w:t>
      </w:r>
      <w:r w:rsidDel="00000000" w:rsidR="00000000" w:rsidRPr="00000000">
        <w:rPr>
          <w:sz w:val="24"/>
          <w:szCs w:val="24"/>
          <w:rtl w:val="0"/>
        </w:rPr>
        <w:t xml:space="preserve">. Available at: </w:t>
      </w:r>
      <w:hyperlink r:id="rId8">
        <w:r w:rsidDel="00000000" w:rsidR="00000000" w:rsidRPr="00000000">
          <w:rPr>
            <w:color w:val="1155cc"/>
            <w:sz w:val="24"/>
            <w:szCs w:val="24"/>
            <w:u w:val="single"/>
            <w:rtl w:val="0"/>
          </w:rPr>
          <w:t xml:space="preserve">https://www.cipd.org/uk/knowledge/factsheets/pestle-analysis-factsheet/</w:t>
        </w:r>
      </w:hyperlink>
      <w:r w:rsidDel="00000000" w:rsidR="00000000" w:rsidRPr="00000000">
        <w:rPr>
          <w:sz w:val="24"/>
          <w:szCs w:val="24"/>
          <w:rtl w:val="0"/>
        </w:rPr>
        <w:t xml:space="preserve"> (Accessed: 20 October 2024).</w:t>
      </w:r>
    </w:p>
    <w:p w:rsidR="00000000" w:rsidDel="00000000" w:rsidP="00000000" w:rsidRDefault="00000000" w:rsidRPr="00000000" w14:paraId="00000045">
      <w:pPr>
        <w:rPr>
          <w:sz w:val="24"/>
          <w:szCs w:val="24"/>
        </w:rPr>
      </w:pPr>
      <w:r w:rsidDel="00000000" w:rsidR="00000000" w:rsidRPr="00000000">
        <w:rPr>
          <w:rtl w:val="0"/>
        </w:rPr>
      </w:r>
    </w:p>
    <w:p w:rsidR="00000000" w:rsidDel="00000000" w:rsidP="00000000" w:rsidRDefault="00000000" w:rsidRPr="00000000" w14:paraId="00000046">
      <w:pPr>
        <w:rPr>
          <w:sz w:val="24"/>
          <w:szCs w:val="24"/>
          <w:highlight w:val="white"/>
        </w:rPr>
      </w:pPr>
      <w:r w:rsidDel="00000000" w:rsidR="00000000" w:rsidRPr="00000000">
        <w:rPr>
          <w:sz w:val="24"/>
          <w:szCs w:val="24"/>
          <w:rtl w:val="0"/>
        </w:rPr>
        <w:t xml:space="preserve">Biswas, S., Dobaria, D. and Cohen, H. (2023)</w:t>
      </w:r>
      <w:r w:rsidDel="00000000" w:rsidR="00000000" w:rsidRPr="00000000">
        <w:rPr>
          <w:sz w:val="24"/>
          <w:szCs w:val="24"/>
          <w:highlight w:val="white"/>
          <w:rtl w:val="0"/>
        </w:rPr>
        <w:t xml:space="preserve"> ‘ChatGPT and the Future of Journal Reviews: A Feasibility Study’, </w:t>
      </w:r>
      <w:r w:rsidDel="00000000" w:rsidR="00000000" w:rsidRPr="00000000">
        <w:rPr>
          <w:i w:val="1"/>
          <w:sz w:val="24"/>
          <w:szCs w:val="24"/>
          <w:highlight w:val="white"/>
          <w:rtl w:val="0"/>
        </w:rPr>
        <w:t xml:space="preserve">The Yale Journal of Biology &amp; Medicine</w:t>
      </w:r>
      <w:r w:rsidDel="00000000" w:rsidR="00000000" w:rsidRPr="00000000">
        <w:rPr>
          <w:sz w:val="24"/>
          <w:szCs w:val="24"/>
          <w:highlight w:val="white"/>
          <w:rtl w:val="0"/>
        </w:rPr>
        <w:t xml:space="preserve">, 96(3), pp. 415–420. Available at: </w:t>
      </w:r>
      <w:hyperlink r:id="rId9">
        <w:r w:rsidDel="00000000" w:rsidR="00000000" w:rsidRPr="00000000">
          <w:rPr>
            <w:color w:val="1155cc"/>
            <w:sz w:val="24"/>
            <w:szCs w:val="24"/>
            <w:highlight w:val="white"/>
            <w:u w:val="single"/>
            <w:rtl w:val="0"/>
          </w:rPr>
          <w:t xml:space="preserve">https://doi.org/10.59249/SKDH9286</w:t>
        </w:r>
      </w:hyperlink>
      <w:r w:rsidDel="00000000" w:rsidR="00000000" w:rsidRPr="00000000">
        <w:rPr>
          <w:rtl w:val="0"/>
        </w:rPr>
      </w:r>
    </w:p>
    <w:p w:rsidR="00000000" w:rsidDel="00000000" w:rsidP="00000000" w:rsidRDefault="00000000" w:rsidRPr="00000000" w14:paraId="00000047">
      <w:pPr>
        <w:rPr>
          <w:sz w:val="24"/>
          <w:szCs w:val="24"/>
          <w:highlight w:val="yellow"/>
        </w:rPr>
      </w:pPr>
      <w:r w:rsidDel="00000000" w:rsidR="00000000" w:rsidRPr="00000000">
        <w:rPr>
          <w:rtl w:val="0"/>
        </w:rPr>
      </w:r>
    </w:p>
    <w:p w:rsidR="00000000" w:rsidDel="00000000" w:rsidP="00000000" w:rsidRDefault="00000000" w:rsidRPr="00000000" w14:paraId="00000048">
      <w:pPr>
        <w:rPr>
          <w:sz w:val="24"/>
          <w:szCs w:val="24"/>
        </w:rPr>
      </w:pPr>
      <w:r w:rsidDel="00000000" w:rsidR="00000000" w:rsidRPr="00000000">
        <w:rPr>
          <w:sz w:val="24"/>
          <w:szCs w:val="24"/>
          <w:rtl w:val="0"/>
        </w:rPr>
        <w:t xml:space="preserve">Bridgend College (2024)</w:t>
      </w:r>
      <w:r w:rsidDel="00000000" w:rsidR="00000000" w:rsidRPr="00000000">
        <w:rPr>
          <w:sz w:val="24"/>
          <w:szCs w:val="24"/>
          <w:rtl w:val="0"/>
        </w:rPr>
        <w:t xml:space="preserve"> ‘</w:t>
      </w:r>
      <w:r w:rsidDel="00000000" w:rsidR="00000000" w:rsidRPr="00000000">
        <w:rPr>
          <w:sz w:val="24"/>
          <w:szCs w:val="24"/>
          <w:rtl w:val="0"/>
        </w:rPr>
        <w:t xml:space="preserve">Effective and ethical use of AI at Bridgend College’</w:t>
      </w:r>
      <w:r w:rsidDel="00000000" w:rsidR="00000000" w:rsidRPr="00000000">
        <w:rPr>
          <w:i w:val="1"/>
          <w:sz w:val="24"/>
          <w:szCs w:val="24"/>
          <w:rtl w:val="0"/>
        </w:rPr>
        <w:t xml:space="preserve">. </w:t>
      </w:r>
      <w:r w:rsidDel="00000000" w:rsidR="00000000" w:rsidRPr="00000000">
        <w:rPr>
          <w:sz w:val="24"/>
          <w:szCs w:val="24"/>
          <w:rtl w:val="0"/>
        </w:rPr>
        <w:t xml:space="preserve">Bridgend College</w:t>
      </w:r>
      <w:r w:rsidDel="00000000" w:rsidR="00000000" w:rsidRPr="00000000">
        <w:rPr>
          <w:sz w:val="24"/>
          <w:szCs w:val="24"/>
          <w:rtl w:val="0"/>
        </w:rPr>
        <w:t xml:space="preserve">. Unpublished. </w:t>
      </w:r>
      <w:r w:rsidDel="00000000" w:rsidR="00000000" w:rsidRPr="00000000">
        <w:rPr>
          <w:rtl w:val="0"/>
        </w:rPr>
      </w:r>
    </w:p>
    <w:p w:rsidR="00000000" w:rsidDel="00000000" w:rsidP="00000000" w:rsidRDefault="00000000" w:rsidRPr="00000000" w14:paraId="00000049">
      <w:pPr>
        <w:rPr>
          <w:sz w:val="24"/>
          <w:szCs w:val="24"/>
        </w:rPr>
      </w:pPr>
      <w:r w:rsidDel="00000000" w:rsidR="00000000" w:rsidRPr="00000000">
        <w:rPr>
          <w:rtl w:val="0"/>
        </w:rPr>
      </w:r>
    </w:p>
    <w:p w:rsidR="00000000" w:rsidDel="00000000" w:rsidP="00000000" w:rsidRDefault="00000000" w:rsidRPr="00000000" w14:paraId="0000004A">
      <w:pPr>
        <w:rPr>
          <w:sz w:val="24"/>
          <w:szCs w:val="24"/>
        </w:rPr>
      </w:pPr>
      <w:r w:rsidDel="00000000" w:rsidR="00000000" w:rsidRPr="00000000">
        <w:rPr>
          <w:sz w:val="24"/>
          <w:szCs w:val="24"/>
          <w:rtl w:val="0"/>
        </w:rPr>
        <w:t xml:space="preserve">CIPD (2024) </w:t>
      </w:r>
      <w:r w:rsidDel="00000000" w:rsidR="00000000" w:rsidRPr="00000000">
        <w:rPr>
          <w:i w:val="1"/>
          <w:sz w:val="24"/>
          <w:szCs w:val="24"/>
          <w:rtl w:val="0"/>
        </w:rPr>
        <w:t xml:space="preserve">Tracking law changes</w:t>
      </w:r>
      <w:r w:rsidDel="00000000" w:rsidR="00000000" w:rsidRPr="00000000">
        <w:rPr>
          <w:sz w:val="24"/>
          <w:szCs w:val="24"/>
          <w:rtl w:val="0"/>
        </w:rPr>
        <w:t xml:space="preserve">. Available at: </w:t>
      </w:r>
      <w:hyperlink r:id="rId10">
        <w:r w:rsidDel="00000000" w:rsidR="00000000" w:rsidRPr="00000000">
          <w:rPr>
            <w:color w:val="1155cc"/>
            <w:sz w:val="24"/>
            <w:szCs w:val="24"/>
            <w:u w:val="single"/>
            <w:rtl w:val="0"/>
          </w:rPr>
          <w:t xml:space="preserve">https://www.cipd.org/uk/knowledge/employment-law/proposed-changes-under-labour-government/</w:t>
        </w:r>
      </w:hyperlink>
      <w:r w:rsidDel="00000000" w:rsidR="00000000" w:rsidRPr="00000000">
        <w:rPr>
          <w:sz w:val="24"/>
          <w:szCs w:val="24"/>
          <w:rtl w:val="0"/>
        </w:rPr>
        <w:t xml:space="preserve"> (Accessed: 22 November 2024).</w:t>
      </w:r>
    </w:p>
    <w:p w:rsidR="00000000" w:rsidDel="00000000" w:rsidP="00000000" w:rsidRDefault="00000000" w:rsidRPr="00000000" w14:paraId="0000004B">
      <w:pPr>
        <w:rPr>
          <w:sz w:val="24"/>
          <w:szCs w:val="24"/>
        </w:rPr>
      </w:pPr>
      <w:r w:rsidDel="00000000" w:rsidR="00000000" w:rsidRPr="00000000">
        <w:rPr>
          <w:rtl w:val="0"/>
        </w:rPr>
      </w:r>
    </w:p>
    <w:p w:rsidR="00000000" w:rsidDel="00000000" w:rsidP="00000000" w:rsidRDefault="00000000" w:rsidRPr="00000000" w14:paraId="0000004C">
      <w:pPr>
        <w:rPr>
          <w:sz w:val="24"/>
          <w:szCs w:val="24"/>
        </w:rPr>
      </w:pPr>
      <w:r w:rsidDel="00000000" w:rsidR="00000000" w:rsidRPr="00000000">
        <w:rPr>
          <w:sz w:val="24"/>
          <w:szCs w:val="24"/>
          <w:rtl w:val="0"/>
        </w:rPr>
        <w:t xml:space="preserve">Citizens Advice (2021) </w:t>
      </w:r>
      <w:r w:rsidDel="00000000" w:rsidR="00000000" w:rsidRPr="00000000">
        <w:rPr>
          <w:i w:val="1"/>
          <w:sz w:val="24"/>
          <w:szCs w:val="24"/>
          <w:rtl w:val="0"/>
        </w:rPr>
        <w:t xml:space="preserve">Check what compensation you can get for unfair dismissal.</w:t>
      </w:r>
      <w:r w:rsidDel="00000000" w:rsidR="00000000" w:rsidRPr="00000000">
        <w:rPr>
          <w:sz w:val="24"/>
          <w:szCs w:val="24"/>
          <w:rtl w:val="0"/>
        </w:rPr>
        <w:t xml:space="preserve"> Available at: </w:t>
      </w:r>
      <w:hyperlink r:id="rId11">
        <w:r w:rsidDel="00000000" w:rsidR="00000000" w:rsidRPr="00000000">
          <w:rPr>
            <w:color w:val="1155cc"/>
            <w:sz w:val="24"/>
            <w:szCs w:val="24"/>
            <w:u w:val="single"/>
            <w:rtl w:val="0"/>
          </w:rPr>
          <w:t xml:space="preserve">https://www.citizensadvice.org.uk/wales/work/employment-tribunal/employment-tribunals/before-you-go-to-the-tribunal/check-what-compensation-you-can-get-for-unfair-dismissal/</w:t>
        </w:r>
      </w:hyperlink>
      <w:r w:rsidDel="00000000" w:rsidR="00000000" w:rsidRPr="00000000">
        <w:rPr>
          <w:sz w:val="24"/>
          <w:szCs w:val="24"/>
          <w:rtl w:val="0"/>
        </w:rPr>
        <w:t xml:space="preserve"> (Accessed: 23 November 2024).</w:t>
      </w:r>
    </w:p>
    <w:p w:rsidR="00000000" w:rsidDel="00000000" w:rsidP="00000000" w:rsidRDefault="00000000" w:rsidRPr="00000000" w14:paraId="0000004D">
      <w:pPr>
        <w:rPr>
          <w:sz w:val="24"/>
          <w:szCs w:val="24"/>
        </w:rPr>
      </w:pPr>
      <w:r w:rsidDel="00000000" w:rsidR="00000000" w:rsidRPr="00000000">
        <w:rPr>
          <w:rtl w:val="0"/>
        </w:rPr>
      </w:r>
    </w:p>
    <w:p w:rsidR="00000000" w:rsidDel="00000000" w:rsidP="00000000" w:rsidRDefault="00000000" w:rsidRPr="00000000" w14:paraId="0000004E">
      <w:pPr>
        <w:rPr>
          <w:color w:val="3a3a3a"/>
          <w:sz w:val="24"/>
          <w:szCs w:val="24"/>
          <w:highlight w:val="white"/>
        </w:rPr>
      </w:pPr>
      <w:r w:rsidDel="00000000" w:rsidR="00000000" w:rsidRPr="00000000">
        <w:rPr>
          <w:sz w:val="24"/>
          <w:szCs w:val="24"/>
          <w:highlight w:val="white"/>
          <w:rtl w:val="0"/>
        </w:rPr>
        <w:t xml:space="preserve">Collins, P.M. (2022) ‘Finding Fault in the Law of Unfair Dismissal: The Insubstantiality of Reasons for Dismissal’, </w:t>
      </w:r>
      <w:r w:rsidDel="00000000" w:rsidR="00000000" w:rsidRPr="00000000">
        <w:rPr>
          <w:i w:val="1"/>
          <w:sz w:val="24"/>
          <w:szCs w:val="24"/>
          <w:highlight w:val="white"/>
          <w:rtl w:val="0"/>
        </w:rPr>
        <w:t xml:space="preserve">Industrial Law Journal</w:t>
      </w:r>
      <w:r w:rsidDel="00000000" w:rsidR="00000000" w:rsidRPr="00000000">
        <w:rPr>
          <w:sz w:val="24"/>
          <w:szCs w:val="24"/>
          <w:highlight w:val="white"/>
          <w:rtl w:val="0"/>
        </w:rPr>
        <w:t xml:space="preserve">, 51(3), pp. 598–625. Available at:</w:t>
      </w:r>
      <w:r w:rsidDel="00000000" w:rsidR="00000000" w:rsidRPr="00000000">
        <w:rPr>
          <w:color w:val="3a3a3a"/>
          <w:sz w:val="24"/>
          <w:szCs w:val="24"/>
          <w:highlight w:val="white"/>
          <w:rtl w:val="0"/>
        </w:rPr>
        <w:t xml:space="preserve"> </w:t>
      </w:r>
      <w:hyperlink r:id="rId12">
        <w:r w:rsidDel="00000000" w:rsidR="00000000" w:rsidRPr="00000000">
          <w:rPr>
            <w:color w:val="1155cc"/>
            <w:sz w:val="24"/>
            <w:szCs w:val="24"/>
            <w:highlight w:val="white"/>
            <w:u w:val="single"/>
            <w:rtl w:val="0"/>
          </w:rPr>
          <w:t xml:space="preserve">https://doi.org/10.1093/indlaw/dwab018</w:t>
        </w:r>
      </w:hyperlink>
      <w:r w:rsidDel="00000000" w:rsidR="00000000" w:rsidRPr="00000000">
        <w:rPr>
          <w:rtl w:val="0"/>
        </w:rPr>
      </w:r>
    </w:p>
    <w:p w:rsidR="00000000" w:rsidDel="00000000" w:rsidP="00000000" w:rsidRDefault="00000000" w:rsidRPr="00000000" w14:paraId="0000004F">
      <w:pPr>
        <w:rPr>
          <w:sz w:val="24"/>
          <w:szCs w:val="24"/>
          <w:highlight w:val="white"/>
        </w:rPr>
      </w:pPr>
      <w:r w:rsidDel="00000000" w:rsidR="00000000" w:rsidRPr="00000000">
        <w:rPr>
          <w:rtl w:val="0"/>
        </w:rPr>
      </w:r>
    </w:p>
    <w:p w:rsidR="00000000" w:rsidDel="00000000" w:rsidP="00000000" w:rsidRDefault="00000000" w:rsidRPr="00000000" w14:paraId="00000050">
      <w:pPr>
        <w:rPr>
          <w:sz w:val="24"/>
          <w:szCs w:val="24"/>
          <w:highlight w:val="white"/>
        </w:rPr>
      </w:pPr>
      <w:r w:rsidDel="00000000" w:rsidR="00000000" w:rsidRPr="00000000">
        <w:rPr>
          <w:sz w:val="24"/>
          <w:szCs w:val="24"/>
          <w:highlight w:val="white"/>
          <w:rtl w:val="0"/>
        </w:rPr>
        <w:t xml:space="preserve">Crossland. H (2024)</w:t>
      </w:r>
      <w:r w:rsidDel="00000000" w:rsidR="00000000" w:rsidRPr="00000000">
        <w:rPr>
          <w:i w:val="1"/>
          <w:sz w:val="24"/>
          <w:szCs w:val="24"/>
          <w:highlight w:val="white"/>
          <w:rtl w:val="0"/>
        </w:rPr>
        <w:t xml:space="preserve"> A day-one right to unfair dismissal has significant consequences for businesses</w:t>
      </w:r>
      <w:r w:rsidDel="00000000" w:rsidR="00000000" w:rsidRPr="00000000">
        <w:rPr>
          <w:sz w:val="24"/>
          <w:szCs w:val="24"/>
          <w:highlight w:val="white"/>
          <w:rtl w:val="0"/>
        </w:rPr>
        <w:t xml:space="preserve">. Available at: </w:t>
      </w:r>
      <w:hyperlink r:id="rId13">
        <w:r w:rsidDel="00000000" w:rsidR="00000000" w:rsidRPr="00000000">
          <w:rPr>
            <w:color w:val="1155cc"/>
            <w:sz w:val="24"/>
            <w:szCs w:val="24"/>
            <w:highlight w:val="white"/>
            <w:u w:val="single"/>
            <w:rtl w:val="0"/>
          </w:rPr>
          <w:t xml:space="preserve">https://www.peoplemanagement.co.uk/article/1890531/day-one-right-unfair-dismissal-significant-consequences-businesses</w:t>
        </w:r>
      </w:hyperlink>
      <w:r w:rsidDel="00000000" w:rsidR="00000000" w:rsidRPr="00000000">
        <w:rPr>
          <w:sz w:val="24"/>
          <w:szCs w:val="24"/>
          <w:highlight w:val="white"/>
          <w:rtl w:val="0"/>
        </w:rPr>
        <w:t xml:space="preserve"> (Accessed: 23 November 2024).</w:t>
      </w:r>
      <w:r w:rsidDel="00000000" w:rsidR="00000000" w:rsidRPr="00000000">
        <w:rPr>
          <w:rtl w:val="0"/>
        </w:rPr>
      </w:r>
    </w:p>
    <w:p w:rsidR="00000000" w:rsidDel="00000000" w:rsidP="00000000" w:rsidRDefault="00000000" w:rsidRPr="00000000" w14:paraId="00000051">
      <w:pPr>
        <w:rPr>
          <w:sz w:val="24"/>
          <w:szCs w:val="24"/>
        </w:rPr>
      </w:pPr>
      <w:r w:rsidDel="00000000" w:rsidR="00000000" w:rsidRPr="00000000">
        <w:rPr>
          <w:rtl w:val="0"/>
        </w:rPr>
      </w:r>
    </w:p>
    <w:p w:rsidR="00000000" w:rsidDel="00000000" w:rsidP="00000000" w:rsidRDefault="00000000" w:rsidRPr="00000000" w14:paraId="00000052">
      <w:pPr>
        <w:rPr>
          <w:sz w:val="24"/>
          <w:szCs w:val="24"/>
        </w:rPr>
      </w:pPr>
      <w:r w:rsidDel="00000000" w:rsidR="00000000" w:rsidRPr="00000000">
        <w:rPr>
          <w:sz w:val="24"/>
          <w:szCs w:val="24"/>
          <w:rtl w:val="0"/>
        </w:rPr>
        <w:t xml:space="preserve">Downes, S. (2023)</w:t>
      </w:r>
      <w:r w:rsidDel="00000000" w:rsidR="00000000" w:rsidRPr="00000000">
        <w:rPr>
          <w:i w:val="1"/>
          <w:sz w:val="24"/>
          <w:szCs w:val="24"/>
          <w:rtl w:val="0"/>
        </w:rPr>
        <w:t xml:space="preserve"> The 10 most-read employment tribunal reports of 2023</w:t>
      </w:r>
      <w:r w:rsidDel="00000000" w:rsidR="00000000" w:rsidRPr="00000000">
        <w:rPr>
          <w:sz w:val="24"/>
          <w:szCs w:val="24"/>
          <w:rtl w:val="0"/>
        </w:rPr>
        <w:t xml:space="preserve">. Available at: </w:t>
      </w:r>
      <w:hyperlink r:id="rId14">
        <w:r w:rsidDel="00000000" w:rsidR="00000000" w:rsidRPr="00000000">
          <w:rPr>
            <w:color w:val="1155cc"/>
            <w:sz w:val="24"/>
            <w:szCs w:val="24"/>
            <w:u w:val="single"/>
            <w:rtl w:val="0"/>
          </w:rPr>
          <w:t xml:space="preserve">https://www.peoplemanagement.co.uk/article/1850431/10-most-read-employment-tribunal-reports-2023</w:t>
        </w:r>
      </w:hyperlink>
      <w:r w:rsidDel="00000000" w:rsidR="00000000" w:rsidRPr="00000000">
        <w:rPr>
          <w:sz w:val="24"/>
          <w:szCs w:val="24"/>
          <w:rtl w:val="0"/>
        </w:rPr>
        <w:t xml:space="preserve"> (Accessed: 23 November 2024).</w:t>
      </w:r>
    </w:p>
    <w:p w:rsidR="00000000" w:rsidDel="00000000" w:rsidP="00000000" w:rsidRDefault="00000000" w:rsidRPr="00000000" w14:paraId="00000053">
      <w:pPr>
        <w:rPr>
          <w:sz w:val="24"/>
          <w:szCs w:val="24"/>
        </w:rPr>
      </w:pPr>
      <w:r w:rsidDel="00000000" w:rsidR="00000000" w:rsidRPr="00000000">
        <w:rPr>
          <w:rtl w:val="0"/>
        </w:rPr>
      </w:r>
    </w:p>
    <w:p w:rsidR="00000000" w:rsidDel="00000000" w:rsidP="00000000" w:rsidRDefault="00000000" w:rsidRPr="00000000" w14:paraId="00000054">
      <w:pPr>
        <w:rPr>
          <w:sz w:val="24"/>
          <w:szCs w:val="24"/>
        </w:rPr>
      </w:pPr>
      <w:r w:rsidDel="00000000" w:rsidR="00000000" w:rsidRPr="00000000">
        <w:rPr>
          <w:sz w:val="24"/>
          <w:szCs w:val="24"/>
          <w:rtl w:val="0"/>
        </w:rPr>
        <w:t xml:space="preserve">Education Workforce Council (2023) </w:t>
      </w:r>
      <w:r w:rsidDel="00000000" w:rsidR="00000000" w:rsidRPr="00000000">
        <w:rPr>
          <w:i w:val="1"/>
          <w:sz w:val="24"/>
          <w:szCs w:val="24"/>
          <w:rtl w:val="0"/>
        </w:rPr>
        <w:t xml:space="preserve">Further Education and Work-Based Learning Education Workforce Survey Report 2023</w:t>
      </w:r>
      <w:r w:rsidDel="00000000" w:rsidR="00000000" w:rsidRPr="00000000">
        <w:rPr>
          <w:sz w:val="24"/>
          <w:szCs w:val="24"/>
          <w:rtl w:val="0"/>
        </w:rPr>
        <w:t xml:space="preserve">. Available at: </w:t>
      </w:r>
      <w:hyperlink r:id="rId15">
        <w:r w:rsidDel="00000000" w:rsidR="00000000" w:rsidRPr="00000000">
          <w:rPr>
            <w:color w:val="1155cc"/>
            <w:sz w:val="24"/>
            <w:szCs w:val="24"/>
            <w:u w:val="single"/>
            <w:rtl w:val="0"/>
          </w:rPr>
          <w:t xml:space="preserve">https://www.ewc.wales/site/index.php/en/documents-eng/about/workforce-statistics/national-education-workforce-survey-1/787-fe-and-wbl-education-workforce-survey-report-2023/file</w:t>
        </w:r>
      </w:hyperlink>
      <w:r w:rsidDel="00000000" w:rsidR="00000000" w:rsidRPr="00000000">
        <w:rPr>
          <w:sz w:val="24"/>
          <w:szCs w:val="24"/>
          <w:rtl w:val="0"/>
        </w:rPr>
        <w:t xml:space="preserve"> (Accessed: 27 October 2024).</w:t>
      </w:r>
    </w:p>
    <w:p w:rsidR="00000000" w:rsidDel="00000000" w:rsidP="00000000" w:rsidRDefault="00000000" w:rsidRPr="00000000" w14:paraId="00000055">
      <w:pPr>
        <w:rPr>
          <w:sz w:val="24"/>
          <w:szCs w:val="24"/>
        </w:rPr>
      </w:pPr>
      <w:r w:rsidDel="00000000" w:rsidR="00000000" w:rsidRPr="00000000">
        <w:rPr>
          <w:rtl w:val="0"/>
        </w:rPr>
      </w:r>
    </w:p>
    <w:p w:rsidR="00000000" w:rsidDel="00000000" w:rsidP="00000000" w:rsidRDefault="00000000" w:rsidRPr="00000000" w14:paraId="00000056">
      <w:pPr>
        <w:rPr>
          <w:color w:val="3a3a3a"/>
          <w:sz w:val="24"/>
          <w:szCs w:val="24"/>
          <w:highlight w:val="white"/>
        </w:rPr>
      </w:pPr>
      <w:r w:rsidDel="00000000" w:rsidR="00000000" w:rsidRPr="00000000">
        <w:rPr>
          <w:sz w:val="24"/>
          <w:szCs w:val="24"/>
          <w:highlight w:val="white"/>
          <w:rtl w:val="0"/>
        </w:rPr>
        <w:t xml:space="preserve">Ewing, K.D. and Hendy Qc, J. (2012) ‘Unfair Dismissal Law Changes--Unfair?’, </w:t>
      </w:r>
      <w:r w:rsidDel="00000000" w:rsidR="00000000" w:rsidRPr="00000000">
        <w:rPr>
          <w:i w:val="1"/>
          <w:sz w:val="24"/>
          <w:szCs w:val="24"/>
          <w:highlight w:val="white"/>
          <w:rtl w:val="0"/>
        </w:rPr>
        <w:t xml:space="preserve">Industrial Law Journal</w:t>
      </w:r>
      <w:r w:rsidDel="00000000" w:rsidR="00000000" w:rsidRPr="00000000">
        <w:rPr>
          <w:sz w:val="24"/>
          <w:szCs w:val="24"/>
          <w:highlight w:val="white"/>
          <w:rtl w:val="0"/>
        </w:rPr>
        <w:t xml:space="preserve">, 41(1), pp. 115–121. Available at: </w:t>
      </w:r>
      <w:hyperlink r:id="rId16">
        <w:r w:rsidDel="00000000" w:rsidR="00000000" w:rsidRPr="00000000">
          <w:rPr>
            <w:color w:val="1155cc"/>
            <w:sz w:val="24"/>
            <w:szCs w:val="24"/>
            <w:highlight w:val="white"/>
            <w:u w:val="single"/>
            <w:rtl w:val="0"/>
          </w:rPr>
          <w:t xml:space="preserve">https://doi.org/10.1093/indlaw/dws004</w:t>
        </w:r>
      </w:hyperlink>
      <w:r w:rsidDel="00000000" w:rsidR="00000000" w:rsidRPr="00000000">
        <w:rPr>
          <w:rtl w:val="0"/>
        </w:rPr>
      </w:r>
    </w:p>
    <w:p w:rsidR="00000000" w:rsidDel="00000000" w:rsidP="00000000" w:rsidRDefault="00000000" w:rsidRPr="00000000" w14:paraId="00000057">
      <w:pPr>
        <w:rPr>
          <w:color w:val="3a3a3a"/>
          <w:sz w:val="24"/>
          <w:szCs w:val="24"/>
          <w:highlight w:val="white"/>
        </w:rPr>
      </w:pPr>
      <w:r w:rsidDel="00000000" w:rsidR="00000000" w:rsidRPr="00000000">
        <w:rPr>
          <w:rtl w:val="0"/>
        </w:rPr>
      </w:r>
    </w:p>
    <w:p w:rsidR="00000000" w:rsidDel="00000000" w:rsidP="00000000" w:rsidRDefault="00000000" w:rsidRPr="00000000" w14:paraId="00000058">
      <w:pPr>
        <w:rPr>
          <w:color w:val="3a3a3a"/>
          <w:sz w:val="24"/>
          <w:szCs w:val="24"/>
          <w:highlight w:val="white"/>
        </w:rPr>
      </w:pPr>
      <w:r w:rsidDel="00000000" w:rsidR="00000000" w:rsidRPr="00000000">
        <w:rPr>
          <w:sz w:val="24"/>
          <w:szCs w:val="24"/>
          <w:rtl w:val="0"/>
        </w:rPr>
        <w:t xml:space="preserve">Felix, J. and Webb, L. </w:t>
      </w:r>
      <w:r w:rsidDel="00000000" w:rsidR="00000000" w:rsidRPr="00000000">
        <w:rPr>
          <w:sz w:val="24"/>
          <w:szCs w:val="24"/>
          <w:rtl w:val="0"/>
        </w:rPr>
        <w:t xml:space="preserve">(2024)</w:t>
      </w:r>
      <w:r w:rsidDel="00000000" w:rsidR="00000000" w:rsidRPr="00000000">
        <w:rPr>
          <w:i w:val="1"/>
          <w:sz w:val="24"/>
          <w:szCs w:val="24"/>
          <w:rtl w:val="0"/>
        </w:rPr>
        <w:t xml:space="preserve"> </w:t>
      </w:r>
      <w:r w:rsidDel="00000000" w:rsidR="00000000" w:rsidRPr="00000000">
        <w:rPr>
          <w:i w:val="1"/>
          <w:sz w:val="24"/>
          <w:szCs w:val="24"/>
          <w:highlight w:val="white"/>
          <w:rtl w:val="0"/>
        </w:rPr>
        <w:t xml:space="preserve">Use of artificial intelligence in education delivery and assessment.</w:t>
      </w:r>
      <w:r w:rsidDel="00000000" w:rsidR="00000000" w:rsidRPr="00000000">
        <w:rPr>
          <w:sz w:val="24"/>
          <w:szCs w:val="24"/>
          <w:highlight w:val="white"/>
          <w:rtl w:val="0"/>
        </w:rPr>
        <w:t xml:space="preserve"> Available at: </w:t>
      </w:r>
      <w:hyperlink r:id="rId17">
        <w:r w:rsidDel="00000000" w:rsidR="00000000" w:rsidRPr="00000000">
          <w:rPr>
            <w:color w:val="1155cc"/>
            <w:sz w:val="24"/>
            <w:szCs w:val="24"/>
            <w:highlight w:val="white"/>
            <w:u w:val="single"/>
            <w:rtl w:val="0"/>
          </w:rPr>
          <w:t xml:space="preserve">https://doi.org/10.58248/PN712</w:t>
        </w:r>
      </w:hyperlink>
      <w:r w:rsidDel="00000000" w:rsidR="00000000" w:rsidRPr="00000000">
        <w:rPr>
          <w:sz w:val="24"/>
          <w:szCs w:val="24"/>
          <w:highlight w:val="white"/>
          <w:rtl w:val="0"/>
        </w:rPr>
        <w:t xml:space="preserve"> </w:t>
      </w:r>
      <w:r w:rsidDel="00000000" w:rsidR="00000000" w:rsidRPr="00000000">
        <w:rPr>
          <w:rtl w:val="0"/>
        </w:rPr>
      </w:r>
    </w:p>
    <w:p w:rsidR="00000000" w:rsidDel="00000000" w:rsidP="00000000" w:rsidRDefault="00000000" w:rsidRPr="00000000" w14:paraId="00000059">
      <w:pPr>
        <w:rPr>
          <w:color w:val="3a3a3a"/>
          <w:sz w:val="24"/>
          <w:szCs w:val="24"/>
          <w:highlight w:val="white"/>
        </w:rPr>
      </w:pPr>
      <w:r w:rsidDel="00000000" w:rsidR="00000000" w:rsidRPr="00000000">
        <w:rPr>
          <w:rtl w:val="0"/>
        </w:rPr>
      </w:r>
    </w:p>
    <w:p w:rsidR="00000000" w:rsidDel="00000000" w:rsidP="00000000" w:rsidRDefault="00000000" w:rsidRPr="00000000" w14:paraId="0000005A">
      <w:pPr>
        <w:rPr>
          <w:sz w:val="24"/>
          <w:szCs w:val="24"/>
          <w:highlight w:val="white"/>
        </w:rPr>
      </w:pPr>
      <w:r w:rsidDel="00000000" w:rsidR="00000000" w:rsidRPr="00000000">
        <w:rPr>
          <w:sz w:val="24"/>
          <w:szCs w:val="24"/>
          <w:highlight w:val="white"/>
          <w:rtl w:val="0"/>
        </w:rPr>
        <w:t xml:space="preserve">Jackson, I. (2024) </w:t>
      </w:r>
      <w:r w:rsidDel="00000000" w:rsidR="00000000" w:rsidRPr="00000000">
        <w:rPr>
          <w:i w:val="1"/>
          <w:sz w:val="24"/>
          <w:szCs w:val="24"/>
          <w:highlight w:val="white"/>
          <w:rtl w:val="0"/>
        </w:rPr>
        <w:t xml:space="preserve">More than two in five HR teams feel overwhelmed, research reveals</w:t>
      </w:r>
      <w:r w:rsidDel="00000000" w:rsidR="00000000" w:rsidRPr="00000000">
        <w:rPr>
          <w:sz w:val="24"/>
          <w:szCs w:val="24"/>
          <w:highlight w:val="white"/>
          <w:rtl w:val="0"/>
        </w:rPr>
        <w:t xml:space="preserve">. Available at: </w:t>
      </w:r>
      <w:hyperlink r:id="rId18">
        <w:r w:rsidDel="00000000" w:rsidR="00000000" w:rsidRPr="00000000">
          <w:rPr>
            <w:color w:val="1155cc"/>
            <w:sz w:val="24"/>
            <w:szCs w:val="24"/>
            <w:highlight w:val="white"/>
            <w:u w:val="single"/>
            <w:rtl w:val="0"/>
          </w:rPr>
          <w:t xml:space="preserve">https://www.peoplemanagement.co.uk/article/1896877/two-five-hr-teams-feel-overwhelmed-research-reveals?bulletin=pm-daily&amp;utm_source=mc&amp;utm_medium=email&amp;utm_content=20241120_PM+Daily_NWL_CIPD_GLO_MIX_MAN_NA.https%3a%2f%2fwww.peoplemanagement.co.uk%2farticle%2f1896877%2ftwo-five-hr-teams-feel-overwhelmed-research-reveals%3fbulletin%3dpm-daily&amp;utm_campaign=&amp;utm_term=5783333</w:t>
        </w:r>
      </w:hyperlink>
      <w:r w:rsidDel="00000000" w:rsidR="00000000" w:rsidRPr="00000000">
        <w:rPr>
          <w:sz w:val="24"/>
          <w:szCs w:val="24"/>
          <w:highlight w:val="white"/>
          <w:rtl w:val="0"/>
        </w:rPr>
        <w:t xml:space="preserve"> (Accessed: 23 November 2024).</w:t>
      </w:r>
      <w:r w:rsidDel="00000000" w:rsidR="00000000" w:rsidRPr="00000000">
        <w:rPr>
          <w:rtl w:val="0"/>
        </w:rPr>
      </w:r>
    </w:p>
    <w:p w:rsidR="00000000" w:rsidDel="00000000" w:rsidP="00000000" w:rsidRDefault="00000000" w:rsidRPr="00000000" w14:paraId="0000005B">
      <w:pPr>
        <w:rPr>
          <w:sz w:val="24"/>
          <w:szCs w:val="24"/>
          <w:highlight w:val="white"/>
        </w:rPr>
      </w:pPr>
      <w:r w:rsidDel="00000000" w:rsidR="00000000" w:rsidRPr="00000000">
        <w:rPr>
          <w:rtl w:val="0"/>
        </w:rPr>
      </w:r>
    </w:p>
    <w:p w:rsidR="00000000" w:rsidDel="00000000" w:rsidP="00000000" w:rsidRDefault="00000000" w:rsidRPr="00000000" w14:paraId="0000005C">
      <w:pPr>
        <w:rPr>
          <w:sz w:val="24"/>
          <w:szCs w:val="24"/>
          <w:highlight w:val="white"/>
        </w:rPr>
      </w:pPr>
      <w:r w:rsidDel="00000000" w:rsidR="00000000" w:rsidRPr="00000000">
        <w:rPr>
          <w:sz w:val="24"/>
          <w:szCs w:val="24"/>
          <w:highlight w:val="white"/>
          <w:rtl w:val="0"/>
        </w:rPr>
        <w:t xml:space="preserve">Jisc (2023) </w:t>
      </w:r>
      <w:r w:rsidDel="00000000" w:rsidR="00000000" w:rsidRPr="00000000">
        <w:rPr>
          <w:i w:val="1"/>
          <w:sz w:val="24"/>
          <w:szCs w:val="24"/>
          <w:highlight w:val="white"/>
          <w:rtl w:val="0"/>
        </w:rPr>
        <w:t xml:space="preserve">Imagine the future of further education with Jisc</w:t>
      </w:r>
      <w:r w:rsidDel="00000000" w:rsidR="00000000" w:rsidRPr="00000000">
        <w:rPr>
          <w:sz w:val="24"/>
          <w:szCs w:val="24"/>
          <w:highlight w:val="white"/>
          <w:rtl w:val="0"/>
        </w:rPr>
        <w:t xml:space="preserve">. Available at: </w:t>
      </w:r>
      <w:hyperlink r:id="rId19">
        <w:r w:rsidDel="00000000" w:rsidR="00000000" w:rsidRPr="00000000">
          <w:rPr>
            <w:color w:val="1155cc"/>
            <w:sz w:val="24"/>
            <w:szCs w:val="24"/>
            <w:highlight w:val="white"/>
            <w:u w:val="single"/>
            <w:rtl w:val="0"/>
          </w:rPr>
          <w:t xml:space="preserve">https://www.jisc.ac.uk/news/all/imagine-the-future-of-further-education-with-jisc</w:t>
        </w:r>
      </w:hyperlink>
      <w:r w:rsidDel="00000000" w:rsidR="00000000" w:rsidRPr="00000000">
        <w:rPr>
          <w:sz w:val="24"/>
          <w:szCs w:val="24"/>
          <w:highlight w:val="white"/>
          <w:rtl w:val="0"/>
        </w:rPr>
        <w:t xml:space="preserve"> (Accessed: 23 November 2024).</w:t>
      </w:r>
    </w:p>
    <w:p w:rsidR="00000000" w:rsidDel="00000000" w:rsidP="00000000" w:rsidRDefault="00000000" w:rsidRPr="00000000" w14:paraId="0000005D">
      <w:pPr>
        <w:rPr>
          <w:sz w:val="24"/>
          <w:szCs w:val="24"/>
          <w:highlight w:val="white"/>
        </w:rPr>
      </w:pPr>
      <w:r w:rsidDel="00000000" w:rsidR="00000000" w:rsidRPr="00000000">
        <w:rPr>
          <w:rtl w:val="0"/>
        </w:rPr>
      </w:r>
    </w:p>
    <w:p w:rsidR="00000000" w:rsidDel="00000000" w:rsidP="00000000" w:rsidRDefault="00000000" w:rsidRPr="00000000" w14:paraId="0000005E">
      <w:pPr>
        <w:rPr>
          <w:sz w:val="24"/>
          <w:szCs w:val="24"/>
          <w:highlight w:val="white"/>
        </w:rPr>
      </w:pPr>
      <w:r w:rsidDel="00000000" w:rsidR="00000000" w:rsidRPr="00000000">
        <w:rPr>
          <w:sz w:val="24"/>
          <w:szCs w:val="24"/>
          <w:highlight w:val="white"/>
          <w:rtl w:val="0"/>
        </w:rPr>
        <w:t xml:space="preserve">Jisc data analytics (2024) </w:t>
      </w:r>
      <w:r w:rsidDel="00000000" w:rsidR="00000000" w:rsidRPr="00000000">
        <w:rPr>
          <w:i w:val="1"/>
          <w:sz w:val="24"/>
          <w:szCs w:val="24"/>
          <w:highlight w:val="white"/>
          <w:rtl w:val="0"/>
        </w:rPr>
        <w:t xml:space="preserve">Learner digital experience insights survey 2023/24 UK further education (FE) survey findings</w:t>
      </w:r>
      <w:r w:rsidDel="00000000" w:rsidR="00000000" w:rsidRPr="00000000">
        <w:rPr>
          <w:sz w:val="24"/>
          <w:szCs w:val="24"/>
          <w:highlight w:val="white"/>
          <w:rtl w:val="0"/>
        </w:rPr>
        <w:t xml:space="preserve">. Available at: </w:t>
      </w:r>
      <w:hyperlink r:id="rId20">
        <w:r w:rsidDel="00000000" w:rsidR="00000000" w:rsidRPr="00000000">
          <w:rPr>
            <w:color w:val="1155cc"/>
            <w:sz w:val="24"/>
            <w:szCs w:val="24"/>
            <w:highlight w:val="white"/>
            <w:u w:val="single"/>
            <w:rtl w:val="0"/>
          </w:rPr>
          <w:t xml:space="preserve">https://repository.jisc.ac.uk/9647/1/DEI-2024-learner-fe-report.pdf</w:t>
        </w:r>
      </w:hyperlink>
      <w:r w:rsidDel="00000000" w:rsidR="00000000" w:rsidRPr="00000000">
        <w:rPr>
          <w:sz w:val="24"/>
          <w:szCs w:val="24"/>
          <w:highlight w:val="white"/>
          <w:rtl w:val="0"/>
        </w:rPr>
        <w:t xml:space="preserve"> (Accessed: 23 November 2024).</w:t>
      </w:r>
    </w:p>
    <w:p w:rsidR="00000000" w:rsidDel="00000000" w:rsidP="00000000" w:rsidRDefault="00000000" w:rsidRPr="00000000" w14:paraId="0000005F">
      <w:pPr>
        <w:rPr>
          <w:sz w:val="24"/>
          <w:szCs w:val="24"/>
          <w:highlight w:val="white"/>
        </w:rPr>
      </w:pPr>
      <w:r w:rsidDel="00000000" w:rsidR="00000000" w:rsidRPr="00000000">
        <w:rPr>
          <w:rtl w:val="0"/>
        </w:rPr>
      </w:r>
    </w:p>
    <w:p w:rsidR="00000000" w:rsidDel="00000000" w:rsidP="00000000" w:rsidRDefault="00000000" w:rsidRPr="00000000" w14:paraId="00000060">
      <w:pPr>
        <w:rPr>
          <w:sz w:val="24"/>
          <w:szCs w:val="24"/>
          <w:highlight w:val="white"/>
        </w:rPr>
      </w:pPr>
      <w:r w:rsidDel="00000000" w:rsidR="00000000" w:rsidRPr="00000000">
        <w:rPr>
          <w:sz w:val="24"/>
          <w:szCs w:val="24"/>
          <w:highlight w:val="white"/>
          <w:rtl w:val="0"/>
        </w:rPr>
        <w:t xml:space="preserve">Loos, E., Gröpler, J. and Goudeau, M-L.,S. (2023) </w:t>
      </w:r>
      <w:r w:rsidDel="00000000" w:rsidR="00000000" w:rsidRPr="00000000">
        <w:rPr>
          <w:sz w:val="24"/>
          <w:szCs w:val="24"/>
          <w:highlight w:val="white"/>
          <w:rtl w:val="0"/>
        </w:rPr>
        <w:t xml:space="preserve">‘Using ChatGPT in Education: Human Reflection on ChatGPT’s Self-Reflection’, </w:t>
      </w:r>
      <w:r w:rsidDel="00000000" w:rsidR="00000000" w:rsidRPr="00000000">
        <w:rPr>
          <w:i w:val="1"/>
          <w:sz w:val="24"/>
          <w:szCs w:val="24"/>
          <w:highlight w:val="white"/>
          <w:rtl w:val="0"/>
        </w:rPr>
        <w:t xml:space="preserve">Societies</w:t>
      </w:r>
      <w:r w:rsidDel="00000000" w:rsidR="00000000" w:rsidRPr="00000000">
        <w:rPr>
          <w:sz w:val="24"/>
          <w:szCs w:val="24"/>
          <w:highlight w:val="white"/>
          <w:rtl w:val="0"/>
        </w:rPr>
        <w:t xml:space="preserve">, 13(8), pp. 196-. Available at: </w:t>
      </w:r>
      <w:hyperlink r:id="rId21">
        <w:r w:rsidDel="00000000" w:rsidR="00000000" w:rsidRPr="00000000">
          <w:rPr>
            <w:color w:val="1155cc"/>
            <w:sz w:val="24"/>
            <w:szCs w:val="24"/>
            <w:highlight w:val="white"/>
            <w:u w:val="single"/>
            <w:rtl w:val="0"/>
          </w:rPr>
          <w:t xml:space="preserve">https://doi.org/10.3390/soc13080196</w:t>
        </w:r>
      </w:hyperlink>
      <w:r w:rsidDel="00000000" w:rsidR="00000000" w:rsidRPr="00000000">
        <w:rPr>
          <w:rtl w:val="0"/>
        </w:rPr>
      </w:r>
    </w:p>
    <w:p w:rsidR="00000000" w:rsidDel="00000000" w:rsidP="00000000" w:rsidRDefault="00000000" w:rsidRPr="00000000" w14:paraId="00000061">
      <w:pPr>
        <w:rPr>
          <w:sz w:val="24"/>
          <w:szCs w:val="24"/>
          <w:highlight w:val="white"/>
        </w:rPr>
      </w:pPr>
      <w:r w:rsidDel="00000000" w:rsidR="00000000" w:rsidRPr="00000000">
        <w:rPr>
          <w:rtl w:val="0"/>
        </w:rPr>
      </w:r>
    </w:p>
    <w:p w:rsidR="00000000" w:rsidDel="00000000" w:rsidP="00000000" w:rsidRDefault="00000000" w:rsidRPr="00000000" w14:paraId="00000062">
      <w:pPr>
        <w:rPr>
          <w:sz w:val="24"/>
          <w:szCs w:val="24"/>
          <w:shd w:fill="f9fbfd" w:val="clear"/>
        </w:rPr>
      </w:pPr>
      <w:r w:rsidDel="00000000" w:rsidR="00000000" w:rsidRPr="00000000">
        <w:rPr>
          <w:sz w:val="24"/>
          <w:szCs w:val="24"/>
          <w:highlight w:val="white"/>
          <w:rtl w:val="0"/>
        </w:rPr>
        <w:t xml:space="preserve">Morgan, S. (2024) </w:t>
      </w:r>
      <w:r w:rsidDel="00000000" w:rsidR="00000000" w:rsidRPr="00000000">
        <w:rPr>
          <w:i w:val="1"/>
          <w:sz w:val="24"/>
          <w:szCs w:val="24"/>
          <w:shd w:fill="f9fbfd" w:val="clear"/>
          <w:rtl w:val="0"/>
        </w:rPr>
        <w:t xml:space="preserve">A Personalised Learning Journey</w:t>
      </w:r>
      <w:r w:rsidDel="00000000" w:rsidR="00000000" w:rsidRPr="00000000">
        <w:rPr>
          <w:sz w:val="24"/>
          <w:szCs w:val="24"/>
          <w:shd w:fill="f9fbfd" w:val="clear"/>
          <w:rtl w:val="0"/>
        </w:rPr>
        <w:t xml:space="preserve"> -</w:t>
      </w:r>
      <w:r w:rsidDel="00000000" w:rsidR="00000000" w:rsidRPr="00000000">
        <w:rPr>
          <w:i w:val="1"/>
          <w:sz w:val="24"/>
          <w:szCs w:val="24"/>
          <w:shd w:fill="f9fbfd" w:val="clear"/>
          <w:rtl w:val="0"/>
        </w:rPr>
        <w:t xml:space="preserve"> Ethical Guidance.</w:t>
      </w:r>
      <w:r w:rsidDel="00000000" w:rsidR="00000000" w:rsidRPr="00000000">
        <w:rPr>
          <w:sz w:val="24"/>
          <w:szCs w:val="24"/>
          <w:shd w:fill="f9fbfd" w:val="clear"/>
          <w:rtl w:val="0"/>
        </w:rPr>
        <w:t xml:space="preserve"> Available at: </w:t>
      </w:r>
      <w:hyperlink r:id="rId22">
        <w:r w:rsidDel="00000000" w:rsidR="00000000" w:rsidRPr="00000000">
          <w:rPr>
            <w:color w:val="1155cc"/>
            <w:sz w:val="24"/>
            <w:szCs w:val="24"/>
            <w:u w:val="single"/>
            <w:shd w:fill="f9fbfd" w:val="clear"/>
            <w:rtl w:val="0"/>
          </w:rPr>
          <w:t xml:space="preserve">https://docs.google.com/document/d/1VScNbFRFoNrQUh2fECFdVD9anoytWtNI5QFbgSxKgM0/edit?tab=t.0</w:t>
        </w:r>
      </w:hyperlink>
      <w:r w:rsidDel="00000000" w:rsidR="00000000" w:rsidRPr="00000000">
        <w:rPr>
          <w:sz w:val="24"/>
          <w:szCs w:val="24"/>
          <w:shd w:fill="f9fbfd" w:val="clear"/>
          <w:rtl w:val="0"/>
        </w:rPr>
        <w:t xml:space="preserve"> (Accessed: 23 November 2024).</w:t>
      </w:r>
    </w:p>
    <w:p w:rsidR="00000000" w:rsidDel="00000000" w:rsidP="00000000" w:rsidRDefault="00000000" w:rsidRPr="00000000" w14:paraId="00000063">
      <w:pPr>
        <w:rPr>
          <w:rFonts w:ascii="Roboto" w:cs="Roboto" w:eastAsia="Roboto" w:hAnsi="Roboto"/>
          <w:sz w:val="24"/>
          <w:szCs w:val="24"/>
          <w:highlight w:val="white"/>
        </w:rPr>
      </w:pPr>
      <w:r w:rsidDel="00000000" w:rsidR="00000000" w:rsidRPr="00000000">
        <w:rPr>
          <w:rtl w:val="0"/>
        </w:rPr>
      </w:r>
    </w:p>
    <w:p w:rsidR="00000000" w:rsidDel="00000000" w:rsidP="00000000" w:rsidRDefault="00000000" w:rsidRPr="00000000" w14:paraId="00000064">
      <w:pPr>
        <w:rPr>
          <w:sz w:val="24"/>
          <w:szCs w:val="24"/>
          <w:highlight w:val="white"/>
        </w:rPr>
      </w:pPr>
      <w:r w:rsidDel="00000000" w:rsidR="00000000" w:rsidRPr="00000000">
        <w:rPr>
          <w:sz w:val="24"/>
          <w:szCs w:val="24"/>
          <w:highlight w:val="white"/>
          <w:rtl w:val="0"/>
        </w:rPr>
        <w:t xml:space="preserve">National Educatio</w:t>
      </w:r>
      <w:r w:rsidDel="00000000" w:rsidR="00000000" w:rsidRPr="00000000">
        <w:rPr>
          <w:sz w:val="24"/>
          <w:szCs w:val="24"/>
          <w:rtl w:val="0"/>
        </w:rPr>
        <w:t xml:space="preserve">n Union (2024) </w:t>
      </w:r>
      <w:r w:rsidDel="00000000" w:rsidR="00000000" w:rsidRPr="00000000">
        <w:rPr>
          <w:i w:val="1"/>
          <w:sz w:val="24"/>
          <w:szCs w:val="24"/>
          <w:rtl w:val="0"/>
        </w:rPr>
        <w:t xml:space="preserve">Use and abuse of artificial intelligence</w:t>
      </w:r>
      <w:r w:rsidDel="00000000" w:rsidR="00000000" w:rsidRPr="00000000">
        <w:rPr>
          <w:sz w:val="24"/>
          <w:szCs w:val="24"/>
          <w:rtl w:val="0"/>
        </w:rPr>
        <w:t xml:space="preserve">. Available at: </w:t>
      </w:r>
      <w:hyperlink r:id="rId23">
        <w:r w:rsidDel="00000000" w:rsidR="00000000" w:rsidRPr="00000000">
          <w:rPr>
            <w:color w:val="1155cc"/>
            <w:sz w:val="24"/>
            <w:szCs w:val="24"/>
            <w:u w:val="single"/>
            <w:rtl w:val="0"/>
          </w:rPr>
          <w:t xml:space="preserve">https://neu.org.uk/advice/classroom/artificial-intelligence-education/use-and-abuse-artificial-intelligence</w:t>
        </w:r>
      </w:hyperlink>
      <w:r w:rsidDel="00000000" w:rsidR="00000000" w:rsidRPr="00000000">
        <w:rPr>
          <w:sz w:val="24"/>
          <w:szCs w:val="24"/>
          <w:highlight w:val="white"/>
          <w:rtl w:val="0"/>
        </w:rPr>
        <w:t xml:space="preserve"> (Accessed: 26 November 2024).</w:t>
      </w:r>
      <w:r w:rsidDel="00000000" w:rsidR="00000000" w:rsidRPr="00000000">
        <w:rPr>
          <w:rtl w:val="0"/>
        </w:rPr>
      </w:r>
    </w:p>
    <w:p w:rsidR="00000000" w:rsidDel="00000000" w:rsidP="00000000" w:rsidRDefault="00000000" w:rsidRPr="00000000" w14:paraId="00000065">
      <w:pPr>
        <w:rPr>
          <w:sz w:val="24"/>
          <w:szCs w:val="24"/>
          <w:highlight w:val="white"/>
        </w:rPr>
      </w:pPr>
      <w:r w:rsidDel="00000000" w:rsidR="00000000" w:rsidRPr="00000000">
        <w:rPr>
          <w:rtl w:val="0"/>
        </w:rPr>
      </w:r>
    </w:p>
    <w:p w:rsidR="00000000" w:rsidDel="00000000" w:rsidP="00000000" w:rsidRDefault="00000000" w:rsidRPr="00000000" w14:paraId="00000066">
      <w:pPr>
        <w:rPr>
          <w:sz w:val="24"/>
          <w:szCs w:val="24"/>
          <w:highlight w:val="white"/>
        </w:rPr>
      </w:pPr>
      <w:r w:rsidDel="00000000" w:rsidR="00000000" w:rsidRPr="00000000">
        <w:rPr>
          <w:sz w:val="24"/>
          <w:szCs w:val="24"/>
          <w:highlight w:val="white"/>
          <w:rtl w:val="0"/>
        </w:rPr>
        <w:t xml:space="preserve">Pearce, N. (2024) </w:t>
      </w:r>
      <w:r w:rsidDel="00000000" w:rsidR="00000000" w:rsidRPr="00000000">
        <w:rPr>
          <w:i w:val="1"/>
          <w:sz w:val="24"/>
          <w:szCs w:val="24"/>
          <w:highlight w:val="white"/>
          <w:rtl w:val="0"/>
        </w:rPr>
        <w:t xml:space="preserve">The technology potential: Enhancing education through the power of technology.</w:t>
      </w:r>
      <w:r w:rsidDel="00000000" w:rsidR="00000000" w:rsidRPr="00000000">
        <w:rPr>
          <w:sz w:val="24"/>
          <w:szCs w:val="24"/>
          <w:highlight w:val="white"/>
          <w:rtl w:val="0"/>
        </w:rPr>
        <w:t xml:space="preserve"> Available at: </w:t>
      </w:r>
      <w:hyperlink r:id="rId24">
        <w:r w:rsidDel="00000000" w:rsidR="00000000" w:rsidRPr="00000000">
          <w:rPr>
            <w:color w:val="1155cc"/>
            <w:sz w:val="24"/>
            <w:szCs w:val="24"/>
            <w:highlight w:val="white"/>
            <w:u w:val="single"/>
            <w:rtl w:val="0"/>
          </w:rPr>
          <w:t xml:space="preserve">https://www.fenews.co.uk/fe-voices/the-technology-potential-enhancing-education-through-the-power-of-technology/</w:t>
        </w:r>
      </w:hyperlink>
      <w:r w:rsidDel="00000000" w:rsidR="00000000" w:rsidRPr="00000000">
        <w:rPr>
          <w:sz w:val="24"/>
          <w:szCs w:val="24"/>
          <w:highlight w:val="white"/>
          <w:rtl w:val="0"/>
        </w:rPr>
        <w:t xml:space="preserve"> (Accessed: 23 November 2024).</w:t>
      </w:r>
      <w:r w:rsidDel="00000000" w:rsidR="00000000" w:rsidRPr="00000000">
        <w:rPr>
          <w:rtl w:val="0"/>
        </w:rPr>
      </w:r>
    </w:p>
    <w:p w:rsidR="00000000" w:rsidDel="00000000" w:rsidP="00000000" w:rsidRDefault="00000000" w:rsidRPr="00000000" w14:paraId="00000067">
      <w:pPr>
        <w:rPr>
          <w:color w:val="3a3a3a"/>
          <w:sz w:val="24"/>
          <w:szCs w:val="24"/>
          <w:highlight w:val="white"/>
        </w:rPr>
      </w:pPr>
      <w:r w:rsidDel="00000000" w:rsidR="00000000" w:rsidRPr="00000000">
        <w:rPr>
          <w:rtl w:val="0"/>
        </w:rPr>
      </w:r>
    </w:p>
    <w:p w:rsidR="00000000" w:rsidDel="00000000" w:rsidP="00000000" w:rsidRDefault="00000000" w:rsidRPr="00000000" w14:paraId="00000068">
      <w:pPr>
        <w:rPr>
          <w:color w:val="3a3a3a"/>
          <w:sz w:val="24"/>
          <w:szCs w:val="24"/>
          <w:highlight w:val="white"/>
        </w:rPr>
      </w:pPr>
      <w:r w:rsidDel="00000000" w:rsidR="00000000" w:rsidRPr="00000000">
        <w:rPr>
          <w:sz w:val="24"/>
          <w:szCs w:val="24"/>
          <w:highlight w:val="white"/>
          <w:rtl w:val="0"/>
        </w:rPr>
        <w:t xml:space="preserve">PM Editorial (2024) </w:t>
      </w:r>
      <w:r w:rsidDel="00000000" w:rsidR="00000000" w:rsidRPr="00000000">
        <w:rPr>
          <w:i w:val="1"/>
          <w:sz w:val="24"/>
          <w:szCs w:val="24"/>
          <w:highlight w:val="white"/>
          <w:rtl w:val="0"/>
        </w:rPr>
        <w:t xml:space="preserve">11 things HR needs to know about the employment rights bill.</w:t>
      </w:r>
      <w:r w:rsidDel="00000000" w:rsidR="00000000" w:rsidRPr="00000000">
        <w:rPr>
          <w:sz w:val="24"/>
          <w:szCs w:val="24"/>
          <w:highlight w:val="white"/>
          <w:rtl w:val="0"/>
        </w:rPr>
        <w:t xml:space="preserve"> Available at: </w:t>
      </w:r>
      <w:hyperlink r:id="rId25">
        <w:r w:rsidDel="00000000" w:rsidR="00000000" w:rsidRPr="00000000">
          <w:rPr>
            <w:color w:val="1155cc"/>
            <w:sz w:val="24"/>
            <w:szCs w:val="24"/>
            <w:highlight w:val="white"/>
            <w:u w:val="single"/>
            <w:rtl w:val="0"/>
          </w:rPr>
          <w:t xml:space="preserve">https://www.peoplemanagement.co.uk/article/1891914/11-things-hr-needs-know-employment-rights-bill</w:t>
        </w:r>
      </w:hyperlink>
      <w:r w:rsidDel="00000000" w:rsidR="00000000" w:rsidRPr="00000000">
        <w:rPr>
          <w:sz w:val="24"/>
          <w:szCs w:val="24"/>
          <w:highlight w:val="white"/>
          <w:rtl w:val="0"/>
        </w:rPr>
        <w:t xml:space="preserve"> (Accessed: 23 November 2024).</w:t>
      </w:r>
      <w:r w:rsidDel="00000000" w:rsidR="00000000" w:rsidRPr="00000000">
        <w:rPr>
          <w:rtl w:val="0"/>
        </w:rPr>
      </w:r>
    </w:p>
    <w:p w:rsidR="00000000" w:rsidDel="00000000" w:rsidP="00000000" w:rsidRDefault="00000000" w:rsidRPr="00000000" w14:paraId="00000069">
      <w:pPr>
        <w:rPr>
          <w:rFonts w:ascii="Source Sans Pro" w:cs="Source Sans Pro" w:eastAsia="Source Sans Pro" w:hAnsi="Source Sans Pro"/>
          <w:color w:val="3a3a3a"/>
          <w:sz w:val="23"/>
          <w:szCs w:val="23"/>
          <w:highlight w:val="white"/>
        </w:rPr>
      </w:pPr>
      <w:r w:rsidDel="00000000" w:rsidR="00000000" w:rsidRPr="00000000">
        <w:rPr>
          <w:rtl w:val="0"/>
        </w:rPr>
      </w:r>
    </w:p>
    <w:p w:rsidR="00000000" w:rsidDel="00000000" w:rsidP="00000000" w:rsidRDefault="00000000" w:rsidRPr="00000000" w14:paraId="0000006A">
      <w:pPr>
        <w:rPr>
          <w:sz w:val="24"/>
          <w:szCs w:val="24"/>
        </w:rPr>
      </w:pPr>
      <w:r w:rsidDel="00000000" w:rsidR="00000000" w:rsidRPr="00000000">
        <w:rPr>
          <w:sz w:val="24"/>
          <w:szCs w:val="24"/>
          <w:rtl w:val="0"/>
        </w:rPr>
        <w:t xml:space="preserve">Taylor, S. and Perkins, G. (2021) </w:t>
      </w:r>
      <w:r w:rsidDel="00000000" w:rsidR="00000000" w:rsidRPr="00000000">
        <w:rPr>
          <w:i w:val="1"/>
          <w:sz w:val="24"/>
          <w:szCs w:val="24"/>
          <w:rtl w:val="0"/>
        </w:rPr>
        <w:t xml:space="preserve">Work and employment in a changing business environment</w:t>
      </w:r>
      <w:r w:rsidDel="00000000" w:rsidR="00000000" w:rsidRPr="00000000">
        <w:rPr>
          <w:sz w:val="24"/>
          <w:szCs w:val="24"/>
          <w:rtl w:val="0"/>
        </w:rPr>
        <w:t xml:space="preserve">. London: Kogan Page. </w:t>
      </w:r>
    </w:p>
    <w:p w:rsidR="00000000" w:rsidDel="00000000" w:rsidP="00000000" w:rsidRDefault="00000000" w:rsidRPr="00000000" w14:paraId="0000006B">
      <w:pPr>
        <w:rPr>
          <w:sz w:val="24"/>
          <w:szCs w:val="24"/>
        </w:rPr>
      </w:pPr>
      <w:r w:rsidDel="00000000" w:rsidR="00000000" w:rsidRPr="00000000">
        <w:rPr>
          <w:rtl w:val="0"/>
        </w:rPr>
      </w:r>
    </w:p>
    <w:p w:rsidR="00000000" w:rsidDel="00000000" w:rsidP="00000000" w:rsidRDefault="00000000" w:rsidRPr="00000000" w14:paraId="0000006C">
      <w:pPr>
        <w:rPr>
          <w:sz w:val="24"/>
          <w:szCs w:val="24"/>
          <w:highlight w:val="white"/>
        </w:rPr>
      </w:pPr>
      <w:r w:rsidDel="00000000" w:rsidR="00000000" w:rsidRPr="00000000">
        <w:rPr>
          <w:sz w:val="24"/>
          <w:szCs w:val="24"/>
          <w:rtl w:val="0"/>
        </w:rPr>
        <w:t xml:space="preserve">Timotheou, S., Miliou, O., Dimitriadis, Y., Sobrino, S. V., Giannoutsou, N., Cachia, R., Monés, A. M. and Ioannou, A. </w:t>
      </w:r>
      <w:r w:rsidDel="00000000" w:rsidR="00000000" w:rsidRPr="00000000">
        <w:rPr>
          <w:sz w:val="24"/>
          <w:szCs w:val="24"/>
          <w:highlight w:val="white"/>
          <w:rtl w:val="0"/>
        </w:rPr>
        <w:t xml:space="preserve">(2023) ‘Impacts of digital technologies on education and factors influencing schools’ digital capacity and transformation: A literature review’, </w:t>
      </w:r>
      <w:r w:rsidDel="00000000" w:rsidR="00000000" w:rsidRPr="00000000">
        <w:rPr>
          <w:i w:val="1"/>
          <w:sz w:val="24"/>
          <w:szCs w:val="24"/>
          <w:highlight w:val="white"/>
          <w:rtl w:val="0"/>
        </w:rPr>
        <w:t xml:space="preserve">Education and Information Technologies</w:t>
      </w:r>
      <w:r w:rsidDel="00000000" w:rsidR="00000000" w:rsidRPr="00000000">
        <w:rPr>
          <w:sz w:val="24"/>
          <w:szCs w:val="24"/>
          <w:highlight w:val="white"/>
          <w:rtl w:val="0"/>
        </w:rPr>
        <w:t xml:space="preserve">, 28(6), pp. 6695–6726. Available at: </w:t>
      </w:r>
      <w:hyperlink r:id="rId26">
        <w:r w:rsidDel="00000000" w:rsidR="00000000" w:rsidRPr="00000000">
          <w:rPr>
            <w:color w:val="1155cc"/>
            <w:sz w:val="24"/>
            <w:szCs w:val="24"/>
            <w:highlight w:val="white"/>
            <w:u w:val="single"/>
            <w:rtl w:val="0"/>
          </w:rPr>
          <w:t xml:space="preserve">https://doi.org/10.1007/s10639-022-11431-8</w:t>
        </w:r>
      </w:hyperlink>
      <w:r w:rsidDel="00000000" w:rsidR="00000000" w:rsidRPr="00000000">
        <w:rPr>
          <w:rtl w:val="0"/>
        </w:rPr>
      </w:r>
    </w:p>
    <w:p w:rsidR="00000000" w:rsidDel="00000000" w:rsidP="00000000" w:rsidRDefault="00000000" w:rsidRPr="00000000" w14:paraId="0000006D">
      <w:pPr>
        <w:rPr>
          <w:sz w:val="24"/>
          <w:szCs w:val="24"/>
          <w:highlight w:val="white"/>
        </w:rPr>
      </w:pPr>
      <w:r w:rsidDel="00000000" w:rsidR="00000000" w:rsidRPr="00000000">
        <w:rPr>
          <w:rtl w:val="0"/>
        </w:rPr>
      </w:r>
    </w:p>
    <w:p w:rsidR="00000000" w:rsidDel="00000000" w:rsidP="00000000" w:rsidRDefault="00000000" w:rsidRPr="00000000" w14:paraId="0000006E">
      <w:pPr>
        <w:rPr>
          <w:sz w:val="24"/>
          <w:szCs w:val="24"/>
        </w:rPr>
      </w:pPr>
      <w:r w:rsidDel="00000000" w:rsidR="00000000" w:rsidRPr="00000000">
        <w:rPr>
          <w:sz w:val="24"/>
          <w:szCs w:val="24"/>
          <w:rtl w:val="0"/>
        </w:rPr>
        <w:t xml:space="preserve">UK Government (2024) </w:t>
      </w:r>
      <w:r w:rsidDel="00000000" w:rsidR="00000000" w:rsidRPr="00000000">
        <w:rPr>
          <w:i w:val="1"/>
          <w:sz w:val="24"/>
          <w:szCs w:val="24"/>
          <w:rtl w:val="0"/>
        </w:rPr>
        <w:t xml:space="preserve">Factsheet: Unfair Dismissal in the Employment Rights Bill</w:t>
      </w:r>
      <w:r w:rsidDel="00000000" w:rsidR="00000000" w:rsidRPr="00000000">
        <w:rPr>
          <w:sz w:val="24"/>
          <w:szCs w:val="24"/>
          <w:rtl w:val="0"/>
        </w:rPr>
        <w:t xml:space="preserve">. Available at: </w:t>
      </w:r>
      <w:hyperlink r:id="rId27">
        <w:r w:rsidDel="00000000" w:rsidR="00000000" w:rsidRPr="00000000">
          <w:rPr>
            <w:color w:val="1155cc"/>
            <w:sz w:val="24"/>
            <w:szCs w:val="24"/>
            <w:u w:val="single"/>
            <w:rtl w:val="0"/>
          </w:rPr>
          <w:t xml:space="preserve">https://assets.publishing.service.gov.uk/media/67125b939cd657734653d7e8/unfair-dismissal.pdf</w:t>
        </w:r>
      </w:hyperlink>
      <w:r w:rsidDel="00000000" w:rsidR="00000000" w:rsidRPr="00000000">
        <w:rPr>
          <w:sz w:val="24"/>
          <w:szCs w:val="24"/>
          <w:rtl w:val="0"/>
        </w:rPr>
        <w:t xml:space="preserve"> (Accessed: 3 November 2024).</w:t>
      </w:r>
    </w:p>
    <w:p w:rsidR="00000000" w:rsidDel="00000000" w:rsidP="00000000" w:rsidRDefault="00000000" w:rsidRPr="00000000" w14:paraId="0000006F">
      <w:pPr>
        <w:rPr>
          <w:sz w:val="24"/>
          <w:szCs w:val="24"/>
        </w:rPr>
      </w:pPr>
      <w:r w:rsidDel="00000000" w:rsidR="00000000" w:rsidRPr="00000000">
        <w:rPr>
          <w:rtl w:val="0"/>
        </w:rPr>
      </w:r>
    </w:p>
    <w:p w:rsidR="00000000" w:rsidDel="00000000" w:rsidP="00000000" w:rsidRDefault="00000000" w:rsidRPr="00000000" w14:paraId="00000070">
      <w:pPr>
        <w:rPr>
          <w:sz w:val="24"/>
          <w:szCs w:val="24"/>
        </w:rPr>
      </w:pPr>
      <w:r w:rsidDel="00000000" w:rsidR="00000000" w:rsidRPr="00000000">
        <w:rPr>
          <w:sz w:val="24"/>
          <w:szCs w:val="24"/>
          <w:rtl w:val="0"/>
        </w:rPr>
        <w:t xml:space="preserve">Webb, M. (2023) ‘Generative AI in further education and skills – the myths, the threats and the opportunities’, </w:t>
      </w:r>
      <w:r w:rsidDel="00000000" w:rsidR="00000000" w:rsidRPr="00000000">
        <w:rPr>
          <w:i w:val="1"/>
          <w:sz w:val="24"/>
          <w:szCs w:val="24"/>
          <w:rtl w:val="0"/>
        </w:rPr>
        <w:t xml:space="preserve">Colegau Cymru</w:t>
      </w:r>
      <w:r w:rsidDel="00000000" w:rsidR="00000000" w:rsidRPr="00000000">
        <w:rPr>
          <w:sz w:val="24"/>
          <w:szCs w:val="24"/>
          <w:rtl w:val="0"/>
        </w:rPr>
        <w:t xml:space="preserve">, 11 October. Available at: </w:t>
      </w:r>
      <w:hyperlink r:id="rId28">
        <w:r w:rsidDel="00000000" w:rsidR="00000000" w:rsidRPr="00000000">
          <w:rPr>
            <w:color w:val="1155cc"/>
            <w:sz w:val="24"/>
            <w:szCs w:val="24"/>
            <w:u w:val="single"/>
            <w:rtl w:val="0"/>
          </w:rPr>
          <w:t xml:space="preserve">https://www.colleges.wales/en/blog/post/generative-ai-in-further-education-and-skills-the-myths-the-threats-and-the-opportunities</w:t>
        </w:r>
      </w:hyperlink>
      <w:r w:rsidDel="00000000" w:rsidR="00000000" w:rsidRPr="00000000">
        <w:rPr>
          <w:sz w:val="24"/>
          <w:szCs w:val="24"/>
          <w:rtl w:val="0"/>
        </w:rPr>
        <w:t xml:space="preserve"> (Accessed: 26 November 2024).</w:t>
      </w:r>
    </w:p>
    <w:p w:rsidR="00000000" w:rsidDel="00000000" w:rsidP="00000000" w:rsidRDefault="00000000" w:rsidRPr="00000000" w14:paraId="00000071">
      <w:pPr>
        <w:rPr>
          <w:sz w:val="24"/>
          <w:szCs w:val="24"/>
        </w:rPr>
      </w:pPr>
      <w:r w:rsidDel="00000000" w:rsidR="00000000" w:rsidRPr="00000000">
        <w:rPr>
          <w:rtl w:val="0"/>
        </w:rPr>
      </w:r>
    </w:p>
    <w:p w:rsidR="00000000" w:rsidDel="00000000" w:rsidP="00000000" w:rsidRDefault="00000000" w:rsidRPr="00000000" w14:paraId="00000072">
      <w:pPr>
        <w:rPr>
          <w:sz w:val="24"/>
          <w:szCs w:val="24"/>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Source Sans Pro"/>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yperlink" Target="https://repository.jisc.ac.uk/9647/1/DEI-2024-learner-fe-report.pdf" TargetMode="External"/><Relationship Id="rId22" Type="http://schemas.openxmlformats.org/officeDocument/2006/relationships/hyperlink" Target="https://docs.google.com/document/d/1VScNbFRFoNrQUh2fECFdVD9anoytWtNI5QFbgSxKgM0/edit?tab=t.0" TargetMode="External"/><Relationship Id="rId21" Type="http://schemas.openxmlformats.org/officeDocument/2006/relationships/hyperlink" Target="https://doi.org/10.3390/soc13080196" TargetMode="External"/><Relationship Id="rId24" Type="http://schemas.openxmlformats.org/officeDocument/2006/relationships/hyperlink" Target="https://www.fenews.co.uk/fe-voices/the-technology-potential-enhancing-education-through-the-power-of-technology/" TargetMode="External"/><Relationship Id="rId23" Type="http://schemas.openxmlformats.org/officeDocument/2006/relationships/hyperlink" Target="https://neu.org.uk/advice/classroom/artificial-intelligence-education/use-and-abuse-artificial-intelligence"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doi.org/10.59249/SKDH9286" TargetMode="External"/><Relationship Id="rId26" Type="http://schemas.openxmlformats.org/officeDocument/2006/relationships/hyperlink" Target="https://doi.org/10.1007/s10639-022-11431-8" TargetMode="External"/><Relationship Id="rId25" Type="http://schemas.openxmlformats.org/officeDocument/2006/relationships/hyperlink" Target="https://www.peoplemanagement.co.uk/article/1891914/11-things-hr-needs-know-employment-rights-bill" TargetMode="External"/><Relationship Id="rId28" Type="http://schemas.openxmlformats.org/officeDocument/2006/relationships/hyperlink" Target="https://www.colleges.wales/en/blog/post/generative-ai-in-further-education-and-skills-the-myths-the-threats-and-the-opportunities" TargetMode="External"/><Relationship Id="rId27" Type="http://schemas.openxmlformats.org/officeDocument/2006/relationships/hyperlink" Target="https://assets.publishing.service.gov.uk/media/67125b939cd657734653d7e8/unfair-dismissal.pdf" TargetMode="External"/><Relationship Id="rId5" Type="http://schemas.openxmlformats.org/officeDocument/2006/relationships/styles" Target="styles.xml"/><Relationship Id="rId6" Type="http://schemas.openxmlformats.org/officeDocument/2006/relationships/hyperlink" Target="https://www.acas.org.uk/dismissals/unfair-dismissal" TargetMode="External"/><Relationship Id="rId7" Type="http://schemas.openxmlformats.org/officeDocument/2006/relationships/hyperlink" Target="https://doi.org/10.1007/s44217-024-00138-2" TargetMode="External"/><Relationship Id="rId8" Type="http://schemas.openxmlformats.org/officeDocument/2006/relationships/hyperlink" Target="https://www.cipd.org/uk/knowledge/factsheets/pestle-analysis-factsheet/" TargetMode="External"/><Relationship Id="rId11" Type="http://schemas.openxmlformats.org/officeDocument/2006/relationships/hyperlink" Target="https://www.citizensadvice.org.uk/wales/work/employment-tribunal/employment-tribunals/before-you-go-to-the-tribunal/check-what-compensation-you-can-get-for-unfair-dismissal/" TargetMode="External"/><Relationship Id="rId10" Type="http://schemas.openxmlformats.org/officeDocument/2006/relationships/hyperlink" Target="https://www.cipd.org/uk/knowledge/employment-law/proposed-changes-under-labour-government/" TargetMode="External"/><Relationship Id="rId13" Type="http://schemas.openxmlformats.org/officeDocument/2006/relationships/hyperlink" Target="https://www.peoplemanagement.co.uk/article/1890531/day-one-right-unfair-dismissal-significant-consequences-businesses" TargetMode="External"/><Relationship Id="rId12" Type="http://schemas.openxmlformats.org/officeDocument/2006/relationships/hyperlink" Target="https://doi.org/10.1093/indlaw/dwab018" TargetMode="External"/><Relationship Id="rId15" Type="http://schemas.openxmlformats.org/officeDocument/2006/relationships/hyperlink" Target="https://www.ewc.wales/site/index.php/en/documents-eng/about/workforce-statistics/national-education-workforce-survey-1/787-fe-and-wbl-education-workforce-survey-report-2023/file" TargetMode="External"/><Relationship Id="rId14" Type="http://schemas.openxmlformats.org/officeDocument/2006/relationships/hyperlink" Target="https://www.peoplemanagement.co.uk/article/1850431/10-most-read-employment-tribunal-reports-2023" TargetMode="External"/><Relationship Id="rId17" Type="http://schemas.openxmlformats.org/officeDocument/2006/relationships/hyperlink" Target="https://doi.org/10.58248/PN712" TargetMode="External"/><Relationship Id="rId16" Type="http://schemas.openxmlformats.org/officeDocument/2006/relationships/hyperlink" Target="https://doi.org/10.1093/indlaw/dws004" TargetMode="External"/><Relationship Id="rId19" Type="http://schemas.openxmlformats.org/officeDocument/2006/relationships/hyperlink" Target="https://www.jisc.ac.uk/news/all/imagine-the-future-of-further-education-with-jisc" TargetMode="External"/><Relationship Id="rId18" Type="http://schemas.openxmlformats.org/officeDocument/2006/relationships/hyperlink" Target="https://www.peoplemanagement.co.uk/article/1896877/two-five-hr-teams-feel-overwhelmed-research-reveals?bulletin=pm-daily&amp;utm_source=mc&amp;utm_medium=email&amp;utm_content=20241120_PM+Daily_NWL_CIPD_GLO_MIX_MAN_NA.https%3a%2f%2fwww.peoplemanagement.co.uk%2farticle%2f1896877%2ftwo-five-hr-teams-feel-overwhelmed-research-reveals%3fbulletin%3dpm-daily&amp;utm_campaign=&amp;utm_term=5783333"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