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Pr>
        <w:pageBreakBefore/>
      </w:pPr>
      <w:r>
        <w:rPr>
          <w:lang w:eastAsia="en-GB"/>
        </w:rPr>
        <w:drawing>
          <wp:inline distT="0" distB="0" distL="0" distR="0">
            <wp:extent cx="3400425" cy="1418590"/>
            <wp:effectExtent l="0" t="0" r="9525" b="0"/>
            <wp:docPr id="1" name="Picture 212091570" descr="See the source image"/>
            <wp:cNvGraphicFramePr/>
            <a:graphic xmlns:a="http://schemas.openxmlformats.org/drawingml/2006/main">
              <a:graphicData uri="http://schemas.openxmlformats.org/drawingml/2006/picture">
                <pic:pic xmlns:pic="http://schemas.openxmlformats.org/drawingml/2006/picture">
                  <pic:nvPicPr>
                    <pic:cNvPr id="1" name="Picture 212091570" descr="See the source image"/>
                    <pic:cNvPicPr/>
                  </pic:nvPicPr>
                  <pic:blipFill>
                    <a:blip r:embed="rId8"/>
                    <a:stretch>
                      <a:fillRect/>
                    </a:stretch>
                  </pic:blipFill>
                  <pic:spPr>
                    <a:xfrm>
                      <a:off x="0" y="0"/>
                      <a:ext cx="3400425" cy="1419221"/>
                    </a:xfrm>
                    <a:prstGeom prst="rect">
                      <a:avLst/>
                    </a:prstGeom>
                    <a:noFill/>
                    <a:ln>
                      <a:noFill/>
                      <a:prstDash val="solid"/>
                    </a:ln>
                  </pic:spPr>
                </pic:pic>
              </a:graphicData>
            </a:graphic>
          </wp:inline>
        </w:drawing>
      </w:r>
      <w:r>
        <w:br w:type="textWrapping"/>
      </w:r>
    </w:p>
    <w:p/>
    <w:p>
      <w:pPr>
        <w:tabs>
          <w:tab w:val="left" w:pos="6540"/>
        </w:tabs>
        <w:spacing w:line="360" w:lineRule="auto"/>
        <w:jc w:val="center"/>
      </w:pPr>
      <w:r>
        <w:rPr>
          <w:rFonts w:ascii="Arial" w:hAnsi="Arial" w:eastAsia="Arial"/>
          <w:b/>
          <w:bCs/>
          <w:color w:val="000000"/>
          <w:sz w:val="24"/>
          <w:szCs w:val="24"/>
        </w:rPr>
        <w:t>Component 1</w:t>
      </w:r>
    </w:p>
    <w:p>
      <w:pPr>
        <w:tabs>
          <w:tab w:val="left" w:pos="6540"/>
        </w:tabs>
        <w:spacing w:line="360" w:lineRule="auto"/>
        <w:jc w:val="center"/>
        <w:rPr>
          <w:rFonts w:ascii="Arial" w:hAnsi="Arial" w:eastAsia="Arial"/>
          <w:color w:val="000000"/>
          <w:sz w:val="24"/>
          <w:szCs w:val="24"/>
        </w:rPr>
      </w:pPr>
      <w:r>
        <w:rPr>
          <w:rFonts w:ascii="Arial" w:hAnsi="Arial" w:eastAsia="Arial"/>
          <w:color w:val="000000"/>
          <w:sz w:val="24"/>
          <w:szCs w:val="24"/>
        </w:rPr>
        <w:t>Incidence of disease in communities</w:t>
      </w:r>
    </w:p>
    <w:p>
      <w:pPr>
        <w:tabs>
          <w:tab w:val="left" w:pos="6540"/>
        </w:tabs>
        <w:spacing w:line="360" w:lineRule="auto"/>
        <w:jc w:val="center"/>
        <w:rPr>
          <w:rFonts w:hint="default" w:ascii="Arial" w:hAnsi="Arial" w:eastAsia="Arial"/>
          <w:color w:val="000000"/>
          <w:sz w:val="24"/>
          <w:szCs w:val="24"/>
          <w:lang w:val="en-GB"/>
        </w:rPr>
      </w:pPr>
      <w:r>
        <w:rPr>
          <w:rFonts w:hint="default" w:ascii="Arial" w:hAnsi="Arial" w:eastAsia="Arial"/>
          <w:color w:val="000000"/>
          <w:sz w:val="24"/>
          <w:szCs w:val="24"/>
          <w:lang w:val="en-GB"/>
        </w:rPr>
        <w:t>Polio</w:t>
      </w:r>
    </w:p>
    <w:p>
      <w:pPr>
        <w:tabs>
          <w:tab w:val="left" w:pos="6540"/>
        </w:tabs>
        <w:spacing w:line="360" w:lineRule="auto"/>
        <w:rPr>
          <w:rFonts w:ascii="Arial" w:hAnsi="Arial" w:eastAsia="Arial"/>
          <w:color w:val="000000"/>
          <w:sz w:val="24"/>
          <w:szCs w:val="24"/>
        </w:rPr>
      </w:pPr>
    </w:p>
    <w:p>
      <w:pPr>
        <w:tabs>
          <w:tab w:val="left" w:pos="6540"/>
        </w:tabs>
        <w:spacing w:line="360" w:lineRule="auto"/>
        <w:rPr>
          <w:sz w:val="22"/>
          <w:szCs w:val="22"/>
        </w:rPr>
      </w:pPr>
      <w:r>
        <w:rPr>
          <w:rFonts w:ascii="Arial" w:hAnsi="Arial" w:eastAsia="Arial"/>
          <w:b/>
          <w:bCs/>
          <w:color w:val="000000"/>
          <w:sz w:val="24"/>
          <w:szCs w:val="24"/>
        </w:rPr>
        <w:t>Student name</w:t>
      </w:r>
      <w:r>
        <w:rPr>
          <w:rFonts w:ascii="Arial" w:hAnsi="Arial" w:eastAsia="Arial"/>
          <w:color w:val="000000"/>
          <w:sz w:val="24"/>
          <w:szCs w:val="24"/>
        </w:rPr>
        <w:t xml:space="preserve">: </w:t>
      </w:r>
      <w:r>
        <w:rPr>
          <w:rFonts w:ascii="Arial" w:hAnsi="Arial" w:eastAsia="Arial"/>
          <w:color w:val="000000"/>
          <w:sz w:val="22"/>
          <w:szCs w:val="22"/>
        </w:rPr>
        <w:t>Gyulten Harla</w:t>
      </w:r>
    </w:p>
    <w:p>
      <w:pPr>
        <w:tabs>
          <w:tab w:val="left" w:pos="6540"/>
        </w:tabs>
        <w:spacing w:line="360" w:lineRule="auto"/>
      </w:pPr>
      <w:r>
        <w:rPr>
          <w:rFonts w:ascii="Arial" w:hAnsi="Arial" w:eastAsia="Arial"/>
          <w:b/>
          <w:bCs/>
          <w:color w:val="000000"/>
          <w:sz w:val="24"/>
          <w:szCs w:val="24"/>
        </w:rPr>
        <w:t>Student ID</w:t>
      </w:r>
      <w:r>
        <w:rPr>
          <w:rFonts w:ascii="Arial" w:hAnsi="Arial" w:eastAsia="Arial"/>
          <w:color w:val="000000"/>
          <w:sz w:val="24"/>
          <w:szCs w:val="24"/>
        </w:rPr>
        <w:t>: 2133453</w:t>
      </w:r>
    </w:p>
    <w:p>
      <w:pPr>
        <w:tabs>
          <w:tab w:val="left" w:pos="6540"/>
        </w:tabs>
        <w:spacing w:line="360" w:lineRule="auto"/>
        <w:rPr>
          <w:rFonts w:ascii="Arial" w:hAnsi="Arial" w:eastAsia="Arial"/>
          <w:color w:val="000000"/>
          <w:sz w:val="24"/>
          <w:szCs w:val="24"/>
        </w:rPr>
      </w:pPr>
    </w:p>
    <w:p>
      <w:pPr>
        <w:tabs>
          <w:tab w:val="left" w:pos="6540"/>
        </w:tabs>
        <w:spacing w:line="360" w:lineRule="auto"/>
      </w:pPr>
      <w:r>
        <w:rPr>
          <w:rFonts w:ascii="Arial" w:hAnsi="Arial" w:eastAsia="Arial"/>
          <w:b/>
          <w:bCs/>
          <w:color w:val="000000"/>
          <w:sz w:val="24"/>
          <w:szCs w:val="24"/>
        </w:rPr>
        <w:t>Module name</w:t>
      </w:r>
      <w:r>
        <w:rPr>
          <w:rFonts w:ascii="Arial" w:hAnsi="Arial" w:eastAsia="Arial"/>
          <w:color w:val="000000"/>
          <w:sz w:val="24"/>
          <w:szCs w:val="24"/>
        </w:rPr>
        <w:t>: Introduction to Public Health</w:t>
      </w:r>
    </w:p>
    <w:p>
      <w:pPr>
        <w:tabs>
          <w:tab w:val="left" w:pos="6540"/>
        </w:tabs>
        <w:spacing w:line="360" w:lineRule="auto"/>
      </w:pPr>
      <w:r>
        <w:rPr>
          <w:rFonts w:ascii="Arial" w:hAnsi="Arial" w:eastAsia="Arial"/>
          <w:b/>
          <w:bCs/>
          <w:color w:val="000000"/>
          <w:sz w:val="24"/>
          <w:szCs w:val="24"/>
        </w:rPr>
        <w:t>Module code</w:t>
      </w:r>
      <w:r>
        <w:rPr>
          <w:rFonts w:ascii="Arial" w:hAnsi="Arial" w:eastAsia="Arial"/>
          <w:color w:val="000000"/>
          <w:sz w:val="24"/>
          <w:szCs w:val="24"/>
        </w:rPr>
        <w:t>: LCHS4004</w:t>
      </w:r>
    </w:p>
    <w:p>
      <w:pPr>
        <w:tabs>
          <w:tab w:val="left" w:pos="6540"/>
        </w:tabs>
        <w:spacing w:line="360" w:lineRule="auto"/>
      </w:pPr>
      <w:r>
        <w:rPr>
          <w:rFonts w:ascii="Arial" w:hAnsi="Arial" w:eastAsia="Arial"/>
          <w:b/>
          <w:bCs/>
          <w:color w:val="000000"/>
          <w:sz w:val="24"/>
          <w:szCs w:val="24"/>
        </w:rPr>
        <w:t>Lecturer name</w:t>
      </w:r>
      <w:r>
        <w:rPr>
          <w:rFonts w:ascii="Arial" w:hAnsi="Arial" w:eastAsia="Arial"/>
          <w:color w:val="000000"/>
          <w:sz w:val="24"/>
          <w:szCs w:val="24"/>
        </w:rPr>
        <w:t>: Bianca Sanfilippo</w:t>
      </w:r>
    </w:p>
    <w:p>
      <w:pPr>
        <w:tabs>
          <w:tab w:val="left" w:pos="6540"/>
        </w:tabs>
        <w:spacing w:line="360" w:lineRule="auto"/>
        <w:rPr>
          <w:rFonts w:ascii="Arial" w:hAnsi="Arial" w:eastAsia="Arial"/>
          <w:color w:val="000000"/>
          <w:sz w:val="24"/>
          <w:szCs w:val="24"/>
        </w:rPr>
      </w:pPr>
    </w:p>
    <w:p/>
    <w:p/>
    <w:p/>
    <w:p/>
    <w:p/>
    <w:p/>
    <w:p/>
    <w:p/>
    <w:p>
      <w:pPr>
        <w:spacing w:line="360" w:lineRule="auto"/>
        <w:ind w:firstLine="720"/>
      </w:pPr>
    </w:p>
    <w:p>
      <w:pPr>
        <w:spacing w:line="360" w:lineRule="auto"/>
        <w:ind w:firstLine="720"/>
      </w:pPr>
    </w:p>
    <w:p>
      <w:pPr>
        <w:spacing w:line="360" w:lineRule="auto"/>
        <w:ind w:firstLine="720"/>
        <w:rPr>
          <w:b/>
          <w:color w:val="000000"/>
        </w:rPr>
      </w:pPr>
      <w:r>
        <w:rPr>
          <w:b/>
          <w:color w:val="000000"/>
        </w:rPr>
        <w:t>Introduction</w:t>
      </w:r>
    </w:p>
    <w:p>
      <w:pPr>
        <w:spacing w:line="360" w:lineRule="auto"/>
        <w:ind w:firstLine="720"/>
      </w:pPr>
      <w:r>
        <w:rPr>
          <w:rFonts w:eastAsia="MS Mincho"/>
          <w:bCs/>
          <w:color w:val="000000"/>
        </w:rPr>
        <w:t>Polio (</w:t>
      </w:r>
      <w:r>
        <w:rPr>
          <w:rFonts w:eastAsia="MS Mincho"/>
          <w:i/>
          <w:iCs/>
          <w:color w:val="000000"/>
        </w:rPr>
        <w:t xml:space="preserve">Acute poliomyelitis) </w:t>
      </w:r>
      <w:r>
        <w:rPr>
          <w:rFonts w:eastAsia="MS Mincho"/>
          <w:bCs/>
          <w:color w:val="000000"/>
        </w:rPr>
        <w:t xml:space="preserve"> is an infection disease, which is caused by a virus.  The Polio virus is transmitted by person to person leading to a serious disease.  It mostly appears in children between 5- and 10-years old.</w:t>
      </w:r>
      <w:r>
        <w:rPr>
          <w:rFonts w:eastAsia="MS Mincho"/>
          <w:bCs/>
        </w:rPr>
        <w:t xml:space="preserve"> </w:t>
      </w:r>
    </w:p>
    <w:p>
      <w:pPr>
        <w:spacing w:line="360" w:lineRule="auto"/>
        <w:ind w:firstLine="720"/>
      </w:pPr>
      <w:r>
        <w:rPr>
          <w:rFonts w:eastAsia="MS Mincho"/>
          <w:iCs/>
          <w:color w:val="000000"/>
        </w:rPr>
        <w:t>Acute poliomyelitis</w:t>
      </w:r>
      <w:r>
        <w:rPr>
          <w:rFonts w:eastAsia="MS Mincho"/>
          <w:color w:val="000000"/>
        </w:rPr>
        <w:t xml:space="preserve"> is a condition that develops after one of the three poliovirus serotypes invades the gastrointestinal tract (serotypes 1, 2, and 3). Contact with an infected person's pharyngeal secretions or faces is the only way to transmit the disease. There is a three- to the 21-day incubation period. The disease is most contagious in the first two weeks following the onset of paralytic sickness and it can cause paralysis (Sutter et al., 2004).</w:t>
      </w:r>
    </w:p>
    <w:p>
      <w:pPr>
        <w:spacing w:line="360" w:lineRule="auto"/>
        <w:ind w:firstLine="720"/>
      </w:pPr>
      <w:r>
        <w:rPr>
          <w:rFonts w:hint="default"/>
          <w:lang w:val="en-GB"/>
        </w:rPr>
        <w:t>It was reported that there were over</w:t>
      </w:r>
      <w:r>
        <w:t xml:space="preserve"> 50,000 cases of polio in 1980. However, this number fell to 649 in 2021. 415 cases were reported in 2021 in Nigeria and 47 cases were reported in Afghanistan. Around 30 cases were reported in some African countries. Only Afghanistan and Pakistan have been identified to have the virus in 2021, and it is anticipated that the sickness will soon be eradicated worldwide (Green Book, 2013). The figure below shows the affected countries (Figure 1).</w:t>
      </w:r>
    </w:p>
    <w:p>
      <w:pPr>
        <w:jc w:val="center"/>
      </w:pPr>
      <w:r>
        <w:rPr>
          <w:lang w:eastAsia="en-GB"/>
        </w:rPr>
        <w:drawing>
          <wp:inline distT="0" distB="0" distL="0" distR="0">
            <wp:extent cx="5631180" cy="3223260"/>
            <wp:effectExtent l="0" t="0" r="7620" b="0"/>
            <wp:docPr id="2" name="Picture 1360964940" descr="Inserting image..."/>
            <wp:cNvGraphicFramePr/>
            <a:graphic xmlns:a="http://schemas.openxmlformats.org/drawingml/2006/main">
              <a:graphicData uri="http://schemas.openxmlformats.org/drawingml/2006/picture">
                <pic:pic xmlns:pic="http://schemas.openxmlformats.org/drawingml/2006/picture">
                  <pic:nvPicPr>
                    <pic:cNvPr id="2" name="Picture 1360964940" descr="Inserting image..."/>
                    <pic:cNvPicPr/>
                  </pic:nvPicPr>
                  <pic:blipFill>
                    <a:blip r:embed="rId9"/>
                    <a:stretch>
                      <a:fillRect/>
                    </a:stretch>
                  </pic:blipFill>
                  <pic:spPr>
                    <a:xfrm>
                      <a:off x="0" y="0"/>
                      <a:ext cx="5632471" cy="3223999"/>
                    </a:xfrm>
                    <a:prstGeom prst="rect">
                      <a:avLst/>
                    </a:prstGeom>
                    <a:noFill/>
                    <a:ln>
                      <a:noFill/>
                      <a:prstDash val="solid"/>
                    </a:ln>
                  </pic:spPr>
                </pic:pic>
              </a:graphicData>
            </a:graphic>
          </wp:inline>
        </w:drawing>
      </w:r>
    </w:p>
    <w:p>
      <w:pPr>
        <w:rPr>
          <w:b/>
        </w:rPr>
      </w:pPr>
      <w:r>
        <w:rPr>
          <w:b/>
        </w:rPr>
        <w:t xml:space="preserve">Figure 1: </w:t>
      </w:r>
      <w:r>
        <w:t>World Map: Polio Cases (Dattani 2022)</w:t>
      </w:r>
      <w:r>
        <w:rPr>
          <w:b/>
        </w:rPr>
        <w:br w:type="textWrapping"/>
      </w:r>
    </w:p>
    <w:p/>
    <w:p/>
    <w:p>
      <w:pPr>
        <w:rPr>
          <w:b/>
          <w:sz w:val="24"/>
          <w:szCs w:val="24"/>
          <w:shd w:val="clear" w:color="auto" w:fill="FFFF00"/>
        </w:rPr>
      </w:pPr>
    </w:p>
    <w:p>
      <w:pPr>
        <w:rPr>
          <w:sz w:val="24"/>
          <w:szCs w:val="24"/>
          <w:shd w:val="clear" w:color="auto" w:fill="FFFF00"/>
        </w:rPr>
      </w:pPr>
    </w:p>
    <w:p>
      <w:pPr>
        <w:rPr>
          <w:sz w:val="24"/>
          <w:szCs w:val="24"/>
          <w:shd w:val="clear" w:color="auto" w:fill="FFFF00"/>
        </w:rPr>
      </w:pPr>
    </w:p>
    <w:p>
      <w:pPr>
        <w:rPr>
          <w:rFonts w:eastAsia="Arial" w:asciiTheme="minorHAnsi" w:hAnsiTheme="minorHAnsi" w:cstheme="minorHAnsi"/>
          <w:b/>
          <w:color w:val="000000"/>
        </w:rPr>
      </w:pPr>
      <w:r>
        <w:rPr>
          <w:rFonts w:eastAsia="Arial" w:asciiTheme="minorHAnsi" w:hAnsiTheme="minorHAnsi" w:cstheme="minorHAnsi"/>
          <w:b/>
          <w:color w:val="000000"/>
        </w:rPr>
        <w:t>The Case study</w:t>
      </w:r>
    </w:p>
    <w:p>
      <w:pPr>
        <w:spacing w:line="360" w:lineRule="auto"/>
        <w:ind w:firstLine="720"/>
        <w:rPr>
          <w:rFonts w:eastAsia="Arial" w:asciiTheme="minorHAnsi" w:hAnsiTheme="minorHAnsi" w:cstheme="minorHAnsi"/>
          <w:color w:val="000000"/>
        </w:rPr>
      </w:pPr>
      <w:r>
        <w:rPr>
          <w:rFonts w:eastAsia="Arial" w:asciiTheme="minorHAnsi" w:hAnsiTheme="minorHAnsi" w:cstheme="minorHAnsi"/>
          <w:color w:val="000000"/>
        </w:rPr>
        <w:t>Early in 2022, the poliovirus was brought to the United Kingdom. In Northeast London, the person who suffered from polio spread the virus to other people who were in close contact with him.  It was believed that this person who received the oral vaccination have brought the weak case to the UK from abroad and passed it on in their faeces. But over time, this weakened virus mutated and transformed into “vaccine-derived” polio virus Type II (VDPVII). VDPVII is behaving more like the "wild" or naturally-occurring virus. Polio can spread more quickly to those who haven't received a vaccination and come into contact with an infected person's faeces, cough, or sneeze.</w:t>
      </w:r>
    </w:p>
    <w:p>
      <w:pPr>
        <w:spacing w:line="360" w:lineRule="auto"/>
        <w:rPr>
          <w:b/>
        </w:rPr>
      </w:pPr>
      <w:r>
        <w:rPr>
          <w:b/>
        </w:rPr>
        <w:t>Strategies used in the UK to measure the incidence of the disease</w:t>
      </w:r>
    </w:p>
    <w:p>
      <w:pPr>
        <w:spacing w:line="360" w:lineRule="auto"/>
        <w:ind w:firstLine="720"/>
        <w:rPr>
          <w:rFonts w:eastAsia="Arial" w:asciiTheme="minorHAnsi" w:hAnsiTheme="minorHAnsi" w:cstheme="minorHAnsi"/>
        </w:rPr>
      </w:pPr>
      <w:r>
        <w:rPr>
          <w:rFonts w:asciiTheme="minorHAnsi" w:hAnsiTheme="minorHAnsi" w:cstheme="minorHAnsi"/>
        </w:rPr>
        <w:t>Unrecoverable paralysis results from one in 200 illnesses. Polio can result in death. When the respiratory muscles of the paralyzed become immobile, 5–10% of the patients pass away.</w:t>
      </w:r>
      <w:r>
        <w:rPr>
          <w:rFonts w:eastAsia="Arial" w:asciiTheme="minorHAnsi" w:hAnsiTheme="minorHAnsi" w:cstheme="minorHAnsi"/>
        </w:rPr>
        <w:t xml:space="preserve"> 2 to 10 out of every 100 persons who get paralysis from a polio infection die.</w:t>
      </w:r>
    </w:p>
    <w:p>
      <w:pPr>
        <w:spacing w:line="360" w:lineRule="auto"/>
        <w:ind w:firstLine="720"/>
        <w:rPr>
          <w:rFonts w:asciiTheme="minorHAnsi" w:hAnsiTheme="minorHAnsi" w:cstheme="minorHAnsi"/>
        </w:rPr>
      </w:pPr>
      <w:r>
        <w:rPr>
          <w:rFonts w:asciiTheme="minorHAnsi" w:hAnsiTheme="minorHAnsi" w:cstheme="minorHAnsi"/>
        </w:rPr>
        <w:t xml:space="preserve">The symptoms of a poliovirus infection include fever, paralysis, headache, gastrointestinal problems, malaise, and neck and back stiffness. The subclinical to paralytic infections in children may be as high as 1000 to 1 and 75 to 1 in adults (Sutter et al., 2004). Polio leads to high morbidity. For example, meningitis (infection of the membranes surrounding the brain and spinal cord) affects 1 to 5 out of every 100 people infected with poliovirus. </w:t>
      </w:r>
      <w:r>
        <w:rPr>
          <w:rFonts w:hint="default" w:cs="Calibri"/>
          <w:bCs/>
          <w:lang w:val="en-GB"/>
        </w:rPr>
        <w:t xml:space="preserve"> Depending on the virus type, patient’s may safer from paralyses or weakness in the arms, legs, or both as 1 out of 200-1 in 2000 can be effected.</w:t>
      </w:r>
      <w:r>
        <w:rPr>
          <w:rFonts w:asciiTheme="minorHAnsi" w:hAnsiTheme="minorHAnsi" w:cstheme="minorHAnsi"/>
        </w:rPr>
        <w:t xml:space="preserve"> Even children who appear to have recovered may experience new muscle discomfort, weakness, or paralysis 15 to 40 years later in adulthood. Post-polio syndrome is the term for this.</w:t>
      </w:r>
    </w:p>
    <w:p>
      <w:pPr>
        <w:spacing w:line="360" w:lineRule="auto"/>
        <w:rPr>
          <w:b/>
        </w:rPr>
      </w:pPr>
      <w:r>
        <w:rPr>
          <w:b/>
        </w:rPr>
        <w:t>Strategies used in the UK to monitor the incidence of the disease</w:t>
      </w:r>
    </w:p>
    <w:p>
      <w:pPr>
        <w:spacing w:line="360" w:lineRule="auto"/>
        <w:ind w:firstLine="720"/>
        <w:rPr>
          <w:rFonts w:cs="Calibri"/>
        </w:rPr>
      </w:pPr>
      <w:r>
        <w:rPr>
          <w:rFonts w:cs="Calibri"/>
        </w:rPr>
        <w:t xml:space="preserve">Strategies to monitor the level of polio is surveillance. Surveillance involves </w:t>
      </w:r>
      <w:r>
        <w:t xml:space="preserve">“monitoring infectious disease at the local, national and international levels and to inform prevention and control measures” (House of Parliament, 2014, p.1). </w:t>
      </w:r>
      <w:r>
        <w:rPr>
          <w:rFonts w:cs="Calibri"/>
        </w:rPr>
        <w:t>As part of the UK's commitment to the WHO worldwide polio eradication effort, the National Institute for Biological Standards and World Health Organization (WHO) Global Specialised Polio Laboratory carries out regular cleaning surveillance for wild-type and vaccine-like polioviruses.</w:t>
      </w:r>
    </w:p>
    <w:p>
      <w:pPr>
        <w:spacing w:line="360" w:lineRule="auto"/>
        <w:ind w:firstLine="720"/>
        <w:rPr>
          <w:rFonts w:cs="Calibri"/>
        </w:rPr>
      </w:pPr>
      <w:r>
        <w:rPr>
          <w:rFonts w:cs="Calibri"/>
        </w:rPr>
        <w:t xml:space="preserve"> To mitigate the poliovirus in the UK after the entrance of the virus at the beginning of 20222, strict immunization policies were implemented (Uwihema et al, 2022). It is accepted that high vaccination rate would prevent the spread of VDPV2. The most efficient strategy was checking the young children’s polio immunization records to ensure that the vaccination for polio was covered.  </w:t>
      </w:r>
      <w:r>
        <w:rPr>
          <w:rFonts w:cs="Calibri"/>
          <w:bCs/>
          <w:color w:val="000000"/>
        </w:rPr>
        <w:t>For children in London between the ages of 1 and 9, the Joint Committee on Vaccination and Immunization (JCVI) suggested that an additional IPV booster program be launched in addition to continuing catch-up efforts (Department of Health and Social Care, 2022).   Starting as soon as feasible in the London boroughs where VDPV2 has been found, this campaign should be expanded to include all of London's boroughs. T</w:t>
      </w:r>
      <w:r>
        <w:rPr>
          <w:rFonts w:cs="Calibri"/>
        </w:rPr>
        <w:t xml:space="preserve">o increase people’s awareness about the incidence,  paralytic polio presentations were done, ongoing environmental surveillance was conducted, and tracking of vaccine coverage (including disparities) was done </w:t>
      </w:r>
      <w:r>
        <w:rPr>
          <w:rFonts w:hint="default" w:cs="Calibri"/>
          <w:lang w:val="en-GB"/>
        </w:rPr>
        <w:t>(</w:t>
      </w:r>
      <w:r>
        <w:rPr>
          <w:rFonts w:cs="Calibri"/>
        </w:rPr>
        <w:t>UK Health Security Agency &amp; NHS England, 2022). To determine the potential risk of recirculation, The UK Health Security Agency conducted several investigations and measures. Between February and June 2022, multiple sewage samples were taken from London Becton Sewage Treatment Works contained strains of vaccine-like type 2 poliovirus (PV2) (UK Health Security Agency, 2022). Moreover, awareness raising activities about this incidence were carried out among the doctors and caregivers. Additionally, h</w:t>
      </w:r>
      <w:r>
        <w:rPr>
          <w:rFonts w:cs="Calibri"/>
          <w:bCs/>
          <w:color w:val="000000"/>
        </w:rPr>
        <w:t>ousehold contacts of suspect polio patients receive an IPV-containing vaccine immediately to stop further transmission.</w:t>
      </w:r>
    </w:p>
    <w:p>
      <w:pPr>
        <w:spacing w:line="360" w:lineRule="auto"/>
        <w:rPr>
          <w:b/>
        </w:rPr>
      </w:pPr>
      <w:r>
        <w:rPr>
          <w:rFonts w:cs="Calibri"/>
          <w:color w:val="0E101A"/>
        </w:rPr>
        <w:t xml:space="preserve"> </w:t>
      </w:r>
      <w:r>
        <w:rPr>
          <w:b/>
        </w:rPr>
        <w:t>Strategies used in the UK to control the incidence of the disease</w:t>
      </w:r>
    </w:p>
    <w:p>
      <w:pPr>
        <w:spacing w:line="360" w:lineRule="auto"/>
        <w:ind w:firstLine="720"/>
        <w:rPr>
          <w:rFonts w:hint="default"/>
          <w:lang w:val="en-GB"/>
        </w:rPr>
      </w:pPr>
      <w:r>
        <w:rPr>
          <w:rFonts w:cs="Calibri"/>
          <w:bCs/>
        </w:rPr>
        <w:t>National immunisation programmes falls under the purview of NHS England. The DHSC establishes performance goals, and the UK Health Security Agency monitors diseases that can be prevented by vaccination</w:t>
      </w:r>
      <w:r>
        <w:rPr>
          <w:rFonts w:hint="default" w:cs="Calibri"/>
          <w:bCs/>
          <w:lang w:val="en-GB"/>
        </w:rPr>
        <w:t xml:space="preserve">. </w:t>
      </w:r>
      <w:r>
        <w:rPr>
          <w:rFonts w:cs="Calibri"/>
          <w:bCs/>
        </w:rPr>
        <w:t xml:space="preserve">GP </w:t>
      </w:r>
      <w:r>
        <w:rPr>
          <w:rFonts w:hint="default" w:cs="Calibri"/>
          <w:bCs/>
          <w:lang w:val="en-GB"/>
        </w:rPr>
        <w:t>practices usually carry out immunizations for polio to adults and children.</w:t>
      </w:r>
      <w:bookmarkStart w:id="0" w:name="_GoBack"/>
      <w:bookmarkEnd w:id="0"/>
      <w:r>
        <w:rPr>
          <w:rFonts w:cs="Calibri"/>
          <w:bCs/>
        </w:rPr>
        <w:t xml:space="preserve"> They are hired via the NHS GP contract. Seven regional NHS England teams place orders for school-age services, and School Immunization Teams provide those services.</w:t>
      </w:r>
      <w:r>
        <w:rPr>
          <w:rFonts w:hint="default" w:cs="Calibri"/>
          <w:bCs/>
          <w:lang w:val="en-GB"/>
        </w:rPr>
        <w:t xml:space="preserve"> </w:t>
      </w:r>
      <w:r>
        <w:rPr>
          <w:lang w:val="en-US"/>
        </w:rPr>
        <w:t xml:space="preserve"> </w:t>
      </w:r>
      <w:r>
        <w:rPr>
          <w:rFonts w:hint="default"/>
          <w:lang w:val="en-GB"/>
        </w:rPr>
        <w:t>(</w:t>
      </w:r>
      <w:r>
        <w:rPr>
          <w:lang w:val="en-US"/>
        </w:rPr>
        <w:t>Roulg, E., Bunn, S., &amp; Vagnoni, C.</w:t>
      </w:r>
      <w:r>
        <w:rPr>
          <w:rFonts w:hint="default"/>
          <w:lang w:val="en-GB"/>
        </w:rPr>
        <w:t xml:space="preserve">, </w:t>
      </w:r>
      <w:r>
        <w:rPr>
          <w:lang w:val="en-US"/>
        </w:rPr>
        <w:t>2022).</w:t>
      </w:r>
    </w:p>
    <w:p>
      <w:pPr>
        <w:spacing w:line="360" w:lineRule="auto"/>
        <w:ind w:firstLine="720"/>
        <w:rPr>
          <w:rFonts w:hint="default"/>
          <w:lang w:val="en-GB"/>
        </w:rPr>
      </w:pPr>
      <w:r>
        <w:rPr>
          <w:rFonts w:cs="Calibri"/>
          <w:bCs/>
        </w:rPr>
        <w:t>IPV and Td/IPV are used for routine immunization in the UK. Both offer excellent individual immunity and have benefits for children who may be protected by contracting the vaccine virus (Green Book, 2013)</w:t>
      </w:r>
      <w:r>
        <w:rPr>
          <w:rFonts w:cs="Calibri"/>
          <w:bCs/>
          <w:highlight w:val="yellow"/>
        </w:rPr>
        <w:t>.</w:t>
      </w:r>
      <w:r>
        <w:rPr>
          <w:rFonts w:cs="Calibri"/>
          <w:bCs/>
        </w:rPr>
        <w:t xml:space="preserve"> Additionally, they encourage the production of antibodies in the gut, resulting in a localized defence against a subsequent wild poliomyelitis virus infection. This lessens the likelihood of wild viruses excreting asymptomatically </w:t>
      </w:r>
      <w:r>
        <w:rPr>
          <w:rFonts w:hint="default" w:cs="Calibri"/>
          <w:bCs/>
          <w:lang w:val="en-GB"/>
        </w:rPr>
        <w:t>(</w:t>
      </w:r>
      <w:r>
        <w:rPr>
          <w:rFonts w:cs="Calibri"/>
          <w:bCs/>
        </w:rPr>
        <w:t>Green Book, 2013).  The immunization program aims to ensure that everyone receives a minimum of five doses of a polio-containing vaccine at the proper intervals. In most cases, five doses of the vaccine given at the proper intervals are thought to provide adequate long-term protection</w:t>
      </w:r>
      <w:r>
        <w:rPr>
          <w:rFonts w:hint="default" w:cs="Calibri"/>
          <w:bCs/>
          <w:lang w:val="en-GB"/>
        </w:rPr>
        <w:t xml:space="preserve"> (WHO, 2021).</w:t>
      </w:r>
    </w:p>
    <w:p>
      <w:pPr>
        <w:spacing w:line="360" w:lineRule="auto"/>
        <w:rPr>
          <w:b/>
        </w:rPr>
      </w:pPr>
      <w:r>
        <w:rPr>
          <w:b/>
        </w:rPr>
        <w:t>Conclusion</w:t>
      </w:r>
    </w:p>
    <w:p>
      <w:pPr>
        <w:spacing w:line="360" w:lineRule="auto"/>
        <w:ind w:firstLine="720"/>
        <w:rPr>
          <w:rFonts w:cs="Calibri"/>
          <w:color w:val="000000"/>
        </w:rPr>
      </w:pPr>
      <w:r>
        <w:rPr>
          <w:rFonts w:cs="Calibri"/>
          <w:color w:val="000000"/>
        </w:rPr>
        <w:t>By placing crucial infrastructure in regions with high levels of the vaccination program, the risk of a poliovirus return can be reduced. Each of these facilities should implement efficient national certification and verification programs to manage risk effectively and reduce the risk of viral reintroduction into the population (WHO, 2022).</w:t>
      </w:r>
    </w:p>
    <w:p>
      <w:pPr>
        <w:spacing w:line="360" w:lineRule="auto"/>
        <w:rPr>
          <w:rFonts w:cs="Calibri"/>
        </w:rPr>
      </w:pPr>
    </w:p>
    <w:p>
      <w:pPr>
        <w:spacing w:line="360" w:lineRule="auto"/>
        <w:rPr>
          <w:sz w:val="24"/>
          <w:szCs w:val="24"/>
          <w:shd w:val="clear" w:color="auto" w:fill="FFFF00"/>
        </w:rPr>
      </w:pPr>
    </w:p>
    <w:p>
      <w:pPr>
        <w:rPr>
          <w:sz w:val="24"/>
          <w:szCs w:val="24"/>
          <w:shd w:val="clear" w:color="auto" w:fill="FFFF00"/>
        </w:rPr>
      </w:pPr>
    </w:p>
    <w:p/>
    <w:p/>
    <w:p/>
    <w:p/>
    <w:p/>
    <w:p/>
    <w:p/>
    <w:p/>
    <w:p/>
    <w:p/>
    <w:p/>
    <w:p/>
    <w:p/>
    <w:p/>
    <w:p/>
    <w:p/>
    <w:p/>
    <w:p/>
    <w:p/>
    <w:p/>
    <w:p/>
    <w:p/>
    <w:p/>
    <w:p/>
    <w:p/>
    <w:p/>
    <w:p>
      <w:pPr>
        <w:rPr>
          <w:b/>
        </w:rPr>
      </w:pPr>
      <w:r>
        <w:rPr>
          <w:b/>
        </w:rPr>
        <w:t>References</w:t>
      </w:r>
    </w:p>
    <w:p>
      <w:pPr>
        <w:spacing w:line="360" w:lineRule="auto"/>
        <w:rPr>
          <w:sz w:val="22"/>
          <w:szCs w:val="22"/>
        </w:rPr>
      </w:pPr>
      <w:r>
        <w:rPr>
          <w:sz w:val="22"/>
          <w:szCs w:val="22"/>
        </w:rPr>
        <w:t xml:space="preserve">Green Book. (2013). </w:t>
      </w:r>
      <w:r>
        <w:rPr>
          <w:i/>
          <w:sz w:val="22"/>
          <w:szCs w:val="22"/>
        </w:rPr>
        <w:t>Poliomyelitis</w:t>
      </w:r>
      <w:r>
        <w:rPr>
          <w:sz w:val="22"/>
          <w:szCs w:val="22"/>
        </w:rPr>
        <w:t xml:space="preserve">. Available at: </w:t>
      </w:r>
      <w:r>
        <w:rPr>
          <w:sz w:val="22"/>
          <w:szCs w:val="22"/>
        </w:rPr>
        <w:fldChar w:fldCharType="begin"/>
      </w:r>
      <w:r>
        <w:rPr>
          <w:sz w:val="22"/>
          <w:szCs w:val="22"/>
        </w:rPr>
        <w:instrText xml:space="preserve"> HYPERLINK "https://assets.publishing.service.gov.uk/government/uploads/system/uploads/attachment_data/file/148141/Green-Book-Chapter-26-Polio-updated-18-January-2013.pdf" </w:instrText>
      </w:r>
      <w:r>
        <w:rPr>
          <w:sz w:val="22"/>
          <w:szCs w:val="22"/>
        </w:rPr>
        <w:fldChar w:fldCharType="separate"/>
      </w:r>
      <w:r>
        <w:rPr>
          <w:rStyle w:val="7"/>
          <w:sz w:val="22"/>
          <w:szCs w:val="22"/>
        </w:rPr>
        <w:t>Green-Book-Chapter-26-Polio-updated-18-January-2013.pdf (publishing.service.gov.uk)</w:t>
      </w:r>
      <w:r>
        <w:rPr>
          <w:rStyle w:val="7"/>
          <w:sz w:val="22"/>
          <w:szCs w:val="22"/>
        </w:rPr>
        <w:fldChar w:fldCharType="end"/>
      </w:r>
      <w:r>
        <w:rPr>
          <w:sz w:val="22"/>
          <w:szCs w:val="22"/>
        </w:rPr>
        <w:t xml:space="preserve"> (Accessed 20 November 2022).</w:t>
      </w:r>
    </w:p>
    <w:p>
      <w:pPr>
        <w:pStyle w:val="8"/>
        <w:widowControl/>
        <w:spacing w:before="0" w:beforeAutospacing="0" w:after="0" w:afterAutospacing="0" w:line="360" w:lineRule="auto"/>
        <w:ind w:left="0" w:right="0"/>
        <w:rPr>
          <w:sz w:val="22"/>
          <w:szCs w:val="22"/>
        </w:rPr>
      </w:pPr>
      <w:r>
        <w:rPr>
          <w:sz w:val="22"/>
          <w:szCs w:val="22"/>
        </w:rPr>
        <w:t xml:space="preserve">Dattani, S., et al. (2022). </w:t>
      </w:r>
      <w:r>
        <w:rPr>
          <w:i/>
          <w:iCs/>
          <w:sz w:val="22"/>
          <w:szCs w:val="22"/>
        </w:rPr>
        <w:t>Polio</w:t>
      </w:r>
      <w:r>
        <w:rPr>
          <w:sz w:val="22"/>
          <w:szCs w:val="22"/>
        </w:rPr>
        <w:t xml:space="preserve">. Available at:  </w:t>
      </w:r>
      <w:r>
        <w:rPr>
          <w:sz w:val="22"/>
          <w:szCs w:val="22"/>
        </w:rPr>
        <w:fldChar w:fldCharType="begin"/>
      </w:r>
      <w:r>
        <w:rPr>
          <w:sz w:val="22"/>
          <w:szCs w:val="22"/>
        </w:rPr>
        <w:instrText xml:space="preserve"> HYPERLINK "https://ourworldindata.org/polio#:~:text=In%201980%2C%20there%20were%20over,number%20was%20down%20to%20649" </w:instrText>
      </w:r>
      <w:r>
        <w:rPr>
          <w:sz w:val="22"/>
          <w:szCs w:val="22"/>
        </w:rPr>
        <w:fldChar w:fldCharType="separate"/>
      </w:r>
      <w:r>
        <w:rPr>
          <w:rStyle w:val="7"/>
          <w:rFonts w:cs="Calibri"/>
          <w:sz w:val="22"/>
          <w:szCs w:val="22"/>
        </w:rPr>
        <w:t>https://ourworldindata.org/polio#:~:text=In%201980%2C%20there%20were%20over,number%20was%20down%20to%20649</w:t>
      </w:r>
      <w:r>
        <w:rPr>
          <w:rStyle w:val="7"/>
          <w:rFonts w:cs="Calibri"/>
          <w:sz w:val="22"/>
          <w:szCs w:val="22"/>
        </w:rPr>
        <w:fldChar w:fldCharType="end"/>
      </w:r>
      <w:r>
        <w:rPr>
          <w:rFonts w:cs="Calibri"/>
          <w:color w:val="000000"/>
          <w:sz w:val="22"/>
          <w:szCs w:val="22"/>
        </w:rPr>
        <w:t xml:space="preserve">. </w:t>
      </w:r>
      <w:r>
        <w:rPr>
          <w:sz w:val="22"/>
          <w:szCs w:val="22"/>
        </w:rPr>
        <w:t>(Accessed 15 November 2022).</w:t>
      </w:r>
    </w:p>
    <w:p>
      <w:pPr>
        <w:pStyle w:val="8"/>
        <w:widowControl/>
        <w:spacing w:before="0" w:beforeAutospacing="0" w:after="0" w:afterAutospacing="0" w:line="360" w:lineRule="auto"/>
        <w:ind w:left="0" w:right="0"/>
        <w:rPr>
          <w:rFonts w:hint="default" w:cs="Times New Roman" w:asciiTheme="minorAscii" w:hAnsiTheme="minorAscii"/>
          <w:color w:val="000000"/>
          <w:sz w:val="22"/>
          <w:szCs w:val="22"/>
          <w:lang w:val="en-GB"/>
        </w:rPr>
      </w:pPr>
      <w:r>
        <w:rPr>
          <w:rFonts w:hint="default" w:cs="Times New Roman" w:asciiTheme="minorAscii" w:hAnsiTheme="minorAscii"/>
          <w:color w:val="000000"/>
          <w:sz w:val="22"/>
          <w:szCs w:val="22"/>
          <w:lang w:val="en-US"/>
        </w:rPr>
        <w:t>‌</w:t>
      </w:r>
      <w:r>
        <w:rPr>
          <w:rFonts w:hint="default" w:cs="Times New Roman" w:asciiTheme="minorAscii" w:hAnsiTheme="minorAscii"/>
          <w:color w:val="000000"/>
          <w:sz w:val="22"/>
          <w:szCs w:val="22"/>
          <w:lang w:val="en-GB"/>
        </w:rPr>
        <w:t>Public</w:t>
      </w:r>
      <w:r>
        <w:rPr>
          <w:rFonts w:hint="default" w:cs="Times New Roman" w:asciiTheme="minorAscii" w:hAnsiTheme="minorAscii"/>
          <w:color w:val="000000"/>
          <w:sz w:val="22"/>
          <w:szCs w:val="22"/>
          <w:lang w:val="en-US"/>
        </w:rPr>
        <w:t xml:space="preserve"> Health England</w:t>
      </w:r>
      <w:r>
        <w:rPr>
          <w:rFonts w:hint="default" w:cs="Times New Roman" w:asciiTheme="minorAscii" w:hAnsiTheme="minorAscii"/>
          <w:color w:val="000000"/>
          <w:sz w:val="22"/>
          <w:szCs w:val="22"/>
          <w:lang w:val="en-GB"/>
        </w:rPr>
        <w:t>.</w:t>
      </w:r>
      <w:r>
        <w:rPr>
          <w:rFonts w:hint="default" w:cs="Times New Roman" w:asciiTheme="minorAscii" w:hAnsiTheme="minorAscii"/>
          <w:color w:val="000000"/>
          <w:sz w:val="22"/>
          <w:szCs w:val="22"/>
          <w:lang w:val="en-US"/>
        </w:rPr>
        <w:t xml:space="preserve"> (2019).</w:t>
      </w:r>
      <w:r>
        <w:rPr>
          <w:rFonts w:hint="default" w:cs="Times New Roman" w:asciiTheme="minorAscii" w:hAnsiTheme="minorAscii"/>
          <w:color w:val="000000"/>
          <w:sz w:val="22"/>
          <w:szCs w:val="22"/>
          <w:lang w:val="en-GB"/>
        </w:rPr>
        <w:t xml:space="preserve"> </w:t>
      </w:r>
      <w:r>
        <w:rPr>
          <w:rFonts w:hint="default" w:cs="Times New Roman" w:asciiTheme="minorAscii" w:hAnsiTheme="minorAscii"/>
          <w:i/>
          <w:iCs/>
          <w:color w:val="000000"/>
          <w:sz w:val="22"/>
          <w:szCs w:val="22"/>
          <w:lang w:val="en-GB"/>
        </w:rPr>
        <w:t>PHE national polio guidelines</w:t>
      </w:r>
      <w:r>
        <w:rPr>
          <w:rFonts w:hint="default" w:cs="Times New Roman" w:asciiTheme="minorAscii" w:hAnsiTheme="minorAscii"/>
          <w:color w:val="000000"/>
          <w:sz w:val="22"/>
          <w:szCs w:val="22"/>
          <w:lang w:val="en-US"/>
        </w:rPr>
        <w:t xml:space="preserve"> </w:t>
      </w:r>
      <w:r>
        <w:rPr>
          <w:rFonts w:hint="default" w:cs="Times New Roman" w:asciiTheme="minorAscii" w:hAnsiTheme="minorAscii"/>
          <w:color w:val="000000"/>
          <w:sz w:val="22"/>
          <w:szCs w:val="22"/>
          <w:lang w:val="en-GB"/>
        </w:rPr>
        <w:t>[</w:t>
      </w:r>
      <w:r>
        <w:rPr>
          <w:rFonts w:hint="default" w:cs="Times New Roman" w:asciiTheme="minorAscii" w:hAnsiTheme="minorAscii"/>
          <w:color w:val="000000"/>
          <w:sz w:val="22"/>
          <w:szCs w:val="22"/>
          <w:lang w:val="en-US"/>
        </w:rPr>
        <w:t>online</w:t>
      </w:r>
      <w:r>
        <w:rPr>
          <w:rFonts w:hint="default" w:cs="Times New Roman" w:asciiTheme="minorAscii" w:hAnsiTheme="minorAscii"/>
          <w:color w:val="000000"/>
          <w:sz w:val="22"/>
          <w:szCs w:val="22"/>
          <w:lang w:val="en-GB"/>
        </w:rPr>
        <w:t>].</w:t>
      </w:r>
      <w:r>
        <w:rPr>
          <w:rFonts w:hint="default" w:cs="Times New Roman" w:asciiTheme="minorAscii" w:hAnsiTheme="minorAscii"/>
          <w:color w:val="000000"/>
          <w:sz w:val="22"/>
          <w:szCs w:val="22"/>
          <w:lang w:val="en-US"/>
        </w:rPr>
        <w:t xml:space="preserve"> Available at: </w:t>
      </w:r>
      <w:r>
        <w:rPr>
          <w:rFonts w:hint="default" w:asciiTheme="minorAscii" w:hAnsiTheme="minorAscii"/>
          <w:sz w:val="22"/>
          <w:szCs w:val="22"/>
          <w:lang w:val="en-US"/>
        </w:rPr>
        <w:fldChar w:fldCharType="begin"/>
      </w:r>
      <w:r>
        <w:rPr>
          <w:rFonts w:hint="default" w:asciiTheme="minorAscii" w:hAnsiTheme="minorAscii"/>
          <w:sz w:val="22"/>
          <w:szCs w:val="22"/>
          <w:lang w:val="en-US"/>
        </w:rPr>
        <w:instrText xml:space="preserve"> HYPERLINK "https://assets.publishing.service.gov.uk/government/uploads/system/uploads/attachment_data/file/833211/National_polio_guidelines_2019.pdf" </w:instrText>
      </w:r>
      <w:r>
        <w:rPr>
          <w:rFonts w:hint="default" w:asciiTheme="minorAscii" w:hAnsiTheme="minorAscii"/>
          <w:sz w:val="22"/>
          <w:szCs w:val="22"/>
          <w:lang w:val="en-US"/>
        </w:rPr>
        <w:fldChar w:fldCharType="separate"/>
      </w:r>
      <w:r>
        <w:rPr>
          <w:rStyle w:val="7"/>
          <w:rFonts w:hint="default" w:cs="Times New Roman" w:asciiTheme="minorAscii" w:hAnsiTheme="minorAscii"/>
          <w:sz w:val="22"/>
          <w:szCs w:val="22"/>
          <w:u w:val="single"/>
          <w:lang w:val="en-US"/>
        </w:rPr>
        <w:t>https://assets.publishing.service.gov.uk/government/uploads/system/uploads/attachment_data/file/833211/National_polio_guidelines_2019.pdf</w:t>
      </w:r>
      <w:r>
        <w:rPr>
          <w:rFonts w:hint="default" w:asciiTheme="minorAscii" w:hAnsiTheme="minorAscii"/>
          <w:sz w:val="22"/>
          <w:szCs w:val="22"/>
          <w:lang w:val="en-US"/>
        </w:rPr>
        <w:fldChar w:fldCharType="end"/>
      </w:r>
      <w:r>
        <w:rPr>
          <w:rFonts w:hint="default" w:cs="Times New Roman" w:asciiTheme="minorAscii" w:hAnsiTheme="minorAscii"/>
          <w:color w:val="000000"/>
          <w:sz w:val="22"/>
          <w:szCs w:val="22"/>
          <w:lang w:val="en-US"/>
        </w:rPr>
        <w:t xml:space="preserve">  </w:t>
      </w:r>
      <w:r>
        <w:rPr>
          <w:rFonts w:hint="default" w:cs="Times New Roman" w:asciiTheme="minorAscii" w:hAnsiTheme="minorAscii"/>
          <w:color w:val="000000"/>
          <w:sz w:val="22"/>
          <w:szCs w:val="22"/>
          <w:lang w:val="en-GB"/>
        </w:rPr>
        <w:t>(</w:t>
      </w:r>
      <w:r>
        <w:rPr>
          <w:rFonts w:hint="default" w:cs="Times New Roman" w:asciiTheme="minorAscii" w:hAnsiTheme="minorAscii"/>
          <w:color w:val="000000"/>
          <w:sz w:val="22"/>
          <w:szCs w:val="22"/>
          <w:lang w:val="en-US"/>
        </w:rPr>
        <w:t>Accessed 23 May 2020</w:t>
      </w:r>
      <w:r>
        <w:rPr>
          <w:rFonts w:hint="default" w:cs="Times New Roman" w:asciiTheme="minorAscii" w:hAnsiTheme="minorAscii"/>
          <w:color w:val="000000"/>
          <w:sz w:val="22"/>
          <w:szCs w:val="22"/>
          <w:lang w:val="en-GB"/>
        </w:rPr>
        <w:t>).</w:t>
      </w:r>
    </w:p>
    <w:p>
      <w:pPr>
        <w:pStyle w:val="8"/>
        <w:widowControl/>
        <w:spacing w:before="0" w:beforeAutospacing="0" w:after="0" w:afterAutospacing="0" w:line="360" w:lineRule="auto"/>
        <w:ind w:left="0" w:right="-300"/>
        <w:rPr>
          <w:rFonts w:hint="default" w:asciiTheme="minorAscii" w:hAnsiTheme="minorAscii"/>
          <w:sz w:val="22"/>
          <w:szCs w:val="22"/>
          <w:lang w:val="en-GB"/>
        </w:rPr>
      </w:pPr>
      <w:r>
        <w:rPr>
          <w:rFonts w:hint="default" w:cs="Times New Roman" w:asciiTheme="minorAscii" w:hAnsiTheme="minorAscii"/>
          <w:color w:val="000000"/>
          <w:sz w:val="22"/>
          <w:szCs w:val="22"/>
          <w:lang w:val="en-US"/>
        </w:rPr>
        <w:t>UK Health Security Agency</w:t>
      </w:r>
      <w:r>
        <w:rPr>
          <w:rFonts w:hint="default" w:cs="Times New Roman" w:asciiTheme="minorAscii" w:hAnsiTheme="minorAscii"/>
          <w:color w:val="000000"/>
          <w:sz w:val="22"/>
          <w:szCs w:val="22"/>
          <w:lang w:val="en-GB"/>
        </w:rPr>
        <w:t>.</w:t>
      </w:r>
      <w:r>
        <w:rPr>
          <w:rFonts w:hint="default" w:cs="Times New Roman" w:asciiTheme="minorAscii" w:hAnsiTheme="minorAscii"/>
          <w:color w:val="000000"/>
          <w:sz w:val="22"/>
          <w:szCs w:val="22"/>
          <w:lang w:val="en-US"/>
        </w:rPr>
        <w:t xml:space="preserve"> (2022).  </w:t>
      </w:r>
      <w:r>
        <w:rPr>
          <w:rFonts w:hint="default" w:cs="Times New Roman" w:asciiTheme="minorAscii" w:hAnsiTheme="minorAscii"/>
          <w:i/>
          <w:iCs/>
          <w:color w:val="000000"/>
          <w:sz w:val="22"/>
          <w:szCs w:val="22"/>
          <w:lang w:val="en-US"/>
        </w:rPr>
        <w:t>Acute flaccid paralysis syndrome</w:t>
      </w:r>
      <w:r>
        <w:rPr>
          <w:rFonts w:hint="default" w:cs="Times New Roman" w:asciiTheme="minorAscii" w:hAnsiTheme="minorAscii"/>
          <w:color w:val="000000"/>
          <w:sz w:val="22"/>
          <w:szCs w:val="22"/>
          <w:lang w:val="en-US"/>
        </w:rPr>
        <w:t xml:space="preserve">. [online] GOV.UK. Available at: </w:t>
      </w:r>
      <w:r>
        <w:rPr>
          <w:rFonts w:hint="default" w:asciiTheme="minorAscii" w:hAnsiTheme="minorAscii"/>
          <w:sz w:val="22"/>
          <w:szCs w:val="22"/>
          <w:lang w:val="en-US"/>
        </w:rPr>
        <w:fldChar w:fldCharType="begin"/>
      </w:r>
      <w:r>
        <w:rPr>
          <w:rFonts w:hint="default" w:asciiTheme="minorAscii" w:hAnsiTheme="minorAscii"/>
          <w:sz w:val="22"/>
          <w:szCs w:val="22"/>
          <w:lang w:val="en-US"/>
        </w:rPr>
        <w:instrText xml:space="preserve"> HYPERLINK "https://www.gov.uk/government/collections/acute-flaccid-paralysis-syndro" </w:instrText>
      </w:r>
      <w:r>
        <w:rPr>
          <w:rFonts w:hint="default" w:asciiTheme="minorAscii" w:hAnsiTheme="minorAscii"/>
          <w:sz w:val="22"/>
          <w:szCs w:val="22"/>
          <w:lang w:val="en-US"/>
        </w:rPr>
        <w:fldChar w:fldCharType="separate"/>
      </w:r>
      <w:r>
        <w:rPr>
          <w:rStyle w:val="7"/>
          <w:rFonts w:hint="default" w:cs="Times New Roman" w:asciiTheme="minorAscii" w:hAnsiTheme="minorAscii"/>
          <w:sz w:val="22"/>
          <w:szCs w:val="22"/>
          <w:u w:val="single"/>
          <w:lang w:val="en-US"/>
        </w:rPr>
        <w:t>https://www.gov.uk/government/collections/acute-flaccid-paralysis-syndro</w:t>
      </w:r>
      <w:r>
        <w:rPr>
          <w:rFonts w:hint="default" w:asciiTheme="minorAscii" w:hAnsiTheme="minorAscii"/>
          <w:sz w:val="22"/>
          <w:szCs w:val="22"/>
          <w:lang w:val="en-US"/>
        </w:rPr>
        <w:fldChar w:fldCharType="end"/>
      </w:r>
      <w:r>
        <w:rPr>
          <w:rFonts w:hint="default" w:cs="Times New Roman" w:asciiTheme="minorAscii" w:hAnsiTheme="minorAscii"/>
          <w:color w:val="000000"/>
          <w:sz w:val="22"/>
          <w:szCs w:val="22"/>
          <w:lang w:val="en-US"/>
        </w:rPr>
        <w:t>.</w:t>
      </w:r>
      <w:r>
        <w:rPr>
          <w:rFonts w:hint="default" w:cs="Times New Roman" w:asciiTheme="minorAscii" w:hAnsiTheme="minorAscii"/>
          <w:color w:val="000000"/>
          <w:sz w:val="22"/>
          <w:szCs w:val="22"/>
          <w:lang w:val="en-GB"/>
        </w:rPr>
        <w:t xml:space="preserve"> (Accessed 13 November 2022).</w:t>
      </w:r>
    </w:p>
    <w:p>
      <w:pPr>
        <w:keepNext w:val="0"/>
        <w:keepLines w:val="0"/>
        <w:widowControl/>
        <w:suppressLineNumbers w:val="0"/>
        <w:suppressAutoHyphens w:val="0"/>
        <w:autoSpaceDE/>
        <w:autoSpaceDN w:val="0"/>
        <w:spacing w:before="0" w:beforeAutospacing="0" w:after="0" w:afterAutospacing="0" w:line="360" w:lineRule="auto"/>
        <w:ind w:left="0" w:right="0"/>
        <w:jc w:val="left"/>
        <w:rPr>
          <w:rFonts w:hint="default" w:eastAsia="Times New Roman" w:cs="Times New Roman" w:asciiTheme="minorAscii" w:hAnsiTheme="minorAscii"/>
          <w:color w:val="000000"/>
          <w:kern w:val="0"/>
          <w:sz w:val="22"/>
          <w:szCs w:val="22"/>
          <w:lang w:val="en-GB" w:eastAsia="en-US" w:bidi="ar"/>
        </w:rPr>
      </w:pPr>
      <w:r>
        <w:rPr>
          <w:rFonts w:hint="default" w:eastAsia="Times New Roman" w:cs="Times New Roman" w:asciiTheme="minorAscii" w:hAnsiTheme="minorAscii"/>
          <w:color w:val="000000"/>
          <w:kern w:val="0"/>
          <w:sz w:val="22"/>
          <w:szCs w:val="22"/>
          <w:lang w:val="en-US" w:eastAsia="en-US" w:bidi="ar"/>
        </w:rPr>
        <w:t>WHO</w:t>
      </w:r>
      <w:r>
        <w:rPr>
          <w:rFonts w:hint="default" w:eastAsia="Times New Roman" w:cs="Times New Roman" w:asciiTheme="minorAscii" w:hAnsiTheme="minorAscii"/>
          <w:color w:val="000000"/>
          <w:kern w:val="0"/>
          <w:sz w:val="22"/>
          <w:szCs w:val="22"/>
          <w:lang w:val="en-GB" w:eastAsia="en-US" w:bidi="ar"/>
        </w:rPr>
        <w:t>.</w:t>
      </w:r>
      <w:r>
        <w:rPr>
          <w:rFonts w:hint="default" w:eastAsia="Times New Roman" w:cs="Times New Roman" w:asciiTheme="minorAscii" w:hAnsiTheme="minorAscii"/>
          <w:color w:val="000000"/>
          <w:kern w:val="0"/>
          <w:sz w:val="22"/>
          <w:szCs w:val="22"/>
          <w:lang w:val="en-US" w:eastAsia="en-US" w:bidi="ar"/>
        </w:rPr>
        <w:t xml:space="preserve"> (2022)</w:t>
      </w:r>
      <w:r>
        <w:rPr>
          <w:rFonts w:hint="default" w:eastAsia="Times New Roman" w:cs="Times New Roman" w:asciiTheme="minorAscii" w:hAnsiTheme="minorAscii"/>
          <w:i/>
          <w:iCs/>
          <w:color w:val="000000"/>
          <w:kern w:val="0"/>
          <w:sz w:val="22"/>
          <w:szCs w:val="22"/>
          <w:lang w:val="en-GB" w:eastAsia="en-US" w:bidi="ar"/>
        </w:rPr>
        <w:t xml:space="preserve">. </w:t>
      </w:r>
      <w:r>
        <w:rPr>
          <w:rFonts w:hint="default" w:eastAsia="Times New Roman" w:asciiTheme="minorAscii" w:hAnsiTheme="minorAscii"/>
          <w:i/>
          <w:iCs/>
          <w:color w:val="000000"/>
          <w:kern w:val="0"/>
          <w:sz w:val="22"/>
          <w:szCs w:val="22"/>
          <w:lang w:val="en-GB" w:eastAsia="en-US"/>
        </w:rPr>
        <w:t xml:space="preserve">Responding to a poliovirus event or outbreak </w:t>
      </w:r>
      <w:r>
        <w:rPr>
          <w:rFonts w:hint="default" w:eastAsia="Times New Roman" w:cs="Times New Roman" w:asciiTheme="minorAscii" w:hAnsiTheme="minorAscii"/>
          <w:color w:val="000000"/>
          <w:kern w:val="0"/>
          <w:sz w:val="22"/>
          <w:szCs w:val="22"/>
          <w:lang w:val="en-US" w:eastAsia="en-US" w:bidi="ar"/>
        </w:rPr>
        <w:t>[online]</w:t>
      </w:r>
      <w:r>
        <w:rPr>
          <w:rFonts w:hint="default" w:eastAsia="Times New Roman" w:cs="Times New Roman" w:asciiTheme="minorAscii" w:hAnsiTheme="minorAscii"/>
          <w:color w:val="000000"/>
          <w:kern w:val="0"/>
          <w:sz w:val="22"/>
          <w:szCs w:val="22"/>
          <w:lang w:val="en-GB" w:eastAsia="en-US" w:bidi="ar"/>
        </w:rPr>
        <w:t>.</w:t>
      </w:r>
      <w:r>
        <w:rPr>
          <w:rFonts w:hint="default" w:eastAsia="Times New Roman" w:cs="Times New Roman" w:asciiTheme="minorAscii" w:hAnsiTheme="minorAscii"/>
          <w:color w:val="000000"/>
          <w:kern w:val="0"/>
          <w:sz w:val="22"/>
          <w:szCs w:val="22"/>
          <w:lang w:val="en-US" w:eastAsia="en-US" w:bidi="ar"/>
        </w:rPr>
        <w:t xml:space="preserve"> Available at: </w:t>
      </w:r>
      <w:r>
        <w:rPr>
          <w:rFonts w:hint="default" w:eastAsia="Calibri" w:cs="Arial" w:asciiTheme="minorAscii" w:hAnsiTheme="minorAscii"/>
          <w:kern w:val="0"/>
          <w:sz w:val="22"/>
          <w:szCs w:val="22"/>
          <w:lang w:val="en-US" w:eastAsia="zh-CN" w:bidi="ar"/>
        </w:rPr>
        <w:fldChar w:fldCharType="begin"/>
      </w:r>
      <w:r>
        <w:rPr>
          <w:rFonts w:hint="default" w:eastAsia="Calibri" w:cs="Arial" w:asciiTheme="minorAscii" w:hAnsiTheme="minorAscii"/>
          <w:kern w:val="0"/>
          <w:sz w:val="22"/>
          <w:szCs w:val="22"/>
          <w:lang w:val="en-US" w:eastAsia="zh-CN" w:bidi="ar"/>
        </w:rPr>
        <w:instrText xml:space="preserve"> HYPERLINK "https://polioeradication.org/wp-content/uploads/2022/09/Standard-Operating-Procedures-For-Responding-to-a-Poliovirus-Event-Or-Outbreak-20220905-V4-EN.pdf" </w:instrText>
      </w:r>
      <w:r>
        <w:rPr>
          <w:rFonts w:hint="default" w:eastAsia="Calibri" w:cs="Arial" w:asciiTheme="minorAscii" w:hAnsiTheme="minorAscii"/>
          <w:kern w:val="0"/>
          <w:sz w:val="22"/>
          <w:szCs w:val="22"/>
          <w:lang w:val="en-US" w:eastAsia="zh-CN" w:bidi="ar"/>
        </w:rPr>
        <w:fldChar w:fldCharType="separate"/>
      </w:r>
      <w:r>
        <w:rPr>
          <w:rStyle w:val="7"/>
          <w:rFonts w:hint="default" w:eastAsia="Times New Roman" w:cs="Times New Roman" w:asciiTheme="minorAscii" w:hAnsiTheme="minorAscii"/>
          <w:sz w:val="22"/>
          <w:szCs w:val="22"/>
          <w:u w:val="single"/>
          <w:lang w:val="en-US" w:eastAsia="en-US"/>
        </w:rPr>
        <w:t>https://polioeradication.org/wp-content/uploads/2022/09/Standard-Operating-Procedures-For-Responding-to-a-Poliovirus-Event-Or-Outbreak-20220905-V4-EN.pdf</w:t>
      </w:r>
      <w:r>
        <w:rPr>
          <w:rFonts w:hint="default" w:eastAsia="Calibri" w:cs="Arial" w:asciiTheme="minorAscii" w:hAnsiTheme="minorAscii"/>
          <w:kern w:val="0"/>
          <w:sz w:val="22"/>
          <w:szCs w:val="22"/>
          <w:lang w:val="en-US" w:eastAsia="zh-CN" w:bidi="ar"/>
        </w:rPr>
        <w:fldChar w:fldCharType="end"/>
      </w:r>
      <w:r>
        <w:rPr>
          <w:rFonts w:hint="default" w:eastAsia="Times New Roman" w:cs="Times New Roman" w:asciiTheme="minorAscii" w:hAnsiTheme="minorAscii"/>
          <w:color w:val="000000"/>
          <w:kern w:val="0"/>
          <w:sz w:val="22"/>
          <w:szCs w:val="22"/>
          <w:lang w:val="en-US" w:eastAsia="en-US" w:bidi="ar"/>
        </w:rPr>
        <w:t xml:space="preserve"> </w:t>
      </w:r>
      <w:r>
        <w:rPr>
          <w:rFonts w:hint="default" w:eastAsia="Times New Roman" w:cs="Times New Roman" w:asciiTheme="minorAscii" w:hAnsiTheme="minorAscii"/>
          <w:color w:val="000000"/>
          <w:kern w:val="0"/>
          <w:sz w:val="22"/>
          <w:szCs w:val="22"/>
          <w:lang w:val="en-GB" w:eastAsia="en-US" w:bidi="ar"/>
        </w:rPr>
        <w:t>(</w:t>
      </w:r>
      <w:r>
        <w:rPr>
          <w:rFonts w:hint="default" w:eastAsia="Times New Roman" w:cs="Times New Roman" w:asciiTheme="minorAscii" w:hAnsiTheme="minorAscii"/>
          <w:color w:val="000000"/>
          <w:kern w:val="0"/>
          <w:sz w:val="22"/>
          <w:szCs w:val="22"/>
          <w:lang w:val="en-US" w:eastAsia="en-US" w:bidi="ar"/>
        </w:rPr>
        <w:t>Accessed 11 Dec. 2022</w:t>
      </w:r>
      <w:r>
        <w:rPr>
          <w:rFonts w:hint="default" w:eastAsia="Times New Roman" w:cs="Times New Roman" w:asciiTheme="minorAscii" w:hAnsiTheme="minorAscii"/>
          <w:color w:val="000000"/>
          <w:kern w:val="0"/>
          <w:sz w:val="22"/>
          <w:szCs w:val="22"/>
          <w:lang w:val="en-GB" w:eastAsia="en-US" w:bidi="ar"/>
        </w:rPr>
        <w:t>).</w:t>
      </w:r>
    </w:p>
    <w:p>
      <w:pPr>
        <w:keepNext w:val="0"/>
        <w:keepLines w:val="0"/>
        <w:widowControl/>
        <w:suppressLineNumbers w:val="0"/>
        <w:suppressAutoHyphens w:val="0"/>
        <w:autoSpaceDE/>
        <w:autoSpaceDN w:val="0"/>
        <w:spacing w:before="100" w:beforeAutospacing="0" w:after="100" w:afterAutospacing="0" w:line="360" w:lineRule="auto"/>
        <w:ind w:left="0" w:right="0"/>
        <w:jc w:val="left"/>
        <w:rPr>
          <w:rFonts w:hint="default" w:eastAsia="Times New Roman" w:cs="Times New Roman" w:asciiTheme="minorAscii" w:hAnsiTheme="minorAscii"/>
          <w:color w:val="000000"/>
          <w:sz w:val="22"/>
          <w:szCs w:val="22"/>
          <w:lang w:val="en-GB" w:eastAsia="en-US"/>
        </w:rPr>
      </w:pPr>
      <w:r>
        <w:rPr>
          <w:rFonts w:hint="default" w:eastAsia="Times New Roman" w:cs="Times New Roman" w:asciiTheme="minorAscii" w:hAnsiTheme="minorAscii"/>
          <w:color w:val="000000"/>
          <w:kern w:val="0"/>
          <w:sz w:val="22"/>
          <w:szCs w:val="22"/>
          <w:lang w:val="en-US" w:eastAsia="en-US" w:bidi="ar"/>
        </w:rPr>
        <w:t>‌Houses of Parliament</w:t>
      </w:r>
      <w:r>
        <w:rPr>
          <w:rFonts w:hint="default" w:eastAsia="Times New Roman" w:cs="Times New Roman" w:asciiTheme="minorAscii" w:hAnsiTheme="minorAscii"/>
          <w:color w:val="000000"/>
          <w:kern w:val="0"/>
          <w:sz w:val="22"/>
          <w:szCs w:val="22"/>
          <w:lang w:val="en-GB" w:eastAsia="en-US" w:bidi="ar"/>
        </w:rPr>
        <w:t xml:space="preserve">. </w:t>
      </w:r>
      <w:r>
        <w:rPr>
          <w:rFonts w:hint="default" w:eastAsia="Times New Roman" w:cs="Times New Roman" w:asciiTheme="minorAscii" w:hAnsiTheme="minorAscii"/>
          <w:color w:val="000000"/>
          <w:kern w:val="0"/>
          <w:sz w:val="22"/>
          <w:szCs w:val="22"/>
          <w:lang w:val="en-US" w:eastAsia="en-US" w:bidi="ar"/>
        </w:rPr>
        <w:t>(2014).</w:t>
      </w:r>
      <w:r>
        <w:rPr>
          <w:rFonts w:hint="default" w:eastAsia="Times New Roman" w:cs="Times New Roman" w:asciiTheme="minorAscii" w:hAnsiTheme="minorAscii"/>
          <w:color w:val="000000"/>
          <w:kern w:val="0"/>
          <w:sz w:val="22"/>
          <w:szCs w:val="22"/>
          <w:lang w:val="en-GB" w:eastAsia="en-US" w:bidi="ar"/>
        </w:rPr>
        <w:t xml:space="preserve"> </w:t>
      </w:r>
      <w:r>
        <w:rPr>
          <w:rFonts w:hint="default" w:eastAsia="Times New Roman" w:asciiTheme="minorAscii" w:hAnsiTheme="minorAscii"/>
          <w:i/>
          <w:iCs/>
          <w:color w:val="000000"/>
          <w:kern w:val="0"/>
          <w:sz w:val="22"/>
          <w:szCs w:val="22"/>
          <w:lang w:val="en-GB" w:eastAsia="en-US"/>
        </w:rPr>
        <w:t>Surveillance of infectious disease</w:t>
      </w:r>
      <w:r>
        <w:rPr>
          <w:rFonts w:hint="default" w:eastAsia="Times New Roman" w:cs="Times New Roman" w:asciiTheme="minorAscii" w:hAnsiTheme="minorAscii"/>
          <w:color w:val="000000"/>
          <w:kern w:val="0"/>
          <w:sz w:val="22"/>
          <w:szCs w:val="22"/>
          <w:lang w:val="en-US" w:eastAsia="en-US" w:bidi="ar"/>
        </w:rPr>
        <w:t xml:space="preserve"> [online]</w:t>
      </w:r>
      <w:r>
        <w:rPr>
          <w:rFonts w:hint="default" w:eastAsia="Times New Roman" w:cs="Times New Roman" w:asciiTheme="minorAscii" w:hAnsiTheme="minorAscii"/>
          <w:color w:val="000000"/>
          <w:kern w:val="0"/>
          <w:sz w:val="22"/>
          <w:szCs w:val="22"/>
          <w:lang w:val="en-GB" w:eastAsia="en-US" w:bidi="ar"/>
        </w:rPr>
        <w:t>.</w:t>
      </w:r>
      <w:r>
        <w:rPr>
          <w:rFonts w:hint="default" w:eastAsia="Times New Roman" w:cs="Times New Roman" w:asciiTheme="minorAscii" w:hAnsiTheme="minorAscii"/>
          <w:color w:val="000000"/>
          <w:kern w:val="0"/>
          <w:sz w:val="22"/>
          <w:szCs w:val="22"/>
          <w:lang w:val="en-US" w:eastAsia="en-US" w:bidi="ar"/>
        </w:rPr>
        <w:t xml:space="preserve"> Available at:</w:t>
      </w:r>
      <w:r>
        <w:rPr>
          <w:rFonts w:hint="default" w:eastAsia="Times New Roman" w:cs="Times New Roman" w:asciiTheme="minorAscii" w:hAnsiTheme="minorAscii"/>
          <w:color w:val="000000"/>
          <w:kern w:val="0"/>
          <w:sz w:val="22"/>
          <w:szCs w:val="22"/>
          <w:lang w:val="en-GB" w:eastAsia="en-US" w:bidi="ar"/>
        </w:rPr>
        <w:t xml:space="preserve"> </w:t>
      </w:r>
      <w:r>
        <w:rPr>
          <w:rFonts w:hint="default" w:eastAsia="Times New Roman" w:asciiTheme="minorAscii" w:hAnsiTheme="minorAscii"/>
          <w:color w:val="000000"/>
          <w:kern w:val="0"/>
          <w:sz w:val="22"/>
          <w:szCs w:val="22"/>
          <w:lang w:val="en-GB" w:eastAsia="en-US"/>
        </w:rPr>
        <w:fldChar w:fldCharType="begin"/>
      </w:r>
      <w:r>
        <w:rPr>
          <w:rFonts w:hint="default" w:eastAsia="Times New Roman" w:asciiTheme="minorAscii" w:hAnsiTheme="minorAscii"/>
          <w:color w:val="000000"/>
          <w:kern w:val="0"/>
          <w:sz w:val="22"/>
          <w:szCs w:val="22"/>
          <w:lang w:val="en-GB" w:eastAsia="en-US"/>
        </w:rPr>
        <w:instrText xml:space="preserve"> HYPERLINK "https://researchbriefings.files.parliament.uk/documents/POST-PN-462/POST-PN-462.pdf" </w:instrText>
      </w:r>
      <w:r>
        <w:rPr>
          <w:rFonts w:hint="default" w:eastAsia="Times New Roman" w:asciiTheme="minorAscii" w:hAnsiTheme="minorAscii"/>
          <w:color w:val="000000"/>
          <w:kern w:val="0"/>
          <w:sz w:val="22"/>
          <w:szCs w:val="22"/>
          <w:lang w:val="en-GB" w:eastAsia="en-US"/>
        </w:rPr>
        <w:fldChar w:fldCharType="separate"/>
      </w:r>
      <w:r>
        <w:rPr>
          <w:rStyle w:val="7"/>
          <w:rFonts w:hint="default" w:eastAsia="Times New Roman" w:asciiTheme="minorAscii" w:hAnsiTheme="minorAscii"/>
          <w:kern w:val="0"/>
          <w:sz w:val="22"/>
          <w:szCs w:val="22"/>
          <w:lang w:val="en-GB" w:eastAsia="en-US"/>
        </w:rPr>
        <w:t>https://researchbriefings.files.parliament.uk/documents/POST-PN-462/POST-PN-462.pdf</w:t>
      </w:r>
      <w:r>
        <w:rPr>
          <w:rFonts w:hint="default" w:eastAsia="Times New Roman" w:asciiTheme="minorAscii" w:hAnsiTheme="minorAscii"/>
          <w:color w:val="000000"/>
          <w:kern w:val="0"/>
          <w:sz w:val="22"/>
          <w:szCs w:val="22"/>
          <w:lang w:val="en-GB" w:eastAsia="en-US"/>
        </w:rPr>
        <w:fldChar w:fldCharType="end"/>
      </w:r>
      <w:r>
        <w:rPr>
          <w:rFonts w:hint="default" w:eastAsia="Times New Roman" w:asciiTheme="minorAscii" w:hAnsiTheme="minorAscii"/>
          <w:color w:val="000000"/>
          <w:kern w:val="0"/>
          <w:sz w:val="22"/>
          <w:szCs w:val="22"/>
          <w:lang w:val="en-GB" w:eastAsia="en-US"/>
        </w:rPr>
        <w:t xml:space="preserve"> </w:t>
      </w:r>
      <w:r>
        <w:rPr>
          <w:rFonts w:hint="default" w:eastAsia="Times New Roman" w:cs="Times New Roman" w:asciiTheme="minorAscii" w:hAnsiTheme="minorAscii"/>
          <w:color w:val="000000"/>
          <w:kern w:val="0"/>
          <w:sz w:val="22"/>
          <w:szCs w:val="22"/>
          <w:lang w:val="en-US" w:eastAsia="en-US" w:bidi="ar"/>
        </w:rPr>
        <w:t xml:space="preserve"> </w:t>
      </w:r>
      <w:r>
        <w:rPr>
          <w:rFonts w:hint="default" w:eastAsia="Times New Roman" w:cs="Times New Roman" w:asciiTheme="minorAscii" w:hAnsiTheme="minorAscii"/>
          <w:color w:val="000000"/>
          <w:kern w:val="0"/>
          <w:sz w:val="22"/>
          <w:szCs w:val="22"/>
          <w:lang w:val="en-GB" w:eastAsia="en-US" w:bidi="ar"/>
        </w:rPr>
        <w:t>(</w:t>
      </w:r>
      <w:r>
        <w:rPr>
          <w:rFonts w:hint="default" w:eastAsia="Times New Roman" w:cs="Times New Roman" w:asciiTheme="minorAscii" w:hAnsiTheme="minorAscii"/>
          <w:color w:val="000000"/>
          <w:kern w:val="0"/>
          <w:sz w:val="22"/>
          <w:szCs w:val="22"/>
          <w:lang w:val="en-US" w:eastAsia="en-US" w:bidi="ar"/>
        </w:rPr>
        <w:t>Accessed 5 November 2022</w:t>
      </w:r>
      <w:r>
        <w:rPr>
          <w:rFonts w:hint="default" w:eastAsia="Times New Roman" w:cs="Times New Roman" w:asciiTheme="minorAscii" w:hAnsiTheme="minorAscii"/>
          <w:color w:val="000000"/>
          <w:kern w:val="0"/>
          <w:sz w:val="22"/>
          <w:szCs w:val="22"/>
          <w:lang w:val="en-GB" w:eastAsia="en-US" w:bidi="ar"/>
        </w:rPr>
        <w:t>).</w:t>
      </w:r>
    </w:p>
    <w:p>
      <w:pPr>
        <w:keepNext w:val="0"/>
        <w:keepLines w:val="0"/>
        <w:widowControl/>
        <w:suppressLineNumbers w:val="0"/>
        <w:suppressAutoHyphens w:val="0"/>
        <w:autoSpaceDE/>
        <w:autoSpaceDN w:val="0"/>
        <w:spacing w:before="0" w:beforeAutospacing="0" w:after="0" w:afterAutospacing="0" w:line="360" w:lineRule="auto"/>
        <w:ind w:left="0" w:right="0"/>
        <w:jc w:val="left"/>
        <w:rPr>
          <w:rFonts w:hint="default" w:eastAsia="Times New Roman" w:cs="Times New Roman" w:asciiTheme="minorAscii" w:hAnsiTheme="minorAscii"/>
          <w:color w:val="000000"/>
          <w:sz w:val="22"/>
          <w:szCs w:val="22"/>
          <w:lang w:val="en-GB" w:eastAsia="en-US"/>
        </w:rPr>
      </w:pPr>
      <w:r>
        <w:rPr>
          <w:rFonts w:hint="default" w:eastAsia="Times New Roman" w:cs="Times New Roman" w:asciiTheme="minorAscii" w:hAnsiTheme="minorAscii"/>
          <w:color w:val="000000"/>
          <w:kern w:val="0"/>
          <w:sz w:val="22"/>
          <w:szCs w:val="22"/>
          <w:lang w:val="en-US" w:eastAsia="en-US" w:bidi="ar"/>
        </w:rPr>
        <w:t>Uwishema</w:t>
      </w:r>
      <w:r>
        <w:rPr>
          <w:rFonts w:hint="default" w:eastAsia="Times New Roman" w:cs="Times New Roman" w:asciiTheme="minorAscii" w:hAnsiTheme="minorAscii"/>
          <w:color w:val="000000"/>
          <w:kern w:val="0"/>
          <w:sz w:val="22"/>
          <w:szCs w:val="22"/>
          <w:lang w:val="en-GB" w:eastAsia="en-US" w:bidi="ar"/>
        </w:rPr>
        <w:t>, O.,</w:t>
      </w:r>
      <w:r>
        <w:rPr>
          <w:rFonts w:hint="default" w:eastAsia="Times New Roman" w:cs="Times New Roman" w:asciiTheme="minorAscii" w:hAnsiTheme="minorAscii"/>
          <w:color w:val="000000"/>
          <w:kern w:val="0"/>
          <w:sz w:val="22"/>
          <w:szCs w:val="22"/>
          <w:lang w:val="en-US" w:eastAsia="en-US" w:bidi="ar"/>
        </w:rPr>
        <w:t xml:space="preserve"> </w:t>
      </w:r>
      <w:r>
        <w:rPr>
          <w:rFonts w:hint="default" w:eastAsia="Times New Roman" w:cs="Times New Roman" w:asciiTheme="minorAscii" w:hAnsiTheme="minorAscii"/>
          <w:color w:val="000000"/>
          <w:kern w:val="0"/>
          <w:sz w:val="22"/>
          <w:szCs w:val="22"/>
          <w:lang w:val="en-GB" w:eastAsia="en-US" w:bidi="ar"/>
        </w:rPr>
        <w:t>e</w:t>
      </w:r>
      <w:r>
        <w:rPr>
          <w:rFonts w:hint="default" w:eastAsia="Times New Roman" w:cs="Times New Roman" w:asciiTheme="minorAscii" w:hAnsiTheme="minorAscii"/>
          <w:color w:val="000000"/>
          <w:kern w:val="0"/>
          <w:sz w:val="22"/>
          <w:szCs w:val="22"/>
          <w:lang w:val="en-US" w:eastAsia="en-US" w:bidi="ar"/>
        </w:rPr>
        <w:t>t al. (2022).</w:t>
      </w:r>
      <w:r>
        <w:rPr>
          <w:rFonts w:hint="default" w:eastAsia="Times New Roman" w:cs="Times New Roman" w:asciiTheme="minorAscii" w:hAnsiTheme="minorAscii"/>
          <w:i/>
          <w:iCs/>
          <w:color w:val="000000"/>
          <w:kern w:val="0"/>
          <w:sz w:val="22"/>
          <w:szCs w:val="22"/>
          <w:lang w:val="en-US" w:eastAsia="en-US" w:bidi="ar"/>
        </w:rPr>
        <w:t xml:space="preserve"> Poliovirus returns to the UK after nearly 40 years: current efforts and future recommendations. Postgraduate Medical Journal</w:t>
      </w:r>
      <w:r>
        <w:rPr>
          <w:rFonts w:hint="default" w:eastAsia="Times New Roman" w:cs="Times New Roman" w:asciiTheme="minorAscii" w:hAnsiTheme="minorAscii"/>
          <w:color w:val="000000"/>
          <w:kern w:val="0"/>
          <w:sz w:val="22"/>
          <w:szCs w:val="22"/>
          <w:lang w:val="en-US" w:eastAsia="en-US" w:bidi="ar"/>
        </w:rPr>
        <w:t xml:space="preserve"> </w:t>
      </w:r>
      <w:r>
        <w:rPr>
          <w:rFonts w:hint="default" w:eastAsia="Times New Roman" w:cs="Times New Roman" w:asciiTheme="minorAscii" w:hAnsiTheme="minorAscii"/>
          <w:color w:val="000000"/>
          <w:kern w:val="0"/>
          <w:sz w:val="22"/>
          <w:szCs w:val="22"/>
          <w:lang w:val="en-GB" w:eastAsia="en-US" w:bidi="ar"/>
        </w:rPr>
        <w:t xml:space="preserve"> </w:t>
      </w:r>
      <w:r>
        <w:rPr>
          <w:rFonts w:hint="default" w:eastAsia="Times New Roman" w:cs="Times New Roman" w:asciiTheme="minorAscii" w:hAnsiTheme="minorAscii"/>
          <w:color w:val="000000"/>
          <w:kern w:val="0"/>
          <w:sz w:val="22"/>
          <w:szCs w:val="22"/>
          <w:lang w:val="en-US" w:eastAsia="en-US" w:bidi="ar"/>
        </w:rPr>
        <w:t>[</w:t>
      </w:r>
      <w:r>
        <w:rPr>
          <w:rFonts w:hint="default" w:eastAsia="Times New Roman" w:cs="Times New Roman" w:asciiTheme="minorAscii" w:hAnsiTheme="minorAscii"/>
          <w:color w:val="000000"/>
          <w:kern w:val="0"/>
          <w:sz w:val="22"/>
          <w:szCs w:val="22"/>
          <w:lang w:val="en-GB" w:eastAsia="en-US" w:bidi="ar"/>
        </w:rPr>
        <w:t>online</w:t>
      </w:r>
      <w:r>
        <w:rPr>
          <w:rFonts w:hint="default" w:eastAsia="Times New Roman" w:cs="Times New Roman" w:asciiTheme="minorAscii" w:hAnsiTheme="minorAscii"/>
          <w:color w:val="000000"/>
          <w:kern w:val="0"/>
          <w:sz w:val="22"/>
          <w:szCs w:val="22"/>
          <w:lang w:val="en-US" w:eastAsia="en-US" w:bidi="ar"/>
        </w:rPr>
        <w:t xml:space="preserve">]. Available at: </w:t>
      </w:r>
      <w:r>
        <w:rPr>
          <w:rFonts w:hint="eastAsia" w:ascii="Calibri" w:hAnsi="Calibri" w:eastAsia="Calibri" w:cs="Arial"/>
          <w:sz w:val="22"/>
          <w:szCs w:val="22"/>
          <w:lang w:val="en-US" w:eastAsia="en-US" w:bidi="ar"/>
        </w:rPr>
        <w:fldChar w:fldCharType="begin"/>
      </w:r>
      <w:r>
        <w:rPr>
          <w:rFonts w:hint="eastAsia" w:ascii="Calibri" w:hAnsi="Calibri" w:eastAsia="Calibri" w:cs="Arial"/>
          <w:sz w:val="22"/>
          <w:szCs w:val="22"/>
          <w:lang w:val="en-US" w:eastAsia="en-US" w:bidi="ar"/>
        </w:rPr>
        <w:instrText xml:space="preserve"> HYPERLINK "https://pmj.bmj.com/content/98/1165/816" </w:instrText>
      </w:r>
      <w:r>
        <w:rPr>
          <w:rFonts w:hint="eastAsia" w:ascii="Calibri" w:hAnsi="Calibri" w:eastAsia="Calibri" w:cs="Arial"/>
          <w:sz w:val="22"/>
          <w:szCs w:val="22"/>
          <w:lang w:val="en-US" w:eastAsia="en-US" w:bidi="ar"/>
        </w:rPr>
        <w:fldChar w:fldCharType="separate"/>
      </w:r>
      <w:r>
        <w:rPr>
          <w:rStyle w:val="7"/>
          <w:rFonts w:hint="eastAsia" w:ascii="Calibri" w:hAnsi="Calibri" w:eastAsia="Calibri" w:cs="Arial"/>
          <w:sz w:val="22"/>
          <w:szCs w:val="22"/>
          <w:u w:val="single"/>
          <w:lang w:val="en-US" w:eastAsia="en-US" w:bidi="ar"/>
        </w:rPr>
        <w:t>https://pmj.bmj.com/content/98/1165/816</w:t>
      </w:r>
      <w:r>
        <w:rPr>
          <w:rFonts w:hint="eastAsia" w:ascii="Calibri" w:hAnsi="Calibri" w:eastAsia="Calibri" w:cs="Arial"/>
          <w:sz w:val="22"/>
          <w:szCs w:val="22"/>
          <w:lang w:val="en-US" w:eastAsia="en-US" w:bidi="ar"/>
        </w:rPr>
        <w:fldChar w:fldCharType="end"/>
      </w:r>
      <w:r>
        <w:rPr>
          <w:rFonts w:hint="eastAsia" w:ascii="Calibri" w:hAnsi="Calibri" w:eastAsia="Times New Roman" w:cs="Times New Roman"/>
          <w:color w:val="000000"/>
          <w:sz w:val="22"/>
          <w:szCs w:val="22"/>
          <w:lang w:val="en-US" w:eastAsia="en-US" w:bidi="ar"/>
        </w:rPr>
        <w:t xml:space="preserve"> </w:t>
      </w:r>
      <w:r>
        <w:rPr>
          <w:rFonts w:hint="default" w:eastAsia="Times New Roman" w:cs="Times New Roman" w:asciiTheme="minorAscii" w:hAnsiTheme="minorAscii"/>
          <w:color w:val="000000"/>
          <w:kern w:val="0"/>
          <w:sz w:val="22"/>
          <w:szCs w:val="22"/>
          <w:lang w:val="en-GB" w:eastAsia="en-US" w:bidi="ar"/>
        </w:rPr>
        <w:t>(</w:t>
      </w:r>
      <w:r>
        <w:rPr>
          <w:rFonts w:hint="default" w:eastAsia="Times New Roman" w:cs="Times New Roman" w:asciiTheme="minorAscii" w:hAnsiTheme="minorAscii"/>
          <w:color w:val="000000"/>
          <w:kern w:val="0"/>
          <w:sz w:val="22"/>
          <w:szCs w:val="22"/>
          <w:lang w:val="en-US" w:eastAsia="en-US" w:bidi="ar"/>
        </w:rPr>
        <w:t>Accessed 19 September 20</w:t>
      </w:r>
      <w:r>
        <w:rPr>
          <w:rFonts w:hint="default" w:eastAsia="Times New Roman" w:cs="Times New Roman" w:asciiTheme="minorAscii" w:hAnsiTheme="minorAscii"/>
          <w:color w:val="000000"/>
          <w:kern w:val="0"/>
          <w:sz w:val="22"/>
          <w:szCs w:val="22"/>
          <w:lang w:val="en-GB" w:eastAsia="en-US" w:bidi="ar"/>
        </w:rPr>
        <w:t>22).</w:t>
      </w:r>
    </w:p>
    <w:p>
      <w:pPr>
        <w:pStyle w:val="8"/>
        <w:widowControl/>
        <w:spacing w:before="0" w:beforeAutospacing="0" w:after="0" w:afterAutospacing="0" w:line="360" w:lineRule="auto"/>
        <w:ind w:left="0" w:right="0"/>
        <w:rPr>
          <w:rFonts w:hint="default" w:asciiTheme="minorAscii" w:hAnsiTheme="minorAscii"/>
          <w:sz w:val="22"/>
          <w:szCs w:val="22"/>
          <w:lang w:val="en-GB"/>
        </w:rPr>
      </w:pPr>
      <w:r>
        <w:rPr>
          <w:rFonts w:hint="default" w:cs="Times New Roman" w:asciiTheme="minorAscii" w:hAnsiTheme="minorAscii"/>
          <w:color w:val="0B0C0C"/>
          <w:sz w:val="22"/>
          <w:szCs w:val="22"/>
          <w:shd w:val="clear" w:fill="FFFFFF"/>
          <w:lang w:val="en-US"/>
        </w:rPr>
        <w:t>UK Health Security Agency and NHS England</w:t>
      </w:r>
      <w:r>
        <w:rPr>
          <w:rFonts w:hint="default" w:cs="Times New Roman" w:asciiTheme="minorAscii" w:hAnsiTheme="minorAscii"/>
          <w:color w:val="0B0C0C"/>
          <w:sz w:val="22"/>
          <w:szCs w:val="22"/>
          <w:shd w:val="clear" w:fill="FFFFFF"/>
          <w:lang w:val="en-GB"/>
        </w:rPr>
        <w:t>.</w:t>
      </w:r>
      <w:r>
        <w:rPr>
          <w:rFonts w:hint="default" w:cs="Times New Roman" w:asciiTheme="minorAscii" w:hAnsiTheme="minorAscii"/>
          <w:color w:val="0B0C0C"/>
          <w:sz w:val="22"/>
          <w:szCs w:val="22"/>
          <w:shd w:val="clear" w:fill="FFFFFF"/>
          <w:lang w:val="en-US"/>
        </w:rPr>
        <w:t xml:space="preserve"> (2022).</w:t>
      </w:r>
      <w:r>
        <w:rPr>
          <w:rFonts w:hint="default" w:cs="Times New Roman" w:asciiTheme="minorAscii" w:hAnsiTheme="minorAscii"/>
          <w:color w:val="000000"/>
          <w:sz w:val="22"/>
          <w:szCs w:val="22"/>
          <w:lang w:val="en-US"/>
        </w:rPr>
        <w:t> </w:t>
      </w:r>
      <w:r>
        <w:rPr>
          <w:rFonts w:hint="default" w:cs="Times New Roman" w:asciiTheme="minorAscii" w:hAnsiTheme="minorAscii"/>
          <w:i/>
          <w:iCs/>
          <w:color w:val="000000"/>
          <w:sz w:val="22"/>
          <w:szCs w:val="22"/>
          <w:lang w:val="en-US"/>
        </w:rPr>
        <w:t>Polio vaccination campaign letter</w:t>
      </w:r>
      <w:r>
        <w:rPr>
          <w:rFonts w:hint="default" w:cs="Times New Roman" w:asciiTheme="minorAscii" w:hAnsiTheme="minorAscii"/>
          <w:color w:val="000000"/>
          <w:sz w:val="22"/>
          <w:szCs w:val="22"/>
          <w:lang w:val="en-US"/>
        </w:rPr>
        <w:t xml:space="preserve"> [online]. Available at: </w:t>
      </w:r>
      <w:r>
        <w:rPr>
          <w:rFonts w:hint="default" w:asciiTheme="minorAscii" w:hAnsiTheme="minorAscii"/>
          <w:sz w:val="22"/>
          <w:szCs w:val="22"/>
          <w:lang w:val="en-US"/>
        </w:rPr>
        <w:fldChar w:fldCharType="begin"/>
      </w:r>
      <w:r>
        <w:rPr>
          <w:rFonts w:hint="default" w:asciiTheme="minorAscii" w:hAnsiTheme="minorAscii"/>
          <w:sz w:val="22"/>
          <w:szCs w:val="22"/>
          <w:lang w:val="en-US"/>
        </w:rPr>
        <w:instrText xml:space="preserve"> HYPERLINK "https://www.gov.uk/government/publications/polio-vaccination-campaign-letter" </w:instrText>
      </w:r>
      <w:r>
        <w:rPr>
          <w:rFonts w:hint="default" w:asciiTheme="minorAscii" w:hAnsiTheme="minorAscii"/>
          <w:sz w:val="22"/>
          <w:szCs w:val="22"/>
          <w:lang w:val="en-US"/>
        </w:rPr>
        <w:fldChar w:fldCharType="separate"/>
      </w:r>
      <w:r>
        <w:rPr>
          <w:rStyle w:val="7"/>
          <w:rFonts w:hint="default" w:cs="Times New Roman" w:asciiTheme="minorAscii" w:hAnsiTheme="minorAscii"/>
          <w:sz w:val="22"/>
          <w:szCs w:val="22"/>
          <w:u w:val="single"/>
          <w:lang w:val="en-US"/>
        </w:rPr>
        <w:t>https://www.gov.uk/government/publications/polio-vaccination-campaign-letter</w:t>
      </w:r>
      <w:r>
        <w:rPr>
          <w:rFonts w:hint="default" w:asciiTheme="minorAscii" w:hAnsiTheme="minorAscii"/>
          <w:sz w:val="22"/>
          <w:szCs w:val="22"/>
          <w:lang w:val="en-US"/>
        </w:rPr>
        <w:fldChar w:fldCharType="end"/>
      </w:r>
      <w:r>
        <w:rPr>
          <w:rFonts w:hint="default" w:cs="Times New Roman" w:asciiTheme="minorAscii" w:hAnsiTheme="minorAscii"/>
          <w:color w:val="000000"/>
          <w:sz w:val="22"/>
          <w:szCs w:val="22"/>
          <w:lang w:val="en-US"/>
        </w:rPr>
        <w:t xml:space="preserve">  </w:t>
      </w:r>
      <w:r>
        <w:rPr>
          <w:rFonts w:hint="default" w:cs="Times New Roman" w:asciiTheme="minorAscii" w:hAnsiTheme="minorAscii"/>
          <w:color w:val="000000"/>
          <w:sz w:val="22"/>
          <w:szCs w:val="22"/>
          <w:lang w:val="en-GB"/>
        </w:rPr>
        <w:t>(</w:t>
      </w:r>
      <w:r>
        <w:rPr>
          <w:rFonts w:hint="default" w:cs="Times New Roman" w:asciiTheme="minorAscii" w:hAnsiTheme="minorAscii"/>
          <w:color w:val="000000"/>
          <w:sz w:val="22"/>
          <w:szCs w:val="22"/>
          <w:lang w:val="en-US"/>
        </w:rPr>
        <w:t>Accessed 25 Dec. 2022</w:t>
      </w:r>
      <w:r>
        <w:rPr>
          <w:rFonts w:hint="default" w:cs="Times New Roman" w:asciiTheme="minorAscii" w:hAnsiTheme="minorAscii"/>
          <w:color w:val="000000"/>
          <w:sz w:val="22"/>
          <w:szCs w:val="22"/>
          <w:lang w:val="en-GB"/>
        </w:rPr>
        <w:t>).</w:t>
      </w:r>
    </w:p>
    <w:p>
      <w:pPr>
        <w:pStyle w:val="8"/>
        <w:widowControl/>
        <w:spacing w:before="0" w:beforeAutospacing="0" w:after="0" w:afterAutospacing="0" w:line="360" w:lineRule="auto"/>
        <w:ind w:left="0" w:right="0"/>
        <w:rPr>
          <w:rFonts w:hint="default" w:cs="Times New Roman" w:asciiTheme="minorAscii" w:hAnsiTheme="minorAscii"/>
          <w:color w:val="000000"/>
          <w:sz w:val="22"/>
          <w:szCs w:val="22"/>
          <w:lang w:val="en-GB"/>
        </w:rPr>
      </w:pPr>
      <w:r>
        <w:rPr>
          <w:rFonts w:hint="default" w:eastAsia="Calibri" w:cs="Arial" w:asciiTheme="minorAscii" w:hAnsiTheme="minorAscii"/>
          <w:color w:val="000000"/>
          <w:sz w:val="22"/>
          <w:szCs w:val="22"/>
          <w:lang w:val="en-US" w:eastAsia="en-US" w:bidi="ar"/>
        </w:rPr>
        <w:t>Department of Health &amp; Social Care. (2022)</w:t>
      </w:r>
      <w:r>
        <w:rPr>
          <w:rFonts w:hint="default" w:eastAsia="Calibri" w:cs="Arial" w:asciiTheme="minorAscii" w:hAnsiTheme="minorAscii"/>
          <w:color w:val="000000"/>
          <w:sz w:val="22"/>
          <w:szCs w:val="22"/>
          <w:lang w:val="en-GB" w:eastAsia="en-US" w:bidi="ar"/>
        </w:rPr>
        <w:t xml:space="preserve">. </w:t>
      </w:r>
      <w:r>
        <w:rPr>
          <w:rFonts w:hint="default" w:asciiTheme="minorAscii" w:hAnsiTheme="minorAscii"/>
          <w:i/>
          <w:iCs/>
          <w:sz w:val="22"/>
          <w:szCs w:val="22"/>
          <w:lang w:val="en-GB"/>
        </w:rPr>
        <w:t xml:space="preserve">Joint Committee on Vaccination and Immunisation statement on vaccination strategy for the ongoing polio incident </w:t>
      </w:r>
      <w:r>
        <w:rPr>
          <w:rFonts w:hint="default" w:asciiTheme="minorAscii" w:hAnsiTheme="minorAscii"/>
          <w:sz w:val="22"/>
          <w:szCs w:val="22"/>
          <w:lang w:val="en-GB"/>
        </w:rPr>
        <w:t xml:space="preserve"> </w:t>
      </w:r>
      <w:r>
        <w:rPr>
          <w:rFonts w:hint="default" w:cs="Times New Roman" w:asciiTheme="minorAscii" w:hAnsiTheme="minorAscii"/>
          <w:color w:val="000000"/>
          <w:sz w:val="22"/>
          <w:szCs w:val="22"/>
          <w:lang w:val="en-US"/>
        </w:rPr>
        <w:t>[online]</w:t>
      </w:r>
      <w:r>
        <w:rPr>
          <w:rFonts w:hint="default" w:cs="Times New Roman" w:asciiTheme="minorAscii" w:hAnsiTheme="minorAscii"/>
          <w:color w:val="000000"/>
          <w:sz w:val="22"/>
          <w:szCs w:val="22"/>
          <w:lang w:val="en-GB"/>
        </w:rPr>
        <w:t xml:space="preserve">.  </w:t>
      </w:r>
      <w:r>
        <w:rPr>
          <w:rFonts w:hint="default" w:cs="Times New Roman" w:asciiTheme="minorAscii" w:hAnsiTheme="minorAscii"/>
          <w:color w:val="000000"/>
          <w:sz w:val="22"/>
          <w:szCs w:val="22"/>
          <w:lang w:val="en-US"/>
        </w:rPr>
        <w:t xml:space="preserve">Available at: </w:t>
      </w:r>
      <w:r>
        <w:rPr>
          <w:rFonts w:hint="default" w:asciiTheme="minorAscii" w:hAnsiTheme="minorAscii"/>
          <w:sz w:val="22"/>
          <w:szCs w:val="22"/>
          <w:lang w:val="en-US"/>
        </w:rPr>
        <w:fldChar w:fldCharType="begin"/>
      </w:r>
      <w:r>
        <w:rPr>
          <w:rFonts w:hint="default" w:asciiTheme="minorAscii" w:hAnsiTheme="minorAscii"/>
          <w:sz w:val="22"/>
          <w:szCs w:val="22"/>
          <w:lang w:val="en-US"/>
        </w:rPr>
        <w:instrText xml:space="preserve"> HYPERLINK "https://www.gov.uk/government/publications/vaccination-strategy-for-ongoing-polio-incident-jcvi-statement/joint-committee-on-vaccination-and-immunisation-statement-on-vaccination-strategy-for-the-ongoing-polio-incident" </w:instrText>
      </w:r>
      <w:r>
        <w:rPr>
          <w:rFonts w:hint="default" w:asciiTheme="minorAscii" w:hAnsiTheme="minorAscii"/>
          <w:sz w:val="22"/>
          <w:szCs w:val="22"/>
          <w:lang w:val="en-US"/>
        </w:rPr>
        <w:fldChar w:fldCharType="separate"/>
      </w:r>
      <w:r>
        <w:rPr>
          <w:rStyle w:val="7"/>
          <w:rFonts w:hint="default" w:cs="Times New Roman" w:asciiTheme="minorAscii" w:hAnsiTheme="minorAscii"/>
          <w:sz w:val="22"/>
          <w:szCs w:val="22"/>
          <w:u w:val="single"/>
          <w:lang w:val="en-US"/>
        </w:rPr>
        <w:t>https://www.gov.uk/government/publications/vaccination-strategy-for-ongoing-polio-incident-jcvi-statement/joint-committee-on-vaccination-and-immunisation-statement-on-vaccination-strategy-for-the-ongoing-polio-incident</w:t>
      </w:r>
      <w:r>
        <w:rPr>
          <w:rFonts w:hint="default" w:asciiTheme="minorAscii" w:hAnsiTheme="minorAscii"/>
          <w:sz w:val="22"/>
          <w:szCs w:val="22"/>
          <w:lang w:val="en-US"/>
        </w:rPr>
        <w:fldChar w:fldCharType="end"/>
      </w:r>
      <w:r>
        <w:rPr>
          <w:rFonts w:hint="default" w:cs="Times New Roman" w:asciiTheme="minorAscii" w:hAnsiTheme="minorAscii"/>
          <w:color w:val="000000"/>
          <w:sz w:val="22"/>
          <w:szCs w:val="22"/>
          <w:lang w:val="en-US"/>
        </w:rPr>
        <w:t xml:space="preserve"> </w:t>
      </w:r>
      <w:r>
        <w:rPr>
          <w:rFonts w:hint="default" w:cs="Times New Roman" w:asciiTheme="minorAscii" w:hAnsiTheme="minorAscii"/>
          <w:color w:val="000000"/>
          <w:sz w:val="22"/>
          <w:szCs w:val="22"/>
          <w:lang w:val="en-GB"/>
        </w:rPr>
        <w:t>(</w:t>
      </w:r>
      <w:r>
        <w:rPr>
          <w:rFonts w:hint="default" w:cs="Times New Roman" w:asciiTheme="minorAscii" w:hAnsiTheme="minorAscii"/>
          <w:color w:val="000000"/>
          <w:sz w:val="22"/>
          <w:szCs w:val="22"/>
          <w:lang w:val="en-US"/>
        </w:rPr>
        <w:t>Accessed 25 Julay 2022</w:t>
      </w:r>
      <w:r>
        <w:rPr>
          <w:rFonts w:hint="default" w:cs="Times New Roman" w:asciiTheme="minorAscii" w:hAnsiTheme="minorAscii"/>
          <w:color w:val="000000"/>
          <w:sz w:val="22"/>
          <w:szCs w:val="22"/>
          <w:lang w:val="en-GB"/>
        </w:rPr>
        <w:t>)</w:t>
      </w:r>
    </w:p>
    <w:p>
      <w:pPr>
        <w:pStyle w:val="8"/>
        <w:widowControl/>
        <w:spacing w:before="0" w:beforeAutospacing="0" w:after="0" w:afterAutospacing="0" w:line="360" w:lineRule="auto"/>
        <w:ind w:left="0" w:right="0"/>
        <w:rPr>
          <w:rFonts w:hint="default" w:ascii="Calibri" w:hAnsi="Calibri" w:cs="Calibri"/>
          <w:b w:val="0"/>
          <w:bCs w:val="0"/>
          <w:sz w:val="22"/>
          <w:szCs w:val="22"/>
          <w:lang w:val="en-GB"/>
        </w:rPr>
      </w:pPr>
      <w:r>
        <w:rPr>
          <w:b w:val="0"/>
          <w:bCs w:val="0"/>
          <w:sz w:val="22"/>
          <w:szCs w:val="22"/>
          <w:lang w:val="en-US"/>
        </w:rPr>
        <w:t xml:space="preserve"> </w:t>
      </w:r>
      <w:r>
        <w:rPr>
          <w:rFonts w:hint="default" w:ascii="Calibri" w:hAnsi="Calibri" w:cs="Calibri"/>
          <w:b w:val="0"/>
          <w:bCs w:val="0"/>
          <w:sz w:val="22"/>
          <w:szCs w:val="22"/>
          <w:lang w:val="en-US"/>
        </w:rPr>
        <w:t xml:space="preserve">Roulg, E., Bunn, S., &amp; Vagnoni, C. (2022). </w:t>
      </w:r>
      <w:r>
        <w:rPr>
          <w:rFonts w:hint="default" w:ascii="Calibri" w:hAnsi="Calibri" w:cs="Calibri"/>
          <w:b w:val="0"/>
          <w:bCs w:val="0"/>
          <w:i/>
          <w:iCs/>
          <w:sz w:val="22"/>
          <w:szCs w:val="22"/>
          <w:lang w:val="en-US"/>
        </w:rPr>
        <w:t>UK Vaccination policy</w:t>
      </w:r>
      <w:r>
        <w:rPr>
          <w:rFonts w:hint="default" w:ascii="Calibri" w:hAnsi="Calibri" w:cs="Calibri"/>
          <w:b w:val="0"/>
          <w:bCs w:val="0"/>
          <w:sz w:val="22"/>
          <w:szCs w:val="22"/>
          <w:lang w:val="en-US"/>
        </w:rPr>
        <w:t xml:space="preserve">. Availale at: </w:t>
      </w:r>
      <w:r>
        <w:rPr>
          <w:rFonts w:hint="default" w:ascii="Calibri" w:hAnsi="Calibri" w:cs="Calibri"/>
          <w:sz w:val="22"/>
          <w:szCs w:val="22"/>
          <w:lang w:val="en-US"/>
        </w:rPr>
        <w:fldChar w:fldCharType="begin"/>
      </w:r>
      <w:r>
        <w:rPr>
          <w:rFonts w:hint="default" w:ascii="Calibri" w:hAnsi="Calibri" w:cs="Calibri"/>
          <w:sz w:val="22"/>
          <w:szCs w:val="22"/>
          <w:lang w:val="en-US"/>
        </w:rPr>
        <w:instrText xml:space="preserve"> HYPERLINK "https://researchbriefings.files.parliament.uk/documents/CBP-9076/CBP-9076.pdf" </w:instrText>
      </w:r>
      <w:r>
        <w:rPr>
          <w:rFonts w:hint="default" w:ascii="Calibri" w:hAnsi="Calibri" w:cs="Calibri"/>
          <w:sz w:val="22"/>
          <w:szCs w:val="22"/>
          <w:lang w:val="en-US"/>
        </w:rPr>
        <w:fldChar w:fldCharType="separate"/>
      </w:r>
      <w:r>
        <w:rPr>
          <w:rStyle w:val="7"/>
          <w:rFonts w:hint="default" w:ascii="Calibri" w:hAnsi="Calibri" w:cs="Calibri"/>
          <w:sz w:val="22"/>
          <w:szCs w:val="22"/>
          <w:u w:val="single"/>
          <w:lang w:val="en-US"/>
        </w:rPr>
        <w:t>https://researchbriefings.files.parliament.uk/documents/CBP-9076/CBP-9076.pdf</w:t>
      </w:r>
      <w:r>
        <w:rPr>
          <w:rFonts w:hint="default" w:ascii="Calibri" w:hAnsi="Calibri" w:cs="Calibri"/>
          <w:sz w:val="22"/>
          <w:szCs w:val="22"/>
          <w:lang w:val="en-US"/>
        </w:rPr>
        <w:fldChar w:fldCharType="end"/>
      </w:r>
      <w:r>
        <w:rPr>
          <w:rFonts w:hint="default" w:ascii="Calibri" w:hAnsi="Calibri" w:cs="Calibri"/>
          <w:sz w:val="22"/>
          <w:szCs w:val="22"/>
          <w:lang w:val="en-US"/>
        </w:rPr>
        <w:t xml:space="preserve">  </w:t>
      </w:r>
      <w:r>
        <w:rPr>
          <w:rFonts w:hint="default" w:ascii="Calibri" w:hAnsi="Calibri" w:cs="Calibri"/>
          <w:b w:val="0"/>
          <w:bCs w:val="0"/>
          <w:sz w:val="22"/>
          <w:szCs w:val="22"/>
          <w:lang w:val="en-US"/>
        </w:rPr>
        <w:t>(Accessed 5 December 2022)</w:t>
      </w:r>
      <w:r>
        <w:rPr>
          <w:rFonts w:hint="default" w:ascii="Calibri" w:hAnsi="Calibri" w:cs="Calibri"/>
          <w:b w:val="0"/>
          <w:bCs w:val="0"/>
          <w:sz w:val="22"/>
          <w:szCs w:val="22"/>
          <w:lang w:val="en-GB"/>
        </w:rPr>
        <w:t xml:space="preserve"> </w:t>
      </w:r>
    </w:p>
    <w:p>
      <w:pPr>
        <w:pStyle w:val="8"/>
        <w:widowControl/>
        <w:spacing w:before="0" w:beforeAutospacing="0" w:after="0" w:afterAutospacing="0" w:line="360" w:lineRule="auto"/>
        <w:ind w:left="0" w:right="0"/>
        <w:rPr>
          <w:rFonts w:hint="default" w:ascii="Calibri" w:hAnsi="Calibri" w:cs="Calibri"/>
          <w:sz w:val="22"/>
          <w:szCs w:val="22"/>
          <w:lang w:val="en-US"/>
        </w:rPr>
      </w:pPr>
      <w:r>
        <w:rPr>
          <w:rFonts w:hint="default" w:ascii="Calibri" w:hAnsi="Calibri" w:cs="Calibri"/>
          <w:sz w:val="22"/>
          <w:szCs w:val="22"/>
          <w:lang w:val="en-US"/>
        </w:rPr>
        <w:t>WHO. (2021).</w:t>
      </w:r>
      <w:r>
        <w:rPr>
          <w:rFonts w:hint="default" w:ascii="Calibri" w:hAnsi="Calibri" w:cs="Calibri"/>
          <w:i/>
          <w:iCs/>
          <w:sz w:val="22"/>
          <w:szCs w:val="22"/>
          <w:lang w:val="en-US"/>
        </w:rPr>
        <w:t xml:space="preserve"> Polio eradication strategy 2022-2026</w:t>
      </w:r>
      <w:r>
        <w:rPr>
          <w:rFonts w:hint="default" w:ascii="Calibri" w:hAnsi="Calibri" w:cs="Calibri"/>
          <w:sz w:val="22"/>
          <w:szCs w:val="22"/>
          <w:lang w:val="en-US"/>
        </w:rPr>
        <w:t xml:space="preserve">: Delivering on a promise. Available at: </w:t>
      </w:r>
      <w:r>
        <w:rPr>
          <w:rFonts w:hint="default" w:ascii="Calibri" w:hAnsi="Calibri" w:cs="Calibri"/>
          <w:sz w:val="22"/>
          <w:szCs w:val="22"/>
          <w:lang w:val="en-US"/>
        </w:rPr>
        <w:fldChar w:fldCharType="begin"/>
      </w:r>
      <w:r>
        <w:rPr>
          <w:rFonts w:hint="default" w:ascii="Calibri" w:hAnsi="Calibri" w:cs="Calibri"/>
          <w:sz w:val="22"/>
          <w:szCs w:val="22"/>
          <w:lang w:val="en-US"/>
        </w:rPr>
        <w:instrText xml:space="preserve"> HYPERLINK "https://polioeradication.org/wp-content/uploads/2021/10/9789240031937-eng.pdf" </w:instrText>
      </w:r>
      <w:r>
        <w:rPr>
          <w:rFonts w:hint="default" w:ascii="Calibri" w:hAnsi="Calibri" w:cs="Calibri"/>
          <w:sz w:val="22"/>
          <w:szCs w:val="22"/>
          <w:lang w:val="en-US"/>
        </w:rPr>
        <w:fldChar w:fldCharType="separate"/>
      </w:r>
      <w:r>
        <w:rPr>
          <w:rStyle w:val="7"/>
          <w:rFonts w:hint="default" w:ascii="Calibri" w:hAnsi="Calibri" w:cs="Calibri"/>
          <w:sz w:val="22"/>
          <w:szCs w:val="22"/>
          <w:u w:val="single"/>
          <w:lang w:val="en-US"/>
        </w:rPr>
        <w:t>https://polioeradication.org/wp-content/uploads/2021/10/9789240031937-eng.pdf</w:t>
      </w:r>
      <w:r>
        <w:rPr>
          <w:rFonts w:hint="default" w:ascii="Calibri" w:hAnsi="Calibri" w:cs="Calibri"/>
          <w:sz w:val="22"/>
          <w:szCs w:val="22"/>
          <w:lang w:val="en-US"/>
        </w:rPr>
        <w:fldChar w:fldCharType="end"/>
      </w:r>
      <w:r>
        <w:rPr>
          <w:rFonts w:hint="default" w:ascii="Calibri" w:hAnsi="Calibri" w:cs="Calibri"/>
          <w:sz w:val="22"/>
          <w:szCs w:val="22"/>
          <w:lang w:val="en-US"/>
        </w:rPr>
        <w:t xml:space="preserve">  (Accessed: 18 November 2022)</w:t>
      </w:r>
    </w:p>
    <w:p>
      <w:pPr>
        <w:pStyle w:val="8"/>
        <w:widowControl/>
        <w:spacing w:before="0" w:beforeAutospacing="0" w:after="0" w:afterAutospacing="0" w:line="360" w:lineRule="atLeast"/>
        <w:ind w:left="0" w:right="0"/>
        <w:rPr>
          <w:rFonts w:hint="default" w:ascii="Arial" w:hAnsi="Arial" w:cs="Arial"/>
          <w:color w:val="000000"/>
          <w:sz w:val="27"/>
          <w:szCs w:val="27"/>
          <w:lang w:val="en-US"/>
        </w:rPr>
      </w:pPr>
    </w:p>
    <w:p>
      <w:pPr>
        <w:keepNext w:val="0"/>
        <w:keepLines w:val="0"/>
        <w:widowControl/>
        <w:suppressLineNumbers w:val="0"/>
        <w:suppressAutoHyphens w:val="0"/>
        <w:autoSpaceDE/>
        <w:autoSpaceDN w:val="0"/>
        <w:spacing w:before="100" w:beforeAutospacing="0" w:after="100" w:afterAutospacing="0" w:line="240" w:lineRule="auto"/>
        <w:ind w:left="0" w:right="0"/>
        <w:jc w:val="left"/>
        <w:rPr>
          <w:rFonts w:eastAsia="Times New Roman" w:cs="Times New Roman"/>
          <w:color w:val="000000"/>
          <w:sz w:val="27"/>
          <w:szCs w:val="27"/>
          <w:lang w:val="en-US" w:eastAsia="en-US"/>
        </w:rPr>
      </w:pPr>
      <w:r>
        <w:rPr>
          <w:rFonts w:hint="eastAsia" w:ascii="Calibri" w:hAnsi="Calibri" w:eastAsia="Times New Roman" w:cs="Times New Roman"/>
          <w:color w:val="000000"/>
          <w:kern w:val="0"/>
          <w:sz w:val="27"/>
          <w:szCs w:val="27"/>
          <w:lang w:val="en-US" w:eastAsia="en-US" w:bidi="ar"/>
        </w:rPr>
        <w:t xml:space="preserve">‌ </w:t>
      </w:r>
    </w:p>
    <w:p>
      <w:pPr>
        <w:pStyle w:val="8"/>
        <w:widowControl/>
        <w:spacing w:before="0" w:beforeAutospacing="0" w:after="0" w:afterAutospacing="0" w:line="360" w:lineRule="atLeast"/>
        <w:ind w:left="0" w:right="0"/>
        <w:rPr>
          <w:rFonts w:hint="default" w:ascii="Calibri" w:hAnsi="Calibri" w:cs="Times New Roman"/>
          <w:color w:val="000000"/>
          <w:sz w:val="27"/>
          <w:szCs w:val="27"/>
          <w:lang w:val="en-GB"/>
        </w:rPr>
      </w:pPr>
    </w:p>
    <w:p>
      <w:pPr>
        <w:pStyle w:val="8"/>
        <w:widowControl/>
        <w:spacing w:before="0" w:beforeAutospacing="0" w:after="0" w:afterAutospacing="0" w:line="360" w:lineRule="atLeast"/>
        <w:ind w:left="0" w:right="0"/>
        <w:rPr>
          <w:rFonts w:hint="default" w:ascii="Calibri" w:hAnsi="Calibri" w:cs="Times New Roman"/>
          <w:color w:val="000000"/>
          <w:sz w:val="27"/>
          <w:szCs w:val="27"/>
          <w:lang w:val="en-GB"/>
        </w:rPr>
      </w:pPr>
    </w:p>
    <w:p>
      <w:pPr>
        <w:pStyle w:val="8"/>
        <w:widowControl/>
        <w:spacing w:before="0" w:beforeAutospacing="0" w:after="0" w:afterAutospacing="0" w:line="360" w:lineRule="atLeast"/>
        <w:ind w:left="0" w:right="0"/>
        <w:rPr>
          <w:rFonts w:hint="default" w:ascii="Calibri" w:hAnsi="Calibri" w:cs="Times New Roman"/>
          <w:color w:val="000000"/>
          <w:sz w:val="27"/>
          <w:szCs w:val="27"/>
          <w:lang w:val="en-GB"/>
        </w:rPr>
      </w:pPr>
    </w:p>
    <w:p>
      <w:pPr>
        <w:pStyle w:val="8"/>
        <w:widowControl/>
        <w:spacing w:before="0" w:beforeAutospacing="0" w:after="0" w:afterAutospacing="0" w:line="360" w:lineRule="atLeast"/>
        <w:ind w:left="0" w:right="0"/>
        <w:rPr>
          <w:rFonts w:hint="default" w:ascii="Calibri" w:hAnsi="Calibri" w:cs="Times New Roman"/>
          <w:color w:val="000000"/>
          <w:sz w:val="27"/>
          <w:szCs w:val="27"/>
          <w:lang w:val="en-GB"/>
        </w:rPr>
      </w:pPr>
    </w:p>
    <w:p>
      <w:pPr>
        <w:pStyle w:val="8"/>
        <w:widowControl/>
        <w:spacing w:before="0" w:beforeAutospacing="0" w:after="0" w:afterAutospacing="0" w:line="360" w:lineRule="atLeast"/>
        <w:ind w:left="0" w:right="0"/>
        <w:rPr>
          <w:rFonts w:hint="default" w:ascii="Calibri" w:hAnsi="Calibri" w:cs="Times New Roman"/>
          <w:color w:val="000000"/>
          <w:sz w:val="27"/>
          <w:szCs w:val="27"/>
          <w:lang w:val="en-GB"/>
        </w:rPr>
      </w:pPr>
    </w:p>
    <w:p>
      <w:pPr>
        <w:pStyle w:val="8"/>
        <w:widowControl/>
        <w:spacing w:before="0" w:beforeAutospacing="0" w:after="0" w:afterAutospacing="0" w:line="360" w:lineRule="atLeast"/>
        <w:ind w:left="0" w:right="0"/>
        <w:rPr>
          <w:rFonts w:hint="default" w:ascii="Calibri" w:hAnsi="Calibri" w:cs="Times New Roman"/>
          <w:color w:val="000000"/>
          <w:sz w:val="27"/>
          <w:szCs w:val="27"/>
          <w:lang w:val="en-GB"/>
        </w:rPr>
      </w:pPr>
    </w:p>
    <w:p>
      <w:pPr>
        <w:pStyle w:val="8"/>
        <w:widowControl/>
        <w:spacing w:before="0" w:beforeAutospacing="0" w:after="0" w:afterAutospacing="0" w:line="360" w:lineRule="atLeast"/>
        <w:ind w:left="0" w:right="0"/>
        <w:rPr>
          <w:rFonts w:hint="default" w:ascii="Calibri" w:hAnsi="Calibri" w:cs="Times New Roman"/>
          <w:color w:val="000000"/>
          <w:sz w:val="27"/>
          <w:szCs w:val="27"/>
          <w:lang w:val="en-GB"/>
        </w:rPr>
      </w:pPr>
    </w:p>
    <w:p>
      <w:pPr>
        <w:pStyle w:val="8"/>
        <w:widowControl/>
        <w:spacing w:before="0" w:beforeAutospacing="0" w:after="0" w:afterAutospacing="0" w:line="360" w:lineRule="atLeast"/>
        <w:ind w:left="0" w:right="0"/>
        <w:rPr>
          <w:rFonts w:hint="default" w:ascii="Calibri" w:hAnsi="Calibri" w:cs="Times New Roman"/>
          <w:color w:val="000000"/>
          <w:sz w:val="27"/>
          <w:szCs w:val="27"/>
          <w:lang w:val="en-GB"/>
        </w:rPr>
      </w:pPr>
    </w:p>
    <w:p>
      <w:pPr>
        <w:pStyle w:val="8"/>
        <w:widowControl/>
        <w:spacing w:before="0" w:beforeAutospacing="0" w:after="0" w:afterAutospacing="0" w:line="360" w:lineRule="atLeast"/>
        <w:ind w:left="0" w:right="0"/>
        <w:rPr>
          <w:rFonts w:hint="default" w:ascii="Calibri" w:hAnsi="Calibri" w:cs="Times New Roman"/>
          <w:color w:val="000000"/>
          <w:sz w:val="27"/>
          <w:szCs w:val="27"/>
          <w:lang w:val="en-GB"/>
        </w:rPr>
      </w:pPr>
    </w:p>
    <w:p>
      <w:pPr>
        <w:pStyle w:val="8"/>
        <w:widowControl/>
        <w:spacing w:before="0" w:beforeAutospacing="0" w:after="0" w:afterAutospacing="0" w:line="360" w:lineRule="atLeast"/>
        <w:ind w:left="0" w:right="0"/>
        <w:rPr>
          <w:rFonts w:hint="default" w:ascii="Calibri" w:hAnsi="Calibri" w:cs="Times New Roman"/>
          <w:color w:val="000000"/>
          <w:sz w:val="27"/>
          <w:szCs w:val="27"/>
          <w:lang w:val="en-GB"/>
        </w:rPr>
      </w:pPr>
    </w:p>
    <w:p>
      <w:pPr>
        <w:rPr>
          <w:rFonts w:hint="default"/>
          <w:lang w:val="en-GB"/>
        </w:rPr>
      </w:pPr>
    </w:p>
    <w:sectPr>
      <w:headerReference r:id="rId5" w:type="default"/>
      <w:footerReference r:id="rId6" w:type="default"/>
      <w:pgSz w:w="11906" w:h="16838"/>
      <w:pgMar w:top="1440" w:right="1440" w:bottom="1440" w:left="1440" w:header="720" w:footer="720"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MS Mincho">
    <w:altName w:val="MS Gothic"/>
    <w:panose1 w:val="02020609040205080304"/>
    <w:charset w:val="80"/>
    <w:family w:val="roman"/>
    <w:pitch w:val="default"/>
    <w:sig w:usb0="00000000" w:usb1="00000000" w:usb2="00000010" w:usb3="00000000" w:csb0="00020000" w:csb1="00000000"/>
  </w:font>
  <w:font w:name="MS Gothic">
    <w:panose1 w:val="020B0609070205080204"/>
    <w:charset w:val="80"/>
    <w:family w:val="auto"/>
    <w:pitch w:val="default"/>
    <w:sig w:usb0="E00002FF" w:usb1="6AC7FDFB" w:usb2="08000012" w:usb3="00000000" w:csb0="4002009F" w:csb1="DFD70000"/>
  </w:font>
  <w:font w:name="Calibri">
    <w:panose1 w:val="020F05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3"/>
      <w:tblW w:w="9015" w:type="dxa"/>
      <w:tblInd w:w="0" w:type="dxa"/>
      <w:tblLayout w:type="fixed"/>
      <w:tblCellMar>
        <w:top w:w="0" w:type="dxa"/>
        <w:left w:w="10" w:type="dxa"/>
        <w:bottom w:w="0" w:type="dxa"/>
        <w:right w:w="10" w:type="dxa"/>
      </w:tblCellMar>
    </w:tblPr>
    <w:tblGrid>
      <w:gridCol w:w="3005"/>
      <w:gridCol w:w="3005"/>
      <w:gridCol w:w="3005"/>
    </w:tblGrid>
    <w:tr>
      <w:tblPrEx>
        <w:tblCellMar>
          <w:top w:w="0" w:type="dxa"/>
          <w:left w:w="10" w:type="dxa"/>
          <w:bottom w:w="0" w:type="dxa"/>
          <w:right w:w="10" w:type="dxa"/>
        </w:tblCellMar>
      </w:tblPrEx>
      <w:trPr>
        <w:trHeight w:val="300" w:hRule="atLeast"/>
      </w:trPr>
      <w:tc>
        <w:tcPr>
          <w:tcW w:w="3005" w:type="dxa"/>
          <w:shd w:val="clear" w:color="auto" w:fill="auto"/>
          <w:tcMar>
            <w:top w:w="0" w:type="dxa"/>
            <w:left w:w="108" w:type="dxa"/>
            <w:bottom w:w="0" w:type="dxa"/>
            <w:right w:w="108" w:type="dxa"/>
          </w:tcMar>
        </w:tcPr>
        <w:p>
          <w:pPr>
            <w:pStyle w:val="6"/>
            <w:keepNext w:val="0"/>
            <w:keepLines w:val="0"/>
            <w:widowControl/>
            <w:suppressLineNumbers w:val="0"/>
            <w:autoSpaceDE/>
            <w:spacing w:before="0" w:beforeAutospacing="0" w:afterAutospacing="0"/>
            <w:ind w:left="-115" w:right="0"/>
            <w:rPr>
              <w:rFonts w:hint="eastAsia"/>
            </w:rPr>
          </w:pPr>
        </w:p>
      </w:tc>
      <w:tc>
        <w:tcPr>
          <w:tcW w:w="3005" w:type="dxa"/>
          <w:shd w:val="clear" w:color="auto" w:fill="auto"/>
          <w:tcMar>
            <w:top w:w="0" w:type="dxa"/>
            <w:left w:w="108" w:type="dxa"/>
            <w:bottom w:w="0" w:type="dxa"/>
            <w:right w:w="108" w:type="dxa"/>
          </w:tcMar>
        </w:tcPr>
        <w:p>
          <w:pPr>
            <w:pStyle w:val="6"/>
            <w:keepNext w:val="0"/>
            <w:keepLines w:val="0"/>
            <w:widowControl/>
            <w:suppressLineNumbers w:val="0"/>
            <w:autoSpaceDE/>
            <w:spacing w:before="0" w:beforeAutospacing="0" w:afterAutospacing="0"/>
            <w:ind w:left="0" w:right="0"/>
            <w:jc w:val="center"/>
            <w:rPr>
              <w:rFonts w:hint="eastAsia"/>
            </w:rPr>
          </w:pPr>
        </w:p>
      </w:tc>
      <w:tc>
        <w:tcPr>
          <w:tcW w:w="3005" w:type="dxa"/>
          <w:shd w:val="clear" w:color="auto" w:fill="auto"/>
          <w:tcMar>
            <w:top w:w="0" w:type="dxa"/>
            <w:left w:w="108" w:type="dxa"/>
            <w:bottom w:w="0" w:type="dxa"/>
            <w:right w:w="108" w:type="dxa"/>
          </w:tcMar>
        </w:tcPr>
        <w:p>
          <w:pPr>
            <w:pStyle w:val="6"/>
            <w:keepNext w:val="0"/>
            <w:keepLines w:val="0"/>
            <w:widowControl/>
            <w:suppressLineNumbers w:val="0"/>
            <w:autoSpaceDE/>
            <w:spacing w:before="0" w:beforeAutospacing="0" w:afterAutospacing="0"/>
            <w:ind w:left="0" w:right="-115"/>
            <w:jc w:val="right"/>
            <w:rPr>
              <w:rFonts w:hint="eastAsia"/>
            </w:rPr>
          </w:pPr>
        </w:p>
      </w:tc>
    </w:tr>
  </w:tbl>
  <w:p>
    <w:pPr>
      <w:pStyle w:val="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6" w:lineRule="auto"/>
      </w:pPr>
      <w:r>
        <w:separator/>
      </w:r>
    </w:p>
  </w:footnote>
  <w:footnote w:type="continuationSeparator" w:id="1">
    <w:p>
      <w:pPr>
        <w:spacing w:before="0" w:after="0" w:line="25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3"/>
      <w:tblW w:w="9015" w:type="dxa"/>
      <w:tblInd w:w="0" w:type="dxa"/>
      <w:tblLayout w:type="fixed"/>
      <w:tblCellMar>
        <w:top w:w="0" w:type="dxa"/>
        <w:left w:w="10" w:type="dxa"/>
        <w:bottom w:w="0" w:type="dxa"/>
        <w:right w:w="10" w:type="dxa"/>
      </w:tblCellMar>
    </w:tblPr>
    <w:tblGrid>
      <w:gridCol w:w="3005"/>
      <w:gridCol w:w="3005"/>
      <w:gridCol w:w="3005"/>
    </w:tblGrid>
    <w:tr>
      <w:tblPrEx>
        <w:tblCellMar>
          <w:top w:w="0" w:type="dxa"/>
          <w:left w:w="10" w:type="dxa"/>
          <w:bottom w:w="0" w:type="dxa"/>
          <w:right w:w="10" w:type="dxa"/>
        </w:tblCellMar>
      </w:tblPrEx>
      <w:trPr>
        <w:trHeight w:val="300" w:hRule="atLeast"/>
      </w:trPr>
      <w:tc>
        <w:tcPr>
          <w:tcW w:w="3005" w:type="dxa"/>
          <w:shd w:val="clear" w:color="auto" w:fill="auto"/>
          <w:tcMar>
            <w:top w:w="0" w:type="dxa"/>
            <w:left w:w="108" w:type="dxa"/>
            <w:bottom w:w="0" w:type="dxa"/>
            <w:right w:w="108" w:type="dxa"/>
          </w:tcMar>
        </w:tcPr>
        <w:p>
          <w:pPr>
            <w:pStyle w:val="6"/>
            <w:keepNext w:val="0"/>
            <w:keepLines w:val="0"/>
            <w:widowControl/>
            <w:suppressLineNumbers w:val="0"/>
            <w:autoSpaceDE/>
            <w:spacing w:before="0" w:beforeAutospacing="0" w:afterAutospacing="0"/>
            <w:ind w:left="-115" w:right="0"/>
            <w:rPr>
              <w:rFonts w:hint="eastAsia"/>
            </w:rPr>
          </w:pPr>
        </w:p>
      </w:tc>
      <w:tc>
        <w:tcPr>
          <w:tcW w:w="3005" w:type="dxa"/>
          <w:shd w:val="clear" w:color="auto" w:fill="auto"/>
          <w:tcMar>
            <w:top w:w="0" w:type="dxa"/>
            <w:left w:w="108" w:type="dxa"/>
            <w:bottom w:w="0" w:type="dxa"/>
            <w:right w:w="108" w:type="dxa"/>
          </w:tcMar>
        </w:tcPr>
        <w:p>
          <w:pPr>
            <w:pStyle w:val="6"/>
            <w:keepNext w:val="0"/>
            <w:keepLines w:val="0"/>
            <w:widowControl/>
            <w:suppressLineNumbers w:val="0"/>
            <w:autoSpaceDE/>
            <w:spacing w:before="0" w:beforeAutospacing="0" w:afterAutospacing="0"/>
            <w:ind w:left="0" w:right="0"/>
            <w:jc w:val="center"/>
            <w:rPr>
              <w:rFonts w:hint="eastAsia"/>
            </w:rPr>
          </w:pPr>
        </w:p>
      </w:tc>
      <w:tc>
        <w:tcPr>
          <w:tcW w:w="3005" w:type="dxa"/>
          <w:shd w:val="clear" w:color="auto" w:fill="auto"/>
          <w:tcMar>
            <w:top w:w="0" w:type="dxa"/>
            <w:left w:w="108" w:type="dxa"/>
            <w:bottom w:w="0" w:type="dxa"/>
            <w:right w:w="108" w:type="dxa"/>
          </w:tcMar>
        </w:tcPr>
        <w:p>
          <w:pPr>
            <w:pStyle w:val="6"/>
            <w:keepNext w:val="0"/>
            <w:keepLines w:val="0"/>
            <w:widowControl/>
            <w:suppressLineNumbers w:val="0"/>
            <w:autoSpaceDE/>
            <w:spacing w:before="0" w:beforeAutospacing="0" w:afterAutospacing="0"/>
            <w:ind w:left="0" w:right="-115"/>
            <w:jc w:val="right"/>
            <w:rPr>
              <w:rFonts w:hint="eastAsia"/>
            </w:rPr>
          </w:pPr>
        </w:p>
      </w:tc>
    </w:tr>
  </w:tbl>
  <w:p>
    <w:pPr>
      <w:pStyle w:val="6"/>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6"/>
  <w:doNotDisplayPageBoundaries w:val="1"/>
  <w:bordersDoNotSurroundHeader w:val="0"/>
  <w:bordersDoNotSurroundFooter w:val="0"/>
  <w:documentProtection w:enforcement="0"/>
  <w:defaultTabStop w:val="720"/>
  <w:autoHyphenation/>
  <w:displayHorizontalDrawingGridEvery w:val="1"/>
  <w:displayVerticalDrawingGridEvery w:val="1"/>
  <w:characterSpacingControl w:val="doNotCompress"/>
  <w:footnotePr>
    <w:footnote w:id="0"/>
    <w:footnote w:id="1"/>
  </w:footnotePr>
  <w:endnotePr>
    <w:endnote w:id="0"/>
    <w:endnote w:id="1"/>
  </w:endnotePr>
  <w:compat>
    <w:doNotExpandShiftReturn/>
    <w:doNotUseIndentAsNumberingTabStop/>
    <w:compatSetting w:name="compatibilityMode" w:uri="http://schemas.microsoft.com/office/word" w:val="15"/>
  </w:compat>
  <w:rsids>
    <w:rsidRoot w:val="00235EC3"/>
    <w:rsid w:val="00016D9E"/>
    <w:rsid w:val="000462EA"/>
    <w:rsid w:val="00056703"/>
    <w:rsid w:val="001520DD"/>
    <w:rsid w:val="00235EC3"/>
    <w:rsid w:val="003101A6"/>
    <w:rsid w:val="004B3620"/>
    <w:rsid w:val="0051274E"/>
    <w:rsid w:val="00517CA1"/>
    <w:rsid w:val="005711A7"/>
    <w:rsid w:val="00612525"/>
    <w:rsid w:val="007423B2"/>
    <w:rsid w:val="007A166A"/>
    <w:rsid w:val="00982C91"/>
    <w:rsid w:val="009C032D"/>
    <w:rsid w:val="00BE6455"/>
    <w:rsid w:val="00C31923"/>
    <w:rsid w:val="00C761D8"/>
    <w:rsid w:val="00D81BCC"/>
    <w:rsid w:val="00E16132"/>
    <w:rsid w:val="00E55E75"/>
    <w:rsid w:val="00EC5666"/>
    <w:rsid w:val="00F82A3F"/>
    <w:rsid w:val="02E27281"/>
    <w:rsid w:val="052851DF"/>
    <w:rsid w:val="1B4B222B"/>
    <w:rsid w:val="1BCC167B"/>
    <w:rsid w:val="1D024317"/>
    <w:rsid w:val="1E13274A"/>
    <w:rsid w:val="21C26A6D"/>
    <w:rsid w:val="24CF3471"/>
    <w:rsid w:val="24E52C95"/>
    <w:rsid w:val="2BEF73D5"/>
    <w:rsid w:val="2EDA313F"/>
    <w:rsid w:val="3186135C"/>
    <w:rsid w:val="47001A32"/>
    <w:rsid w:val="4912485E"/>
    <w:rsid w:val="493F4007"/>
    <w:rsid w:val="4D5B5878"/>
    <w:rsid w:val="4DCD6ECB"/>
    <w:rsid w:val="5296281A"/>
    <w:rsid w:val="55DE5AA4"/>
    <w:rsid w:val="61B66B34"/>
    <w:rsid w:val="6922313D"/>
    <w:rsid w:val="696B29B3"/>
    <w:rsid w:val="6B161831"/>
    <w:rsid w:val="7DBB5B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0" w:semiHidden="0" w:name="header"/>
    <w:lsdException w:qFormat="1" w:unhideWhenUsed="0" w:uiPriority="0"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uppressAutoHyphens/>
      <w:autoSpaceDN w:val="0"/>
      <w:spacing w:after="160" w:line="256" w:lineRule="auto"/>
    </w:pPr>
    <w:rPr>
      <w:rFonts w:ascii="Calibri" w:hAnsi="Calibri" w:eastAsia="Calibri" w:cs="Arial"/>
      <w:sz w:val="22"/>
      <w:szCs w:val="22"/>
      <w:lang w:val="en-GB" w:eastAsia="en-US" w:bidi="ar-SA"/>
    </w:rPr>
  </w:style>
  <w:style w:type="character" w:default="1" w:styleId="2">
    <w:name w:val="Default Paragraph Font"/>
    <w:semiHidden/>
    <w:unhideWhenUsed/>
    <w:qFormat/>
    <w:uiPriority w:val="1"/>
  </w:style>
  <w:style w:type="table" w:default="1" w:styleId="3">
    <w:name w:val="Normal Table"/>
    <w:semiHidden/>
    <w:unhideWhenUsed/>
    <w:qFormat/>
    <w:uiPriority w:val="99"/>
    <w:pPr>
      <w:keepNext w:val="0"/>
      <w:keepLines w:val="0"/>
      <w:widowControl/>
      <w:suppressLineNumbers w:val="0"/>
      <w:autoSpaceDE/>
      <w:autoSpaceDN w:val="0"/>
      <w:spacing w:before="0" w:beforeAutospacing="0" w:after="160" w:afterAutospacing="0" w:line="252" w:lineRule="auto"/>
      <w:ind w:left="0" w:right="0"/>
    </w:pPr>
    <w:rPr>
      <w:rFonts w:hint="eastAsia" w:ascii="Calibri" w:hAnsi="Calibri" w:cs="Arial"/>
      <w:sz w:val="22"/>
      <w:szCs w:val="22"/>
      <w:lang w:eastAsia="en-US"/>
    </w:rPr>
    <w:tblPr>
      <w:tblCellMar>
        <w:top w:w="0" w:type="dxa"/>
        <w:left w:w="108" w:type="dxa"/>
        <w:bottom w:w="0" w:type="dxa"/>
        <w:right w:w="108" w:type="dxa"/>
      </w:tblCellMar>
    </w:tblPr>
  </w:style>
  <w:style w:type="character" w:styleId="4">
    <w:name w:val="FollowedHyperlink"/>
    <w:basedOn w:val="2"/>
    <w:semiHidden/>
    <w:unhideWhenUsed/>
    <w:uiPriority w:val="99"/>
    <w:rPr>
      <w:color w:val="954F72" w:themeColor="followedHyperlink"/>
      <w:u w:val="single"/>
      <w14:textFill>
        <w14:solidFill>
          <w14:schemeClr w14:val="folHlink"/>
        </w14:solidFill>
      </w14:textFill>
    </w:rPr>
  </w:style>
  <w:style w:type="paragraph" w:styleId="5">
    <w:name w:val="footer"/>
    <w:basedOn w:val="1"/>
    <w:qFormat/>
    <w:uiPriority w:val="0"/>
    <w:pPr>
      <w:tabs>
        <w:tab w:val="center" w:pos="4680"/>
        <w:tab w:val="right" w:pos="9360"/>
      </w:tabs>
      <w:spacing w:after="0" w:line="240" w:lineRule="auto"/>
    </w:pPr>
  </w:style>
  <w:style w:type="paragraph" w:styleId="6">
    <w:name w:val="header"/>
    <w:basedOn w:val="1"/>
    <w:qFormat/>
    <w:uiPriority w:val="0"/>
    <w:pPr>
      <w:tabs>
        <w:tab w:val="center" w:pos="4680"/>
        <w:tab w:val="right" w:pos="9360"/>
      </w:tabs>
      <w:spacing w:after="0" w:line="240" w:lineRule="auto"/>
    </w:pPr>
  </w:style>
  <w:style w:type="character" w:styleId="7">
    <w:name w:val="Hyperlink"/>
    <w:basedOn w:val="2"/>
    <w:qFormat/>
    <w:uiPriority w:val="0"/>
    <w:rPr>
      <w:color w:val="0563C1"/>
      <w:u w:val="single"/>
    </w:rPr>
  </w:style>
  <w:style w:type="paragraph" w:styleId="8">
    <w:name w:val="Normal (Web)"/>
    <w:semiHidden/>
    <w:unhideWhenUsed/>
    <w:qFormat/>
    <w:uiPriority w:val="99"/>
    <w:pPr>
      <w:keepNext w:val="0"/>
      <w:keepLines w:val="0"/>
      <w:widowControl/>
      <w:suppressLineNumbers w:val="0"/>
      <w:suppressAutoHyphens w:val="0"/>
      <w:autoSpaceDE/>
      <w:autoSpaceDN w:val="0"/>
      <w:spacing w:before="100" w:beforeAutospacing="0" w:after="100" w:afterAutospacing="0" w:line="240" w:lineRule="auto"/>
      <w:ind w:left="0" w:right="0"/>
      <w:jc w:val="left"/>
    </w:pPr>
    <w:rPr>
      <w:rFonts w:hint="default" w:ascii="Times New Roman" w:hAnsi="Times New Roman" w:eastAsia="Times New Roman" w:cs="Times New Roman"/>
      <w:kern w:val="0"/>
      <w:sz w:val="24"/>
      <w:szCs w:val="24"/>
      <w:lang w:val="en-US" w:eastAsia="zh-CN" w:bidi="ar"/>
    </w:rPr>
  </w:style>
  <w:style w:type="character" w:customStyle="1" w:styleId="9">
    <w:name w:val="Header Char"/>
    <w:basedOn w:val="2"/>
    <w:qFormat/>
    <w:uiPriority w:val="0"/>
  </w:style>
  <w:style w:type="character" w:customStyle="1" w:styleId="10">
    <w:name w:val="Footer Char"/>
    <w:basedOn w:val="2"/>
    <w:qFormat/>
    <w:uiPriority w:val="0"/>
  </w:style>
  <w:style w:type="paragraph" w:styleId="11">
    <w:name w:val="List Paragraph"/>
    <w:basedOn w:val="1"/>
    <w:qFormat/>
    <w:uiPriority w:val="0"/>
    <w:pPr>
      <w:ind w:left="720"/>
    </w:p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6</Pages>
  <Words>1153</Words>
  <Characters>6577</Characters>
  <Lines>54</Lines>
  <Paragraphs>15</Paragraphs>
  <TotalTime>3</TotalTime>
  <ScaleCrop>false</ScaleCrop>
  <LinksUpToDate>false</LinksUpToDate>
  <CharactersWithSpaces>7715</CharactersWithSpaces>
  <Application>WPS Office_11.2.0.11440_F1E327BC-269C-435d-A152-05C5408002CA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2022-12-25T21:47:00Z</dcterms:created>
  <dc:creator>Gyulten Harla (2133453)</dc:creator>
  <cp:lastModifiedBy>Gyulok Harla</cp:lastModifiedBy>
  <dcterms:modified xsi:type="dcterms:W3CDTF">2023-01-02T22:33:40Z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2057-11.2.0.11440</vt:lpwstr>
  </property>
  <property fmtid="{D5CDD505-2E9C-101B-9397-08002B2CF9AE}" pid="3" name="ICV">
    <vt:lpwstr>BBC72B0636714076BCEF7047312BD074</vt:lpwstr>
  </property>
</Properties>
</file>