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ECD3E" w14:textId="7BEE5B76" w:rsidR="00F47DA9" w:rsidRPr="002422A3" w:rsidRDefault="00215236" w:rsidP="002422A3">
      <w:pPr>
        <w:spacing w:line="360" w:lineRule="auto"/>
        <w:rPr>
          <w:rFonts w:ascii="Calibri" w:hAnsi="Calibri"/>
          <w:b/>
          <w:bCs/>
          <w:sz w:val="28"/>
          <w:szCs w:val="28"/>
          <w:u w:val="single"/>
        </w:rPr>
      </w:pPr>
      <w:r w:rsidRPr="002422A3">
        <w:rPr>
          <w:rFonts w:ascii="Calibri" w:hAnsi="Calibri"/>
          <w:b/>
          <w:bCs/>
          <w:sz w:val="28"/>
          <w:szCs w:val="28"/>
          <w:u w:val="single"/>
        </w:rPr>
        <w:t>Analyse how Curriculum for Wales lays foundations for young children’s physical literacy with its emphasis on outdoor and playful pedagogical approach.</w:t>
      </w:r>
    </w:p>
    <w:p w14:paraId="4E4AE0C3" w14:textId="1F50E391" w:rsidR="00AB63C5" w:rsidRPr="002422A3" w:rsidRDefault="00C73372" w:rsidP="002422A3">
      <w:pPr>
        <w:spacing w:line="360" w:lineRule="auto"/>
        <w:rPr>
          <w:rFonts w:ascii="Calibri" w:hAnsi="Calibri"/>
        </w:rPr>
      </w:pPr>
      <w:r w:rsidRPr="002422A3">
        <w:rPr>
          <w:rFonts w:ascii="Calibri" w:hAnsi="Calibri"/>
        </w:rPr>
        <w:t>The integration of outdoor learning and physical literacy within educational frameworks has become a central focus globally, and the Curriculum for Wales (Welsh Government, 2022) exemplifies this shift. Reflecting a broader international trend towards prioritizing holistic, experiential education, this curriculum aims to foster not just academic knowledge but also physical, emotional, and social development (Whitehead, 2001; Haydn-Davies, 2008). By emphasizing play-based pedagogy and outdoor learning environments, the curriculum provides an opportunity for children to engage in learning experiences that are both interactive and rooted in nature (Knight, 2013; Bilton, 2010). This essay will explore the role of physical literacy within the Curriculum for Wales, its international influences, and the ways in which outdoor learning contributes to children's overall development. It will also examine how the integration of play and holistic education approaches aligns with global practices, such as those seen in the Reggio Emilia and Forest School models (Gandini, 2012; Knight, 2013), to support lifelong engagement with physical activity and well-</w:t>
      </w:r>
      <w:r w:rsidR="000622BD" w:rsidRPr="002422A3">
        <w:rPr>
          <w:rFonts w:ascii="Calibri" w:hAnsi="Calibri"/>
        </w:rPr>
        <w:t>being. In</w:t>
      </w:r>
      <w:r w:rsidR="00AB63C5" w:rsidRPr="002422A3">
        <w:rPr>
          <w:rFonts w:ascii="Calibri" w:hAnsi="Calibri"/>
        </w:rPr>
        <w:t xml:space="preserve"> the context of the Welsh Curriculum, Whitehead (2001, p.15) defines physical literacy as the motivation, confidence, physical competence, knowledge, and understanding to value and take responsibility for engaging in physical activities through their entire life. It emphasizes holistic development, recognizing that physical, emotional, social, and cognitive skills </w:t>
      </w:r>
      <w:proofErr w:type="gramStart"/>
      <w:r w:rsidR="00AB63C5" w:rsidRPr="002422A3">
        <w:rPr>
          <w:rFonts w:ascii="Calibri" w:hAnsi="Calibri"/>
        </w:rPr>
        <w:t>are interconnected</w:t>
      </w:r>
      <w:proofErr w:type="gramEnd"/>
      <w:r w:rsidR="00AB63C5" w:rsidRPr="002422A3">
        <w:rPr>
          <w:rFonts w:ascii="Calibri" w:hAnsi="Calibri"/>
        </w:rPr>
        <w:t xml:space="preserve"> in fostering a lifelong love of physical activity and well-being. Haydn-Davies (2008, p. 31) emphasizes that physical literacy is essential in shaping lifelong physical activity behaviours, aligning with the curriculum’s goal of fostering healthier future generations. The Curriculum for Wales incorporates this concept primarily through the Health and Well-being Area of Learning and Experience, which prioritizes physical development alongside mental, emotional, and social health. It aims to support learners in becoming healthy, confident individuals (Welsh Government, 2022).</w:t>
      </w:r>
    </w:p>
    <w:p w14:paraId="18A42A9E" w14:textId="72C2063A" w:rsidR="00AB63C5" w:rsidRPr="002422A3" w:rsidRDefault="00AB63C5" w:rsidP="002422A3">
      <w:pPr>
        <w:spacing w:line="360" w:lineRule="auto"/>
        <w:rPr>
          <w:rFonts w:ascii="Calibri" w:hAnsi="Calibri"/>
        </w:rPr>
      </w:pPr>
      <w:r w:rsidRPr="002422A3">
        <w:rPr>
          <w:rFonts w:ascii="Calibri" w:hAnsi="Calibri"/>
        </w:rPr>
        <w:t xml:space="preserve">The Curriculum for Wales promotes physical literacy by fostering motor skills such as coordination and balance through outdoor and playful learning experiences. Outdoor activities like games, play, forest school sessions, and adventure-based learning not only </w:t>
      </w:r>
      <w:r w:rsidRPr="002422A3">
        <w:rPr>
          <w:rFonts w:ascii="Calibri" w:hAnsi="Calibri"/>
        </w:rPr>
        <w:lastRenderedPageBreak/>
        <w:t xml:space="preserve">enhance physical competence but also help build emotional resilience. Children engage in teamwork, self-regulation, and persistence, all of which are vital aspects of physical literacy (Knight, 2013; Waite, 2011). Through </w:t>
      </w:r>
      <w:proofErr w:type="gramStart"/>
      <w:r w:rsidRPr="002422A3">
        <w:rPr>
          <w:rFonts w:ascii="Calibri" w:hAnsi="Calibri"/>
        </w:rPr>
        <w:t>hands-on</w:t>
      </w:r>
      <w:proofErr w:type="gramEnd"/>
      <w:r w:rsidRPr="002422A3">
        <w:rPr>
          <w:rFonts w:ascii="Calibri" w:hAnsi="Calibri"/>
        </w:rPr>
        <w:t xml:space="preserve"> outdoor play, children learn to overcome challenges, developing confidence and a positive attitude toward physical activity that will persist throughout their lives (Macintyre &amp; McVitty, 2020).</w:t>
      </w:r>
    </w:p>
    <w:p w14:paraId="0001BC6A" w14:textId="77777777" w:rsidR="00B50F97" w:rsidRPr="002422A3" w:rsidRDefault="00AB63C5" w:rsidP="002422A3">
      <w:pPr>
        <w:spacing w:line="360" w:lineRule="auto"/>
        <w:rPr>
          <w:rFonts w:ascii="Calibri" w:hAnsi="Calibri"/>
        </w:rPr>
      </w:pPr>
      <w:r w:rsidRPr="002422A3">
        <w:rPr>
          <w:rFonts w:ascii="Calibri" w:hAnsi="Calibri"/>
        </w:rPr>
        <w:t>Furthermore, outdoor learning environments enhance cognitive abilities like problem-solving and critical thinking. In these settings, children face real-world challenges, requiring them to apply creativity and teamwork to solve problems, thereby developing their cognitive skills alongside their physical abilities (Bilton, 2010; Joyce, 2019). The Curriculum for Wales promotes this approach by emphasizing the importance of outdoor learning in its Health and Well-being Area of Learning and Experience, where it aims to foster children’s physical, emotional, and social development through holistic educational experiences (Welsh Government, 2022).</w:t>
      </w:r>
    </w:p>
    <w:p w14:paraId="79CC67DF" w14:textId="7D7A5DBF" w:rsidR="00AB63C5" w:rsidRPr="002422A3" w:rsidRDefault="00AB63C5" w:rsidP="002422A3">
      <w:pPr>
        <w:spacing w:line="360" w:lineRule="auto"/>
        <w:rPr>
          <w:rFonts w:ascii="Calibri" w:hAnsi="Calibri"/>
        </w:rPr>
      </w:pPr>
      <w:r w:rsidRPr="002422A3">
        <w:rPr>
          <w:rFonts w:ascii="Calibri" w:hAnsi="Calibri"/>
        </w:rPr>
        <w:t xml:space="preserve">The </w:t>
      </w:r>
      <w:proofErr w:type="gramStart"/>
      <w:r w:rsidRPr="002422A3">
        <w:rPr>
          <w:rFonts w:ascii="Calibri" w:hAnsi="Calibri"/>
        </w:rPr>
        <w:t>holistic approach</w:t>
      </w:r>
      <w:proofErr w:type="gramEnd"/>
      <w:r w:rsidRPr="002422A3">
        <w:rPr>
          <w:rFonts w:ascii="Calibri" w:hAnsi="Calibri"/>
        </w:rPr>
        <w:t xml:space="preserve"> of the Curriculum for Wales ensures that physical literacy is not treated as an isolated skill but is embedded across all areas of learning. This approach supports not only physical development but also emotional, social, and cognitive growth, helping children develop essential life skills (Haydn-Davies, 2008). Outdoor learning experiences, such as those offered in forest schools, are key to this development. These environments encourage risk-taking, resilience, and independence—critical components of physical literacy that align with the curriculum’s goals (Knight, 2014; Parry &amp; Allison, 2009). The Curriculum for Wales thus empowers children with the skills, confidence, and mindset needed to engage in active lifestyles, fostering lifelong well-being (Whitehead, 2001).</w:t>
      </w:r>
    </w:p>
    <w:p w14:paraId="3F8FE26B" w14:textId="1A26223E" w:rsidR="00AB63C5" w:rsidRPr="002422A3" w:rsidRDefault="00AB63C5" w:rsidP="002422A3">
      <w:pPr>
        <w:spacing w:line="360" w:lineRule="auto"/>
        <w:rPr>
          <w:rFonts w:ascii="Calibri" w:hAnsi="Calibri"/>
        </w:rPr>
      </w:pPr>
      <w:r w:rsidRPr="002422A3">
        <w:rPr>
          <w:rFonts w:ascii="Calibri" w:hAnsi="Calibri"/>
        </w:rPr>
        <w:t>The emphasis on outdoor learning and play-based pedagogy in the Curriculum for Wales draws on successful international practices, particularly the Forest School approach, which has gained recognition for its positive impact on young children’s development (Knight, 2013). The Reggio Emilia approach, with its focus on child-centred, experiential learning, shares similarities with forest schools in that both encourage creativity, collaboration, and exploration in natural environments (Galbi, 2013; Gandini &amp; Edwards, 2005). The Welsh curriculum, similarly, integrates outdoor learning to promote physical literacy, enhancing both motor skills and cognitive development while fostering a connection to nature (Bilton, 2010; Doyle &amp; Milchem, 2019).</w:t>
      </w:r>
    </w:p>
    <w:p w14:paraId="0012AC20" w14:textId="502D3057" w:rsidR="00AB63C5" w:rsidRPr="002422A3" w:rsidRDefault="00AB63C5" w:rsidP="002422A3">
      <w:pPr>
        <w:spacing w:line="360" w:lineRule="auto"/>
        <w:rPr>
          <w:rFonts w:ascii="Calibri" w:hAnsi="Calibri"/>
        </w:rPr>
      </w:pPr>
      <w:r w:rsidRPr="002422A3">
        <w:rPr>
          <w:rFonts w:ascii="Calibri" w:hAnsi="Calibri"/>
        </w:rPr>
        <w:lastRenderedPageBreak/>
        <w:t xml:space="preserve">The Forest School approach, originally from Scandinavia, emphasizes learning through risk and adventure in outdoor settings, where children develop not only physical literacy but also critical thinking, </w:t>
      </w:r>
      <w:proofErr w:type="gramStart"/>
      <w:r w:rsidRPr="002422A3">
        <w:rPr>
          <w:rFonts w:ascii="Calibri" w:hAnsi="Calibri"/>
        </w:rPr>
        <w:t>problem-solving skills</w:t>
      </w:r>
      <w:proofErr w:type="gramEnd"/>
      <w:r w:rsidRPr="002422A3">
        <w:rPr>
          <w:rFonts w:ascii="Calibri" w:hAnsi="Calibri"/>
        </w:rPr>
        <w:t>, and emotional resilience (Knight, 2013; Beames &amp; Brown, 2016). This approach directly aligns with the principles of the Curriculum for Wales, which encourages the development of a broad range of skills through active, real-world learning experiences (Joyce, 2019).</w:t>
      </w:r>
    </w:p>
    <w:p w14:paraId="0705090A" w14:textId="77777777" w:rsidR="00961031" w:rsidRPr="002422A3" w:rsidRDefault="00961031" w:rsidP="002422A3">
      <w:pPr>
        <w:spacing w:line="360" w:lineRule="auto"/>
        <w:rPr>
          <w:rFonts w:ascii="Calibri" w:hAnsi="Calibri"/>
        </w:rPr>
      </w:pPr>
      <w:r w:rsidRPr="002422A3">
        <w:rPr>
          <w:rFonts w:ascii="Calibri" w:hAnsi="Calibri"/>
        </w:rPr>
        <w:t>Overall, the Curriculum for Wales reflects a global shift towards valuing outdoor play and experiential learning as essential elements in the development of physical literacy. Through a focus on physical, emotional, cognitive, and social growth in outdoor settings, the curriculum helps lay a foundation for children to lead healthy, active lives (Whitehead, 2001; Welsh Government, 2022). The Curriculum for Wales, implemented in 2022, provides looser guidance for schools on how they should structure their curriculum. This gives schools more control over how they structure their curriculum and allows them to tailor it to their students’ needs, thus allowing for a more personalized and inclusive approach (Welsh Government, 2022).</w:t>
      </w:r>
    </w:p>
    <w:p w14:paraId="354514E2" w14:textId="2C862DA8" w:rsidR="00961031" w:rsidRPr="002422A3" w:rsidRDefault="00961031" w:rsidP="002422A3">
      <w:pPr>
        <w:spacing w:line="360" w:lineRule="auto"/>
        <w:rPr>
          <w:rFonts w:ascii="Calibri" w:hAnsi="Calibri"/>
        </w:rPr>
      </w:pPr>
      <w:r w:rsidRPr="002422A3">
        <w:rPr>
          <w:rFonts w:ascii="Calibri" w:hAnsi="Calibri"/>
        </w:rPr>
        <w:t xml:space="preserve">The new theory has an emphasis on holistic development, which </w:t>
      </w:r>
      <w:proofErr w:type="gramStart"/>
      <w:r w:rsidRPr="002422A3">
        <w:rPr>
          <w:rFonts w:ascii="Calibri" w:hAnsi="Calibri"/>
        </w:rPr>
        <w:t>essentially means</w:t>
      </w:r>
      <w:proofErr w:type="gramEnd"/>
      <w:r w:rsidRPr="002422A3">
        <w:rPr>
          <w:rFonts w:ascii="Calibri" w:hAnsi="Calibri"/>
        </w:rPr>
        <w:t xml:space="preserve"> that there is less concentration on academic achievements and more focus on developmental areas that children will use throughout their lives, such as becoming ambitious, capable learners (Welsh Government, 2022). This curriculum has six areas of learning, with Health and Well-being being one of these areas (Welsh Government, 2022). Here, </w:t>
      </w:r>
      <w:proofErr w:type="gramStart"/>
      <w:r w:rsidRPr="002422A3">
        <w:rPr>
          <w:rFonts w:ascii="Calibri" w:hAnsi="Calibri"/>
        </w:rPr>
        <w:t>a holistic approach</w:t>
      </w:r>
      <w:proofErr w:type="gramEnd"/>
      <w:r w:rsidRPr="002422A3">
        <w:rPr>
          <w:rFonts w:ascii="Calibri" w:hAnsi="Calibri"/>
        </w:rPr>
        <w:t xml:space="preserve"> is considered as the focus for the teaching and learning experiences, with the first What Matters Statement being based on physical development, such as motor skills, coordination, and physical health (Welsh Government, 2022). Emotional development, like building self-awareness, emotional regulation/understanding, and resilience, is also encouraged to be developed through the physical, as well as social development, which focuses on </w:t>
      </w:r>
      <w:proofErr w:type="gramStart"/>
      <w:r w:rsidRPr="002422A3">
        <w:rPr>
          <w:rFonts w:ascii="Calibri" w:hAnsi="Calibri"/>
        </w:rPr>
        <w:t>interpersonal skills</w:t>
      </w:r>
      <w:proofErr w:type="gramEnd"/>
      <w:r w:rsidRPr="002422A3">
        <w:rPr>
          <w:rFonts w:ascii="Calibri" w:hAnsi="Calibri"/>
        </w:rPr>
        <w:t xml:space="preserve"> and how children interact with one another (Knight, 2013; Waite, 2011). Cognitive development, which encourages critical thinking, creativity, and problem-solving, can also </w:t>
      </w:r>
      <w:proofErr w:type="gramStart"/>
      <w:r w:rsidRPr="002422A3">
        <w:rPr>
          <w:rFonts w:ascii="Calibri" w:hAnsi="Calibri"/>
        </w:rPr>
        <w:t>be promoted</w:t>
      </w:r>
      <w:proofErr w:type="gramEnd"/>
      <w:r w:rsidRPr="002422A3">
        <w:rPr>
          <w:rFonts w:ascii="Calibri" w:hAnsi="Calibri"/>
        </w:rPr>
        <w:t xml:space="preserve"> through the physical (Haydn-Davies, 2008; Whitehead, 2001).</w:t>
      </w:r>
    </w:p>
    <w:p w14:paraId="25BC479C" w14:textId="287D99AA" w:rsidR="00961031" w:rsidRPr="002422A3" w:rsidRDefault="00961031" w:rsidP="002422A3">
      <w:pPr>
        <w:spacing w:line="360" w:lineRule="auto"/>
        <w:rPr>
          <w:rFonts w:ascii="Calibri" w:hAnsi="Calibri"/>
        </w:rPr>
      </w:pPr>
      <w:r w:rsidRPr="002422A3">
        <w:rPr>
          <w:rFonts w:ascii="Calibri" w:hAnsi="Calibri"/>
        </w:rPr>
        <w:t xml:space="preserve">This </w:t>
      </w:r>
      <w:proofErr w:type="gramStart"/>
      <w:r w:rsidRPr="002422A3">
        <w:rPr>
          <w:rFonts w:ascii="Calibri" w:hAnsi="Calibri"/>
        </w:rPr>
        <w:t>holistic approach</w:t>
      </w:r>
      <w:proofErr w:type="gramEnd"/>
      <w:r w:rsidRPr="002422A3">
        <w:rPr>
          <w:rFonts w:ascii="Calibri" w:hAnsi="Calibri"/>
        </w:rPr>
        <w:t xml:space="preserve"> ensures that children acquire not only academic skills but also life skills that are essential for personal growth and well-being (Whitehead, 2001). Outdoor </w:t>
      </w:r>
      <w:r w:rsidRPr="002422A3">
        <w:rPr>
          <w:rFonts w:ascii="Calibri" w:hAnsi="Calibri"/>
        </w:rPr>
        <w:lastRenderedPageBreak/>
        <w:t>learning, which is integral to the Curriculum for Wales, aligns seamlessly with these goals. It provides opportunities for children to engage in activities that support their physical, emotional, social, and cognitive development in a meaningful and interconnected way (Knight, 2013; Welsh Government, 2022). This change in the curriculum aligns closely with the Foundation Phase’s playful pedagogical approach, which prioritizes outdoor learning as a means of developing physical literacy (Knight, 2013; Waite, 2011).</w:t>
      </w:r>
    </w:p>
    <w:p w14:paraId="6944F74A" w14:textId="4313ED16" w:rsidR="002473E3" w:rsidRPr="002422A3" w:rsidRDefault="00961031" w:rsidP="002422A3">
      <w:pPr>
        <w:spacing w:line="360" w:lineRule="auto"/>
        <w:rPr>
          <w:rFonts w:ascii="Calibri" w:hAnsi="Calibri"/>
        </w:rPr>
      </w:pPr>
      <w:r w:rsidRPr="002422A3">
        <w:rPr>
          <w:rFonts w:ascii="Calibri" w:hAnsi="Calibri"/>
        </w:rPr>
        <w:t>This essay will explore how theories of play have influenced these approaches in Wales but also look at international impacts and the broader benefits of outdoor learning for young children (Knight, 2013; Haydn-Davies, 2008).</w:t>
      </w:r>
    </w:p>
    <w:p w14:paraId="451D8DD7" w14:textId="726C735F" w:rsidR="00AB63C5" w:rsidRPr="002422A3" w:rsidRDefault="00AB63C5" w:rsidP="002422A3">
      <w:pPr>
        <w:spacing w:line="360" w:lineRule="auto"/>
        <w:rPr>
          <w:rFonts w:ascii="Calibri" w:hAnsi="Calibri"/>
        </w:rPr>
      </w:pPr>
      <w:r w:rsidRPr="002422A3">
        <w:rPr>
          <w:rFonts w:ascii="Calibri" w:hAnsi="Calibri"/>
        </w:rPr>
        <w:t xml:space="preserve">The concept of "play" in the Welsh curriculum </w:t>
      </w:r>
      <w:proofErr w:type="gramStart"/>
      <w:r w:rsidRPr="002422A3">
        <w:rPr>
          <w:rFonts w:ascii="Calibri" w:hAnsi="Calibri"/>
        </w:rPr>
        <w:t>is deeply connected</w:t>
      </w:r>
      <w:proofErr w:type="gramEnd"/>
      <w:r w:rsidRPr="002422A3">
        <w:rPr>
          <w:rFonts w:ascii="Calibri" w:hAnsi="Calibri"/>
        </w:rPr>
        <w:t xml:space="preserve"> to the work of early childhood theorists such as Froebel, who believed in play as an essential medium for children’s learning and development. Froebel (2005) viewed play as a natural and necessary aspect of children’s development, allowing them to engage with the world in a way that promotes understanding, creativity, and emotional growth. This theory supports the Curriculum for Wales’ aim to create learners who are confident, creative, and curious, as play </w:t>
      </w:r>
      <w:proofErr w:type="gramStart"/>
      <w:r w:rsidRPr="002422A3">
        <w:rPr>
          <w:rFonts w:ascii="Calibri" w:hAnsi="Calibri"/>
        </w:rPr>
        <w:t>is recogni</w:t>
      </w:r>
      <w:r w:rsidR="000622BD" w:rsidRPr="002422A3">
        <w:rPr>
          <w:rFonts w:ascii="Calibri" w:hAnsi="Calibri"/>
        </w:rPr>
        <w:t>s</w:t>
      </w:r>
      <w:r w:rsidRPr="002422A3">
        <w:rPr>
          <w:rFonts w:ascii="Calibri" w:hAnsi="Calibri"/>
        </w:rPr>
        <w:t>ed</w:t>
      </w:r>
      <w:proofErr w:type="gramEnd"/>
      <w:r w:rsidRPr="002422A3">
        <w:rPr>
          <w:rFonts w:ascii="Calibri" w:hAnsi="Calibri"/>
        </w:rPr>
        <w:t xml:space="preserve"> as an integral component in achieving these outcomes (Welsh Government, 2022).</w:t>
      </w:r>
    </w:p>
    <w:p w14:paraId="70EA9409" w14:textId="64CBE10A" w:rsidR="00AB63C5" w:rsidRPr="002422A3" w:rsidRDefault="00AB63C5" w:rsidP="002422A3">
      <w:pPr>
        <w:spacing w:line="360" w:lineRule="auto"/>
        <w:rPr>
          <w:rFonts w:ascii="Calibri" w:hAnsi="Calibri"/>
        </w:rPr>
      </w:pPr>
      <w:r w:rsidRPr="002422A3">
        <w:rPr>
          <w:rFonts w:ascii="Calibri" w:hAnsi="Calibri"/>
        </w:rPr>
        <w:t>The Reggio Emilia approach is an innovative, child-centred approach to education, originating in Reggio Emilia, Italy, after World War II. The approach emphasizes the importance of creativity, collaboration, and exploration in a child’s early education (Galbi, 2013).</w:t>
      </w:r>
    </w:p>
    <w:p w14:paraId="51CFD5CB" w14:textId="375846D5" w:rsidR="00AB63C5" w:rsidRPr="002422A3" w:rsidRDefault="00AB63C5" w:rsidP="002422A3">
      <w:pPr>
        <w:spacing w:line="360" w:lineRule="auto"/>
        <w:rPr>
          <w:rFonts w:ascii="Calibri" w:hAnsi="Calibri"/>
        </w:rPr>
      </w:pPr>
      <w:r w:rsidRPr="002422A3">
        <w:rPr>
          <w:rFonts w:ascii="Calibri" w:hAnsi="Calibri"/>
        </w:rPr>
        <w:t xml:space="preserve">The Reggio Emilia approach emphasizes that children should </w:t>
      </w:r>
      <w:proofErr w:type="gramStart"/>
      <w:r w:rsidRPr="002422A3">
        <w:rPr>
          <w:rFonts w:ascii="Calibri" w:hAnsi="Calibri"/>
        </w:rPr>
        <w:t>be seen</w:t>
      </w:r>
      <w:proofErr w:type="gramEnd"/>
      <w:r w:rsidRPr="002422A3">
        <w:rPr>
          <w:rFonts w:ascii="Calibri" w:hAnsi="Calibri"/>
        </w:rPr>
        <w:t xml:space="preserve"> as capable, competent, and full of potential. In this approach, children are active participants in their own learning, not passive recipients of information (Malaguzzi, 1993; Gandini &amp; Edwards, 2005). The environment plays a pivotal role as a "third teacher," encouraging creativity, curiosity, and collaboration. Classrooms </w:t>
      </w:r>
      <w:proofErr w:type="gramStart"/>
      <w:r w:rsidRPr="002422A3">
        <w:rPr>
          <w:rFonts w:ascii="Calibri" w:hAnsi="Calibri"/>
        </w:rPr>
        <w:t>are designed</w:t>
      </w:r>
      <w:proofErr w:type="gramEnd"/>
      <w:r w:rsidRPr="002422A3">
        <w:rPr>
          <w:rFonts w:ascii="Calibri" w:hAnsi="Calibri"/>
        </w:rPr>
        <w:t xml:space="preserve"> to be open, light-filled spaces filled with 'loose parts'</w:t>
      </w:r>
      <w:r w:rsidR="00B66A40" w:rsidRPr="002422A3">
        <w:rPr>
          <w:rFonts w:ascii="Calibri" w:hAnsi="Calibri"/>
        </w:rPr>
        <w:t xml:space="preserve"> </w:t>
      </w:r>
      <w:r w:rsidRPr="002422A3">
        <w:rPr>
          <w:rFonts w:ascii="Calibri" w:hAnsi="Calibri"/>
        </w:rPr>
        <w:t xml:space="preserve">materials that children can engage with freely, fostering exploration and discovery (Edwards, Gandini, &amp; Forman, 2012; Wainwright, 2018). Unlike traditional schooling, which typically covers short, topic-based lessons, Reggio Emilia’s project-based learning allows children to explore subjects in depth over extended periods, guided by their interests (Gandini, 2012). </w:t>
      </w:r>
      <w:r w:rsidRPr="002422A3">
        <w:rPr>
          <w:rFonts w:ascii="Calibri" w:hAnsi="Calibri"/>
        </w:rPr>
        <w:lastRenderedPageBreak/>
        <w:t xml:space="preserve">Teachers </w:t>
      </w:r>
      <w:proofErr w:type="gramStart"/>
      <w:r w:rsidRPr="002422A3">
        <w:rPr>
          <w:rFonts w:ascii="Calibri" w:hAnsi="Calibri"/>
        </w:rPr>
        <w:t>act as</w:t>
      </w:r>
      <w:proofErr w:type="gramEnd"/>
      <w:r w:rsidRPr="002422A3">
        <w:rPr>
          <w:rFonts w:ascii="Calibri" w:hAnsi="Calibri"/>
        </w:rPr>
        <w:t xml:space="preserve"> facilitators, expanding on children’s ideas rather than directing their learning, creating a more child-centred approach to education (Rinaldi, 2006). This philosophy is rooted in the belief that learning is a collaborative process, where teachers, children, and the environment interact dynamically to foster meaningful development (Forman &amp; Fyfe, 2012).</w:t>
      </w:r>
    </w:p>
    <w:p w14:paraId="7D99D962" w14:textId="61584DEA" w:rsidR="00AB63C5" w:rsidRPr="002422A3" w:rsidRDefault="00AB63C5" w:rsidP="002422A3">
      <w:pPr>
        <w:spacing w:line="360" w:lineRule="auto"/>
        <w:rPr>
          <w:rFonts w:ascii="Calibri" w:hAnsi="Calibri"/>
        </w:rPr>
      </w:pPr>
      <w:r w:rsidRPr="002422A3">
        <w:rPr>
          <w:rFonts w:ascii="Calibri" w:hAnsi="Calibri"/>
        </w:rPr>
        <w:t xml:space="preserve">One major difference from typical learning within schools is their project-based approach. Instead of topics lasting only 1 or 2 days, projects can last up to </w:t>
      </w:r>
      <w:proofErr w:type="gramStart"/>
      <w:r w:rsidRPr="002422A3">
        <w:rPr>
          <w:rFonts w:ascii="Calibri" w:hAnsi="Calibri"/>
        </w:rPr>
        <w:t>a few</w:t>
      </w:r>
      <w:proofErr w:type="gramEnd"/>
      <w:r w:rsidRPr="002422A3">
        <w:rPr>
          <w:rFonts w:ascii="Calibri" w:hAnsi="Calibri"/>
        </w:rPr>
        <w:t xml:space="preserve"> months and are based on the child’s interests, allowing children to engage meaningfully and delve in-depth into their projects through deep exploration and creativity. Teachers guide the projects and expand on a student’s ideas rather than directing the process (Galbi, 2013).</w:t>
      </w:r>
    </w:p>
    <w:p w14:paraId="2C2E8DD3" w14:textId="7306E861" w:rsidR="00AB63C5" w:rsidRPr="002422A3" w:rsidRDefault="00AB63C5" w:rsidP="002422A3">
      <w:pPr>
        <w:spacing w:line="360" w:lineRule="auto"/>
        <w:rPr>
          <w:rFonts w:ascii="Calibri" w:hAnsi="Calibri"/>
        </w:rPr>
      </w:pPr>
      <w:r w:rsidRPr="002422A3">
        <w:rPr>
          <w:rFonts w:ascii="Calibri" w:hAnsi="Calibri"/>
        </w:rPr>
        <w:t xml:space="preserve">As well as this, collaboration and community are important. Children should work together on projects, sharing ideas and learning from one another. This is how the real world works, so </w:t>
      </w:r>
      <w:proofErr w:type="gramStart"/>
      <w:r w:rsidRPr="002422A3">
        <w:rPr>
          <w:rFonts w:ascii="Calibri" w:hAnsi="Calibri"/>
        </w:rPr>
        <w:t>it’s</w:t>
      </w:r>
      <w:proofErr w:type="gramEnd"/>
      <w:r w:rsidRPr="002422A3">
        <w:rPr>
          <w:rFonts w:ascii="Calibri" w:hAnsi="Calibri"/>
        </w:rPr>
        <w:t xml:space="preserve"> important that we raise children not to be afraid of this process. Within Reggio Emilia, the community is vital, not only playing an integral role in education but also encouraging </w:t>
      </w:r>
      <w:proofErr w:type="gramStart"/>
      <w:r w:rsidRPr="002422A3">
        <w:rPr>
          <w:rFonts w:ascii="Calibri" w:hAnsi="Calibri"/>
        </w:rPr>
        <w:t>what’s</w:t>
      </w:r>
      <w:proofErr w:type="gramEnd"/>
      <w:r w:rsidRPr="002422A3">
        <w:rPr>
          <w:rFonts w:ascii="Calibri" w:hAnsi="Calibri"/>
        </w:rPr>
        <w:t xml:space="preserve"> being taught, allowing the teacher to maintain their role as a facilitator rather than the traditional authoritative figure.</w:t>
      </w:r>
    </w:p>
    <w:p w14:paraId="51815133" w14:textId="2930CC40" w:rsidR="00AB63C5" w:rsidRPr="002422A3" w:rsidRDefault="00AB63C5" w:rsidP="002422A3">
      <w:pPr>
        <w:spacing w:line="360" w:lineRule="auto"/>
        <w:rPr>
          <w:rFonts w:ascii="Calibri" w:hAnsi="Calibri"/>
        </w:rPr>
      </w:pPr>
      <w:r w:rsidRPr="002422A3">
        <w:rPr>
          <w:rFonts w:ascii="Calibri" w:hAnsi="Calibri"/>
        </w:rPr>
        <w:t xml:space="preserve">According to the theory, children express themselves in “a hundred languages,” such as dance, play, drawing, sculptures, storytelling, and more. These diverse methods of communicating ideas </w:t>
      </w:r>
      <w:proofErr w:type="gramStart"/>
      <w:r w:rsidRPr="002422A3">
        <w:rPr>
          <w:rFonts w:ascii="Calibri" w:hAnsi="Calibri"/>
        </w:rPr>
        <w:t>are seen</w:t>
      </w:r>
      <w:proofErr w:type="gramEnd"/>
      <w:r w:rsidRPr="002422A3">
        <w:rPr>
          <w:rFonts w:ascii="Calibri" w:hAnsi="Calibri"/>
        </w:rPr>
        <w:t xml:space="preserve"> as an invaluable part of the learning process. This approach sees play as a critical method of learning. Through playful exploration, children develop </w:t>
      </w:r>
      <w:proofErr w:type="gramStart"/>
      <w:r w:rsidRPr="002422A3">
        <w:rPr>
          <w:rFonts w:ascii="Calibri" w:hAnsi="Calibri"/>
        </w:rPr>
        <w:t>many</w:t>
      </w:r>
      <w:proofErr w:type="gramEnd"/>
      <w:r w:rsidRPr="002422A3">
        <w:rPr>
          <w:rFonts w:ascii="Calibri" w:hAnsi="Calibri"/>
        </w:rPr>
        <w:t xml:space="preserve"> physical and cognitive skills.</w:t>
      </w:r>
    </w:p>
    <w:p w14:paraId="5ADDAD21" w14:textId="77777777" w:rsidR="00AF2B72" w:rsidRPr="002422A3" w:rsidRDefault="00AB63C5" w:rsidP="002422A3">
      <w:pPr>
        <w:spacing w:line="360" w:lineRule="auto"/>
        <w:rPr>
          <w:rFonts w:ascii="Calibri" w:hAnsi="Calibri"/>
        </w:rPr>
      </w:pPr>
      <w:r w:rsidRPr="002422A3">
        <w:rPr>
          <w:rFonts w:ascii="Calibri" w:hAnsi="Calibri"/>
        </w:rPr>
        <w:t xml:space="preserve">The Reggio Emilia approach fosters a love for learning, allowing children to take responsibility and engage meaningfully in their education, encouraging critical thinking, and respecting each individual child (Galbi, 2013). This child-centred philosophy mirrors the principles embedded in the Curriculum for Wales, which prioritizes holistic development and the nurturing of children as capable, competent learners (Welsh Government, 2022). The Welsh curriculum emphasizes outdoor learning and play-based pedagogy, aligning with the Reggio Emilia approach by fostering exploration, creativity, and </w:t>
      </w:r>
      <w:proofErr w:type="gramStart"/>
      <w:r w:rsidRPr="002422A3">
        <w:rPr>
          <w:rFonts w:ascii="Calibri" w:hAnsi="Calibri"/>
        </w:rPr>
        <w:t>problem-solving skills</w:t>
      </w:r>
      <w:proofErr w:type="gramEnd"/>
      <w:r w:rsidRPr="002422A3">
        <w:rPr>
          <w:rFonts w:ascii="Calibri" w:hAnsi="Calibri"/>
        </w:rPr>
        <w:t xml:space="preserve"> in natural environments (Knight, 2013; Maynard, 2007). The integration of outdoor learning in Wales mirrors Reggio Emilia's use of the environment as a "third teacher," where nature and </w:t>
      </w:r>
      <w:r w:rsidRPr="002422A3">
        <w:rPr>
          <w:rFonts w:ascii="Calibri" w:hAnsi="Calibri"/>
        </w:rPr>
        <w:lastRenderedPageBreak/>
        <w:t xml:space="preserve">the outdoors </w:t>
      </w:r>
      <w:proofErr w:type="gramStart"/>
      <w:r w:rsidRPr="002422A3">
        <w:rPr>
          <w:rFonts w:ascii="Calibri" w:hAnsi="Calibri"/>
        </w:rPr>
        <w:t>are seen</w:t>
      </w:r>
      <w:proofErr w:type="gramEnd"/>
      <w:r w:rsidRPr="002422A3">
        <w:rPr>
          <w:rFonts w:ascii="Calibri" w:hAnsi="Calibri"/>
        </w:rPr>
        <w:t xml:space="preserve"> as an integral part of children's education (Gandini, 2012; Whitehead, 2001).</w:t>
      </w:r>
      <w:r w:rsidR="00AF2B72" w:rsidRPr="002422A3">
        <w:rPr>
          <w:rFonts w:ascii="Calibri" w:hAnsi="Calibri"/>
        </w:rPr>
        <w:t xml:space="preserve"> </w:t>
      </w:r>
    </w:p>
    <w:p w14:paraId="3811A2B6" w14:textId="38082BF9" w:rsidR="009568AB" w:rsidRPr="002422A3" w:rsidRDefault="00AF2B72" w:rsidP="002422A3">
      <w:pPr>
        <w:spacing w:line="360" w:lineRule="auto"/>
        <w:rPr>
          <w:rFonts w:ascii="Calibri" w:hAnsi="Calibri"/>
        </w:rPr>
      </w:pPr>
      <w:r w:rsidRPr="002422A3">
        <w:rPr>
          <w:rFonts w:ascii="Calibri" w:hAnsi="Calibri"/>
        </w:rPr>
        <w:t>Maynard’s paper (Maynard, 2007), talks about the decline of outdoor spaces, coupled with an incline with home based leisure such as TV, Xbox and more. This trend if carries on will eliminate outdoor play areas. It is suggested that one of the contributing factors to this trend is ‘Fear</w:t>
      </w:r>
      <w:proofErr w:type="gramStart"/>
      <w:r w:rsidRPr="002422A3">
        <w:rPr>
          <w:rFonts w:ascii="Calibri" w:hAnsi="Calibri"/>
        </w:rPr>
        <w:t>’,</w:t>
      </w:r>
      <w:proofErr w:type="gramEnd"/>
      <w:r w:rsidRPr="002422A3">
        <w:rPr>
          <w:rFonts w:ascii="Calibri" w:hAnsi="Calibri"/>
        </w:rPr>
        <w:t xml:space="preserve"> this for example could be a fear of getting hurt or stranger danger or multiple other typical fears on the modern world. </w:t>
      </w:r>
      <w:proofErr w:type="gramStart"/>
      <w:r w:rsidRPr="002422A3">
        <w:rPr>
          <w:rFonts w:ascii="Calibri" w:hAnsi="Calibri"/>
        </w:rPr>
        <w:t>Essentially people</w:t>
      </w:r>
      <w:proofErr w:type="gramEnd"/>
      <w:r w:rsidRPr="002422A3">
        <w:rPr>
          <w:rFonts w:ascii="Calibri" w:hAnsi="Calibri"/>
        </w:rPr>
        <w:t xml:space="preserve"> are becoming less willing to take a risk themselves and therefore less willing for </w:t>
      </w:r>
      <w:r w:rsidR="000622BD" w:rsidRPr="002422A3">
        <w:rPr>
          <w:rFonts w:ascii="Calibri" w:hAnsi="Calibri"/>
        </w:rPr>
        <w:t>their</w:t>
      </w:r>
      <w:r w:rsidRPr="002422A3">
        <w:rPr>
          <w:rFonts w:ascii="Calibri" w:hAnsi="Calibri"/>
        </w:rPr>
        <w:t xml:space="preserve"> child to take risk. Limiting their time actively playing and increasing </w:t>
      </w:r>
      <w:r w:rsidR="000622BD" w:rsidRPr="002422A3">
        <w:rPr>
          <w:rFonts w:ascii="Calibri" w:hAnsi="Calibri"/>
        </w:rPr>
        <w:t>their</w:t>
      </w:r>
      <w:r w:rsidRPr="002422A3">
        <w:rPr>
          <w:rFonts w:ascii="Calibri" w:hAnsi="Calibri"/>
        </w:rPr>
        <w:t xml:space="preserve"> time indoors being sedentary. To counter act this schools across the UK started implementing experiential learning within </w:t>
      </w:r>
      <w:r w:rsidR="000622BD" w:rsidRPr="002422A3">
        <w:rPr>
          <w:rFonts w:ascii="Calibri" w:hAnsi="Calibri"/>
        </w:rPr>
        <w:t>their</w:t>
      </w:r>
      <w:r w:rsidRPr="002422A3">
        <w:rPr>
          <w:rFonts w:ascii="Calibri" w:hAnsi="Calibri"/>
        </w:rPr>
        <w:t xml:space="preserve"> curriculums, influenced by Danish early years programmes, they </w:t>
      </w:r>
      <w:proofErr w:type="gramStart"/>
      <w:r w:rsidRPr="002422A3">
        <w:rPr>
          <w:rFonts w:ascii="Calibri" w:hAnsi="Calibri"/>
        </w:rPr>
        <w:t>came up with</w:t>
      </w:r>
      <w:proofErr w:type="gramEnd"/>
      <w:r w:rsidRPr="002422A3">
        <w:rPr>
          <w:rFonts w:ascii="Calibri" w:hAnsi="Calibri"/>
        </w:rPr>
        <w:t xml:space="preserve"> their own concept of ‘Forest schools’. By 2005, around 50 Forrest School projects have been set up across Britan (Archimedes Training, 2005) now according to an article from 2022 (Greenways Forrest School, 2022) there are now over </w:t>
      </w:r>
      <w:proofErr w:type="gramStart"/>
      <w:r w:rsidRPr="002422A3">
        <w:rPr>
          <w:rFonts w:ascii="Calibri" w:hAnsi="Calibri"/>
        </w:rPr>
        <w:t>1000</w:t>
      </w:r>
      <w:proofErr w:type="gramEnd"/>
      <w:r w:rsidRPr="002422A3">
        <w:rPr>
          <w:rFonts w:ascii="Calibri" w:hAnsi="Calibri"/>
        </w:rPr>
        <w:t xml:space="preserve"> forest schools implemented across the UK.</w:t>
      </w:r>
      <w:r w:rsidR="009568AB" w:rsidRPr="002422A3">
        <w:rPr>
          <w:rFonts w:ascii="Calibri" w:hAnsi="Calibri"/>
        </w:rPr>
        <w:t xml:space="preserve"> </w:t>
      </w:r>
    </w:p>
    <w:p w14:paraId="6562069E" w14:textId="5AFC7B89" w:rsidR="00AB63C5" w:rsidRPr="002422A3" w:rsidRDefault="009568AB" w:rsidP="002422A3">
      <w:pPr>
        <w:spacing w:line="360" w:lineRule="auto"/>
        <w:rPr>
          <w:rFonts w:ascii="Calibri" w:hAnsi="Calibri"/>
        </w:rPr>
      </w:pPr>
      <w:r w:rsidRPr="002422A3">
        <w:rPr>
          <w:rFonts w:ascii="Calibri" w:hAnsi="Calibri"/>
        </w:rPr>
        <w:t xml:space="preserve">This attitude </w:t>
      </w:r>
      <w:proofErr w:type="gramStart"/>
      <w:r w:rsidRPr="002422A3">
        <w:rPr>
          <w:rFonts w:ascii="Calibri" w:hAnsi="Calibri"/>
        </w:rPr>
        <w:t>is reflected</w:t>
      </w:r>
      <w:proofErr w:type="gramEnd"/>
      <w:r w:rsidRPr="002422A3">
        <w:rPr>
          <w:rFonts w:ascii="Calibri" w:hAnsi="Calibri"/>
        </w:rPr>
        <w:t xml:space="preserve"> in the Curriculum for Wales, which integrates key elements of international best practices, such as child-centred and play-based learning, into Wales’ own context. For example, the Cynefin Green Health Hub in Carmarthen exemplifies how the curriculum’s emphasis on outdoor learning is implemented </w:t>
      </w:r>
      <w:proofErr w:type="gramStart"/>
      <w:r w:rsidRPr="002422A3">
        <w:rPr>
          <w:rFonts w:ascii="Calibri" w:hAnsi="Calibri"/>
        </w:rPr>
        <w:t>practically to</w:t>
      </w:r>
      <w:proofErr w:type="gramEnd"/>
      <w:r w:rsidRPr="002422A3">
        <w:rPr>
          <w:rFonts w:ascii="Calibri" w:hAnsi="Calibri"/>
        </w:rPr>
        <w:t xml:space="preserve"> improve children’s physical literacy. Through activities like forest schools and nature-based learning, Cynefin provides opportunities for children to develop motor skills, resilience, and social interaction in the outdoors. This aligns closely with the Health and Well-being Area of Learning and Experience (AoLE) within the curriculum, which promotes physical, emotional, and cognitive development through meaningful, holistic learning experiences (Welsh Government, 2022). Such approaches </w:t>
      </w:r>
      <w:proofErr w:type="gramStart"/>
      <w:r w:rsidRPr="002422A3">
        <w:rPr>
          <w:rFonts w:ascii="Calibri" w:hAnsi="Calibri"/>
        </w:rPr>
        <w:t>are also supported</w:t>
      </w:r>
      <w:proofErr w:type="gramEnd"/>
      <w:r w:rsidRPr="002422A3">
        <w:rPr>
          <w:rFonts w:ascii="Calibri" w:hAnsi="Calibri"/>
        </w:rPr>
        <w:t xml:space="preserve"> by research on the benefits of outdoor learning, which highlights its role in improving not only physical literacy but also problem-solving and teamwork skills (Maynard, 2007).</w:t>
      </w:r>
    </w:p>
    <w:p w14:paraId="2FCCF98A" w14:textId="3B3453E2" w:rsidR="007A2EBE" w:rsidRPr="002422A3" w:rsidRDefault="007A2EBE" w:rsidP="002422A3">
      <w:pPr>
        <w:spacing w:line="360" w:lineRule="auto"/>
        <w:rPr>
          <w:rFonts w:ascii="Calibri" w:hAnsi="Calibri"/>
        </w:rPr>
      </w:pPr>
      <w:r w:rsidRPr="002422A3">
        <w:rPr>
          <w:rFonts w:ascii="Calibri" w:hAnsi="Calibri"/>
        </w:rPr>
        <w:t xml:space="preserve">In conclusion, the Curriculum for Wales reflects a global shift towards prioritizing outdoor learning, physical literacy, and a play-based pedagogical approach, emphasizing the importance of holistic development in early childhood education. Drawing inspiration from internationally recognized models such as Reggio Emilia and Forest Schools, the Welsh curriculum provides a rich, interconnected framework that fosters children’s physical, </w:t>
      </w:r>
      <w:r w:rsidRPr="002422A3">
        <w:rPr>
          <w:rFonts w:ascii="Calibri" w:hAnsi="Calibri"/>
        </w:rPr>
        <w:lastRenderedPageBreak/>
        <w:t>emotional, social, and cognitive growth. By embedding outdoor learning and experiential play into its core principles, Wales is not only enhancing physical competence but also cultivating essential life skills such as resilience, creativity, and problem-solving. This approach aligns with the overarching goal of shaping healthy, confident, and capable learners, prepared to engage with the world in meaningful and active ways. As Wales continues to implement these transformative educational practices, it is paving the way for future generations to lead fulfilling, active lives, while also contributing to the broader, global movement towards more inclusive, child-centred education (Knight, 2013; Whitehead, 2001; Welsh Government, 2022).</w:t>
      </w:r>
    </w:p>
    <w:p w14:paraId="77C3FA11" w14:textId="67539AF1" w:rsidR="21643ACD" w:rsidRPr="002422A3" w:rsidRDefault="21643ACD" w:rsidP="002422A3">
      <w:pPr>
        <w:spacing w:line="360" w:lineRule="auto"/>
        <w:rPr>
          <w:rFonts w:ascii="Calibri" w:hAnsi="Calibri"/>
        </w:rPr>
      </w:pPr>
    </w:p>
    <w:p w14:paraId="7531482C" w14:textId="567804AB" w:rsidR="739E541A" w:rsidRPr="002422A3" w:rsidRDefault="739E541A" w:rsidP="002422A3">
      <w:pPr>
        <w:spacing w:line="360" w:lineRule="auto"/>
        <w:rPr>
          <w:rFonts w:ascii="Calibri" w:hAnsi="Calibri"/>
        </w:rPr>
      </w:pPr>
      <w:r w:rsidRPr="002422A3">
        <w:rPr>
          <w:rFonts w:ascii="Calibri" w:hAnsi="Calibri"/>
        </w:rPr>
        <w:t xml:space="preserve">Word count: </w:t>
      </w:r>
      <w:r w:rsidR="000622BD" w:rsidRPr="002422A3">
        <w:rPr>
          <w:rFonts w:ascii="Calibri" w:hAnsi="Calibri"/>
        </w:rPr>
        <w:t>2</w:t>
      </w:r>
      <w:r w:rsidR="00C43F8D">
        <w:rPr>
          <w:rFonts w:ascii="Calibri" w:hAnsi="Calibri"/>
        </w:rPr>
        <w:t>200</w:t>
      </w:r>
    </w:p>
    <w:p w14:paraId="2442EFC6" w14:textId="77777777" w:rsidR="00D53F8D" w:rsidRPr="002422A3" w:rsidRDefault="00D53F8D" w:rsidP="002422A3">
      <w:pPr>
        <w:spacing w:line="360" w:lineRule="auto"/>
        <w:rPr>
          <w:rFonts w:ascii="Calibri" w:hAnsi="Calibri"/>
        </w:rPr>
      </w:pPr>
      <w:r w:rsidRPr="002422A3">
        <w:rPr>
          <w:rFonts w:ascii="Calibri" w:hAnsi="Calibri"/>
        </w:rPr>
        <w:br w:type="page"/>
      </w:r>
    </w:p>
    <w:p w14:paraId="59AE9041" w14:textId="087448C5" w:rsidR="739E541A" w:rsidRPr="00C43F8D" w:rsidRDefault="739E541A" w:rsidP="002422A3">
      <w:pPr>
        <w:spacing w:line="360" w:lineRule="auto"/>
        <w:rPr>
          <w:rFonts w:ascii="Calibri" w:hAnsi="Calibri"/>
          <w:sz w:val="28"/>
          <w:szCs w:val="28"/>
        </w:rPr>
      </w:pPr>
      <w:r w:rsidRPr="00C43F8D">
        <w:rPr>
          <w:rFonts w:ascii="Calibri" w:hAnsi="Calibri"/>
          <w:b/>
          <w:bCs/>
          <w:sz w:val="28"/>
          <w:szCs w:val="28"/>
          <w:u w:val="single"/>
        </w:rPr>
        <w:lastRenderedPageBreak/>
        <w:t xml:space="preserve">Reference </w:t>
      </w:r>
      <w:r w:rsidR="000622BD" w:rsidRPr="00C43F8D">
        <w:rPr>
          <w:rFonts w:ascii="Calibri" w:hAnsi="Calibri"/>
          <w:b/>
          <w:bCs/>
          <w:sz w:val="28"/>
          <w:szCs w:val="28"/>
          <w:u w:val="single"/>
        </w:rPr>
        <w:t>list:</w:t>
      </w:r>
      <w:r w:rsidRPr="00C43F8D">
        <w:rPr>
          <w:rFonts w:ascii="Calibri" w:hAnsi="Calibri"/>
          <w:b/>
          <w:bCs/>
          <w:sz w:val="28"/>
          <w:szCs w:val="28"/>
          <w:u w:val="single"/>
        </w:rPr>
        <w:t xml:space="preserve"> </w:t>
      </w:r>
    </w:p>
    <w:p w14:paraId="75367DA0" w14:textId="6016D481" w:rsidR="00837D40" w:rsidRPr="002422A3" w:rsidRDefault="00837D40" w:rsidP="002422A3">
      <w:pPr>
        <w:spacing w:line="360" w:lineRule="auto"/>
        <w:rPr>
          <w:rFonts w:ascii="Calibri" w:hAnsi="Calibri"/>
        </w:rPr>
      </w:pPr>
      <w:r w:rsidRPr="002422A3">
        <w:rPr>
          <w:rFonts w:ascii="Calibri" w:hAnsi="Calibri"/>
        </w:rPr>
        <w:t xml:space="preserve">Archimedes Training. (2005) Forest Schools. Available at: </w:t>
      </w:r>
      <w:hyperlink r:id="rId10" w:history="1">
        <w:r w:rsidR="00D53F8D" w:rsidRPr="002422A3">
          <w:rPr>
            <w:rStyle w:val="Hyperlink"/>
            <w:rFonts w:ascii="Calibri" w:hAnsi="Calibri"/>
          </w:rPr>
          <w:t>https://ww</w:t>
        </w:r>
        <w:r w:rsidR="00D53F8D" w:rsidRPr="002422A3">
          <w:rPr>
            <w:rStyle w:val="Hyperlink"/>
            <w:rFonts w:ascii="Calibri" w:hAnsi="Calibri"/>
          </w:rPr>
          <w:t>w</w:t>
        </w:r>
        <w:r w:rsidR="00D53F8D" w:rsidRPr="002422A3">
          <w:rPr>
            <w:rStyle w:val="Hyperlink"/>
            <w:rFonts w:ascii="Calibri" w:hAnsi="Calibri"/>
          </w:rPr>
          <w:t>.forestschools.com/</w:t>
        </w:r>
      </w:hyperlink>
      <w:r w:rsidR="00D53F8D" w:rsidRPr="002422A3">
        <w:rPr>
          <w:rFonts w:ascii="Calibri" w:hAnsi="Calibri"/>
        </w:rPr>
        <w:t xml:space="preserve"> </w:t>
      </w:r>
      <w:r w:rsidRPr="002422A3">
        <w:rPr>
          <w:rFonts w:ascii="Calibri" w:hAnsi="Calibri"/>
        </w:rPr>
        <w:t>(Accessed: 26 November 2024).</w:t>
      </w:r>
    </w:p>
    <w:p w14:paraId="467E625A" w14:textId="77777777" w:rsidR="00837D40" w:rsidRPr="002422A3" w:rsidRDefault="00837D40" w:rsidP="002422A3">
      <w:pPr>
        <w:spacing w:line="360" w:lineRule="auto"/>
        <w:rPr>
          <w:rFonts w:ascii="Calibri" w:hAnsi="Calibri"/>
        </w:rPr>
      </w:pPr>
      <w:r w:rsidRPr="002422A3">
        <w:rPr>
          <w:rFonts w:ascii="Calibri" w:hAnsi="Calibri"/>
        </w:rPr>
        <w:t>Beames, S., &amp; Brown, M. (2016) Adventurous Learning: A Pedagogy for a Changing World. Abingdon: Routledge.</w:t>
      </w:r>
    </w:p>
    <w:p w14:paraId="79900104" w14:textId="77777777" w:rsidR="00837D40" w:rsidRPr="002422A3" w:rsidRDefault="00837D40" w:rsidP="002422A3">
      <w:pPr>
        <w:spacing w:line="360" w:lineRule="auto"/>
        <w:rPr>
          <w:rFonts w:ascii="Calibri" w:hAnsi="Calibri"/>
        </w:rPr>
      </w:pPr>
      <w:r w:rsidRPr="002422A3">
        <w:rPr>
          <w:rFonts w:ascii="Calibri" w:hAnsi="Calibri"/>
        </w:rPr>
        <w:t>Bilton, H. (2010) Outdoor Learning in the Early Years. 2nd edn. London: Sage Publications.</w:t>
      </w:r>
    </w:p>
    <w:p w14:paraId="2483ECFE" w14:textId="77777777" w:rsidR="00837D40" w:rsidRPr="002422A3" w:rsidRDefault="00837D40" w:rsidP="002422A3">
      <w:pPr>
        <w:spacing w:line="360" w:lineRule="auto"/>
        <w:rPr>
          <w:rFonts w:ascii="Calibri" w:hAnsi="Calibri"/>
        </w:rPr>
      </w:pPr>
      <w:r w:rsidRPr="002422A3">
        <w:rPr>
          <w:rFonts w:ascii="Calibri" w:hAnsi="Calibri"/>
        </w:rPr>
        <w:t>Davies, A. (2013) Understanding Physical Literacy: A Guide for Teachers and Trainers. Routledge.</w:t>
      </w:r>
    </w:p>
    <w:p w14:paraId="74278D88" w14:textId="77777777" w:rsidR="00837D40" w:rsidRPr="002422A3" w:rsidRDefault="00837D40" w:rsidP="002422A3">
      <w:pPr>
        <w:spacing w:line="360" w:lineRule="auto"/>
        <w:rPr>
          <w:rFonts w:ascii="Calibri" w:hAnsi="Calibri"/>
        </w:rPr>
      </w:pPr>
      <w:r w:rsidRPr="002422A3">
        <w:rPr>
          <w:rFonts w:ascii="Calibri" w:hAnsi="Calibri"/>
        </w:rPr>
        <w:t>Doyle, J., &amp; Milchem, K. (2019) Developing a Forest School in Early Years Provision. London: Routledge.</w:t>
      </w:r>
    </w:p>
    <w:p w14:paraId="2C6DA2A1" w14:textId="77777777" w:rsidR="00837D40" w:rsidRPr="002422A3" w:rsidRDefault="00837D40" w:rsidP="002422A3">
      <w:pPr>
        <w:spacing w:line="360" w:lineRule="auto"/>
        <w:rPr>
          <w:rFonts w:ascii="Calibri" w:hAnsi="Calibri"/>
        </w:rPr>
      </w:pPr>
      <w:r w:rsidRPr="002422A3">
        <w:rPr>
          <w:rFonts w:ascii="Calibri" w:hAnsi="Calibri"/>
        </w:rPr>
        <w:t>Edwards, C., Gandini, L., &amp; Forman, G. (2012) The Hundred Languages of Children: The Reggio Emilia Approach to Early Childhood Education. Praeger Publishers.</w:t>
      </w:r>
    </w:p>
    <w:p w14:paraId="0504B6A9" w14:textId="77777777" w:rsidR="00837D40" w:rsidRPr="002422A3" w:rsidRDefault="00837D40" w:rsidP="002422A3">
      <w:pPr>
        <w:spacing w:line="360" w:lineRule="auto"/>
        <w:rPr>
          <w:rFonts w:ascii="Calibri" w:hAnsi="Calibri"/>
        </w:rPr>
      </w:pPr>
      <w:r w:rsidRPr="002422A3">
        <w:rPr>
          <w:rFonts w:ascii="Calibri" w:hAnsi="Calibri"/>
        </w:rPr>
        <w:t>Forman, G., &amp; Fyfe, B. (2012) Reggio Emilia: The Inspiration for Teaching and Learning. In J. L. R. F. M. Osborn (Ed.), Reclaiming Childhood: Letting Children Be Children (pp. 177-191). Routledge.</w:t>
      </w:r>
    </w:p>
    <w:p w14:paraId="20E01F67" w14:textId="33E2E236" w:rsidR="00837D40" w:rsidRPr="002422A3" w:rsidRDefault="00837D40" w:rsidP="002422A3">
      <w:pPr>
        <w:spacing w:line="360" w:lineRule="auto"/>
        <w:rPr>
          <w:rFonts w:ascii="Calibri" w:hAnsi="Calibri"/>
        </w:rPr>
      </w:pPr>
      <w:r w:rsidRPr="002422A3">
        <w:rPr>
          <w:rFonts w:ascii="Calibri" w:hAnsi="Calibri"/>
        </w:rPr>
        <w:t xml:space="preserve">Galbi, S. (2013) ‘Reggio Emilia Approach’, CNN News Report on Reggio Emilia Italy Early Childhood Schools in the US. Available at: </w:t>
      </w:r>
      <w:hyperlink r:id="rId11" w:history="1">
        <w:r w:rsidR="00D53F8D" w:rsidRPr="002422A3">
          <w:rPr>
            <w:rStyle w:val="Hyperlink"/>
            <w:rFonts w:ascii="Calibri" w:hAnsi="Calibri"/>
          </w:rPr>
          <w:t>https://www.youtube.com/watch?v=XVv5ZL9nlgs&amp;list=PLm8fI1AtD8zfkQ_QmPXjJeGap2o6G6CjC</w:t>
        </w:r>
      </w:hyperlink>
      <w:r w:rsidR="00D53F8D" w:rsidRPr="002422A3">
        <w:rPr>
          <w:rFonts w:ascii="Calibri" w:hAnsi="Calibri"/>
        </w:rPr>
        <w:t xml:space="preserve"> </w:t>
      </w:r>
      <w:r w:rsidRPr="002422A3">
        <w:rPr>
          <w:rFonts w:ascii="Calibri" w:hAnsi="Calibri"/>
        </w:rPr>
        <w:t>(Accessed: 26 November 2024).</w:t>
      </w:r>
    </w:p>
    <w:p w14:paraId="51217A20" w14:textId="77777777" w:rsidR="00837D40" w:rsidRPr="002422A3" w:rsidRDefault="00837D40" w:rsidP="002422A3">
      <w:pPr>
        <w:spacing w:line="360" w:lineRule="auto"/>
        <w:rPr>
          <w:rFonts w:ascii="Calibri" w:hAnsi="Calibri"/>
        </w:rPr>
      </w:pPr>
      <w:r w:rsidRPr="002422A3">
        <w:rPr>
          <w:rFonts w:ascii="Calibri" w:hAnsi="Calibri"/>
        </w:rPr>
        <w:t>Gandini, L. (2012) The Reggio Emilia Approach to Early Childhood Education. In R. J. Brooker (Ed.), The Routledge International Handbook of Early Childhood Education (pp. 54-66). Routledge.</w:t>
      </w:r>
    </w:p>
    <w:p w14:paraId="0C56F0F3" w14:textId="77777777" w:rsidR="00837D40" w:rsidRPr="002422A3" w:rsidRDefault="00837D40" w:rsidP="002422A3">
      <w:pPr>
        <w:spacing w:line="360" w:lineRule="auto"/>
        <w:rPr>
          <w:rFonts w:ascii="Calibri" w:hAnsi="Calibri"/>
        </w:rPr>
      </w:pPr>
      <w:r w:rsidRPr="002422A3">
        <w:rPr>
          <w:rFonts w:ascii="Calibri" w:hAnsi="Calibri"/>
        </w:rPr>
        <w:t>Gandini, L., &amp; Edwards, C. (2005) Promoting the Visibility of Young Children’s Learning: A Reggio Emilia Approach. In A. R. S. S. J. T. McGee (Ed.), The Pedagogy of Early Childhood Education (pp. 119-138). Teachers College Press.</w:t>
      </w:r>
    </w:p>
    <w:p w14:paraId="7E664D26" w14:textId="302E7460" w:rsidR="00837D40" w:rsidRPr="002422A3" w:rsidRDefault="00837D40" w:rsidP="002422A3">
      <w:pPr>
        <w:spacing w:line="360" w:lineRule="auto"/>
        <w:rPr>
          <w:rFonts w:ascii="Calibri" w:hAnsi="Calibri"/>
        </w:rPr>
      </w:pPr>
      <w:r w:rsidRPr="002422A3">
        <w:rPr>
          <w:rFonts w:ascii="Calibri" w:hAnsi="Calibri"/>
        </w:rPr>
        <w:lastRenderedPageBreak/>
        <w:t xml:space="preserve">Greenways Forest School. (2022) ‘The Birth and Rise of Forest School in the UK’. Available at: </w:t>
      </w:r>
      <w:hyperlink r:id="rId12" w:history="1">
        <w:r w:rsidR="00D53F8D" w:rsidRPr="002422A3">
          <w:rPr>
            <w:rStyle w:val="Hyperlink"/>
            <w:rFonts w:ascii="Calibri" w:hAnsi="Calibri"/>
          </w:rPr>
          <w:t>https://www.greenwaysforestschool.com/post/birth-and-rise-forest-school-uk</w:t>
        </w:r>
      </w:hyperlink>
      <w:r w:rsidR="00D53F8D" w:rsidRPr="002422A3">
        <w:rPr>
          <w:rFonts w:ascii="Calibri" w:hAnsi="Calibri"/>
        </w:rPr>
        <w:t xml:space="preserve"> </w:t>
      </w:r>
      <w:r w:rsidRPr="002422A3">
        <w:rPr>
          <w:rFonts w:ascii="Calibri" w:hAnsi="Calibri"/>
        </w:rPr>
        <w:t>(Accessed: 26 November 2024).</w:t>
      </w:r>
    </w:p>
    <w:p w14:paraId="35AAB7D2" w14:textId="77777777" w:rsidR="00837D40" w:rsidRPr="002422A3" w:rsidRDefault="00837D40" w:rsidP="002422A3">
      <w:pPr>
        <w:spacing w:line="360" w:lineRule="auto"/>
        <w:rPr>
          <w:rFonts w:ascii="Calibri" w:hAnsi="Calibri"/>
        </w:rPr>
      </w:pPr>
      <w:r w:rsidRPr="002422A3">
        <w:rPr>
          <w:rFonts w:ascii="Calibri" w:hAnsi="Calibri"/>
        </w:rPr>
        <w:t>Haydn-Davies, D. (2008) 'Physical Literacy: Relevance to Physical Education and the Curriculum for Wales', Physical Education Matters, 3(1), pp. 30–32.</w:t>
      </w:r>
    </w:p>
    <w:p w14:paraId="715AC76E" w14:textId="77777777" w:rsidR="00837D40" w:rsidRPr="002422A3" w:rsidRDefault="00837D40" w:rsidP="002422A3">
      <w:pPr>
        <w:spacing w:line="360" w:lineRule="auto"/>
        <w:rPr>
          <w:rFonts w:ascii="Calibri" w:hAnsi="Calibri"/>
        </w:rPr>
      </w:pPr>
      <w:r w:rsidRPr="002422A3">
        <w:rPr>
          <w:rFonts w:ascii="Calibri" w:hAnsi="Calibri"/>
        </w:rPr>
        <w:t>Joyce, R. (2019) Outdoor Learning Past and Present. London: Sage Publications.</w:t>
      </w:r>
    </w:p>
    <w:p w14:paraId="42A1C67D" w14:textId="77777777" w:rsidR="00837D40" w:rsidRPr="002422A3" w:rsidRDefault="00837D40" w:rsidP="002422A3">
      <w:pPr>
        <w:spacing w:line="360" w:lineRule="auto"/>
        <w:rPr>
          <w:rFonts w:ascii="Calibri" w:hAnsi="Calibri"/>
        </w:rPr>
      </w:pPr>
      <w:r w:rsidRPr="002422A3">
        <w:rPr>
          <w:rFonts w:ascii="Calibri" w:hAnsi="Calibri"/>
        </w:rPr>
        <w:t>Knight, S. (2013) Forest School and Outdoor Learning in the Early Years. 2nd edn. London: Sage Publications.</w:t>
      </w:r>
    </w:p>
    <w:p w14:paraId="5348893E" w14:textId="77777777" w:rsidR="00837D40" w:rsidRPr="002422A3" w:rsidRDefault="00837D40" w:rsidP="002422A3">
      <w:pPr>
        <w:spacing w:line="360" w:lineRule="auto"/>
        <w:rPr>
          <w:rFonts w:ascii="Calibri" w:hAnsi="Calibri"/>
        </w:rPr>
      </w:pPr>
      <w:r w:rsidRPr="002422A3">
        <w:rPr>
          <w:rFonts w:ascii="Calibri" w:hAnsi="Calibri"/>
        </w:rPr>
        <w:t>Knight, S. (2014) Risk and Adventure in Early Years Outdoor Play: Learning from Forest Schools. Abingdon: Routledge.</w:t>
      </w:r>
    </w:p>
    <w:p w14:paraId="20C5F594" w14:textId="77777777" w:rsidR="00837D40" w:rsidRPr="002422A3" w:rsidRDefault="00837D40" w:rsidP="002422A3">
      <w:pPr>
        <w:spacing w:line="360" w:lineRule="auto"/>
        <w:rPr>
          <w:rFonts w:ascii="Calibri" w:hAnsi="Calibri"/>
        </w:rPr>
      </w:pPr>
      <w:r w:rsidRPr="002422A3">
        <w:rPr>
          <w:rFonts w:ascii="Calibri" w:hAnsi="Calibri"/>
        </w:rPr>
        <w:t>Macintyre, C., &amp; McVitty, K. (2020) Movement and Learning in the Early Years. Abingdon: Routledge.</w:t>
      </w:r>
    </w:p>
    <w:p w14:paraId="656AF160" w14:textId="77777777" w:rsidR="00837D40" w:rsidRPr="002422A3" w:rsidRDefault="00837D40" w:rsidP="002422A3">
      <w:pPr>
        <w:spacing w:line="360" w:lineRule="auto"/>
        <w:rPr>
          <w:rFonts w:ascii="Calibri" w:hAnsi="Calibri"/>
        </w:rPr>
      </w:pPr>
      <w:r w:rsidRPr="002422A3">
        <w:rPr>
          <w:rFonts w:ascii="Calibri" w:hAnsi="Calibri"/>
        </w:rPr>
        <w:t>Maynard, T. (2007) 'Forest Schools in Great Britain: An Initial Exploration', Contemporary Issues in Early Childhood, 8(4), pp. 320–331.</w:t>
      </w:r>
    </w:p>
    <w:p w14:paraId="52BADC12" w14:textId="77777777" w:rsidR="00837D40" w:rsidRPr="002422A3" w:rsidRDefault="00837D40" w:rsidP="002422A3">
      <w:pPr>
        <w:spacing w:line="360" w:lineRule="auto"/>
        <w:rPr>
          <w:rFonts w:ascii="Calibri" w:hAnsi="Calibri"/>
        </w:rPr>
      </w:pPr>
      <w:r w:rsidRPr="002422A3">
        <w:rPr>
          <w:rFonts w:ascii="Calibri" w:hAnsi="Calibri"/>
        </w:rPr>
        <w:t xml:space="preserve">Maynard, T. (2007) ‘Education 3-13’, Encounters with Forest </w:t>
      </w:r>
      <w:proofErr w:type="gramStart"/>
      <w:r w:rsidRPr="002422A3">
        <w:rPr>
          <w:rFonts w:ascii="Calibri" w:hAnsi="Calibri"/>
        </w:rPr>
        <w:t>School</w:t>
      </w:r>
      <w:proofErr w:type="gramEnd"/>
      <w:r w:rsidRPr="002422A3">
        <w:rPr>
          <w:rFonts w:ascii="Calibri" w:hAnsi="Calibri"/>
        </w:rPr>
        <w:t xml:space="preserve"> and Foucault: A Risky Business? 35 (4), pp. 379-391.</w:t>
      </w:r>
    </w:p>
    <w:p w14:paraId="65998377" w14:textId="77777777" w:rsidR="00837D40" w:rsidRPr="002422A3" w:rsidRDefault="00837D40" w:rsidP="002422A3">
      <w:pPr>
        <w:spacing w:line="360" w:lineRule="auto"/>
        <w:rPr>
          <w:rFonts w:ascii="Calibri" w:hAnsi="Calibri"/>
        </w:rPr>
      </w:pPr>
      <w:r w:rsidRPr="002422A3">
        <w:rPr>
          <w:rFonts w:ascii="Calibri" w:hAnsi="Calibri"/>
        </w:rPr>
        <w:t>Parry, J., &amp; Allison, P. (2009) Experiential Learning and Outdoor Education. London: Continuum.</w:t>
      </w:r>
    </w:p>
    <w:p w14:paraId="4D555FC5" w14:textId="77777777" w:rsidR="00837D40" w:rsidRPr="002422A3" w:rsidRDefault="00837D40" w:rsidP="002422A3">
      <w:pPr>
        <w:spacing w:line="360" w:lineRule="auto"/>
        <w:rPr>
          <w:rFonts w:ascii="Calibri" w:hAnsi="Calibri"/>
        </w:rPr>
      </w:pPr>
      <w:r w:rsidRPr="002422A3">
        <w:rPr>
          <w:rFonts w:ascii="Calibri" w:hAnsi="Calibri"/>
        </w:rPr>
        <w:t>Rinaldi, C. (2006). In Dialogue with Reggio Emilia: Listening, Researching and Learning. Routledge.</w:t>
      </w:r>
    </w:p>
    <w:p w14:paraId="5F47E5DA" w14:textId="77777777" w:rsidR="00837D40" w:rsidRPr="002422A3" w:rsidRDefault="00837D40" w:rsidP="002422A3">
      <w:pPr>
        <w:spacing w:line="360" w:lineRule="auto"/>
        <w:rPr>
          <w:rFonts w:ascii="Calibri" w:hAnsi="Calibri"/>
        </w:rPr>
      </w:pPr>
      <w:r w:rsidRPr="002422A3">
        <w:rPr>
          <w:rFonts w:ascii="Calibri" w:hAnsi="Calibri"/>
        </w:rPr>
        <w:t>Waite, S. (2011) Children Learning Outside the Classroom: From Birth to Eleven. London: Sage Publications.</w:t>
      </w:r>
    </w:p>
    <w:p w14:paraId="6449BB81" w14:textId="2EEEE955" w:rsidR="00837D40" w:rsidRPr="002422A3" w:rsidRDefault="00837D40" w:rsidP="002422A3">
      <w:pPr>
        <w:spacing w:line="360" w:lineRule="auto"/>
        <w:rPr>
          <w:rFonts w:ascii="Calibri" w:hAnsi="Calibri"/>
        </w:rPr>
      </w:pPr>
      <w:r w:rsidRPr="002422A3">
        <w:rPr>
          <w:rFonts w:ascii="Calibri" w:hAnsi="Calibri"/>
        </w:rPr>
        <w:t xml:space="preserve">Welsh Government (2022) Curriculum for Wales: Health and Well-being Area of Learning and Experience – Guidance. Available at: </w:t>
      </w:r>
      <w:hyperlink r:id="rId13" w:history="1">
        <w:r w:rsidR="00D53F8D" w:rsidRPr="002422A3">
          <w:rPr>
            <w:rStyle w:val="Hyperlink"/>
            <w:rFonts w:ascii="Calibri" w:hAnsi="Calibri"/>
          </w:rPr>
          <w:t>https://hwb.gov.wales</w:t>
        </w:r>
      </w:hyperlink>
      <w:r w:rsidR="00D53F8D" w:rsidRPr="002422A3">
        <w:rPr>
          <w:rFonts w:ascii="Calibri" w:hAnsi="Calibri"/>
        </w:rPr>
        <w:t xml:space="preserve"> </w:t>
      </w:r>
      <w:r w:rsidRPr="002422A3">
        <w:rPr>
          <w:rFonts w:ascii="Calibri" w:hAnsi="Calibri"/>
        </w:rPr>
        <w:t>(Accessed: 29 November 2024).</w:t>
      </w:r>
    </w:p>
    <w:p w14:paraId="7BAB1F7F" w14:textId="77777777" w:rsidR="00837D40" w:rsidRPr="002422A3" w:rsidRDefault="00837D40" w:rsidP="002422A3">
      <w:pPr>
        <w:spacing w:line="360" w:lineRule="auto"/>
        <w:rPr>
          <w:rFonts w:ascii="Calibri" w:hAnsi="Calibri"/>
        </w:rPr>
      </w:pPr>
      <w:r w:rsidRPr="002422A3">
        <w:rPr>
          <w:rFonts w:ascii="Calibri" w:hAnsi="Calibri"/>
        </w:rPr>
        <w:t>Whitehead, M. (2001) 'The Concept of Physical Literacy', European Journal of Physical Education, 6(2), pp. 127–138.</w:t>
      </w:r>
    </w:p>
    <w:p w14:paraId="6EE450F5" w14:textId="77777777" w:rsidR="00837D40" w:rsidRPr="002422A3" w:rsidRDefault="00837D40" w:rsidP="002422A3">
      <w:pPr>
        <w:spacing w:line="360" w:lineRule="auto"/>
        <w:rPr>
          <w:rFonts w:ascii="Calibri" w:hAnsi="Calibri"/>
        </w:rPr>
      </w:pPr>
      <w:r w:rsidRPr="002422A3">
        <w:rPr>
          <w:rFonts w:ascii="Calibri" w:hAnsi="Calibri"/>
        </w:rPr>
        <w:lastRenderedPageBreak/>
        <w:t>Wainwright, N. (2018). Loose Parts Play: A Guide for Educators. National Association for Loose Parts Play. Available at: www.nald.org.uk. (Accessed: 29 November 2024).</w:t>
      </w:r>
    </w:p>
    <w:p w14:paraId="4802B0BA" w14:textId="77777777" w:rsidR="00837D40" w:rsidRPr="002422A3" w:rsidRDefault="00837D40" w:rsidP="002422A3">
      <w:pPr>
        <w:spacing w:line="360" w:lineRule="auto"/>
        <w:rPr>
          <w:rFonts w:ascii="Calibri" w:hAnsi="Calibri"/>
        </w:rPr>
      </w:pPr>
      <w:r w:rsidRPr="002422A3">
        <w:rPr>
          <w:rFonts w:ascii="Calibri" w:hAnsi="Calibri"/>
        </w:rPr>
        <w:t>Wainwright, N. (2022) The Role of Loose Parts Play in Supporting Positive Emotional Development. National Association for Loose Parts Play. Available at: www.nald.org.uk (Accessed: 29 November 2024).</w:t>
      </w:r>
    </w:p>
    <w:p w14:paraId="60495784" w14:textId="2A42B4CD" w:rsidR="00202B6F" w:rsidRPr="002422A3" w:rsidRDefault="00837D40" w:rsidP="002422A3">
      <w:pPr>
        <w:spacing w:line="360" w:lineRule="auto"/>
        <w:rPr>
          <w:rFonts w:ascii="Calibri" w:hAnsi="Calibri"/>
        </w:rPr>
      </w:pPr>
      <w:r w:rsidRPr="002422A3">
        <w:rPr>
          <w:rFonts w:ascii="Calibri" w:hAnsi="Calibri"/>
        </w:rPr>
        <w:t>Wainwright, N. (2023) Loose Parts Play and the Impact on Social Skills in Early Childhood Settings. National Association for Loose Parts Play. Available at: www.nald.org.uk (Accessed: 29 November 2024).</w:t>
      </w:r>
    </w:p>
    <w:p w14:paraId="16BA3891" w14:textId="77777777" w:rsidR="00202B6F" w:rsidRPr="002422A3" w:rsidRDefault="00202B6F" w:rsidP="002422A3">
      <w:pPr>
        <w:spacing w:line="360" w:lineRule="auto"/>
        <w:rPr>
          <w:rFonts w:ascii="Calibri" w:hAnsi="Calibri"/>
        </w:rPr>
      </w:pPr>
    </w:p>
    <w:p w14:paraId="2B60A7A9" w14:textId="77777777" w:rsidR="00010A9A" w:rsidRPr="002422A3" w:rsidRDefault="00010A9A" w:rsidP="002422A3">
      <w:pPr>
        <w:spacing w:line="360" w:lineRule="auto"/>
        <w:rPr>
          <w:rFonts w:ascii="Calibri" w:hAnsi="Calibri"/>
        </w:rPr>
      </w:pPr>
    </w:p>
    <w:p w14:paraId="2781E24C" w14:textId="77777777" w:rsidR="00010A9A" w:rsidRPr="002422A3" w:rsidRDefault="00010A9A" w:rsidP="002422A3">
      <w:pPr>
        <w:spacing w:line="360" w:lineRule="auto"/>
        <w:rPr>
          <w:rFonts w:ascii="Calibri" w:hAnsi="Calibri"/>
        </w:rPr>
      </w:pPr>
    </w:p>
    <w:sectPr w:rsidR="00010A9A" w:rsidRPr="002422A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070B94" w14:textId="77777777" w:rsidR="00BB7A78" w:rsidRDefault="00BB7A78" w:rsidP="000622BD">
      <w:pPr>
        <w:spacing w:after="0" w:line="240" w:lineRule="auto"/>
      </w:pPr>
      <w:r>
        <w:separator/>
      </w:r>
    </w:p>
  </w:endnote>
  <w:endnote w:type="continuationSeparator" w:id="0">
    <w:p w14:paraId="1D42FAD1" w14:textId="77777777" w:rsidR="00BB7A78" w:rsidRDefault="00BB7A78" w:rsidP="00062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1FC6F" w14:textId="77777777" w:rsidR="008B0DE1" w:rsidRDefault="008B0D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5441791"/>
      <w:docPartObj>
        <w:docPartGallery w:val="Page Numbers (Bottom of Page)"/>
        <w:docPartUnique/>
      </w:docPartObj>
    </w:sdtPr>
    <w:sdtContent>
      <w:p w14:paraId="417D1617" w14:textId="7C85D283" w:rsidR="00F24650" w:rsidRDefault="00F24650">
        <w:pPr>
          <w:pStyle w:val="Footer"/>
          <w:jc w:val="center"/>
        </w:pPr>
        <w:r>
          <w:fldChar w:fldCharType="begin"/>
        </w:r>
        <w:r>
          <w:instrText>PAGE   \* MERGEFORMAT</w:instrText>
        </w:r>
        <w:r>
          <w:fldChar w:fldCharType="separate"/>
        </w:r>
        <w:r>
          <w:t>2</w:t>
        </w:r>
        <w:r>
          <w:fldChar w:fldCharType="end"/>
        </w:r>
      </w:p>
    </w:sdtContent>
  </w:sdt>
  <w:p w14:paraId="334D7B0B" w14:textId="77777777" w:rsidR="00F24650" w:rsidRDefault="00F246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9581B" w14:textId="77777777" w:rsidR="008B0DE1" w:rsidRDefault="008B0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6D8A1" w14:textId="77777777" w:rsidR="00BB7A78" w:rsidRDefault="00BB7A78" w:rsidP="000622BD">
      <w:pPr>
        <w:spacing w:after="0" w:line="240" w:lineRule="auto"/>
      </w:pPr>
      <w:r>
        <w:separator/>
      </w:r>
    </w:p>
  </w:footnote>
  <w:footnote w:type="continuationSeparator" w:id="0">
    <w:p w14:paraId="192F8B9C" w14:textId="77777777" w:rsidR="00BB7A78" w:rsidRDefault="00BB7A78" w:rsidP="000622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F7678" w14:textId="77777777" w:rsidR="008B0DE1" w:rsidRDefault="008B0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8C6DD" w14:textId="0E55EFEF" w:rsidR="00C43F8D" w:rsidRDefault="00C43F8D" w:rsidP="00C43F8D">
    <w:pPr>
      <w:pStyle w:val="Header"/>
      <w:tabs>
        <w:tab w:val="clear" w:pos="4513"/>
        <w:tab w:val="clear" w:pos="9026"/>
        <w:tab w:val="left" w:pos="6938"/>
      </w:tabs>
    </w:pPr>
    <w:r>
      <w:t>BMO</w:t>
    </w:r>
    <w:r w:rsidR="008B0DE1">
      <w:t>P</w:t>
    </w:r>
    <w:r>
      <w:t>E5005</w:t>
    </w:r>
    <w:r>
      <w:tab/>
      <w:t xml:space="preserve">                        2304569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EE2C" w14:textId="77777777" w:rsidR="008B0DE1" w:rsidRDefault="008B0D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6564"/>
    <w:multiLevelType w:val="multilevel"/>
    <w:tmpl w:val="0D44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E11BA"/>
    <w:multiLevelType w:val="multilevel"/>
    <w:tmpl w:val="5E38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6A64A1"/>
    <w:multiLevelType w:val="multilevel"/>
    <w:tmpl w:val="7668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B7A1D"/>
    <w:multiLevelType w:val="multilevel"/>
    <w:tmpl w:val="1F7A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83409"/>
    <w:multiLevelType w:val="multilevel"/>
    <w:tmpl w:val="1102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3737D5"/>
    <w:multiLevelType w:val="multilevel"/>
    <w:tmpl w:val="2B3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B95D89"/>
    <w:multiLevelType w:val="multilevel"/>
    <w:tmpl w:val="143A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24ED4"/>
    <w:multiLevelType w:val="multilevel"/>
    <w:tmpl w:val="BE26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D0995"/>
    <w:multiLevelType w:val="multilevel"/>
    <w:tmpl w:val="B5B2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A5CC0"/>
    <w:multiLevelType w:val="multilevel"/>
    <w:tmpl w:val="EC6E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4D711F"/>
    <w:multiLevelType w:val="multilevel"/>
    <w:tmpl w:val="0A9E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CF1B49"/>
    <w:multiLevelType w:val="multilevel"/>
    <w:tmpl w:val="CF7C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07798B"/>
    <w:multiLevelType w:val="multilevel"/>
    <w:tmpl w:val="597A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DD09A4"/>
    <w:multiLevelType w:val="multilevel"/>
    <w:tmpl w:val="01E4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A35ACC"/>
    <w:multiLevelType w:val="multilevel"/>
    <w:tmpl w:val="0A0E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3C121F"/>
    <w:multiLevelType w:val="multilevel"/>
    <w:tmpl w:val="C7B8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9619272">
    <w:abstractNumId w:val="1"/>
  </w:num>
  <w:num w:numId="2" w16cid:durableId="883104114">
    <w:abstractNumId w:val="4"/>
  </w:num>
  <w:num w:numId="3" w16cid:durableId="1345938203">
    <w:abstractNumId w:val="9"/>
  </w:num>
  <w:num w:numId="4" w16cid:durableId="786970134">
    <w:abstractNumId w:val="8"/>
  </w:num>
  <w:num w:numId="5" w16cid:durableId="964384426">
    <w:abstractNumId w:val="5"/>
  </w:num>
  <w:num w:numId="6" w16cid:durableId="1457914165">
    <w:abstractNumId w:val="15"/>
  </w:num>
  <w:num w:numId="7" w16cid:durableId="896283437">
    <w:abstractNumId w:val="13"/>
  </w:num>
  <w:num w:numId="8" w16cid:durableId="627513986">
    <w:abstractNumId w:val="0"/>
  </w:num>
  <w:num w:numId="9" w16cid:durableId="345325920">
    <w:abstractNumId w:val="11"/>
  </w:num>
  <w:num w:numId="10" w16cid:durableId="126511098">
    <w:abstractNumId w:val="7"/>
  </w:num>
  <w:num w:numId="11" w16cid:durableId="301347159">
    <w:abstractNumId w:val="2"/>
  </w:num>
  <w:num w:numId="12" w16cid:durableId="1717466202">
    <w:abstractNumId w:val="3"/>
  </w:num>
  <w:num w:numId="13" w16cid:durableId="494037091">
    <w:abstractNumId w:val="14"/>
  </w:num>
  <w:num w:numId="14" w16cid:durableId="496656611">
    <w:abstractNumId w:val="12"/>
  </w:num>
  <w:num w:numId="15" w16cid:durableId="669646923">
    <w:abstractNumId w:val="6"/>
  </w:num>
  <w:num w:numId="16" w16cid:durableId="20492577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236"/>
    <w:rsid w:val="00010A9A"/>
    <w:rsid w:val="0002172C"/>
    <w:rsid w:val="00023B6A"/>
    <w:rsid w:val="00026496"/>
    <w:rsid w:val="000579CD"/>
    <w:rsid w:val="000622BD"/>
    <w:rsid w:val="00065CB6"/>
    <w:rsid w:val="0007368B"/>
    <w:rsid w:val="000770F5"/>
    <w:rsid w:val="000B5567"/>
    <w:rsid w:val="000E1D0F"/>
    <w:rsid w:val="000E5A34"/>
    <w:rsid w:val="000E5C61"/>
    <w:rsid w:val="000E7705"/>
    <w:rsid w:val="00115D83"/>
    <w:rsid w:val="00127118"/>
    <w:rsid w:val="001354D1"/>
    <w:rsid w:val="00152AE7"/>
    <w:rsid w:val="00177E5A"/>
    <w:rsid w:val="00182F21"/>
    <w:rsid w:val="001961F0"/>
    <w:rsid w:val="001A6EA3"/>
    <w:rsid w:val="001C5AB6"/>
    <w:rsid w:val="001D2A13"/>
    <w:rsid w:val="001E3DAC"/>
    <w:rsid w:val="001E3DB3"/>
    <w:rsid w:val="001F3271"/>
    <w:rsid w:val="00202B6F"/>
    <w:rsid w:val="0020421E"/>
    <w:rsid w:val="00204F12"/>
    <w:rsid w:val="00215236"/>
    <w:rsid w:val="00240303"/>
    <w:rsid w:val="002422A3"/>
    <w:rsid w:val="002433EF"/>
    <w:rsid w:val="00243A7A"/>
    <w:rsid w:val="002473E3"/>
    <w:rsid w:val="00254229"/>
    <w:rsid w:val="00272CAC"/>
    <w:rsid w:val="002941D1"/>
    <w:rsid w:val="002B1E98"/>
    <w:rsid w:val="002B510F"/>
    <w:rsid w:val="003142B1"/>
    <w:rsid w:val="00337007"/>
    <w:rsid w:val="00343F4B"/>
    <w:rsid w:val="00346700"/>
    <w:rsid w:val="00351F5A"/>
    <w:rsid w:val="003549FF"/>
    <w:rsid w:val="00354FF8"/>
    <w:rsid w:val="00360147"/>
    <w:rsid w:val="00360FA3"/>
    <w:rsid w:val="00363B24"/>
    <w:rsid w:val="003703F5"/>
    <w:rsid w:val="00370E55"/>
    <w:rsid w:val="0038275D"/>
    <w:rsid w:val="003A2333"/>
    <w:rsid w:val="003B27CF"/>
    <w:rsid w:val="003B7134"/>
    <w:rsid w:val="003D58EB"/>
    <w:rsid w:val="003D7745"/>
    <w:rsid w:val="00412987"/>
    <w:rsid w:val="004137EA"/>
    <w:rsid w:val="00426367"/>
    <w:rsid w:val="0043625B"/>
    <w:rsid w:val="00437D25"/>
    <w:rsid w:val="00440614"/>
    <w:rsid w:val="004619B4"/>
    <w:rsid w:val="00464FF6"/>
    <w:rsid w:val="00475091"/>
    <w:rsid w:val="00491643"/>
    <w:rsid w:val="0049350F"/>
    <w:rsid w:val="004A4C97"/>
    <w:rsid w:val="004E10D5"/>
    <w:rsid w:val="004F4113"/>
    <w:rsid w:val="004F6037"/>
    <w:rsid w:val="00507D9B"/>
    <w:rsid w:val="00514978"/>
    <w:rsid w:val="00516C44"/>
    <w:rsid w:val="0053214B"/>
    <w:rsid w:val="00533DD9"/>
    <w:rsid w:val="005353EE"/>
    <w:rsid w:val="00537B25"/>
    <w:rsid w:val="00550A90"/>
    <w:rsid w:val="00550A96"/>
    <w:rsid w:val="00561857"/>
    <w:rsid w:val="00561E50"/>
    <w:rsid w:val="00567850"/>
    <w:rsid w:val="0057175A"/>
    <w:rsid w:val="0059306D"/>
    <w:rsid w:val="005B3C49"/>
    <w:rsid w:val="005D0E3D"/>
    <w:rsid w:val="005E567B"/>
    <w:rsid w:val="00603F19"/>
    <w:rsid w:val="00632BC5"/>
    <w:rsid w:val="006428F4"/>
    <w:rsid w:val="0064780B"/>
    <w:rsid w:val="006667C5"/>
    <w:rsid w:val="00672405"/>
    <w:rsid w:val="00673F81"/>
    <w:rsid w:val="006753C6"/>
    <w:rsid w:val="00676F73"/>
    <w:rsid w:val="00680CC3"/>
    <w:rsid w:val="00683223"/>
    <w:rsid w:val="00692B97"/>
    <w:rsid w:val="006A5F20"/>
    <w:rsid w:val="006C1844"/>
    <w:rsid w:val="007112F0"/>
    <w:rsid w:val="00716093"/>
    <w:rsid w:val="00721BF9"/>
    <w:rsid w:val="00732E88"/>
    <w:rsid w:val="007348A1"/>
    <w:rsid w:val="00766A41"/>
    <w:rsid w:val="007837C3"/>
    <w:rsid w:val="007A1122"/>
    <w:rsid w:val="007A2EBE"/>
    <w:rsid w:val="007E145B"/>
    <w:rsid w:val="007E6585"/>
    <w:rsid w:val="008113BE"/>
    <w:rsid w:val="00837D40"/>
    <w:rsid w:val="0084476C"/>
    <w:rsid w:val="0085526D"/>
    <w:rsid w:val="008606F7"/>
    <w:rsid w:val="00862BDA"/>
    <w:rsid w:val="008648FF"/>
    <w:rsid w:val="008A4256"/>
    <w:rsid w:val="008B0DE1"/>
    <w:rsid w:val="008B2C75"/>
    <w:rsid w:val="008B4305"/>
    <w:rsid w:val="008B4789"/>
    <w:rsid w:val="00900603"/>
    <w:rsid w:val="009317EE"/>
    <w:rsid w:val="009377CA"/>
    <w:rsid w:val="00943DC4"/>
    <w:rsid w:val="00952943"/>
    <w:rsid w:val="009568AB"/>
    <w:rsid w:val="00957296"/>
    <w:rsid w:val="009608F6"/>
    <w:rsid w:val="00961031"/>
    <w:rsid w:val="009716A4"/>
    <w:rsid w:val="009A0CD6"/>
    <w:rsid w:val="009B5254"/>
    <w:rsid w:val="009D6246"/>
    <w:rsid w:val="009D6AD1"/>
    <w:rsid w:val="00A16CCA"/>
    <w:rsid w:val="00A27592"/>
    <w:rsid w:val="00A27FFE"/>
    <w:rsid w:val="00A347D5"/>
    <w:rsid w:val="00A54245"/>
    <w:rsid w:val="00A63FF2"/>
    <w:rsid w:val="00A73AF4"/>
    <w:rsid w:val="00A8272E"/>
    <w:rsid w:val="00A93052"/>
    <w:rsid w:val="00A93D25"/>
    <w:rsid w:val="00AB63C5"/>
    <w:rsid w:val="00AC2761"/>
    <w:rsid w:val="00AC4331"/>
    <w:rsid w:val="00AD224B"/>
    <w:rsid w:val="00AE0F13"/>
    <w:rsid w:val="00AF053B"/>
    <w:rsid w:val="00AF177D"/>
    <w:rsid w:val="00AF2B72"/>
    <w:rsid w:val="00AF3562"/>
    <w:rsid w:val="00B02E45"/>
    <w:rsid w:val="00B04C23"/>
    <w:rsid w:val="00B16BE1"/>
    <w:rsid w:val="00B22EE5"/>
    <w:rsid w:val="00B46946"/>
    <w:rsid w:val="00B50F97"/>
    <w:rsid w:val="00B54B6A"/>
    <w:rsid w:val="00B604E6"/>
    <w:rsid w:val="00B654BD"/>
    <w:rsid w:val="00B66981"/>
    <w:rsid w:val="00B66A40"/>
    <w:rsid w:val="00B747FB"/>
    <w:rsid w:val="00B80B7E"/>
    <w:rsid w:val="00B8107A"/>
    <w:rsid w:val="00B84F48"/>
    <w:rsid w:val="00B928D3"/>
    <w:rsid w:val="00BB7A78"/>
    <w:rsid w:val="00BF48EB"/>
    <w:rsid w:val="00C1297C"/>
    <w:rsid w:val="00C267DA"/>
    <w:rsid w:val="00C4236F"/>
    <w:rsid w:val="00C43F8D"/>
    <w:rsid w:val="00C44C5D"/>
    <w:rsid w:val="00C71E62"/>
    <w:rsid w:val="00C73372"/>
    <w:rsid w:val="00CB0B86"/>
    <w:rsid w:val="00CD049B"/>
    <w:rsid w:val="00D10AC2"/>
    <w:rsid w:val="00D21A6E"/>
    <w:rsid w:val="00D309BA"/>
    <w:rsid w:val="00D421E3"/>
    <w:rsid w:val="00D52B51"/>
    <w:rsid w:val="00D53F8D"/>
    <w:rsid w:val="00D63F5D"/>
    <w:rsid w:val="00D672E9"/>
    <w:rsid w:val="00D85FED"/>
    <w:rsid w:val="00DA1105"/>
    <w:rsid w:val="00DC04F4"/>
    <w:rsid w:val="00DC46AA"/>
    <w:rsid w:val="00DC729B"/>
    <w:rsid w:val="00DE053F"/>
    <w:rsid w:val="00E02829"/>
    <w:rsid w:val="00E0695C"/>
    <w:rsid w:val="00E71206"/>
    <w:rsid w:val="00E94407"/>
    <w:rsid w:val="00EE3D36"/>
    <w:rsid w:val="00F064ED"/>
    <w:rsid w:val="00F105BC"/>
    <w:rsid w:val="00F24650"/>
    <w:rsid w:val="00F24C3A"/>
    <w:rsid w:val="00F37E67"/>
    <w:rsid w:val="00F45E8B"/>
    <w:rsid w:val="00F46710"/>
    <w:rsid w:val="00F47DA9"/>
    <w:rsid w:val="00F70B60"/>
    <w:rsid w:val="00F74F76"/>
    <w:rsid w:val="00F81AB9"/>
    <w:rsid w:val="00F8457C"/>
    <w:rsid w:val="00FC2791"/>
    <w:rsid w:val="00FC6333"/>
    <w:rsid w:val="00FE6CEC"/>
    <w:rsid w:val="00FF2CA5"/>
    <w:rsid w:val="03156A8E"/>
    <w:rsid w:val="05011D0E"/>
    <w:rsid w:val="067E03ED"/>
    <w:rsid w:val="092A1EC1"/>
    <w:rsid w:val="09439B7E"/>
    <w:rsid w:val="09F4EA9D"/>
    <w:rsid w:val="0BCB20C6"/>
    <w:rsid w:val="0D97E363"/>
    <w:rsid w:val="125E1A38"/>
    <w:rsid w:val="13059E94"/>
    <w:rsid w:val="1315C830"/>
    <w:rsid w:val="15A24991"/>
    <w:rsid w:val="186A8C1C"/>
    <w:rsid w:val="1CA07CB3"/>
    <w:rsid w:val="21643ACD"/>
    <w:rsid w:val="21DAC4A5"/>
    <w:rsid w:val="257B9B72"/>
    <w:rsid w:val="26B74C4D"/>
    <w:rsid w:val="27F6AB4D"/>
    <w:rsid w:val="28F8C73B"/>
    <w:rsid w:val="2A20E1F8"/>
    <w:rsid w:val="2AD15D0F"/>
    <w:rsid w:val="32C61907"/>
    <w:rsid w:val="33AFA373"/>
    <w:rsid w:val="346EDBC4"/>
    <w:rsid w:val="37E9BB30"/>
    <w:rsid w:val="38ECE174"/>
    <w:rsid w:val="3A378A4A"/>
    <w:rsid w:val="3CB0D7E4"/>
    <w:rsid w:val="3CDA1EB9"/>
    <w:rsid w:val="428F5601"/>
    <w:rsid w:val="568AA711"/>
    <w:rsid w:val="583FDFDE"/>
    <w:rsid w:val="59EEED84"/>
    <w:rsid w:val="5CED3227"/>
    <w:rsid w:val="5D84DBF4"/>
    <w:rsid w:val="739E541A"/>
    <w:rsid w:val="78519BD4"/>
    <w:rsid w:val="7F0B08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57A7D"/>
  <w15:chartTrackingRefBased/>
  <w15:docId w15:val="{167E4E1A-1F56-47FC-89C4-19BAB8A50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2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2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2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2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2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2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2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2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2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2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2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2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2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2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2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2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2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236"/>
    <w:rPr>
      <w:rFonts w:eastAsiaTheme="majorEastAsia" w:cstheme="majorBidi"/>
      <w:color w:val="272727" w:themeColor="text1" w:themeTint="D8"/>
    </w:rPr>
  </w:style>
  <w:style w:type="paragraph" w:styleId="Title">
    <w:name w:val="Title"/>
    <w:basedOn w:val="Normal"/>
    <w:next w:val="Normal"/>
    <w:link w:val="TitleChar"/>
    <w:uiPriority w:val="10"/>
    <w:qFormat/>
    <w:rsid w:val="002152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2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2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2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236"/>
    <w:pPr>
      <w:spacing w:before="160"/>
      <w:jc w:val="center"/>
    </w:pPr>
    <w:rPr>
      <w:i/>
      <w:iCs/>
      <w:color w:val="404040" w:themeColor="text1" w:themeTint="BF"/>
    </w:rPr>
  </w:style>
  <w:style w:type="character" w:customStyle="1" w:styleId="QuoteChar">
    <w:name w:val="Quote Char"/>
    <w:basedOn w:val="DefaultParagraphFont"/>
    <w:link w:val="Quote"/>
    <w:uiPriority w:val="29"/>
    <w:rsid w:val="00215236"/>
    <w:rPr>
      <w:i/>
      <w:iCs/>
      <w:color w:val="404040" w:themeColor="text1" w:themeTint="BF"/>
    </w:rPr>
  </w:style>
  <w:style w:type="paragraph" w:styleId="ListParagraph">
    <w:name w:val="List Paragraph"/>
    <w:basedOn w:val="Normal"/>
    <w:uiPriority w:val="34"/>
    <w:qFormat/>
    <w:rsid w:val="00215236"/>
    <w:pPr>
      <w:ind w:left="720"/>
      <w:contextualSpacing/>
    </w:pPr>
  </w:style>
  <w:style w:type="character" w:styleId="IntenseEmphasis">
    <w:name w:val="Intense Emphasis"/>
    <w:basedOn w:val="DefaultParagraphFont"/>
    <w:uiPriority w:val="21"/>
    <w:qFormat/>
    <w:rsid w:val="00215236"/>
    <w:rPr>
      <w:i/>
      <w:iCs/>
      <w:color w:val="0F4761" w:themeColor="accent1" w:themeShade="BF"/>
    </w:rPr>
  </w:style>
  <w:style w:type="paragraph" w:styleId="IntenseQuote">
    <w:name w:val="Intense Quote"/>
    <w:basedOn w:val="Normal"/>
    <w:next w:val="Normal"/>
    <w:link w:val="IntenseQuoteChar"/>
    <w:uiPriority w:val="30"/>
    <w:qFormat/>
    <w:rsid w:val="002152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236"/>
    <w:rPr>
      <w:i/>
      <w:iCs/>
      <w:color w:val="0F4761" w:themeColor="accent1" w:themeShade="BF"/>
    </w:rPr>
  </w:style>
  <w:style w:type="character" w:styleId="IntenseReference">
    <w:name w:val="Intense Reference"/>
    <w:basedOn w:val="DefaultParagraphFont"/>
    <w:uiPriority w:val="32"/>
    <w:qFormat/>
    <w:rsid w:val="00215236"/>
    <w:rPr>
      <w:b/>
      <w:bCs/>
      <w:smallCaps/>
      <w:color w:val="0F4761" w:themeColor="accent1" w:themeShade="BF"/>
      <w:spacing w:val="5"/>
    </w:rPr>
  </w:style>
  <w:style w:type="character" w:styleId="Hyperlink">
    <w:name w:val="Hyperlink"/>
    <w:basedOn w:val="DefaultParagraphFont"/>
    <w:uiPriority w:val="99"/>
    <w:unhideWhenUsed/>
    <w:rsid w:val="00550A90"/>
    <w:rPr>
      <w:color w:val="467886" w:themeColor="hyperlink"/>
      <w:u w:val="single"/>
    </w:rPr>
  </w:style>
  <w:style w:type="character" w:styleId="UnresolvedMention">
    <w:name w:val="Unresolved Mention"/>
    <w:basedOn w:val="DefaultParagraphFont"/>
    <w:uiPriority w:val="99"/>
    <w:semiHidden/>
    <w:unhideWhenUsed/>
    <w:rsid w:val="00550A90"/>
    <w:rPr>
      <w:color w:val="605E5C"/>
      <w:shd w:val="clear" w:color="auto" w:fill="E1DFDD"/>
    </w:rPr>
  </w:style>
  <w:style w:type="character" w:styleId="FollowedHyperlink">
    <w:name w:val="FollowedHyperlink"/>
    <w:basedOn w:val="DefaultParagraphFont"/>
    <w:uiPriority w:val="99"/>
    <w:semiHidden/>
    <w:unhideWhenUsed/>
    <w:rsid w:val="0020421E"/>
    <w:rPr>
      <w:color w:val="96607D"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C1844"/>
    <w:pPr>
      <w:spacing w:after="0" w:line="240" w:lineRule="auto"/>
    </w:pPr>
  </w:style>
  <w:style w:type="paragraph" w:styleId="Header">
    <w:name w:val="header"/>
    <w:basedOn w:val="Normal"/>
    <w:link w:val="HeaderChar"/>
    <w:uiPriority w:val="99"/>
    <w:unhideWhenUsed/>
    <w:rsid w:val="00062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2BD"/>
  </w:style>
  <w:style w:type="paragraph" w:styleId="Footer">
    <w:name w:val="footer"/>
    <w:basedOn w:val="Normal"/>
    <w:link w:val="FooterChar"/>
    <w:uiPriority w:val="99"/>
    <w:unhideWhenUsed/>
    <w:rsid w:val="00062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24647">
      <w:bodyDiv w:val="1"/>
      <w:marLeft w:val="0"/>
      <w:marRight w:val="0"/>
      <w:marTop w:val="0"/>
      <w:marBottom w:val="0"/>
      <w:divBdr>
        <w:top w:val="none" w:sz="0" w:space="0" w:color="auto"/>
        <w:left w:val="none" w:sz="0" w:space="0" w:color="auto"/>
        <w:bottom w:val="none" w:sz="0" w:space="0" w:color="auto"/>
        <w:right w:val="none" w:sz="0" w:space="0" w:color="auto"/>
      </w:divBdr>
    </w:div>
    <w:div w:id="52848029">
      <w:bodyDiv w:val="1"/>
      <w:marLeft w:val="0"/>
      <w:marRight w:val="0"/>
      <w:marTop w:val="0"/>
      <w:marBottom w:val="0"/>
      <w:divBdr>
        <w:top w:val="none" w:sz="0" w:space="0" w:color="auto"/>
        <w:left w:val="none" w:sz="0" w:space="0" w:color="auto"/>
        <w:bottom w:val="none" w:sz="0" w:space="0" w:color="auto"/>
        <w:right w:val="none" w:sz="0" w:space="0" w:color="auto"/>
      </w:divBdr>
    </w:div>
    <w:div w:id="84769504">
      <w:bodyDiv w:val="1"/>
      <w:marLeft w:val="0"/>
      <w:marRight w:val="0"/>
      <w:marTop w:val="0"/>
      <w:marBottom w:val="0"/>
      <w:divBdr>
        <w:top w:val="none" w:sz="0" w:space="0" w:color="auto"/>
        <w:left w:val="none" w:sz="0" w:space="0" w:color="auto"/>
        <w:bottom w:val="none" w:sz="0" w:space="0" w:color="auto"/>
        <w:right w:val="none" w:sz="0" w:space="0" w:color="auto"/>
      </w:divBdr>
    </w:div>
    <w:div w:id="183330543">
      <w:bodyDiv w:val="1"/>
      <w:marLeft w:val="0"/>
      <w:marRight w:val="0"/>
      <w:marTop w:val="0"/>
      <w:marBottom w:val="0"/>
      <w:divBdr>
        <w:top w:val="none" w:sz="0" w:space="0" w:color="auto"/>
        <w:left w:val="none" w:sz="0" w:space="0" w:color="auto"/>
        <w:bottom w:val="none" w:sz="0" w:space="0" w:color="auto"/>
        <w:right w:val="none" w:sz="0" w:space="0" w:color="auto"/>
      </w:divBdr>
    </w:div>
    <w:div w:id="298195592">
      <w:bodyDiv w:val="1"/>
      <w:marLeft w:val="0"/>
      <w:marRight w:val="0"/>
      <w:marTop w:val="0"/>
      <w:marBottom w:val="0"/>
      <w:divBdr>
        <w:top w:val="none" w:sz="0" w:space="0" w:color="auto"/>
        <w:left w:val="none" w:sz="0" w:space="0" w:color="auto"/>
        <w:bottom w:val="none" w:sz="0" w:space="0" w:color="auto"/>
        <w:right w:val="none" w:sz="0" w:space="0" w:color="auto"/>
      </w:divBdr>
    </w:div>
    <w:div w:id="311446987">
      <w:bodyDiv w:val="1"/>
      <w:marLeft w:val="0"/>
      <w:marRight w:val="0"/>
      <w:marTop w:val="0"/>
      <w:marBottom w:val="0"/>
      <w:divBdr>
        <w:top w:val="none" w:sz="0" w:space="0" w:color="auto"/>
        <w:left w:val="none" w:sz="0" w:space="0" w:color="auto"/>
        <w:bottom w:val="none" w:sz="0" w:space="0" w:color="auto"/>
        <w:right w:val="none" w:sz="0" w:space="0" w:color="auto"/>
      </w:divBdr>
    </w:div>
    <w:div w:id="340663164">
      <w:bodyDiv w:val="1"/>
      <w:marLeft w:val="0"/>
      <w:marRight w:val="0"/>
      <w:marTop w:val="0"/>
      <w:marBottom w:val="0"/>
      <w:divBdr>
        <w:top w:val="none" w:sz="0" w:space="0" w:color="auto"/>
        <w:left w:val="none" w:sz="0" w:space="0" w:color="auto"/>
        <w:bottom w:val="none" w:sz="0" w:space="0" w:color="auto"/>
        <w:right w:val="none" w:sz="0" w:space="0" w:color="auto"/>
      </w:divBdr>
    </w:div>
    <w:div w:id="368264536">
      <w:bodyDiv w:val="1"/>
      <w:marLeft w:val="0"/>
      <w:marRight w:val="0"/>
      <w:marTop w:val="0"/>
      <w:marBottom w:val="0"/>
      <w:divBdr>
        <w:top w:val="none" w:sz="0" w:space="0" w:color="auto"/>
        <w:left w:val="none" w:sz="0" w:space="0" w:color="auto"/>
        <w:bottom w:val="none" w:sz="0" w:space="0" w:color="auto"/>
        <w:right w:val="none" w:sz="0" w:space="0" w:color="auto"/>
      </w:divBdr>
    </w:div>
    <w:div w:id="478545748">
      <w:bodyDiv w:val="1"/>
      <w:marLeft w:val="0"/>
      <w:marRight w:val="0"/>
      <w:marTop w:val="0"/>
      <w:marBottom w:val="0"/>
      <w:divBdr>
        <w:top w:val="none" w:sz="0" w:space="0" w:color="auto"/>
        <w:left w:val="none" w:sz="0" w:space="0" w:color="auto"/>
        <w:bottom w:val="none" w:sz="0" w:space="0" w:color="auto"/>
        <w:right w:val="none" w:sz="0" w:space="0" w:color="auto"/>
      </w:divBdr>
    </w:div>
    <w:div w:id="502553911">
      <w:bodyDiv w:val="1"/>
      <w:marLeft w:val="0"/>
      <w:marRight w:val="0"/>
      <w:marTop w:val="0"/>
      <w:marBottom w:val="0"/>
      <w:divBdr>
        <w:top w:val="none" w:sz="0" w:space="0" w:color="auto"/>
        <w:left w:val="none" w:sz="0" w:space="0" w:color="auto"/>
        <w:bottom w:val="none" w:sz="0" w:space="0" w:color="auto"/>
        <w:right w:val="none" w:sz="0" w:space="0" w:color="auto"/>
      </w:divBdr>
    </w:div>
    <w:div w:id="541097473">
      <w:bodyDiv w:val="1"/>
      <w:marLeft w:val="0"/>
      <w:marRight w:val="0"/>
      <w:marTop w:val="0"/>
      <w:marBottom w:val="0"/>
      <w:divBdr>
        <w:top w:val="none" w:sz="0" w:space="0" w:color="auto"/>
        <w:left w:val="none" w:sz="0" w:space="0" w:color="auto"/>
        <w:bottom w:val="none" w:sz="0" w:space="0" w:color="auto"/>
        <w:right w:val="none" w:sz="0" w:space="0" w:color="auto"/>
      </w:divBdr>
    </w:div>
    <w:div w:id="679964046">
      <w:bodyDiv w:val="1"/>
      <w:marLeft w:val="0"/>
      <w:marRight w:val="0"/>
      <w:marTop w:val="0"/>
      <w:marBottom w:val="0"/>
      <w:divBdr>
        <w:top w:val="none" w:sz="0" w:space="0" w:color="auto"/>
        <w:left w:val="none" w:sz="0" w:space="0" w:color="auto"/>
        <w:bottom w:val="none" w:sz="0" w:space="0" w:color="auto"/>
        <w:right w:val="none" w:sz="0" w:space="0" w:color="auto"/>
      </w:divBdr>
    </w:div>
    <w:div w:id="681517573">
      <w:bodyDiv w:val="1"/>
      <w:marLeft w:val="0"/>
      <w:marRight w:val="0"/>
      <w:marTop w:val="0"/>
      <w:marBottom w:val="0"/>
      <w:divBdr>
        <w:top w:val="none" w:sz="0" w:space="0" w:color="auto"/>
        <w:left w:val="none" w:sz="0" w:space="0" w:color="auto"/>
        <w:bottom w:val="none" w:sz="0" w:space="0" w:color="auto"/>
        <w:right w:val="none" w:sz="0" w:space="0" w:color="auto"/>
      </w:divBdr>
    </w:div>
    <w:div w:id="702827841">
      <w:bodyDiv w:val="1"/>
      <w:marLeft w:val="0"/>
      <w:marRight w:val="0"/>
      <w:marTop w:val="0"/>
      <w:marBottom w:val="0"/>
      <w:divBdr>
        <w:top w:val="none" w:sz="0" w:space="0" w:color="auto"/>
        <w:left w:val="none" w:sz="0" w:space="0" w:color="auto"/>
        <w:bottom w:val="none" w:sz="0" w:space="0" w:color="auto"/>
        <w:right w:val="none" w:sz="0" w:space="0" w:color="auto"/>
      </w:divBdr>
    </w:div>
    <w:div w:id="762801816">
      <w:bodyDiv w:val="1"/>
      <w:marLeft w:val="0"/>
      <w:marRight w:val="0"/>
      <w:marTop w:val="0"/>
      <w:marBottom w:val="0"/>
      <w:divBdr>
        <w:top w:val="none" w:sz="0" w:space="0" w:color="auto"/>
        <w:left w:val="none" w:sz="0" w:space="0" w:color="auto"/>
        <w:bottom w:val="none" w:sz="0" w:space="0" w:color="auto"/>
        <w:right w:val="none" w:sz="0" w:space="0" w:color="auto"/>
      </w:divBdr>
    </w:div>
    <w:div w:id="831946241">
      <w:bodyDiv w:val="1"/>
      <w:marLeft w:val="0"/>
      <w:marRight w:val="0"/>
      <w:marTop w:val="0"/>
      <w:marBottom w:val="0"/>
      <w:divBdr>
        <w:top w:val="none" w:sz="0" w:space="0" w:color="auto"/>
        <w:left w:val="none" w:sz="0" w:space="0" w:color="auto"/>
        <w:bottom w:val="none" w:sz="0" w:space="0" w:color="auto"/>
        <w:right w:val="none" w:sz="0" w:space="0" w:color="auto"/>
      </w:divBdr>
    </w:div>
    <w:div w:id="1033386571">
      <w:bodyDiv w:val="1"/>
      <w:marLeft w:val="0"/>
      <w:marRight w:val="0"/>
      <w:marTop w:val="0"/>
      <w:marBottom w:val="0"/>
      <w:divBdr>
        <w:top w:val="none" w:sz="0" w:space="0" w:color="auto"/>
        <w:left w:val="none" w:sz="0" w:space="0" w:color="auto"/>
        <w:bottom w:val="none" w:sz="0" w:space="0" w:color="auto"/>
        <w:right w:val="none" w:sz="0" w:space="0" w:color="auto"/>
      </w:divBdr>
    </w:div>
    <w:div w:id="1218052313">
      <w:bodyDiv w:val="1"/>
      <w:marLeft w:val="0"/>
      <w:marRight w:val="0"/>
      <w:marTop w:val="0"/>
      <w:marBottom w:val="0"/>
      <w:divBdr>
        <w:top w:val="none" w:sz="0" w:space="0" w:color="auto"/>
        <w:left w:val="none" w:sz="0" w:space="0" w:color="auto"/>
        <w:bottom w:val="none" w:sz="0" w:space="0" w:color="auto"/>
        <w:right w:val="none" w:sz="0" w:space="0" w:color="auto"/>
      </w:divBdr>
    </w:div>
    <w:div w:id="1273436617">
      <w:bodyDiv w:val="1"/>
      <w:marLeft w:val="0"/>
      <w:marRight w:val="0"/>
      <w:marTop w:val="0"/>
      <w:marBottom w:val="0"/>
      <w:divBdr>
        <w:top w:val="none" w:sz="0" w:space="0" w:color="auto"/>
        <w:left w:val="none" w:sz="0" w:space="0" w:color="auto"/>
        <w:bottom w:val="none" w:sz="0" w:space="0" w:color="auto"/>
        <w:right w:val="none" w:sz="0" w:space="0" w:color="auto"/>
      </w:divBdr>
    </w:div>
    <w:div w:id="1377926293">
      <w:bodyDiv w:val="1"/>
      <w:marLeft w:val="0"/>
      <w:marRight w:val="0"/>
      <w:marTop w:val="0"/>
      <w:marBottom w:val="0"/>
      <w:divBdr>
        <w:top w:val="none" w:sz="0" w:space="0" w:color="auto"/>
        <w:left w:val="none" w:sz="0" w:space="0" w:color="auto"/>
        <w:bottom w:val="none" w:sz="0" w:space="0" w:color="auto"/>
        <w:right w:val="none" w:sz="0" w:space="0" w:color="auto"/>
      </w:divBdr>
    </w:div>
    <w:div w:id="1404595950">
      <w:bodyDiv w:val="1"/>
      <w:marLeft w:val="0"/>
      <w:marRight w:val="0"/>
      <w:marTop w:val="0"/>
      <w:marBottom w:val="0"/>
      <w:divBdr>
        <w:top w:val="none" w:sz="0" w:space="0" w:color="auto"/>
        <w:left w:val="none" w:sz="0" w:space="0" w:color="auto"/>
        <w:bottom w:val="none" w:sz="0" w:space="0" w:color="auto"/>
        <w:right w:val="none" w:sz="0" w:space="0" w:color="auto"/>
      </w:divBdr>
    </w:div>
    <w:div w:id="1457524962">
      <w:bodyDiv w:val="1"/>
      <w:marLeft w:val="0"/>
      <w:marRight w:val="0"/>
      <w:marTop w:val="0"/>
      <w:marBottom w:val="0"/>
      <w:divBdr>
        <w:top w:val="none" w:sz="0" w:space="0" w:color="auto"/>
        <w:left w:val="none" w:sz="0" w:space="0" w:color="auto"/>
        <w:bottom w:val="none" w:sz="0" w:space="0" w:color="auto"/>
        <w:right w:val="none" w:sz="0" w:space="0" w:color="auto"/>
      </w:divBdr>
    </w:div>
    <w:div w:id="1485662745">
      <w:bodyDiv w:val="1"/>
      <w:marLeft w:val="0"/>
      <w:marRight w:val="0"/>
      <w:marTop w:val="0"/>
      <w:marBottom w:val="0"/>
      <w:divBdr>
        <w:top w:val="none" w:sz="0" w:space="0" w:color="auto"/>
        <w:left w:val="none" w:sz="0" w:space="0" w:color="auto"/>
        <w:bottom w:val="none" w:sz="0" w:space="0" w:color="auto"/>
        <w:right w:val="none" w:sz="0" w:space="0" w:color="auto"/>
      </w:divBdr>
    </w:div>
    <w:div w:id="1498226322">
      <w:bodyDiv w:val="1"/>
      <w:marLeft w:val="0"/>
      <w:marRight w:val="0"/>
      <w:marTop w:val="0"/>
      <w:marBottom w:val="0"/>
      <w:divBdr>
        <w:top w:val="none" w:sz="0" w:space="0" w:color="auto"/>
        <w:left w:val="none" w:sz="0" w:space="0" w:color="auto"/>
        <w:bottom w:val="none" w:sz="0" w:space="0" w:color="auto"/>
        <w:right w:val="none" w:sz="0" w:space="0" w:color="auto"/>
      </w:divBdr>
    </w:div>
    <w:div w:id="1632397484">
      <w:bodyDiv w:val="1"/>
      <w:marLeft w:val="0"/>
      <w:marRight w:val="0"/>
      <w:marTop w:val="0"/>
      <w:marBottom w:val="0"/>
      <w:divBdr>
        <w:top w:val="none" w:sz="0" w:space="0" w:color="auto"/>
        <w:left w:val="none" w:sz="0" w:space="0" w:color="auto"/>
        <w:bottom w:val="none" w:sz="0" w:space="0" w:color="auto"/>
        <w:right w:val="none" w:sz="0" w:space="0" w:color="auto"/>
      </w:divBdr>
    </w:div>
    <w:div w:id="1733386461">
      <w:bodyDiv w:val="1"/>
      <w:marLeft w:val="0"/>
      <w:marRight w:val="0"/>
      <w:marTop w:val="0"/>
      <w:marBottom w:val="0"/>
      <w:divBdr>
        <w:top w:val="none" w:sz="0" w:space="0" w:color="auto"/>
        <w:left w:val="none" w:sz="0" w:space="0" w:color="auto"/>
        <w:bottom w:val="none" w:sz="0" w:space="0" w:color="auto"/>
        <w:right w:val="none" w:sz="0" w:space="0" w:color="auto"/>
      </w:divBdr>
    </w:div>
    <w:div w:id="1746217755">
      <w:bodyDiv w:val="1"/>
      <w:marLeft w:val="0"/>
      <w:marRight w:val="0"/>
      <w:marTop w:val="0"/>
      <w:marBottom w:val="0"/>
      <w:divBdr>
        <w:top w:val="none" w:sz="0" w:space="0" w:color="auto"/>
        <w:left w:val="none" w:sz="0" w:space="0" w:color="auto"/>
        <w:bottom w:val="none" w:sz="0" w:space="0" w:color="auto"/>
        <w:right w:val="none" w:sz="0" w:space="0" w:color="auto"/>
      </w:divBdr>
    </w:div>
    <w:div w:id="1865173407">
      <w:bodyDiv w:val="1"/>
      <w:marLeft w:val="0"/>
      <w:marRight w:val="0"/>
      <w:marTop w:val="0"/>
      <w:marBottom w:val="0"/>
      <w:divBdr>
        <w:top w:val="none" w:sz="0" w:space="0" w:color="auto"/>
        <w:left w:val="none" w:sz="0" w:space="0" w:color="auto"/>
        <w:bottom w:val="none" w:sz="0" w:space="0" w:color="auto"/>
        <w:right w:val="none" w:sz="0" w:space="0" w:color="auto"/>
      </w:divBdr>
    </w:div>
    <w:div w:id="1922180671">
      <w:bodyDiv w:val="1"/>
      <w:marLeft w:val="0"/>
      <w:marRight w:val="0"/>
      <w:marTop w:val="0"/>
      <w:marBottom w:val="0"/>
      <w:divBdr>
        <w:top w:val="none" w:sz="0" w:space="0" w:color="auto"/>
        <w:left w:val="none" w:sz="0" w:space="0" w:color="auto"/>
        <w:bottom w:val="none" w:sz="0" w:space="0" w:color="auto"/>
        <w:right w:val="none" w:sz="0" w:space="0" w:color="auto"/>
      </w:divBdr>
    </w:div>
    <w:div w:id="1989243148">
      <w:bodyDiv w:val="1"/>
      <w:marLeft w:val="0"/>
      <w:marRight w:val="0"/>
      <w:marTop w:val="0"/>
      <w:marBottom w:val="0"/>
      <w:divBdr>
        <w:top w:val="none" w:sz="0" w:space="0" w:color="auto"/>
        <w:left w:val="none" w:sz="0" w:space="0" w:color="auto"/>
        <w:bottom w:val="none" w:sz="0" w:space="0" w:color="auto"/>
        <w:right w:val="none" w:sz="0" w:space="0" w:color="auto"/>
      </w:divBdr>
    </w:div>
    <w:div w:id="2083067687">
      <w:bodyDiv w:val="1"/>
      <w:marLeft w:val="0"/>
      <w:marRight w:val="0"/>
      <w:marTop w:val="0"/>
      <w:marBottom w:val="0"/>
      <w:divBdr>
        <w:top w:val="none" w:sz="0" w:space="0" w:color="auto"/>
        <w:left w:val="none" w:sz="0" w:space="0" w:color="auto"/>
        <w:bottom w:val="none" w:sz="0" w:space="0" w:color="auto"/>
        <w:right w:val="none" w:sz="0" w:space="0" w:color="auto"/>
      </w:divBdr>
    </w:div>
    <w:div w:id="212645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reenwaysforestschool.com/post/birth-and-rise-forest-school-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XVv5ZL9nlgs&amp;list=PLm8fI1AtD8zfkQ_QmPXjJeGap2o6G6CjC"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forestschools.com/"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3b8bdc96779396268978fdac07e1e1be">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b321c5d6fc077359001424cd76cb4a7e"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ServiceLocatio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7017AF-1712-458B-8741-7A53A561CB8D}">
  <ds:schemaRefs>
    <ds:schemaRef ds:uri="http://schemas.microsoft.com/sharepoint/v3/contenttype/forms"/>
  </ds:schemaRefs>
</ds:datastoreItem>
</file>

<file path=customXml/itemProps2.xml><?xml version="1.0" encoding="utf-8"?>
<ds:datastoreItem xmlns:ds="http://schemas.openxmlformats.org/officeDocument/2006/customXml" ds:itemID="{1D5DC9F3-B8A6-4F8A-8AFD-62096DC7E142}">
  <ds:schemaRefs>
    <ds:schemaRef ds:uri="http://schemas.microsoft.com/office/2006/metadata/properties"/>
    <ds:schemaRef ds:uri="http://schemas.microsoft.com/office/infopath/2007/PartnerControls"/>
    <ds:schemaRef ds:uri="60ab93c2-c2e2-4a82-ab36-09e8ba3f753e"/>
  </ds:schemaRefs>
</ds:datastoreItem>
</file>

<file path=customXml/itemProps3.xml><?xml version="1.0" encoding="utf-8"?>
<ds:datastoreItem xmlns:ds="http://schemas.openxmlformats.org/officeDocument/2006/customXml" ds:itemID="{A123652F-B049-4F87-8A6A-897754D62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3002</Words>
  <Characters>17116</Characters>
  <Application>Microsoft Office Word</Application>
  <DocSecurity>0</DocSecurity>
  <Lines>142</Lines>
  <Paragraphs>40</Paragraphs>
  <ScaleCrop>false</ScaleCrop>
  <Company/>
  <LinksUpToDate>false</LinksUpToDate>
  <CharactersWithSpaces>20078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Ellis-Anthony Willis (2304969)</dc:creator>
  <cp:keywords/>
  <dc:description/>
  <cp:lastModifiedBy>Ellis-Anthony Willis (2304969)</cp:lastModifiedBy>
  <cp:revision>6</cp:revision>
  <dcterms:created xsi:type="dcterms:W3CDTF">2024-11-29T14:50:00Z</dcterms:created>
  <dcterms:modified xsi:type="dcterms:W3CDTF">2024-11-29T14:55:00Z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