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480" w:lineRule="auto"/>
        <w:ind w:left="0" w:right="0" w:firstLine="0"/>
        <w:jc w:val="center"/>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With explicit reference to discussions and debates held during the module, consider ONE of the following questions:</w:t>
      </w:r>
    </w:p>
    <w:p>
      <w:pPr>
        <w:keepNext w:val="0"/>
        <w:keepLines w:val="0"/>
        <w:pageBreakBefore w:val="0"/>
        <w:widowControl w:val="1"/>
        <w:shd w:val="clear" w:color="auto" w:fill="auto"/>
        <w:suppressAutoHyphens w:val="0"/>
        <w:bidi w:val="0"/>
        <w:spacing w:before="0" w:after="0" w:line="480" w:lineRule="auto"/>
        <w:ind w:left="0" w:right="0" w:firstLine="0"/>
        <w:jc w:val="center"/>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How was hysteria in men and women treated from the 1800s onwards?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In the disorderly times of the 19th century and the rise in violent and aggressive treatments of mental illness, the recognition and treatment of Hysteria was no exception. This essay delves into the evolution of how hysteria was approached in both men and women and explores the diverse methods employed to manage this condition from the 1800s onwards.</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Hysteria, derived from the Greek word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hystera</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meaning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uterus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is an old-fashioned terminology used for the modern-day diagnosis of Conversion Disorder.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Conversion disorder is a psychiatric disorder characteri</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ed by signs and symptoms affecting sensory or motor function inconsistent with patterns of known neurologic diseases or other medical conditions and significantly impact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the patient</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1"/>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ability to function.</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(Peeling &amp; Muzio, 2023) </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The history of Hysteria dates back to Ancient Egypt with continuous medical recognition through the centuries from the likes of Plato, Hippocrates, and in more modern day psychology, Freud. Hysteria, the disorder at the birth of psychiatry, was originally believed to be an illness of the female uterus but as more research has been done into this disorder, it is believed that it also affects men; suggesting that it actually has nothing to do with the female reproductive system. (Tasca C et al, 2012)</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 the early 1800s, Jean-Martin Charcot described Hysteria as a sex-selective physical ailment rather than a mental disorder and the history of hysteria dating back to ancient Egyptians and Greeks support this. In ancient Greece specifically,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roaming uteri</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theory suggested that the uterus could migrate around the female body, placing pressure on other organs and was usually coaxed back into place by placing good smells near the vagina and bad smells by the mouth. (McVean 2017) Charcot opened a neurology clinic in France where he let observers including literary men, newspapermen, doctors and artists experience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hysterical subjects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put on display. It was during these sessions where many male fantasies which would have been previously projected onto prostitutes transformed the nature of hysteria from a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disease of the womb</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to female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sexual deviance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it-IT"/>
          <w14:textOutline>
            <w14:noFill/>
          </w14:textOutline>
          <w14:textFill>
            <w14:solidFill>
              <w14:srgbClr w14:val="000000"/>
            </w14:solidFill>
          </w14:textFill>
        </w:rPr>
        <w:t xml:space="preserve">(Dmytriw, 2015) </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During the late 1800s, pelvic massages were introduced by physicians as a treatment for female hysteria. This would involve clitoral stimulation by electronic vibrators in order to induce a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hysterical paroxysm</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the previous medical term for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orgasm</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hysterical paroxysm</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was the signal of a successful treatment and the physician would declare the patient cured of her negative hysteria symptoms. (Horwitz, 2020) This would suggest it was believed that female hysteria was caused by a lack of conception and therefore the orgasm would release the pent up sexual energy in the body considered to be causing these symptoms. It is regarded as true that pelvic massages were performed for thousands of years prior to the 19th century as a medical treatment for hysteria without it being considered sexually stimulating or erotic. (Horwitz, 2020)</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A more intrusive treatment that came about in the late 19th century, related to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roaming uteri</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theory was Battey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s Operation.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This operation removed the ovaries from the patient as a treatment for their mental illness</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Robert Battey invented this operation to treat women with menstrual disorders and it was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increasingly performed and eventually used as a treatment for menstrual madness,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o</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sv-SE"/>
          <w14:textOutline>
            <w14:noFill/>
          </w14:textOutline>
          <w14:textFill>
            <w14:solidFill>
              <w14:srgbClr w14:val="000000"/>
            </w14:solidFill>
          </w14:textFill>
        </w:rPr>
        <w:t>ö</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phoromania</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hysteria, epilepsy,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dysmenorrhea and nymphomania</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Komagamine</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et al 2020) Battey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Operation attracted many questions on morality and justification, so much so that 14 years after publishing his first report, Battey then attempted to justify these questions by reporting that most ovaries removed had Cystic Degeneration and therefore had more of a reason to be removed.</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 Victorian England, a similar treatment came about to cure the hysteric illness in men known as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Spermatorrhea</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This illness related to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sexual deviance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in men, similar to what women had previously been accused of in Charcot</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clinic observatory, but defined by an excessive discharge of sperm caused by overindulging in sexual activity.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One of the original and most brutal treatments for Spermatorrhea was to remove the testicles from the patient. This treatment became much less popular when the idea that Spermatorrhea was a psychological problem rather than an organic illness as previously suggested. (Dmytriw, 2015) In modern-day psychology, both Spermatorrhea and female hysteria related to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sexual deviance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could be recognised as a sex-addiction and would be treated with counselling and rehabilitation.  </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 the final few years of the 1800s, Sigmund Freud wrote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1"/>
          <w:lang w:val="ar-SA" w:bidi="ar-SA"/>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After a period of good humo</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u</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r, I now have a crisis of unhappiness. The chief patient I am worried about today is myself. My little hysteria, which was much enhanced by work, took a step forward</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Freud suggested that Hysteria caused the person suffering to be unable to sustain mature relationships as a result. Therefore lack of conception or motherhood was a result of the disorder, not the cause. (Tasca C et al 2012) Men diagnosed or labelled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hysterics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 the late 1800s were deemed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more feminine than men are supposed to be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due to their hyper-emotions and psychosomatic afflictions as a result of their fragile state. (Dmytriw, 2015)</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The Freud-Breuer hypothesis expanded on the idea and the work of their teacher, Charcot, who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hit upon the theory that thoughts dissociated from normal consciousness can cause hysterical symptoms.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(Michael 2019) As discussed in our lecture on Hysteria, Charcot realised the impact of hypnosis on patients with hysteria, and the understanding of the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unconscious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mind came about. (UWTSD, 2023) Charcot would use hypnosis to bring on hysterical episodes in his patients and it was this practice that was taken forward and used in the Freud-Breuer hypothesis. One of the most profound case studies supporting this theory was that of Anna O. The 21 year old woman displayed paralysis of limbs, loss of her native tongue, visual disturbances and deafness. It was during a hypnosis that she recalled being disgusted by her lady companion</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dog drinking out of a glass, a memory that she had forgotten and suppressed, but that subconsciously evolved into hydrophobia where she was unable to drink water out of a glass. Upon addressing this phobia, talking about it and expressing the emotions associated with it, the symptom disappeared and she asked for a glass of water from which she comfortably took a drink. This happened with many of her symptoms over time. This case study suggests hypnotherapy and counselling as a powerful tool or treatment to overcome hysteria or hysteric symptoms, which is still widely and successfully used today.</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Another theory that confirms Hysteria as a non sex-selective or disease of the uterus came from Francis W, Clark in 1888. His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vascular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theory suggested that the symptoms of hysteria depend on an altered blood supply to the ganglionic centres of the cerebral cortex. His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molecular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theory suggested that certain molecular changes in the cortex of the  cerebral hemispheres disturb the due relation between central and peripheral nerve strands. (Clark, 1888) These 2 theories suggesting vascular and molecular changes in the brain rule out the theory of hysteria originating in the womb or being solely a disease of the female.</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During the early 20th century, the rise of hysteria in men grew as a result of World War I and the medical recognition of Shell Shock. 10% of the mental casualties from the war were believed to have hysteria and although it was rarely seen whilst soldiers were on the front line, it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typically emerged once safety was assumed.</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(Macleod, 2018) The condition was caused by the loss of control experienced by the soldiers, forced silence and immobilisation and complete exhaustion. The enlisting process of the war meant that boys were very quickly made to grow into men and suffer great deals of trauma during what was still considered to be a very young age. (Meyer, 2009) The general treatments for hysteria during the war included isolation, suggestive psychotherapies - explanation to the patient that their symptoms were the result of their emotional response to the difficult experiences and not a disturbance to their nervous system, and physiotherapeutic and vocational supports. (Macleod, 2018)</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In conclusion, the theories and treatments surrounding hysteria have changed vastly through the centuries, influenced by the advancing medical knowledge, societal changes and evolving perspectives on mental health. What was once thought to be a gendered stereotype, female-only illness of the womb, treated by smelling salts, pelvic massage or ovarian resection, then went on to be recognised in men as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spermotorrhea</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treated by testicular removal. In more modern-day medicine, hysteria is recognised less as an illness of its own and more-so as a result of other mental disorders, for example Shell Shock or PTSD, Anxiety, Depression and many more disorders of the mind. Throughout history, stereotypes have been dismantled, and an advancement in the medical knowledge behind hysterical symptoms has meant an increase in empathy towards patients and treatment. There are now many therapeutic and pharmaceutical treatments depending on the patient and their circumstances.</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References:</w:t>
      </w:r>
    </w:p>
    <w:p>
      <w:pPr>
        <w:pStyle w:val="Default"/>
        <w:numPr>
          <w:ilvl w:val="0"/>
          <w:numId w:val="2"/>
        </w:numPr>
        <w:bidi w:val="0"/>
        <w:spacing w:before="0" w:line="480" w:lineRule="auto"/>
        <w:ind w:right="0"/>
        <w:jc w:val="left"/>
        <w:rPr>
          <w:rFonts w:ascii="Arial" w:hAnsi="Arial"/>
          <w:shd w:val="clear" w:color="auto" w:fill="ffffff"/>
          <w:rtl w:val="0"/>
          <w:lang w:val="it-IT"/>
        </w:rPr>
      </w:pPr>
      <w:r>
        <w:rPr>
          <w:rFonts w:ascii="Arial" w:hAnsi="Arial"/>
          <w:shd w:val="clear" w:color="auto" w:fill="ffffff"/>
          <w:rtl w:val="0"/>
          <w:lang w:val="it-IT"/>
        </w:rPr>
        <w:t xml:space="preserve">Peeling JL, Muzio MR. </w:t>
      </w:r>
      <w:r>
        <w:rPr>
          <w:rFonts w:ascii="Arial" w:hAnsi="Arial"/>
          <w:i w:val="1"/>
          <w:iCs w:val="1"/>
          <w:shd w:val="clear" w:color="auto" w:fill="ffffff"/>
          <w:rtl w:val="0"/>
          <w:lang w:val="en-US"/>
        </w:rPr>
        <w:t>Conversion Disorder</w:t>
      </w:r>
      <w:r>
        <w:rPr>
          <w:rFonts w:ascii="Arial" w:hAnsi="Arial"/>
          <w:shd w:val="clear" w:color="auto" w:fill="ffffff"/>
          <w:rtl w:val="0"/>
          <w:lang w:val="en-US"/>
        </w:rPr>
        <w:t>. Treasure Island (FL): StatPearls Publishing; 2023 Jan-.</w:t>
      </w:r>
      <w:r>
        <w:rPr>
          <w:rFonts w:ascii="Arial" w:hAnsi="Arial" w:hint="default"/>
          <w:shd w:val="clear" w:color="auto" w:fill="ffffff"/>
          <w:rtl w:val="0"/>
        </w:rPr>
        <w:t> </w:t>
      </w:r>
      <w:r>
        <w:rPr>
          <w:rStyle w:val="Hyperlink.0"/>
          <w:rFonts w:ascii="Arial" w:cs="Arial" w:hAnsi="Arial" w:eastAsia="Arial"/>
          <w:shd w:val="clear" w:color="auto" w:fill="ffffff"/>
          <w:rtl w:val="0"/>
        </w:rPr>
        <w:fldChar w:fldCharType="begin" w:fldLock="0"/>
      </w:r>
      <w:r>
        <w:rPr>
          <w:rStyle w:val="Hyperlink.0"/>
          <w:rFonts w:ascii="Arial" w:cs="Arial" w:hAnsi="Arial" w:eastAsia="Arial"/>
          <w:shd w:val="clear" w:color="auto" w:fill="ffffff"/>
          <w:rtl w:val="0"/>
        </w:rPr>
        <w:instrText xml:space="preserve"> HYPERLINK "https://www.ncbi.nlm.nih.gov/books/NBK551567/"</w:instrText>
      </w:r>
      <w:r>
        <w:rPr>
          <w:rStyle w:val="Hyperlink.0"/>
          <w:rFonts w:ascii="Arial" w:cs="Arial" w:hAnsi="Arial" w:eastAsia="Arial"/>
          <w:shd w:val="clear" w:color="auto" w:fill="ffffff"/>
          <w:rtl w:val="0"/>
        </w:rPr>
        <w:fldChar w:fldCharType="separate" w:fldLock="0"/>
      </w:r>
      <w:r>
        <w:rPr>
          <w:rStyle w:val="Hyperlink.0"/>
          <w:rFonts w:ascii="Arial" w:hAnsi="Arial"/>
          <w:shd w:val="clear" w:color="auto" w:fill="ffffff"/>
          <w:rtl w:val="0"/>
          <w:lang w:val="en-US"/>
        </w:rPr>
        <w:t>https://www.ncbi.nlm.nih.gov/books/NBK551567/</w:t>
      </w:r>
      <w:r>
        <w:rPr>
          <w:rFonts w:ascii="Arial" w:cs="Arial" w:hAnsi="Arial" w:eastAsia="Arial"/>
          <w:shd w:val="clear" w:color="auto" w:fill="ffffff"/>
          <w:rtl w:val="0"/>
        </w:rPr>
        <w:fldChar w:fldCharType="end" w:fldLock="0"/>
      </w:r>
    </w:p>
    <w:p>
      <w:pPr>
        <w:pStyle w:val="Default"/>
        <w:numPr>
          <w:ilvl w:val="0"/>
          <w:numId w:val="2"/>
        </w:numPr>
        <w:bidi w:val="0"/>
        <w:spacing w:before="0" w:line="480" w:lineRule="auto"/>
        <w:ind w:right="0"/>
        <w:jc w:val="left"/>
        <w:rPr>
          <w:rFonts w:ascii="Arial" w:hAnsi="Arial"/>
          <w:shd w:val="clear" w:color="auto" w:fill="ffffff"/>
          <w:rtl w:val="0"/>
          <w:lang w:val="it-IT"/>
        </w:rPr>
      </w:pPr>
      <w:r>
        <w:rPr>
          <w:rFonts w:ascii="Arial" w:hAnsi="Arial"/>
          <w:shd w:val="clear" w:color="auto" w:fill="ffffff"/>
          <w:rtl w:val="0"/>
          <w:lang w:val="it-IT"/>
        </w:rPr>
        <w:t xml:space="preserve">Tasca, C., Rapetti, M., Carta, M. G., &amp; Fadda, B. (2012). </w:t>
      </w:r>
      <w:r>
        <w:rPr>
          <w:rFonts w:ascii="Arial" w:hAnsi="Arial"/>
          <w:i w:val="1"/>
          <w:iCs w:val="1"/>
          <w:shd w:val="clear" w:color="auto" w:fill="ffffff"/>
          <w:rtl w:val="0"/>
          <w:lang w:val="en-US"/>
        </w:rPr>
        <w:t>Women and hysteria in the history of mental health.</w:t>
      </w:r>
      <w:r>
        <w:rPr>
          <w:rFonts w:ascii="Arial" w:hAnsi="Arial" w:hint="default"/>
          <w:i w:val="1"/>
          <w:iCs w:val="1"/>
          <w:shd w:val="clear" w:color="auto" w:fill="ffffff"/>
          <w:rtl w:val="0"/>
        </w:rPr>
        <w:t> </w:t>
      </w:r>
      <w:r>
        <w:rPr>
          <w:rFonts w:ascii="Arial" w:hAnsi="Arial"/>
          <w:shd w:val="clear" w:color="auto" w:fill="ffffff"/>
          <w:rtl w:val="0"/>
          <w:lang w:val="en-US"/>
        </w:rPr>
        <w:t>Clinical practice and epidemiology in mental health : CP &amp; EMH,</w:t>
      </w:r>
      <w:r>
        <w:rPr>
          <w:rFonts w:ascii="Arial" w:hAnsi="Arial" w:hint="default"/>
          <w:shd w:val="clear" w:color="auto" w:fill="ffffff"/>
          <w:rtl w:val="0"/>
        </w:rPr>
        <w:t> </w:t>
      </w:r>
      <w:r>
        <w:rPr>
          <w:rFonts w:ascii="Arial" w:hAnsi="Arial"/>
          <w:shd w:val="clear" w:color="auto" w:fill="ffffff"/>
          <w:rtl w:val="0"/>
        </w:rPr>
        <w:t>8, 110</w:t>
      </w:r>
      <w:r>
        <w:rPr>
          <w:rFonts w:ascii="Arial" w:hAnsi="Arial" w:hint="default"/>
          <w:shd w:val="clear" w:color="auto" w:fill="ffffff"/>
          <w:rtl w:val="0"/>
        </w:rPr>
        <w:t>–</w:t>
      </w:r>
      <w:r>
        <w:rPr>
          <w:rFonts w:ascii="Arial" w:hAnsi="Arial"/>
          <w:shd w:val="clear" w:color="auto" w:fill="ffffff"/>
          <w:rtl w:val="0"/>
        </w:rPr>
        <w:t xml:space="preserve">119. </w:t>
      </w:r>
      <w:r>
        <w:rPr>
          <w:rStyle w:val="Hyperlink.0"/>
          <w:rFonts w:ascii="Arial" w:cs="Arial" w:hAnsi="Arial" w:eastAsia="Arial"/>
          <w:shd w:val="clear" w:color="auto" w:fill="ffffff"/>
          <w:rtl w:val="0"/>
        </w:rPr>
        <w:fldChar w:fldCharType="begin" w:fldLock="0"/>
      </w:r>
      <w:r>
        <w:rPr>
          <w:rStyle w:val="Hyperlink.0"/>
          <w:rFonts w:ascii="Arial" w:cs="Arial" w:hAnsi="Arial" w:eastAsia="Arial"/>
          <w:shd w:val="clear" w:color="auto" w:fill="ffffff"/>
          <w:rtl w:val="0"/>
        </w:rPr>
        <w:instrText xml:space="preserve"> HYPERLINK "https://doi.org/10.2174/1745017901208010110"</w:instrText>
      </w:r>
      <w:r>
        <w:rPr>
          <w:rStyle w:val="Hyperlink.0"/>
          <w:rFonts w:ascii="Arial" w:cs="Arial" w:hAnsi="Arial" w:eastAsia="Arial"/>
          <w:shd w:val="clear" w:color="auto" w:fill="ffffff"/>
          <w:rtl w:val="0"/>
        </w:rPr>
        <w:fldChar w:fldCharType="separate" w:fldLock="0"/>
      </w:r>
      <w:r>
        <w:rPr>
          <w:rStyle w:val="Hyperlink.0"/>
          <w:rFonts w:ascii="Arial" w:hAnsi="Arial"/>
          <w:shd w:val="clear" w:color="auto" w:fill="ffffff"/>
          <w:rtl w:val="0"/>
          <w:lang w:val="en-US"/>
        </w:rPr>
        <w:t>https://doi.org/10.2174/1745017901208010110</w:t>
      </w:r>
      <w:r>
        <w:rPr>
          <w:rFonts w:ascii="Arial" w:cs="Arial" w:hAnsi="Arial" w:eastAsia="Arial"/>
          <w:shd w:val="clear" w:color="auto" w:fill="ffffff"/>
          <w:rtl w:val="0"/>
        </w:rPr>
        <w:fldChar w:fldCharType="end" w:fldLock="0"/>
      </w:r>
    </w:p>
    <w:p>
      <w:pPr>
        <w:pStyle w:val="Default"/>
        <w:bidi w:val="0"/>
        <w:spacing w:before="0" w:after="240" w:line="480" w:lineRule="auto"/>
        <w:ind w:left="756" w:right="0" w:hanging="756"/>
        <w:jc w:val="left"/>
        <w:rPr>
          <w:rFonts w:ascii="Arial" w:cs="Arial" w:hAnsi="Arial" w:eastAsia="Arial"/>
          <w:rtl w:val="0"/>
        </w:rPr>
      </w:pPr>
      <w:r>
        <w:rPr>
          <w:rFonts w:ascii="Arial" w:hAnsi="Arial"/>
          <w:rtl w:val="0"/>
          <w:lang w:val="en-US"/>
        </w:rPr>
        <w:t xml:space="preserve">3. </w:t>
      </w:r>
      <w:r>
        <w:rPr>
          <w:rFonts w:ascii="Arial" w:hAnsi="Arial"/>
          <w:rtl w:val="0"/>
          <w:lang w:val="en-US"/>
        </w:rPr>
        <w:t xml:space="preserve">McVean, A. (2019, July 31). </w:t>
      </w:r>
      <w:r>
        <w:rPr>
          <w:rFonts w:ascii="Arial" w:hAnsi="Arial"/>
          <w:i w:val="1"/>
          <w:iCs w:val="1"/>
          <w:rtl w:val="0"/>
          <w:lang w:val="en-US"/>
        </w:rPr>
        <w:t>The history of hysteria</w:t>
      </w:r>
      <w:r>
        <w:rPr>
          <w:rFonts w:ascii="Arial" w:hAnsi="Arial"/>
          <w:rtl w:val="0"/>
          <w:lang w:val="en-US"/>
        </w:rPr>
        <w:t>. Office for Science and Society.</w:t>
      </w:r>
      <w:r>
        <w:rPr>
          <w:rFonts w:ascii="Arial" w:hAnsi="Arial"/>
          <w:rtl w:val="0"/>
          <w:lang w:val="en-US"/>
        </w:rPr>
        <w:t xml:space="preserve"> </w:t>
      </w:r>
      <w:r>
        <w:rPr>
          <w:rFonts w:ascii="Arial" w:hAnsi="Arial"/>
          <w:rtl w:val="0"/>
          <w:lang w:val="en-US"/>
        </w:rPr>
        <w:t xml:space="preserve">https://www.mcgill.ca/oss/article/history-quackery/history-hysteria#:~:text=Hysteria%20was%20basically%20the%20medical,noting%20how%20many%20of%20the </w:t>
      </w:r>
    </w:p>
    <w:p>
      <w:pPr>
        <w:pStyle w:val="Default"/>
        <w:bidi w:val="0"/>
        <w:spacing w:before="0" w:after="240" w:line="480" w:lineRule="auto"/>
        <w:ind w:left="756" w:right="0" w:hanging="756"/>
        <w:jc w:val="left"/>
        <w:rPr>
          <w:rFonts w:ascii="Arial" w:cs="Arial" w:hAnsi="Arial" w:eastAsia="Arial"/>
          <w:rtl w:val="0"/>
        </w:rPr>
      </w:pPr>
      <w:r>
        <w:rPr>
          <w:rFonts w:ascii="Arial" w:hAnsi="Arial"/>
          <w:rtl w:val="0"/>
          <w:lang w:val="en-US"/>
        </w:rPr>
        <w:t xml:space="preserve">4. </w:t>
      </w:r>
      <w:r>
        <w:rPr>
          <w:rFonts w:ascii="Arial" w:hAnsi="Arial"/>
          <w:rtl w:val="0"/>
        </w:rPr>
        <w:t xml:space="preserve">Dmytriw, A. A. (2015). </w:t>
      </w:r>
      <w:r>
        <w:rPr>
          <w:rFonts w:ascii="Arial" w:hAnsi="Arial"/>
          <w:i w:val="1"/>
          <w:iCs w:val="1"/>
          <w:rtl w:val="0"/>
          <w:lang w:val="en-US"/>
        </w:rPr>
        <w:t>Gender and Sex Manifestations in Hysteria Across Medicine and the Arts.</w:t>
      </w:r>
      <w:r>
        <w:rPr>
          <w:rFonts w:ascii="Arial" w:hAnsi="Arial" w:hint="default"/>
          <w:i w:val="1"/>
          <w:iCs w:val="1"/>
          <w:rtl w:val="0"/>
        </w:rPr>
        <w:t> </w:t>
      </w:r>
      <w:r>
        <w:rPr>
          <w:rFonts w:ascii="Arial" w:hAnsi="Arial"/>
          <w:rtl w:val="0"/>
          <w:lang w:val="en-US"/>
        </w:rPr>
        <w:t>European Neurology,</w:t>
      </w:r>
      <w:r>
        <w:rPr>
          <w:rFonts w:ascii="Arial" w:hAnsi="Arial" w:hint="default"/>
          <w:rtl w:val="0"/>
        </w:rPr>
        <w:t> </w:t>
      </w:r>
      <w:r>
        <w:rPr>
          <w:rFonts w:ascii="Arial" w:hAnsi="Arial"/>
          <w:rtl w:val="0"/>
        </w:rPr>
        <w:t xml:space="preserve">73(1-2), 44-50. </w:t>
      </w:r>
      <w:r>
        <w:rPr>
          <w:rStyle w:val="Hyperlink.0"/>
          <w:rFonts w:ascii="Arial" w:cs="Arial" w:hAnsi="Arial" w:eastAsia="Arial"/>
          <w:rtl w:val="0"/>
        </w:rPr>
        <w:fldChar w:fldCharType="begin" w:fldLock="0"/>
      </w:r>
      <w:r>
        <w:rPr>
          <w:rStyle w:val="Hyperlink.0"/>
          <w:rFonts w:ascii="Arial" w:cs="Arial" w:hAnsi="Arial" w:eastAsia="Arial"/>
          <w:rtl w:val="0"/>
        </w:rPr>
        <w:instrText xml:space="preserve"> HYPERLINK "https://doi.org/10.1159/000367891"</w:instrText>
      </w:r>
      <w:r>
        <w:rPr>
          <w:rStyle w:val="Hyperlink.0"/>
          <w:rFonts w:ascii="Arial" w:cs="Arial" w:hAnsi="Arial" w:eastAsia="Arial"/>
          <w:rtl w:val="0"/>
        </w:rPr>
        <w:fldChar w:fldCharType="separate" w:fldLock="0"/>
      </w:r>
      <w:r>
        <w:rPr>
          <w:rStyle w:val="Hyperlink.0"/>
          <w:rFonts w:ascii="Arial" w:hAnsi="Arial"/>
          <w:rtl w:val="0"/>
          <w:lang w:val="en-US"/>
        </w:rPr>
        <w:t>https://doi.org/10.1159/000367891</w:t>
      </w:r>
      <w:r>
        <w:rPr>
          <w:rFonts w:ascii="Arial" w:cs="Arial" w:hAnsi="Arial" w:eastAsia="Arial"/>
          <w:rtl w:val="0"/>
        </w:rPr>
        <w:fldChar w:fldCharType="end" w:fldLock="0"/>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5.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Horwitz, R. (2020, February 29). </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Medical vibrators for treatment of female hysteria</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 Embryo Project Encyclopedia. https://embryo.asu.edu/pages/medical-vibrators-treatment-female-hysteria </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6.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Michael, M. T. (2019). </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The case for the Freud-Breuer theory of hysteria: A response to Gr</w:t>
      </w:r>
      <w:r>
        <w:rPr>
          <w:rFonts w:ascii="Arial" w:cs="Arial Unicode MS" w:hAnsi="Arial" w:eastAsia="Arial Unicode MS" w:hint="defaul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ü</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de-DE"/>
          <w14:textOutline>
            <w14:noFill/>
          </w14:textOutline>
          <w14:textFill>
            <w14:solidFill>
              <w14:srgbClr w14:val="000000"/>
            </w14:solidFill>
          </w14:textFill>
        </w:rPr>
        <w:t>nbaum</w:t>
      </w:r>
      <w:r>
        <w:rPr>
          <w:rFonts w:ascii="Arial" w:cs="Arial Unicode MS" w:hAnsi="Arial" w:eastAsia="Arial Unicode MS" w:hint="defaul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1"/>
          <w14:textOutline>
            <w14:noFill/>
          </w14:textOutline>
          <w14:textFill>
            <w14:solidFill>
              <w14:srgbClr w14:val="000000"/>
            </w14:solidFill>
          </w14:textFill>
        </w:rPr>
        <w:t>’</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foundational objection to psychoanalysis</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International Journal of Psychoanalysis,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100(1), 32</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51. </w:t>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instrText xml:space="preserve"> HYPERLINK "https://doi.org/10.1080/00207578.2018.1489705"</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lang w:val="pt-PT"/>
          <w14:textOutline>
            <w14:noFill/>
          </w14:textOutline>
          <w14:textFill>
            <w14:solidFill>
              <w14:srgbClr w14:val="000000"/>
            </w14:solidFill>
          </w14:textFill>
        </w:rPr>
        <w:t>https://doi.org/10.1080/00207578.2018.1489705</w:t>
      </w:r>
      <w: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fldChar w:fldCharType="end" w:fldLock="0"/>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7. UWTSD (2023) </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The Birth of Psychoanalysis</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History of Counselling Module.</w:t>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8.</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Komagamine, T., Kokubun, N., &amp; Hirata, K. (2020).</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 Battey</w:t>
      </w:r>
      <w:r>
        <w:rPr>
          <w:rFonts w:ascii="Arial" w:cs="Arial Unicode MS" w:hAnsi="Arial" w:eastAsia="Arial Unicode MS" w:hint="defaul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1"/>
          <w14:textOutline>
            <w14:noFill/>
          </w14:textOutline>
          <w14:textFill>
            <w14:solidFill>
              <w14:srgbClr w14:val="000000"/>
            </w14:solidFill>
          </w14:textFill>
        </w:rPr>
        <w:t>’</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s operation as a treatment for hysteria: a review of a series of cases in the nineteenth century.</w:t>
      </w:r>
      <w:r>
        <w:rPr>
          <w:rFonts w:ascii="Arial" w:cs="Arial Unicode MS" w:hAnsi="Arial" w:eastAsia="Arial Unicode MS" w:hint="default"/>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History of Psychiatry,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31(1), 55</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66. </w:t>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instrText xml:space="preserve"> HYPERLINK "https://doi.org/10.1177/0957154X19877145"</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rtl w:val="0"/>
          <w:lang w:val="en-US"/>
          <w14:textOutline>
            <w14:noFill/>
          </w14:textOutline>
          <w14:textFill>
            <w14:solidFill>
              <w14:srgbClr w14:val="000000"/>
            </w14:solidFill>
          </w14:textFill>
        </w:rPr>
        <w:t>https://doi.org/10.1177/0957154X19877145</w:t>
      </w:r>
      <w: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fldChar w:fldCharType="end" w:fldLock="0"/>
      </w:r>
    </w:p>
    <w:p>
      <w:pPr>
        <w:keepNext w:val="0"/>
        <w:keepLines w:val="0"/>
        <w:pageBreakBefore w:val="0"/>
        <w:widowControl w:val="1"/>
        <w:shd w:val="clear" w:color="auto" w:fill="auto"/>
        <w:suppressAutoHyphens w:val="0"/>
        <w:bidi w:val="0"/>
        <w:spacing w:before="0" w:after="0" w:line="48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9. </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 xml:space="preserve">Clark, F. W. (1888). </w:t>
      </w:r>
      <w:r>
        <w:rPr>
          <w:rFonts w:ascii="Arial" w:cs="Arial Unicode MS" w:hAnsi="Arial" w:eastAsia="Arial Unicode MS"/>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rtl w:val="0"/>
          <w:lang w:val="it-IT"/>
          <w14:textOutline>
            <w14:noFill/>
          </w14:textOutline>
          <w14:textFill>
            <w14:solidFill>
              <w14:srgbClr w14:val="000000"/>
            </w14:solidFill>
          </w14:textFill>
        </w:rPr>
        <w:t>Hysteria in Men</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Journal of Mental Science, 33(144), 543</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546. https://doi.org/10.1192/bjp.33.144.543</w:t>
      </w:r>
    </w:p>
    <w:p>
      <w:pPr>
        <w:pStyle w:val="Body"/>
        <w:spacing w:line="480" w:lineRule="auto"/>
        <w:rPr>
          <w:rFonts w:ascii="Arial" w:cs="Arial" w:hAnsi="Arial" w:eastAsia="Arial"/>
          <w:sz w:val="24"/>
          <w:szCs w:val="24"/>
        </w:rPr>
      </w:pPr>
      <w:r>
        <w:rPr>
          <w:rFonts w:ascii="Arial" w:hAnsi="Arial"/>
          <w:sz w:val="24"/>
          <w:szCs w:val="24"/>
          <w:rtl w:val="0"/>
          <w:lang w:val="en-US"/>
        </w:rPr>
        <w:t xml:space="preserve">10. </w:t>
      </w:r>
      <w:r>
        <w:rPr>
          <w:rFonts w:ascii="Arial" w:hAnsi="Arial"/>
          <w:sz w:val="24"/>
          <w:szCs w:val="24"/>
          <w:rtl w:val="0"/>
        </w:rPr>
        <w:t xml:space="preserve">Macleod, A. (Sandy). (2018). </w:t>
      </w:r>
      <w:r>
        <w:rPr>
          <w:rFonts w:ascii="Arial" w:hAnsi="Arial"/>
          <w:i w:val="1"/>
          <w:iCs w:val="1"/>
          <w:sz w:val="24"/>
          <w:szCs w:val="24"/>
          <w:rtl w:val="0"/>
          <w:lang w:val="en-US"/>
        </w:rPr>
        <w:t>Abrupt treatments of hysteria during World War I, 1914</w:t>
      </w:r>
      <w:r>
        <w:rPr>
          <w:rFonts w:ascii="Arial" w:hAnsi="Arial" w:hint="default"/>
          <w:i w:val="1"/>
          <w:iCs w:val="1"/>
          <w:sz w:val="24"/>
          <w:szCs w:val="24"/>
          <w:rtl w:val="0"/>
        </w:rPr>
        <w:t>–</w:t>
      </w:r>
      <w:r>
        <w:rPr>
          <w:rFonts w:ascii="Arial" w:hAnsi="Arial"/>
          <w:i w:val="1"/>
          <w:iCs w:val="1"/>
          <w:sz w:val="24"/>
          <w:szCs w:val="24"/>
          <w:rtl w:val="0"/>
        </w:rPr>
        <w:t>18.</w:t>
      </w:r>
      <w:r>
        <w:rPr>
          <w:rFonts w:ascii="Arial" w:hAnsi="Arial" w:hint="default"/>
          <w:i w:val="1"/>
          <w:iCs w:val="1"/>
          <w:sz w:val="24"/>
          <w:szCs w:val="24"/>
          <w:rtl w:val="0"/>
        </w:rPr>
        <w:t> </w:t>
      </w:r>
      <w:r>
        <w:rPr>
          <w:rFonts w:ascii="Arial" w:hAnsi="Arial"/>
          <w:sz w:val="24"/>
          <w:szCs w:val="24"/>
          <w:rtl w:val="0"/>
          <w:lang w:val="en-US"/>
        </w:rPr>
        <w:t>History of Psychiatry,</w:t>
      </w:r>
      <w:r>
        <w:rPr>
          <w:rFonts w:ascii="Arial" w:hAnsi="Arial" w:hint="default"/>
          <w:sz w:val="24"/>
          <w:szCs w:val="24"/>
          <w:rtl w:val="0"/>
        </w:rPr>
        <w:t> </w:t>
      </w:r>
      <w:r>
        <w:rPr>
          <w:rFonts w:ascii="Arial" w:hAnsi="Arial"/>
          <w:sz w:val="24"/>
          <w:szCs w:val="24"/>
          <w:rtl w:val="0"/>
        </w:rPr>
        <w:t>29(2), 187</w:t>
      </w:r>
      <w:r>
        <w:rPr>
          <w:rFonts w:ascii="Arial" w:hAnsi="Arial" w:hint="default"/>
          <w:sz w:val="24"/>
          <w:szCs w:val="24"/>
          <w:rtl w:val="0"/>
        </w:rPr>
        <w:t>–</w:t>
      </w:r>
      <w:r>
        <w:rPr>
          <w:rFonts w:ascii="Arial" w:hAnsi="Arial"/>
          <w:sz w:val="24"/>
          <w:szCs w:val="24"/>
          <w:rtl w:val="0"/>
        </w:rPr>
        <w:t xml:space="preserve">198.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"https://doi.org/10.1177/0957154X18757338"</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https://doi.org/10.1177/0957154X18757338</w:t>
      </w:r>
      <w:r>
        <w:rPr>
          <w:rFonts w:ascii="Arial" w:cs="Arial" w:hAnsi="Arial" w:eastAsia="Arial"/>
          <w:sz w:val="24"/>
          <w:szCs w:val="24"/>
        </w:rPr>
        <w:fldChar w:fldCharType="end" w:fldLock="0"/>
      </w:r>
    </w:p>
    <w:p>
      <w:pPr>
        <w:pStyle w:val="Body"/>
        <w:spacing w:line="480" w:lineRule="auto"/>
      </w:pPr>
      <w:r>
        <w:rPr>
          <w:rFonts w:ascii="Arial" w:hAnsi="Arial"/>
          <w:sz w:val="24"/>
          <w:szCs w:val="24"/>
          <w:rtl w:val="0"/>
          <w:lang w:val="en-US"/>
        </w:rPr>
        <w:t xml:space="preserve">11. </w:t>
      </w:r>
      <w:r>
        <w:rPr>
          <w:rFonts w:ascii="Arial" w:hAnsi="Arial"/>
          <w:sz w:val="24"/>
          <w:szCs w:val="24"/>
          <w:rtl w:val="0"/>
        </w:rPr>
        <w:t xml:space="preserve">JMeyer, J. (2009). </w:t>
      </w:r>
      <w:r>
        <w:rPr>
          <w:rFonts w:ascii="Arial" w:hAnsi="Arial"/>
          <w:i w:val="1"/>
          <w:iCs w:val="1"/>
          <w:sz w:val="24"/>
          <w:szCs w:val="24"/>
          <w:rtl w:val="0"/>
          <w:lang w:val="en-US"/>
        </w:rPr>
        <w:t xml:space="preserve">Separating the Men from the Boys: Masculinity and Maturity in Understandings of Shell Shock in Britain. </w:t>
      </w:r>
      <w:r>
        <w:rPr>
          <w:rFonts w:ascii="Arial" w:hAnsi="Arial"/>
          <w:sz w:val="24"/>
          <w:szCs w:val="24"/>
          <w:rtl w:val="0"/>
          <w:lang w:val="en-US"/>
        </w:rPr>
        <w:t>20th Century British History, 20(1), 1</w:t>
      </w:r>
      <w:r>
        <w:rPr>
          <w:rFonts w:ascii="Arial" w:hAnsi="Arial" w:hint="default"/>
          <w:sz w:val="24"/>
          <w:szCs w:val="24"/>
          <w:rtl w:val="0"/>
        </w:rPr>
        <w:t>–</w:t>
      </w:r>
      <w:r>
        <w:rPr>
          <w:rFonts w:ascii="Arial" w:hAnsi="Arial"/>
          <w:sz w:val="24"/>
          <w:szCs w:val="24"/>
          <w:rtl w:val="0"/>
          <w:lang w:val="en-US"/>
        </w:rPr>
        <w:t>22. https://doi.org/10.1093/tcbh/hwn028</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it-IT"/>
      <w14:textOutline>
        <w14:noFill/>
      </w14:textOutline>
      <w14:textFill>
        <w14:solidFill>
          <w14:srgbClr w14:val="000000"/>
        </w14:solidFill>
      </w14:textFill>
    </w:rPr>
  </w:style>
  <w:style w:type="numbering" w:styleId="Numbered">
    <w:name w:val="Numbered"/>
    <w:pPr>
      <w:numPr>
        <w:numId w:val="1"/>
      </w:numPr>
    </w:pPr>
  </w:style>
  <w:style w:type="character" w:styleId="Hyperlink.0">
    <w:name w:val="Hyperlink.0"/>
    <w:basedOn w:val="Hyperlink"/>
    <w:next w:val="Hyperlink.0"/>
    <w:rPr>
      <w:u w:val="singl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