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85830" w14:textId="77777777" w:rsidR="00285359" w:rsidRDefault="00285359" w:rsidP="00285359">
      <w:pPr>
        <w:jc w:val="both"/>
        <w:rPr>
          <w:b/>
          <w:sz w:val="28"/>
          <w:szCs w:val="28"/>
          <w:u w:val="single"/>
        </w:rPr>
      </w:pPr>
      <w:r w:rsidRPr="004D2CA7">
        <w:rPr>
          <w:b/>
          <w:sz w:val="28"/>
          <w:szCs w:val="28"/>
          <w:u w:val="single"/>
        </w:rPr>
        <w:t xml:space="preserve">Critically discuss the coherence of Descartes’ dualist conception of the Self, with refence to plausible alternatives </w:t>
      </w:r>
    </w:p>
    <w:p w14:paraId="091BEA7B" w14:textId="77777777" w:rsidR="00285359" w:rsidRDefault="00285359" w:rsidP="00285359">
      <w:pPr>
        <w:rPr>
          <w:b/>
          <w:sz w:val="28"/>
          <w:szCs w:val="28"/>
          <w:u w:val="single"/>
        </w:rPr>
      </w:pPr>
    </w:p>
    <w:p w14:paraId="0EFF1746" w14:textId="77777777" w:rsidR="00285359" w:rsidRDefault="00285359" w:rsidP="00285359">
      <w:pPr>
        <w:rPr>
          <w:b/>
          <w:sz w:val="28"/>
          <w:szCs w:val="28"/>
          <w:u w:val="single"/>
        </w:rPr>
      </w:pPr>
      <w:r>
        <w:rPr>
          <w:b/>
          <w:sz w:val="28"/>
          <w:szCs w:val="28"/>
          <w:u w:val="single"/>
        </w:rPr>
        <w:t>Introduction</w:t>
      </w:r>
    </w:p>
    <w:p w14:paraId="6B2CA0CF" w14:textId="40244198" w:rsidR="00285359" w:rsidRDefault="0093113C" w:rsidP="00285359">
      <w:pPr>
        <w:rPr>
          <w:sz w:val="24"/>
          <w:szCs w:val="24"/>
        </w:rPr>
      </w:pPr>
      <w:r>
        <w:rPr>
          <w:sz w:val="24"/>
          <w:szCs w:val="24"/>
        </w:rPr>
        <w:t xml:space="preserve">in this essay, I will be discussing Descartes’s dualist conception of the self and if </w:t>
      </w:r>
      <w:proofErr w:type="gramStart"/>
      <w:r>
        <w:rPr>
          <w:sz w:val="24"/>
          <w:szCs w:val="24"/>
        </w:rPr>
        <w:t>you</w:t>
      </w:r>
      <w:proofErr w:type="gramEnd"/>
      <w:r>
        <w:rPr>
          <w:sz w:val="24"/>
          <w:szCs w:val="24"/>
        </w:rPr>
        <w:t xml:space="preserve"> plausible alternatives to his theory on the body and the mind. I will be including some of the work of, Gilbert Ryle, Martin Heidegger, Simon Critchley and </w:t>
      </w:r>
      <w:proofErr w:type="spellStart"/>
      <w:r>
        <w:rPr>
          <w:sz w:val="24"/>
          <w:szCs w:val="24"/>
        </w:rPr>
        <w:t>Chien-Te</w:t>
      </w:r>
      <w:proofErr w:type="spellEnd"/>
      <w:r>
        <w:rPr>
          <w:sz w:val="24"/>
          <w:szCs w:val="24"/>
        </w:rPr>
        <w:t xml:space="preserve"> Lin</w:t>
      </w:r>
      <w:r>
        <w:rPr>
          <w:sz w:val="24"/>
          <w:szCs w:val="24"/>
        </w:rPr>
        <w:t xml:space="preserve"> with some critiques and possible solutions to the problems that are inherent to Cartesian dualism with regards to the conception of the self and the validity of the claims that Descartes makes.</w:t>
      </w:r>
    </w:p>
    <w:p w14:paraId="49F535AA" w14:textId="77777777" w:rsidR="0093113C" w:rsidRPr="008134CC" w:rsidRDefault="0093113C" w:rsidP="00285359">
      <w:pPr>
        <w:rPr>
          <w:sz w:val="24"/>
          <w:szCs w:val="24"/>
        </w:rPr>
      </w:pPr>
    </w:p>
    <w:p w14:paraId="2A2210DF" w14:textId="0915F613" w:rsidR="00285359" w:rsidRPr="00047F09" w:rsidRDefault="00285359" w:rsidP="00285359">
      <w:pPr>
        <w:spacing w:line="360" w:lineRule="auto"/>
        <w:rPr>
          <w:b/>
          <w:sz w:val="26"/>
          <w:szCs w:val="26"/>
          <w:u w:val="single"/>
        </w:rPr>
      </w:pPr>
      <w:r w:rsidRPr="00047F09">
        <w:rPr>
          <w:b/>
          <w:sz w:val="26"/>
          <w:szCs w:val="26"/>
          <w:u w:val="single"/>
        </w:rPr>
        <w:t>Descartes</w:t>
      </w:r>
      <w:r>
        <w:rPr>
          <w:b/>
          <w:sz w:val="26"/>
          <w:szCs w:val="26"/>
          <w:u w:val="single"/>
        </w:rPr>
        <w:t>’</w:t>
      </w:r>
      <w:r w:rsidRPr="00047F09">
        <w:rPr>
          <w:b/>
          <w:sz w:val="26"/>
          <w:szCs w:val="26"/>
          <w:u w:val="single"/>
        </w:rPr>
        <w:t xml:space="preserve"> dualist conception of the self</w:t>
      </w:r>
    </w:p>
    <w:p w14:paraId="77EE1599" w14:textId="381CD4D0" w:rsidR="00285359" w:rsidRDefault="00285359" w:rsidP="00285359">
      <w:pPr>
        <w:spacing w:line="360" w:lineRule="auto"/>
        <w:jc w:val="both"/>
        <w:rPr>
          <w:sz w:val="24"/>
          <w:szCs w:val="24"/>
        </w:rPr>
      </w:pPr>
      <w:r>
        <w:rPr>
          <w:sz w:val="24"/>
          <w:szCs w:val="24"/>
        </w:rPr>
        <w:t xml:space="preserve">Descartes was the philosopher to think up a particular conception and understanding of a thing called ‘the self’. His understanding of the self is a dualistic one. This means that the conception of the self is </w:t>
      </w:r>
      <w:r w:rsidR="001054AE">
        <w:rPr>
          <w:sz w:val="24"/>
          <w:szCs w:val="24"/>
        </w:rPr>
        <w:t xml:space="preserve">such </w:t>
      </w:r>
      <w:r>
        <w:rPr>
          <w:sz w:val="24"/>
          <w:szCs w:val="24"/>
        </w:rPr>
        <w:t xml:space="preserve">that even though one seems to have a physical body and that one also thinks, the thing that thinks is what is known as the mind and this thing, the mind, is an immaterial thing. He comes to this conclusion by what is known as radical scepticism. Radical scepticism is where one attempts to doubt everything that </w:t>
      </w:r>
      <w:r w:rsidR="001054AE">
        <w:rPr>
          <w:sz w:val="24"/>
          <w:szCs w:val="24"/>
        </w:rPr>
        <w:t>one</w:t>
      </w:r>
      <w:r>
        <w:rPr>
          <w:sz w:val="24"/>
          <w:szCs w:val="24"/>
        </w:rPr>
        <w:t xml:space="preserve"> either assume</w:t>
      </w:r>
      <w:r w:rsidR="001054AE">
        <w:rPr>
          <w:sz w:val="24"/>
          <w:szCs w:val="24"/>
        </w:rPr>
        <w:t>s</w:t>
      </w:r>
      <w:r>
        <w:rPr>
          <w:sz w:val="24"/>
          <w:szCs w:val="24"/>
        </w:rPr>
        <w:t xml:space="preserve"> to exist or </w:t>
      </w:r>
      <w:r w:rsidR="001054AE">
        <w:rPr>
          <w:sz w:val="24"/>
          <w:szCs w:val="24"/>
        </w:rPr>
        <w:t>considers to have</w:t>
      </w:r>
      <w:r>
        <w:rPr>
          <w:sz w:val="24"/>
          <w:szCs w:val="24"/>
        </w:rPr>
        <w:t xml:space="preserve"> evidence for existing. For example, Descartes’s well-known quote, “I think therefore I am” is a conclusion that he gets to through his book which is called “The Meditations”; he </w:t>
      </w:r>
      <w:r w:rsidR="001054AE">
        <w:rPr>
          <w:sz w:val="24"/>
          <w:szCs w:val="24"/>
        </w:rPr>
        <w:t>arrives at</w:t>
      </w:r>
      <w:r>
        <w:rPr>
          <w:sz w:val="24"/>
          <w:szCs w:val="24"/>
        </w:rPr>
        <w:t xml:space="preserve"> this conclusion by doubting everything that he had come to learn about the universe which includes his memories and materiality itself, </w:t>
      </w:r>
      <w:r w:rsidR="001054AE">
        <w:rPr>
          <w:sz w:val="24"/>
          <w:szCs w:val="24"/>
        </w:rPr>
        <w:t>and also includes</w:t>
      </w:r>
      <w:r>
        <w:rPr>
          <w:sz w:val="24"/>
          <w:szCs w:val="24"/>
        </w:rPr>
        <w:t xml:space="preserve"> his own physical/material body. He found therefore </w:t>
      </w:r>
      <w:r w:rsidR="001054AE">
        <w:rPr>
          <w:sz w:val="24"/>
          <w:szCs w:val="24"/>
        </w:rPr>
        <w:t xml:space="preserve">that </w:t>
      </w:r>
      <w:r>
        <w:rPr>
          <w:sz w:val="24"/>
          <w:szCs w:val="24"/>
        </w:rPr>
        <w:t>the only thing he could</w:t>
      </w:r>
      <w:r w:rsidR="001054AE">
        <w:rPr>
          <w:sz w:val="24"/>
          <w:szCs w:val="24"/>
        </w:rPr>
        <w:t xml:space="preserve"> </w:t>
      </w:r>
      <w:r>
        <w:rPr>
          <w:sz w:val="24"/>
          <w:szCs w:val="24"/>
        </w:rPr>
        <w:t>n</w:t>
      </w:r>
      <w:r w:rsidR="001054AE">
        <w:rPr>
          <w:sz w:val="24"/>
          <w:szCs w:val="24"/>
        </w:rPr>
        <w:t>o</w:t>
      </w:r>
      <w:r>
        <w:rPr>
          <w:sz w:val="24"/>
          <w:szCs w:val="24"/>
        </w:rPr>
        <w:t>t doubt was that he was thinking about all these things and that even to doubt is to be thinking about doubting, although he did</w:t>
      </w:r>
      <w:r w:rsidR="001054AE">
        <w:rPr>
          <w:sz w:val="24"/>
          <w:szCs w:val="24"/>
        </w:rPr>
        <w:t xml:space="preserve"> not</w:t>
      </w:r>
      <w:r>
        <w:rPr>
          <w:sz w:val="24"/>
          <w:szCs w:val="24"/>
        </w:rPr>
        <w:t xml:space="preserve"> think that science would be able to account for this thing that is thinking, the mind. Therefore, the mind must be something immaterial. The mind may also be described as a non-material soul. So here we have this conception of </w:t>
      </w:r>
      <w:r w:rsidR="001054AE">
        <w:rPr>
          <w:sz w:val="24"/>
          <w:szCs w:val="24"/>
        </w:rPr>
        <w:t xml:space="preserve">the </w:t>
      </w:r>
      <w:r>
        <w:rPr>
          <w:sz w:val="24"/>
          <w:szCs w:val="24"/>
        </w:rPr>
        <w:t>mind and the body, where the body is described as a physical thing and the mind is described as an immaterial thing. The problem arises when it becomes clear through empirical experience that the mind clearly influences how the body behaves and that the body clearly influences how the mind behaves. However</w:t>
      </w:r>
      <w:r w:rsidR="001054AE">
        <w:rPr>
          <w:sz w:val="24"/>
          <w:szCs w:val="24"/>
        </w:rPr>
        <w:t>,</w:t>
      </w:r>
      <w:r>
        <w:rPr>
          <w:sz w:val="24"/>
          <w:szCs w:val="24"/>
        </w:rPr>
        <w:t xml:space="preserve"> there seems to be no clear connection between the two, </w:t>
      </w:r>
      <w:r w:rsidR="001054AE">
        <w:rPr>
          <w:sz w:val="24"/>
          <w:szCs w:val="24"/>
        </w:rPr>
        <w:t>when one considers</w:t>
      </w:r>
      <w:r>
        <w:rPr>
          <w:sz w:val="24"/>
          <w:szCs w:val="24"/>
        </w:rPr>
        <w:t xml:space="preserve"> that one is in the realm of materiality which also happens to be the realm </w:t>
      </w:r>
      <w:r w:rsidR="001054AE">
        <w:rPr>
          <w:sz w:val="24"/>
          <w:szCs w:val="24"/>
        </w:rPr>
        <w:t xml:space="preserve">that </w:t>
      </w:r>
      <w:r>
        <w:rPr>
          <w:sz w:val="24"/>
          <w:szCs w:val="24"/>
        </w:rPr>
        <w:t xml:space="preserve">which we can quantifiably measure and discuss, and one is in the realm of what we call </w:t>
      </w:r>
      <w:r>
        <w:rPr>
          <w:sz w:val="24"/>
          <w:szCs w:val="24"/>
        </w:rPr>
        <w:lastRenderedPageBreak/>
        <w:t xml:space="preserve">immateriality, </w:t>
      </w:r>
      <w:r w:rsidR="001054AE">
        <w:rPr>
          <w:sz w:val="24"/>
          <w:szCs w:val="24"/>
        </w:rPr>
        <w:t xml:space="preserve">that </w:t>
      </w:r>
      <w:r>
        <w:rPr>
          <w:sz w:val="24"/>
          <w:szCs w:val="24"/>
        </w:rPr>
        <w:t xml:space="preserve">which we cannot quantifiably measure or discuss coherently (the two different realms of non-materiality and materiality existing alongside each other in what Descartes calls “union”). This then leads us to the linguistic description of what non-material means and since we have no way of empirically showing that non-materiality exists it seems that great scepticism is in order when attempting to understand </w:t>
      </w:r>
      <w:r w:rsidR="001054AE">
        <w:rPr>
          <w:sz w:val="24"/>
          <w:szCs w:val="24"/>
        </w:rPr>
        <w:t>Descartes’</w:t>
      </w:r>
      <w:r>
        <w:rPr>
          <w:sz w:val="24"/>
          <w:szCs w:val="24"/>
        </w:rPr>
        <w:t xml:space="preserve"> conception. The confusion that arises from attempting to understand the suggested coherence of this union, is what has come to be known as the ‘Mind-body Problem’.  </w:t>
      </w:r>
    </w:p>
    <w:p w14:paraId="03BF7F94" w14:textId="77777777" w:rsidR="00285359" w:rsidRDefault="00285359" w:rsidP="00285359">
      <w:pPr>
        <w:spacing w:line="360" w:lineRule="auto"/>
        <w:jc w:val="both"/>
        <w:rPr>
          <w:sz w:val="24"/>
          <w:szCs w:val="24"/>
        </w:rPr>
      </w:pPr>
    </w:p>
    <w:p w14:paraId="648E00F1" w14:textId="77777777" w:rsidR="00285359" w:rsidRPr="00DA25D5" w:rsidRDefault="00285359" w:rsidP="00285359">
      <w:pPr>
        <w:spacing w:line="360" w:lineRule="auto"/>
        <w:jc w:val="both"/>
        <w:rPr>
          <w:b/>
          <w:sz w:val="26"/>
          <w:szCs w:val="26"/>
          <w:u w:val="single"/>
        </w:rPr>
      </w:pPr>
      <w:r w:rsidRPr="00DA25D5">
        <w:rPr>
          <w:b/>
          <w:sz w:val="26"/>
          <w:szCs w:val="26"/>
          <w:u w:val="single"/>
        </w:rPr>
        <w:t>Ryle</w:t>
      </w:r>
      <w:r>
        <w:rPr>
          <w:b/>
          <w:sz w:val="26"/>
          <w:szCs w:val="26"/>
          <w:u w:val="single"/>
        </w:rPr>
        <w:t>’</w:t>
      </w:r>
      <w:r w:rsidRPr="00DA25D5">
        <w:rPr>
          <w:b/>
          <w:sz w:val="26"/>
          <w:szCs w:val="26"/>
          <w:u w:val="single"/>
        </w:rPr>
        <w:t>s Category-mistake</w:t>
      </w:r>
    </w:p>
    <w:p w14:paraId="36C715E3" w14:textId="579FFE04" w:rsidR="00285359" w:rsidRPr="00D96C75" w:rsidRDefault="00285359" w:rsidP="00285359">
      <w:pPr>
        <w:spacing w:line="360" w:lineRule="auto"/>
        <w:jc w:val="both"/>
        <w:rPr>
          <w:sz w:val="24"/>
          <w:szCs w:val="24"/>
        </w:rPr>
      </w:pPr>
      <w:r>
        <w:rPr>
          <w:sz w:val="24"/>
          <w:szCs w:val="24"/>
        </w:rPr>
        <w:t xml:space="preserve">The philosopher Gilbert Ryle was the philosopher to coin the term, ‘category mistake’ in his book, </w:t>
      </w:r>
      <w:r w:rsidRPr="001054AE">
        <w:rPr>
          <w:i/>
          <w:sz w:val="24"/>
          <w:szCs w:val="24"/>
        </w:rPr>
        <w:t>The Concept of Mind.</w:t>
      </w:r>
      <w:r>
        <w:rPr>
          <w:sz w:val="24"/>
          <w:szCs w:val="24"/>
        </w:rPr>
        <w:t xml:space="preserve"> In part three of c</w:t>
      </w:r>
      <w:r w:rsidR="001054AE">
        <w:rPr>
          <w:sz w:val="24"/>
          <w:szCs w:val="24"/>
        </w:rPr>
        <w:t>hapter 1 of this book, called “The O</w:t>
      </w:r>
      <w:r>
        <w:rPr>
          <w:sz w:val="24"/>
          <w:szCs w:val="24"/>
        </w:rPr>
        <w:t xml:space="preserve">rigin of the </w:t>
      </w:r>
      <w:r w:rsidR="001054AE">
        <w:rPr>
          <w:sz w:val="24"/>
          <w:szCs w:val="24"/>
        </w:rPr>
        <w:t>Category Mistake” Ryle explains</w:t>
      </w:r>
      <w:r>
        <w:rPr>
          <w:sz w:val="24"/>
          <w:szCs w:val="24"/>
        </w:rPr>
        <w:t xml:space="preserve"> “the differences between the physical and the mental”</w:t>
      </w:r>
      <w:r w:rsidR="001054AE">
        <w:rPr>
          <w:rStyle w:val="FootnoteReference"/>
          <w:sz w:val="24"/>
          <w:szCs w:val="24"/>
        </w:rPr>
        <w:footnoteReference w:id="1"/>
      </w:r>
      <w:r>
        <w:rPr>
          <w:sz w:val="24"/>
          <w:szCs w:val="24"/>
        </w:rPr>
        <w:t xml:space="preserve"> as Descartes thought it to be so, which is to say that minds cannot be explained by mechanical means, and therefore must be explained through non-mechanical means. One way in which Ryle describes mechanical processes is by </w:t>
      </w:r>
      <w:r w:rsidR="00D96C75">
        <w:rPr>
          <w:sz w:val="24"/>
          <w:szCs w:val="24"/>
        </w:rPr>
        <w:t>saying, “mechanical workings explained movements in space</w:t>
      </w:r>
      <w:r>
        <w:rPr>
          <w:sz w:val="24"/>
          <w:szCs w:val="24"/>
        </w:rPr>
        <w:t>”. Thus, describing the non-mechanical</w:t>
      </w:r>
      <w:r w:rsidR="004B45C2">
        <w:rPr>
          <w:sz w:val="24"/>
          <w:szCs w:val="24"/>
        </w:rPr>
        <w:t xml:space="preserve"> processes by also calling them</w:t>
      </w:r>
      <w:r>
        <w:rPr>
          <w:sz w:val="24"/>
          <w:szCs w:val="24"/>
        </w:rPr>
        <w:t xml:space="preserve"> “non-spatial workings” he also compares this to “the difference between the human behaviours which we describe as intelligent and those which we describe as unintelligent” due to “difference[s] in their causation”.</w:t>
      </w:r>
      <w:r w:rsidR="004B45C2">
        <w:rPr>
          <w:rStyle w:val="FootnoteReference"/>
          <w:sz w:val="24"/>
          <w:szCs w:val="24"/>
        </w:rPr>
        <w:footnoteReference w:id="2"/>
      </w:r>
      <w:r>
        <w:rPr>
          <w:sz w:val="24"/>
          <w:szCs w:val="24"/>
        </w:rPr>
        <w:t xml:space="preserve"> By, ‘intelligent’ he means the workings of the mind, and by ‘unintelligent’ he means </w:t>
      </w:r>
      <w:r w:rsidR="004B45C2">
        <w:rPr>
          <w:sz w:val="24"/>
          <w:szCs w:val="24"/>
        </w:rPr>
        <w:t xml:space="preserve">the </w:t>
      </w:r>
      <w:r>
        <w:rPr>
          <w:sz w:val="24"/>
          <w:szCs w:val="24"/>
        </w:rPr>
        <w:t xml:space="preserve">workings of the body </w:t>
      </w:r>
      <w:r w:rsidR="004B45C2">
        <w:rPr>
          <w:sz w:val="24"/>
          <w:szCs w:val="24"/>
        </w:rPr>
        <w:t>which</w:t>
      </w:r>
      <w:r>
        <w:rPr>
          <w:sz w:val="24"/>
          <w:szCs w:val="24"/>
        </w:rPr>
        <w:t xml:space="preserve"> </w:t>
      </w:r>
      <w:r w:rsidR="004B45C2">
        <w:rPr>
          <w:sz w:val="24"/>
          <w:szCs w:val="24"/>
        </w:rPr>
        <w:t>are</w:t>
      </w:r>
      <w:r>
        <w:rPr>
          <w:sz w:val="24"/>
          <w:szCs w:val="24"/>
        </w:rPr>
        <w:t xml:space="preserve"> known as “fixed action patterns” in the subject of hum</w:t>
      </w:r>
      <w:r w:rsidR="004B45C2">
        <w:rPr>
          <w:sz w:val="24"/>
          <w:szCs w:val="24"/>
        </w:rPr>
        <w:t>an behavioural biology, such as</w:t>
      </w:r>
      <w:r>
        <w:rPr>
          <w:sz w:val="24"/>
          <w:szCs w:val="24"/>
        </w:rPr>
        <w:t xml:space="preserve"> the action of a flinch at a fast movement of a large object such as a train racing past one’s face. This theory is known as a “para-mechanical hypothesis”, and it is Ryle’s intention to show that it was Descartes’s conception of dualism which created a category mistake. He talks of Descartes in the following way, “he and subsequent philosophers naturally but earnestly availed themselves of the following escape route”</w:t>
      </w:r>
      <w:r w:rsidR="004B45C2">
        <w:rPr>
          <w:sz w:val="24"/>
          <w:szCs w:val="24"/>
        </w:rPr>
        <w:t>.</w:t>
      </w:r>
      <w:r w:rsidR="004B45C2">
        <w:rPr>
          <w:rStyle w:val="FootnoteReference"/>
          <w:sz w:val="24"/>
          <w:szCs w:val="24"/>
        </w:rPr>
        <w:footnoteReference w:id="3"/>
      </w:r>
      <w:r>
        <w:rPr>
          <w:sz w:val="24"/>
          <w:szCs w:val="24"/>
        </w:rPr>
        <w:t xml:space="preserve"> It seems that Descartes was clouded in his analysis of the mind-body problem; this was, partly, because of the fact that he was a religious man, but also a philosopher of science and a big believer in the progress of empirical analysis and yet these </w:t>
      </w:r>
      <w:r>
        <w:rPr>
          <w:sz w:val="24"/>
          <w:szCs w:val="24"/>
        </w:rPr>
        <w:lastRenderedPageBreak/>
        <w:t xml:space="preserve">two things </w:t>
      </w:r>
      <w:r w:rsidR="004B45C2">
        <w:rPr>
          <w:sz w:val="24"/>
          <w:szCs w:val="24"/>
        </w:rPr>
        <w:t>came</w:t>
      </w:r>
      <w:r>
        <w:rPr>
          <w:sz w:val="24"/>
          <w:szCs w:val="24"/>
        </w:rPr>
        <w:t xml:space="preserve"> into contradiction with one another when Descartes proposed this para-mechanical hypothesis. One of these reasons is that if human beings’ bodies work in a purely mechanical manner then it leaves no room for something such as a soul or so-called immaterial ‘mind’ to exist. Therefore, in order to preserve </w:t>
      </w:r>
      <w:r w:rsidRPr="001054AE">
        <w:rPr>
          <w:sz w:val="24"/>
          <w:szCs w:val="24"/>
        </w:rPr>
        <w:t>this</w:t>
      </w:r>
      <w:r>
        <w:rPr>
          <w:sz w:val="24"/>
          <w:szCs w:val="24"/>
        </w:rPr>
        <w:t xml:space="preserve"> possibility, he creates a new category to describe the workings of the mind, assuming that the mind does not work in a mechanical manner simply because at the time they did</w:t>
      </w:r>
      <w:r w:rsidR="004B45C2">
        <w:rPr>
          <w:sz w:val="24"/>
          <w:szCs w:val="24"/>
        </w:rPr>
        <w:t xml:space="preserve"> </w:t>
      </w:r>
      <w:r>
        <w:rPr>
          <w:sz w:val="24"/>
          <w:szCs w:val="24"/>
        </w:rPr>
        <w:t>n</w:t>
      </w:r>
      <w:r w:rsidR="004B45C2">
        <w:rPr>
          <w:sz w:val="24"/>
          <w:szCs w:val="24"/>
        </w:rPr>
        <w:t>o</w:t>
      </w:r>
      <w:r>
        <w:rPr>
          <w:sz w:val="24"/>
          <w:szCs w:val="24"/>
        </w:rPr>
        <w:t>t have a common mechanical description for such a category. Phenomenologically it can seem as though the mind works in a mysterious way compared to the rest of the body</w:t>
      </w:r>
      <w:r w:rsidR="004B45C2">
        <w:rPr>
          <w:sz w:val="24"/>
          <w:szCs w:val="24"/>
        </w:rPr>
        <w:t>,</w:t>
      </w:r>
      <w:r>
        <w:rPr>
          <w:sz w:val="24"/>
          <w:szCs w:val="24"/>
        </w:rPr>
        <w:t xml:space="preserve"> </w:t>
      </w:r>
      <w:r w:rsidR="004B45C2">
        <w:rPr>
          <w:sz w:val="24"/>
          <w:szCs w:val="24"/>
        </w:rPr>
        <w:t xml:space="preserve">the example being </w:t>
      </w:r>
      <w:r>
        <w:rPr>
          <w:sz w:val="24"/>
          <w:szCs w:val="24"/>
        </w:rPr>
        <w:t>certain characteristics, such as emotional</w:t>
      </w:r>
      <w:r w:rsidR="004B45C2">
        <w:rPr>
          <w:sz w:val="24"/>
          <w:szCs w:val="24"/>
        </w:rPr>
        <w:t>,</w:t>
      </w:r>
      <w:r>
        <w:rPr>
          <w:sz w:val="24"/>
          <w:szCs w:val="24"/>
        </w:rPr>
        <w:t xml:space="preserve"> ‘irrational’ decision making</w:t>
      </w:r>
      <w:r w:rsidR="004B45C2">
        <w:rPr>
          <w:sz w:val="24"/>
          <w:szCs w:val="24"/>
        </w:rPr>
        <w:t>,</w:t>
      </w:r>
      <w:r>
        <w:rPr>
          <w:sz w:val="24"/>
          <w:szCs w:val="24"/>
        </w:rPr>
        <w:t xml:space="preserve"> with the assumption that a mechanical process could not possibly create something that would be emotional or irrational. This is the case because to imply something as mechanical is to imply also that it is rational and not </w:t>
      </w:r>
      <w:r w:rsidR="004B45C2">
        <w:rPr>
          <w:sz w:val="24"/>
          <w:szCs w:val="24"/>
        </w:rPr>
        <w:t>subject</w:t>
      </w:r>
      <w:r>
        <w:rPr>
          <w:sz w:val="24"/>
          <w:szCs w:val="24"/>
        </w:rPr>
        <w:t xml:space="preserve"> to emotions. It seems to me to be an empirical contradiction though, to say that the mind is an entirely separate category from the rest of the body, the reason being that one </w:t>
      </w:r>
      <w:r w:rsidRPr="00D96C75">
        <w:rPr>
          <w:sz w:val="24"/>
          <w:szCs w:val="24"/>
        </w:rPr>
        <w:t xml:space="preserve">cannot have a mental state of any kind without the influence of bodily experiences and therefore bodily influences. </w:t>
      </w:r>
    </w:p>
    <w:p w14:paraId="0DF4EB6D" w14:textId="77777777" w:rsidR="004B45C2" w:rsidRPr="00D96C75" w:rsidRDefault="00285359" w:rsidP="00285359">
      <w:pPr>
        <w:spacing w:line="360" w:lineRule="auto"/>
        <w:jc w:val="both"/>
        <w:rPr>
          <w:sz w:val="24"/>
          <w:szCs w:val="24"/>
        </w:rPr>
      </w:pPr>
      <w:r w:rsidRPr="00D96C75">
        <w:rPr>
          <w:sz w:val="24"/>
          <w:szCs w:val="24"/>
        </w:rPr>
        <w:t>Ryle goes on to explain that</w:t>
      </w:r>
    </w:p>
    <w:p w14:paraId="5F6176B6" w14:textId="3A17176F" w:rsidR="004B45C2" w:rsidRPr="00D96C75" w:rsidRDefault="00285359" w:rsidP="005C0621">
      <w:pPr>
        <w:spacing w:line="240" w:lineRule="auto"/>
        <w:ind w:left="1440"/>
        <w:jc w:val="both"/>
        <w:rPr>
          <w:sz w:val="24"/>
          <w:szCs w:val="24"/>
        </w:rPr>
      </w:pPr>
      <w:r w:rsidRPr="00D96C75">
        <w:rPr>
          <w:sz w:val="24"/>
          <w:szCs w:val="24"/>
        </w:rPr>
        <w:t>Though the human body is an engine, it is not quite an ordinary engine, since some of its workings are governed by another engine inside it – this interior governor-engine being one of a very special sort.” It is invisible, in-audible and it has no size or weight</w:t>
      </w:r>
      <w:r w:rsidR="005D115D" w:rsidRPr="00D96C75">
        <w:rPr>
          <w:sz w:val="24"/>
          <w:szCs w:val="24"/>
        </w:rPr>
        <w:t>.</w:t>
      </w:r>
      <w:r w:rsidR="004B45C2" w:rsidRPr="00D96C75">
        <w:rPr>
          <w:rStyle w:val="FootnoteReference"/>
          <w:sz w:val="24"/>
          <w:szCs w:val="24"/>
        </w:rPr>
        <w:footnoteReference w:id="4"/>
      </w:r>
      <w:r w:rsidRPr="00D96C75">
        <w:rPr>
          <w:sz w:val="24"/>
          <w:szCs w:val="24"/>
        </w:rPr>
        <w:t xml:space="preserve"> </w:t>
      </w:r>
    </w:p>
    <w:p w14:paraId="0E9F745E" w14:textId="527984FA" w:rsidR="00285359" w:rsidRDefault="00285359" w:rsidP="00285359">
      <w:pPr>
        <w:spacing w:line="360" w:lineRule="auto"/>
        <w:jc w:val="both"/>
        <w:rPr>
          <w:sz w:val="24"/>
          <w:szCs w:val="24"/>
        </w:rPr>
      </w:pPr>
      <w:r w:rsidRPr="00D96C75">
        <w:rPr>
          <w:sz w:val="24"/>
          <w:szCs w:val="24"/>
        </w:rPr>
        <w:t>This description accurately shows the polarisations Descartes attempted to create in his mind/body analysis</w:t>
      </w:r>
      <w:r w:rsidR="004B45C2" w:rsidRPr="00D96C75">
        <w:rPr>
          <w:sz w:val="24"/>
          <w:szCs w:val="24"/>
        </w:rPr>
        <w:t>,</w:t>
      </w:r>
      <w:r w:rsidRPr="00D96C75">
        <w:rPr>
          <w:sz w:val="24"/>
          <w:szCs w:val="24"/>
        </w:rPr>
        <w:t xml:space="preserve"> and yet all of the descriptions seem to be negative value terms created by the simple lack of descriptive qualities that the ‘interior governor engine’ possesses that he could give the m</w:t>
      </w:r>
      <w:r w:rsidR="008F69DA" w:rsidRPr="00D96C75">
        <w:rPr>
          <w:sz w:val="24"/>
          <w:szCs w:val="24"/>
        </w:rPr>
        <w:t>ind in and of itself</w:t>
      </w:r>
      <w:r w:rsidR="00F3323F" w:rsidRPr="00D96C75">
        <w:rPr>
          <w:sz w:val="24"/>
          <w:szCs w:val="24"/>
        </w:rPr>
        <w:t>. (p.20para 2)</w:t>
      </w:r>
      <w:r w:rsidR="008F69DA" w:rsidRPr="00D96C75">
        <w:rPr>
          <w:sz w:val="24"/>
          <w:szCs w:val="24"/>
        </w:rPr>
        <w:t xml:space="preserve"> Instead he</w:t>
      </w:r>
      <w:r w:rsidRPr="00D96C75">
        <w:rPr>
          <w:sz w:val="24"/>
          <w:szCs w:val="24"/>
        </w:rPr>
        <w:t xml:space="preserve"> use</w:t>
      </w:r>
      <w:r w:rsidR="008F69DA" w:rsidRPr="00D96C75">
        <w:rPr>
          <w:sz w:val="24"/>
          <w:szCs w:val="24"/>
        </w:rPr>
        <w:t>s</w:t>
      </w:r>
      <w:r w:rsidRPr="00D96C75">
        <w:rPr>
          <w:sz w:val="24"/>
          <w:szCs w:val="24"/>
        </w:rPr>
        <w:t xml:space="preserve"> the descriptions for what is already perceived to be there empirically, which is that the body is mechanical, that it is audible that it can be seen. And so even though the body is seen as a machine like the working of some kind of engine, he describes the mind as a different kind of engine also running alongside the bodily one, but instead ‘the mind’ has all of these negative characteristics. The problem with this is that these negative characteristic</w:t>
      </w:r>
      <w:r w:rsidR="008F69DA" w:rsidRPr="00D96C75">
        <w:rPr>
          <w:sz w:val="24"/>
          <w:szCs w:val="24"/>
        </w:rPr>
        <w:t>s only show a lack there of</w:t>
      </w:r>
      <w:r w:rsidR="00D96C75" w:rsidRPr="00D96C75">
        <w:rPr>
          <w:sz w:val="24"/>
          <w:szCs w:val="24"/>
        </w:rPr>
        <w:t>, “mere negatives”</w:t>
      </w:r>
      <w:r w:rsidR="00D96C75" w:rsidRPr="00D96C75">
        <w:rPr>
          <w:rStyle w:val="FootnoteReference"/>
          <w:sz w:val="24"/>
          <w:szCs w:val="24"/>
        </w:rPr>
        <w:footnoteReference w:id="5"/>
      </w:r>
      <w:r w:rsidR="00D96C75" w:rsidRPr="00D96C75">
        <w:rPr>
          <w:sz w:val="24"/>
          <w:szCs w:val="24"/>
        </w:rPr>
        <w:t xml:space="preserve"> </w:t>
      </w:r>
      <w:r w:rsidRPr="00D96C75">
        <w:rPr>
          <w:sz w:val="24"/>
          <w:szCs w:val="24"/>
        </w:rPr>
        <w:t>in descriptive terms</w:t>
      </w:r>
      <w:r w:rsidR="008F69DA" w:rsidRPr="00D96C75">
        <w:rPr>
          <w:sz w:val="24"/>
          <w:szCs w:val="24"/>
        </w:rPr>
        <w:t>. T</w:t>
      </w:r>
      <w:r w:rsidRPr="00D96C75">
        <w:rPr>
          <w:sz w:val="24"/>
          <w:szCs w:val="24"/>
        </w:rPr>
        <w:t>his</w:t>
      </w:r>
      <w:r w:rsidR="008F69DA" w:rsidRPr="00D96C75">
        <w:rPr>
          <w:sz w:val="24"/>
          <w:szCs w:val="24"/>
        </w:rPr>
        <w:t>, as</w:t>
      </w:r>
      <w:r w:rsidRPr="00D96C75">
        <w:rPr>
          <w:sz w:val="24"/>
          <w:szCs w:val="24"/>
        </w:rPr>
        <w:t xml:space="preserve"> I have mentioned before</w:t>
      </w:r>
      <w:r w:rsidR="008F69DA" w:rsidRPr="00D96C75">
        <w:rPr>
          <w:sz w:val="24"/>
          <w:szCs w:val="24"/>
        </w:rPr>
        <w:t>,</w:t>
      </w:r>
      <w:r w:rsidRPr="00D96C75">
        <w:rPr>
          <w:sz w:val="24"/>
          <w:szCs w:val="24"/>
        </w:rPr>
        <w:t xml:space="preserve"> creates a bigger issue of </w:t>
      </w:r>
      <w:r w:rsidRPr="00D96C75">
        <w:rPr>
          <w:sz w:val="24"/>
          <w:szCs w:val="24"/>
        </w:rPr>
        <w:lastRenderedPageBreak/>
        <w:t>the problem being, how could this immaterial non-spatial inaudible thing have any influence over the body and vice versa? This is what is known</w:t>
      </w:r>
      <w:r w:rsidRPr="008134CC">
        <w:rPr>
          <w:sz w:val="24"/>
          <w:szCs w:val="24"/>
        </w:rPr>
        <w:t xml:space="preserve"> as the mind-body problem and it is a problem which</w:t>
      </w:r>
      <w:r>
        <w:rPr>
          <w:sz w:val="24"/>
          <w:szCs w:val="24"/>
        </w:rPr>
        <w:t xml:space="preserve"> Ryle points out </w:t>
      </w:r>
      <w:r w:rsidR="008F69DA">
        <w:rPr>
          <w:sz w:val="24"/>
          <w:szCs w:val="24"/>
        </w:rPr>
        <w:t>as being a</w:t>
      </w:r>
      <w:r>
        <w:rPr>
          <w:sz w:val="24"/>
          <w:szCs w:val="24"/>
        </w:rPr>
        <w:t xml:space="preserve"> mistake, a mistake of categorisation influenced and made biased by </w:t>
      </w:r>
      <w:r w:rsidR="008F69DA">
        <w:rPr>
          <w:sz w:val="24"/>
          <w:szCs w:val="24"/>
        </w:rPr>
        <w:t>Descartes’</w:t>
      </w:r>
      <w:r>
        <w:rPr>
          <w:sz w:val="24"/>
          <w:szCs w:val="24"/>
        </w:rPr>
        <w:t xml:space="preserve"> religious and mora</w:t>
      </w:r>
      <w:r w:rsidR="008F69DA">
        <w:rPr>
          <w:sz w:val="24"/>
          <w:szCs w:val="24"/>
        </w:rPr>
        <w:t>l standing at the time. Because</w:t>
      </w:r>
      <w:r>
        <w:rPr>
          <w:sz w:val="24"/>
          <w:szCs w:val="24"/>
        </w:rPr>
        <w:t xml:space="preserve"> of his religious values</w:t>
      </w:r>
      <w:r w:rsidR="008F69DA">
        <w:rPr>
          <w:sz w:val="24"/>
          <w:szCs w:val="24"/>
        </w:rPr>
        <w:t>, for Descartes</w:t>
      </w:r>
      <w:r>
        <w:rPr>
          <w:sz w:val="24"/>
          <w:szCs w:val="24"/>
        </w:rPr>
        <w:t xml:space="preserve"> to think of the human mind as just another part of the bodily machine would threaten his conceptio</w:t>
      </w:r>
      <w:r w:rsidR="008F69DA">
        <w:rPr>
          <w:sz w:val="24"/>
          <w:szCs w:val="24"/>
        </w:rPr>
        <w:t>n of what free will meant. To clarify, for Descartes, being able to author</w:t>
      </w:r>
      <w:r>
        <w:rPr>
          <w:sz w:val="24"/>
          <w:szCs w:val="24"/>
        </w:rPr>
        <w:t xml:space="preserve"> free actions in the world and have fr</w:t>
      </w:r>
      <w:r w:rsidR="008F69DA">
        <w:rPr>
          <w:sz w:val="24"/>
          <w:szCs w:val="24"/>
        </w:rPr>
        <w:t xml:space="preserve">ee thoughts means, </w:t>
      </w:r>
      <w:r>
        <w:rPr>
          <w:sz w:val="24"/>
          <w:szCs w:val="24"/>
        </w:rPr>
        <w:t>therefore</w:t>
      </w:r>
      <w:r w:rsidR="008F69DA">
        <w:rPr>
          <w:sz w:val="24"/>
          <w:szCs w:val="24"/>
        </w:rPr>
        <w:t>,</w:t>
      </w:r>
      <w:r>
        <w:rPr>
          <w:sz w:val="24"/>
          <w:szCs w:val="24"/>
        </w:rPr>
        <w:t xml:space="preserve"> the</w:t>
      </w:r>
      <w:r w:rsidR="008F69DA">
        <w:rPr>
          <w:sz w:val="24"/>
          <w:szCs w:val="24"/>
        </w:rPr>
        <w:t xml:space="preserve"> possibility of the</w:t>
      </w:r>
      <w:r>
        <w:rPr>
          <w:sz w:val="24"/>
          <w:szCs w:val="24"/>
        </w:rPr>
        <w:t xml:space="preserve"> judgment of someone on a moral basis could be argued</w:t>
      </w:r>
      <w:r w:rsidR="008F69DA">
        <w:rPr>
          <w:sz w:val="24"/>
          <w:szCs w:val="24"/>
        </w:rPr>
        <w:t xml:space="preserve">, because they are ‘free’ from the causally determined </w:t>
      </w:r>
      <w:r w:rsidR="007F3E1F">
        <w:rPr>
          <w:sz w:val="24"/>
          <w:szCs w:val="24"/>
        </w:rPr>
        <w:t>nature of physical phenomena</w:t>
      </w:r>
      <w:r>
        <w:rPr>
          <w:sz w:val="24"/>
          <w:szCs w:val="24"/>
        </w:rPr>
        <w:t>. So, if it were the case that the mind was another part of the body</w:t>
      </w:r>
      <w:r w:rsidR="007F3E1F">
        <w:rPr>
          <w:sz w:val="24"/>
          <w:szCs w:val="24"/>
        </w:rPr>
        <w:t>,</w:t>
      </w:r>
      <w:r>
        <w:rPr>
          <w:sz w:val="24"/>
          <w:szCs w:val="24"/>
        </w:rPr>
        <w:t xml:space="preserve"> then it would be just as causally dependant as the rest of the body</w:t>
      </w:r>
      <w:r w:rsidR="007F3E1F">
        <w:rPr>
          <w:sz w:val="24"/>
          <w:szCs w:val="24"/>
        </w:rPr>
        <w:t xml:space="preserve"> as it is a physical thing. Descartes</w:t>
      </w:r>
      <w:r>
        <w:rPr>
          <w:sz w:val="24"/>
          <w:szCs w:val="24"/>
        </w:rPr>
        <w:t xml:space="preserve"> had categorized</w:t>
      </w:r>
      <w:r w:rsidR="007F3E1F">
        <w:rPr>
          <w:sz w:val="24"/>
          <w:szCs w:val="24"/>
        </w:rPr>
        <w:t xml:space="preserve"> all other living beings</w:t>
      </w:r>
      <w:r>
        <w:rPr>
          <w:sz w:val="24"/>
          <w:szCs w:val="24"/>
        </w:rPr>
        <w:t xml:space="preserve"> as mindless automatons</w:t>
      </w:r>
      <w:r w:rsidR="007F3E1F">
        <w:rPr>
          <w:sz w:val="24"/>
          <w:szCs w:val="24"/>
        </w:rPr>
        <w:t xml:space="preserve"> based on this physical causal reality</w:t>
      </w:r>
      <w:r>
        <w:rPr>
          <w:sz w:val="24"/>
          <w:szCs w:val="24"/>
        </w:rPr>
        <w:t xml:space="preserve"> and therefore </w:t>
      </w:r>
      <w:r w:rsidR="007F3E1F">
        <w:rPr>
          <w:sz w:val="24"/>
          <w:szCs w:val="24"/>
        </w:rPr>
        <w:t xml:space="preserve">the argument that he asserts, </w:t>
      </w:r>
      <w:r>
        <w:rPr>
          <w:sz w:val="24"/>
          <w:szCs w:val="24"/>
        </w:rPr>
        <w:t xml:space="preserve">would go in complete contradiction of what he believed </w:t>
      </w:r>
      <w:r w:rsidR="007F3E1F">
        <w:rPr>
          <w:sz w:val="24"/>
          <w:szCs w:val="24"/>
        </w:rPr>
        <w:t xml:space="preserve">to be </w:t>
      </w:r>
      <w:r>
        <w:rPr>
          <w:sz w:val="24"/>
          <w:szCs w:val="24"/>
        </w:rPr>
        <w:t xml:space="preserve">the unique, special </w:t>
      </w:r>
      <w:r w:rsidR="007F3E1F">
        <w:rPr>
          <w:sz w:val="24"/>
          <w:szCs w:val="24"/>
        </w:rPr>
        <w:t>qualities of a human being</w:t>
      </w:r>
      <w:r>
        <w:rPr>
          <w:sz w:val="24"/>
          <w:szCs w:val="24"/>
        </w:rPr>
        <w:t>, that separated them from the rest of the other living beings out there, such as ape</w:t>
      </w:r>
      <w:r w:rsidR="007F3E1F">
        <w:rPr>
          <w:sz w:val="24"/>
          <w:szCs w:val="24"/>
        </w:rPr>
        <w:t>s,</w:t>
      </w:r>
      <w:r>
        <w:rPr>
          <w:sz w:val="24"/>
          <w:szCs w:val="24"/>
        </w:rPr>
        <w:t xml:space="preserve"> dogs or horses.</w:t>
      </w:r>
    </w:p>
    <w:p w14:paraId="163FF7E4" w14:textId="77777777" w:rsidR="00285359" w:rsidRDefault="00285359" w:rsidP="007F3E1F">
      <w:pPr>
        <w:spacing w:line="360" w:lineRule="auto"/>
        <w:ind w:left="720"/>
        <w:jc w:val="both"/>
        <w:rPr>
          <w:b/>
          <w:sz w:val="26"/>
          <w:szCs w:val="26"/>
          <w:u w:val="single"/>
        </w:rPr>
      </w:pPr>
    </w:p>
    <w:p w14:paraId="2F15B315" w14:textId="77777777" w:rsidR="00285359" w:rsidRDefault="00285359" w:rsidP="007F3E1F">
      <w:pPr>
        <w:spacing w:line="360" w:lineRule="auto"/>
        <w:jc w:val="both"/>
        <w:rPr>
          <w:b/>
          <w:sz w:val="26"/>
          <w:szCs w:val="26"/>
          <w:u w:val="single"/>
        </w:rPr>
      </w:pPr>
      <w:r>
        <w:rPr>
          <w:b/>
          <w:sz w:val="26"/>
          <w:szCs w:val="26"/>
          <w:u w:val="single"/>
        </w:rPr>
        <w:t xml:space="preserve">The Buddhist Position </w:t>
      </w:r>
    </w:p>
    <w:p w14:paraId="26B5F984" w14:textId="3154F37A" w:rsidR="005D115D" w:rsidRDefault="00285359" w:rsidP="007F3E1F">
      <w:pPr>
        <w:spacing w:line="360" w:lineRule="auto"/>
        <w:jc w:val="both"/>
        <w:rPr>
          <w:sz w:val="24"/>
          <w:szCs w:val="24"/>
        </w:rPr>
      </w:pPr>
      <w:r>
        <w:rPr>
          <w:sz w:val="24"/>
          <w:szCs w:val="24"/>
        </w:rPr>
        <w:t xml:space="preserve">In </w:t>
      </w:r>
      <w:proofErr w:type="spellStart"/>
      <w:r>
        <w:rPr>
          <w:sz w:val="24"/>
          <w:szCs w:val="24"/>
        </w:rPr>
        <w:t>Chien-Te</w:t>
      </w:r>
      <w:proofErr w:type="spellEnd"/>
      <w:r>
        <w:rPr>
          <w:sz w:val="24"/>
          <w:szCs w:val="24"/>
        </w:rPr>
        <w:t xml:space="preserve"> Lin’s paper on, “Rethinking Mind-Body </w:t>
      </w:r>
      <w:proofErr w:type="spellStart"/>
      <w:r>
        <w:rPr>
          <w:sz w:val="24"/>
          <w:szCs w:val="24"/>
        </w:rPr>
        <w:t>Dualisim</w:t>
      </w:r>
      <w:proofErr w:type="spellEnd"/>
      <w:r>
        <w:rPr>
          <w:sz w:val="24"/>
          <w:szCs w:val="24"/>
        </w:rPr>
        <w:t>: A Buddhist take on the Mind-Body Problem”, found in the book, “Contemporary Buddhism” he points out that, “the Buddhist distinction between mind and b</w:t>
      </w:r>
      <w:r w:rsidR="00B9657D">
        <w:rPr>
          <w:sz w:val="24"/>
          <w:szCs w:val="24"/>
        </w:rPr>
        <w:t>ody is not absolute</w:t>
      </w:r>
      <w:r>
        <w:rPr>
          <w:sz w:val="24"/>
          <w:szCs w:val="24"/>
        </w:rPr>
        <w:t>, but instead merely employed as a communicative tool to aid the understanding of human belongs in a holistic light</w:t>
      </w:r>
      <w:r w:rsidRPr="005D115D">
        <w:rPr>
          <w:sz w:val="24"/>
          <w:szCs w:val="24"/>
        </w:rPr>
        <w:t>”</w:t>
      </w:r>
      <w:r w:rsidR="00010AD8" w:rsidRPr="005D115D">
        <w:rPr>
          <w:sz w:val="24"/>
          <w:szCs w:val="24"/>
        </w:rPr>
        <w:t>.</w:t>
      </w:r>
      <w:r w:rsidR="00010AD8" w:rsidRPr="005D115D">
        <w:rPr>
          <w:rStyle w:val="FootnoteReference"/>
          <w:sz w:val="24"/>
          <w:szCs w:val="24"/>
        </w:rPr>
        <w:footnoteReference w:id="6"/>
      </w:r>
      <w:r w:rsidR="00010AD8">
        <w:rPr>
          <w:sz w:val="24"/>
          <w:szCs w:val="24"/>
        </w:rPr>
        <w:t xml:space="preserve"> This means</w:t>
      </w:r>
      <w:r>
        <w:rPr>
          <w:sz w:val="24"/>
          <w:szCs w:val="24"/>
        </w:rPr>
        <w:t xml:space="preserve"> that, speak</w:t>
      </w:r>
      <w:r w:rsidR="00010AD8">
        <w:rPr>
          <w:sz w:val="24"/>
          <w:szCs w:val="24"/>
        </w:rPr>
        <w:t>ing</w:t>
      </w:r>
      <w:r>
        <w:rPr>
          <w:sz w:val="24"/>
          <w:szCs w:val="24"/>
        </w:rPr>
        <w:t xml:space="preserve"> of one as having an ‘I’ or ‘self’ is simply to use these words/categorisations as convenient designators of the holistic continuum, we may want to refer to as the universe. So as </w:t>
      </w:r>
      <w:proofErr w:type="spellStart"/>
      <w:r>
        <w:rPr>
          <w:sz w:val="24"/>
          <w:szCs w:val="24"/>
        </w:rPr>
        <w:t>Chien-Te</w:t>
      </w:r>
      <w:proofErr w:type="spellEnd"/>
      <w:r>
        <w:rPr>
          <w:sz w:val="24"/>
          <w:szCs w:val="24"/>
        </w:rPr>
        <w:t xml:space="preserve"> Lin also points out “the Buddhist description could perhaps be best described as a middle way approach of ‘neither-duality-nor-identity’.”</w:t>
      </w:r>
      <w:r w:rsidR="00010AD8">
        <w:rPr>
          <w:rStyle w:val="FootnoteReference"/>
          <w:sz w:val="24"/>
          <w:szCs w:val="24"/>
        </w:rPr>
        <w:footnoteReference w:id="7"/>
      </w:r>
      <w:r>
        <w:rPr>
          <w:sz w:val="24"/>
          <w:szCs w:val="24"/>
        </w:rPr>
        <w:t xml:space="preserve"> However, th</w:t>
      </w:r>
      <w:r w:rsidR="00010AD8">
        <w:rPr>
          <w:sz w:val="24"/>
          <w:szCs w:val="24"/>
        </w:rPr>
        <w:t>e Buddhist system of philosophy</w:t>
      </w:r>
      <w:r>
        <w:rPr>
          <w:sz w:val="24"/>
          <w:szCs w:val="24"/>
        </w:rPr>
        <w:t xml:space="preserve"> describes an understanding that one can, through practice</w:t>
      </w:r>
      <w:r w:rsidR="00010AD8">
        <w:rPr>
          <w:sz w:val="24"/>
          <w:szCs w:val="24"/>
        </w:rPr>
        <w:t>,</w:t>
      </w:r>
      <w:r>
        <w:rPr>
          <w:sz w:val="24"/>
          <w:szCs w:val="24"/>
        </w:rPr>
        <w:t xml:space="preserve"> release one’s experience from, ‘suffering o</w:t>
      </w:r>
      <w:r w:rsidR="00010AD8">
        <w:rPr>
          <w:sz w:val="24"/>
          <w:szCs w:val="24"/>
        </w:rPr>
        <w:t>f the mind’ and yet still be</w:t>
      </w:r>
      <w:r>
        <w:rPr>
          <w:sz w:val="24"/>
          <w:szCs w:val="24"/>
        </w:rPr>
        <w:t xml:space="preserve"> able </w:t>
      </w:r>
      <w:r>
        <w:rPr>
          <w:sz w:val="24"/>
          <w:szCs w:val="24"/>
        </w:rPr>
        <w:lastRenderedPageBreak/>
        <w:t>to experience physical pain</w:t>
      </w:r>
      <w:r w:rsidR="00010AD8">
        <w:rPr>
          <w:sz w:val="24"/>
          <w:szCs w:val="24"/>
        </w:rPr>
        <w:t>.</w:t>
      </w:r>
      <w:r w:rsidR="00010AD8">
        <w:rPr>
          <w:rStyle w:val="FootnoteReference"/>
          <w:sz w:val="24"/>
          <w:szCs w:val="24"/>
        </w:rPr>
        <w:footnoteReference w:id="8"/>
      </w:r>
      <w:r w:rsidR="00010AD8">
        <w:rPr>
          <w:sz w:val="24"/>
          <w:szCs w:val="24"/>
        </w:rPr>
        <w:t xml:space="preserve"> T</w:t>
      </w:r>
      <w:r>
        <w:rPr>
          <w:sz w:val="24"/>
          <w:szCs w:val="24"/>
        </w:rPr>
        <w:t>his strongly suggests that a kind of dualism is employed in the practice of Buddhism, yet it is not a</w:t>
      </w:r>
      <w:r w:rsidR="00010AD8">
        <w:rPr>
          <w:sz w:val="24"/>
          <w:szCs w:val="24"/>
        </w:rPr>
        <w:t>n</w:t>
      </w:r>
      <w:r>
        <w:rPr>
          <w:sz w:val="24"/>
          <w:szCs w:val="24"/>
        </w:rPr>
        <w:t xml:space="preserve"> understanding that is taken to what Buddhists may call an extreme in understanding</w:t>
      </w:r>
      <w:r w:rsidR="00010AD8">
        <w:rPr>
          <w:sz w:val="24"/>
          <w:szCs w:val="24"/>
        </w:rPr>
        <w:t>,</w:t>
      </w:r>
      <w:r>
        <w:rPr>
          <w:sz w:val="24"/>
          <w:szCs w:val="24"/>
        </w:rPr>
        <w:t xml:space="preserve"> where th</w:t>
      </w:r>
      <w:r w:rsidR="00010AD8">
        <w:rPr>
          <w:sz w:val="24"/>
          <w:szCs w:val="24"/>
        </w:rPr>
        <w:t>is</w:t>
      </w:r>
      <w:r>
        <w:rPr>
          <w:sz w:val="24"/>
          <w:szCs w:val="24"/>
        </w:rPr>
        <w:t xml:space="preserve"> distinction comes from and why it is made like Descartes did in the 17</w:t>
      </w:r>
      <w:r w:rsidRPr="001847C4">
        <w:rPr>
          <w:sz w:val="24"/>
          <w:szCs w:val="24"/>
          <w:vertAlign w:val="superscript"/>
        </w:rPr>
        <w:t>th</w:t>
      </w:r>
      <w:r>
        <w:rPr>
          <w:sz w:val="24"/>
          <w:szCs w:val="24"/>
        </w:rPr>
        <w:t xml:space="preserve"> century. The reason for this is, is that Buddhism also strongly references what is called, ‘ultimate truth’ (</w:t>
      </w:r>
      <w:proofErr w:type="spellStart"/>
      <w:r>
        <w:rPr>
          <w:sz w:val="24"/>
          <w:szCs w:val="24"/>
        </w:rPr>
        <w:t>paramartha</w:t>
      </w:r>
      <w:proofErr w:type="spellEnd"/>
      <w:r>
        <w:rPr>
          <w:sz w:val="24"/>
          <w:szCs w:val="24"/>
        </w:rPr>
        <w:t xml:space="preserve"> </w:t>
      </w:r>
      <w:proofErr w:type="spellStart"/>
      <w:r>
        <w:rPr>
          <w:sz w:val="24"/>
          <w:szCs w:val="24"/>
        </w:rPr>
        <w:t>satya</w:t>
      </w:r>
      <w:proofErr w:type="spellEnd"/>
      <w:r>
        <w:rPr>
          <w:sz w:val="24"/>
          <w:szCs w:val="24"/>
        </w:rPr>
        <w:t>)</w:t>
      </w:r>
      <w:r w:rsidR="005D115D">
        <w:rPr>
          <w:sz w:val="24"/>
          <w:szCs w:val="24"/>
        </w:rPr>
        <w:t>;</w:t>
      </w:r>
      <w:r w:rsidR="005D115D">
        <w:rPr>
          <w:rStyle w:val="FootnoteReference"/>
          <w:sz w:val="24"/>
          <w:szCs w:val="24"/>
        </w:rPr>
        <w:footnoteReference w:id="9"/>
      </w:r>
      <w:r>
        <w:rPr>
          <w:sz w:val="24"/>
          <w:szCs w:val="24"/>
        </w:rPr>
        <w:t xml:space="preserve"> </w:t>
      </w:r>
      <w:r w:rsidR="005D115D">
        <w:rPr>
          <w:sz w:val="24"/>
          <w:szCs w:val="24"/>
        </w:rPr>
        <w:t xml:space="preserve">this </w:t>
      </w:r>
      <w:r>
        <w:rPr>
          <w:sz w:val="24"/>
          <w:szCs w:val="24"/>
        </w:rPr>
        <w:t>is simply pointing out that the underlying nature of things is a</w:t>
      </w:r>
      <w:r w:rsidR="005D115D">
        <w:rPr>
          <w:sz w:val="24"/>
          <w:szCs w:val="24"/>
        </w:rPr>
        <w:t>n</w:t>
      </w:r>
      <w:r>
        <w:rPr>
          <w:sz w:val="24"/>
          <w:szCs w:val="24"/>
        </w:rPr>
        <w:t xml:space="preserve"> uncategorised one, that is to say, the underlying nature of things or ultimate truth is that the universe is a continuum and therefore any categorisation of this that is assumed to be ‘objective’ is simply a</w:t>
      </w:r>
      <w:r w:rsidR="005D115D">
        <w:rPr>
          <w:sz w:val="24"/>
          <w:szCs w:val="24"/>
        </w:rPr>
        <w:t xml:space="preserve"> category mistake of which Ryle</w:t>
      </w:r>
      <w:r>
        <w:rPr>
          <w:sz w:val="24"/>
          <w:szCs w:val="24"/>
        </w:rPr>
        <w:t xml:space="preserve"> would strongly identify with in his arguments on the ‘category mistake’. So the Buddhist understanding of the mind and</w:t>
      </w:r>
      <w:r w:rsidR="005D115D">
        <w:rPr>
          <w:sz w:val="24"/>
          <w:szCs w:val="24"/>
        </w:rPr>
        <w:t xml:space="preserve"> body could be described as a “‘</w:t>
      </w:r>
      <w:r>
        <w:rPr>
          <w:sz w:val="24"/>
          <w:szCs w:val="24"/>
        </w:rPr>
        <w:t>conventional dualism’”</w:t>
      </w:r>
      <w:r w:rsidR="005D115D">
        <w:rPr>
          <w:sz w:val="24"/>
          <w:szCs w:val="24"/>
        </w:rPr>
        <w:t>,</w:t>
      </w:r>
      <w:r w:rsidR="005D115D">
        <w:rPr>
          <w:rStyle w:val="FootnoteReference"/>
          <w:sz w:val="24"/>
          <w:szCs w:val="24"/>
        </w:rPr>
        <w:footnoteReference w:id="10"/>
      </w:r>
      <w:r>
        <w:rPr>
          <w:sz w:val="24"/>
          <w:szCs w:val="24"/>
        </w:rPr>
        <w:t xml:space="preserve"> and another way to put it would be </w:t>
      </w:r>
      <w:r w:rsidR="005D115D">
        <w:rPr>
          <w:sz w:val="24"/>
          <w:szCs w:val="24"/>
        </w:rPr>
        <w:t xml:space="preserve">to </w:t>
      </w:r>
      <w:r>
        <w:rPr>
          <w:sz w:val="24"/>
          <w:szCs w:val="24"/>
        </w:rPr>
        <w:t>cal</w:t>
      </w:r>
      <w:r w:rsidR="005D115D">
        <w:rPr>
          <w:sz w:val="24"/>
          <w:szCs w:val="24"/>
        </w:rPr>
        <w:t>l it a “</w:t>
      </w:r>
      <w:r>
        <w:rPr>
          <w:sz w:val="24"/>
          <w:szCs w:val="24"/>
        </w:rPr>
        <w:t>pr</w:t>
      </w:r>
      <w:r w:rsidR="005D115D">
        <w:rPr>
          <w:sz w:val="24"/>
          <w:szCs w:val="24"/>
        </w:rPr>
        <w:t>ovisional rather than absolute”</w:t>
      </w:r>
      <w:r>
        <w:rPr>
          <w:sz w:val="24"/>
          <w:szCs w:val="24"/>
        </w:rPr>
        <w:t xml:space="preserve"> distinction.</w:t>
      </w:r>
      <w:r w:rsidR="005D115D">
        <w:rPr>
          <w:rStyle w:val="FootnoteReference"/>
          <w:sz w:val="24"/>
          <w:szCs w:val="24"/>
        </w:rPr>
        <w:footnoteReference w:id="11"/>
      </w:r>
      <w:r w:rsidR="005D115D">
        <w:rPr>
          <w:sz w:val="24"/>
          <w:szCs w:val="24"/>
        </w:rPr>
        <w:t xml:space="preserve"> He goes on to say</w:t>
      </w:r>
    </w:p>
    <w:p w14:paraId="5571E924" w14:textId="215565FA" w:rsidR="005D115D" w:rsidRDefault="00285359" w:rsidP="005C0621">
      <w:pPr>
        <w:spacing w:line="240" w:lineRule="auto"/>
        <w:ind w:left="1440"/>
        <w:jc w:val="both"/>
        <w:rPr>
          <w:sz w:val="24"/>
          <w:szCs w:val="24"/>
        </w:rPr>
      </w:pPr>
      <w:r>
        <w:rPr>
          <w:sz w:val="24"/>
          <w:szCs w:val="24"/>
        </w:rPr>
        <w:t>In Buddhist writings, language and concepts function merely as a temporary means to achieve a higher goal. Rather than being an end in itself, linguistic expression serves as a tool to commun</w:t>
      </w:r>
      <w:r w:rsidR="005D115D">
        <w:rPr>
          <w:sz w:val="24"/>
          <w:szCs w:val="24"/>
        </w:rPr>
        <w:t>icate a diverse range of ideas.</w:t>
      </w:r>
      <w:r w:rsidR="005D115D">
        <w:rPr>
          <w:rStyle w:val="FootnoteReference"/>
          <w:sz w:val="24"/>
          <w:szCs w:val="24"/>
        </w:rPr>
        <w:footnoteReference w:id="12"/>
      </w:r>
    </w:p>
    <w:p w14:paraId="154BD1CA" w14:textId="77777777" w:rsidR="005C0621" w:rsidRDefault="00285359" w:rsidP="007F3E1F">
      <w:pPr>
        <w:spacing w:line="360" w:lineRule="auto"/>
        <w:jc w:val="both"/>
        <w:rPr>
          <w:sz w:val="24"/>
          <w:szCs w:val="24"/>
        </w:rPr>
      </w:pPr>
      <w:r>
        <w:rPr>
          <w:sz w:val="24"/>
          <w:szCs w:val="24"/>
        </w:rPr>
        <w:t xml:space="preserve"> However, just because one could categorise their phenomenological experience of the world, does not necessarily mean that they are correct in their assumption </w:t>
      </w:r>
      <w:r w:rsidR="005D115D">
        <w:rPr>
          <w:sz w:val="24"/>
          <w:szCs w:val="24"/>
        </w:rPr>
        <w:t>about</w:t>
      </w:r>
      <w:r>
        <w:rPr>
          <w:sz w:val="24"/>
          <w:szCs w:val="24"/>
        </w:rPr>
        <w:t xml:space="preserve"> the legitimacy of the categorisation in the first place as an objective description of the present moment. Even a brief look at the causal relationships of these descriptions can easily lead one down a path of recognising that all, seemingly separate</w:t>
      </w:r>
      <w:r w:rsidR="005D115D">
        <w:rPr>
          <w:sz w:val="24"/>
          <w:szCs w:val="24"/>
        </w:rPr>
        <w:t>,</w:t>
      </w:r>
      <w:r>
        <w:rPr>
          <w:sz w:val="24"/>
          <w:szCs w:val="24"/>
        </w:rPr>
        <w:t xml:space="preserve"> categories of descriptions, are actually all interconnected with one another in one holistic system and it seems that the very act of </w:t>
      </w:r>
      <w:r w:rsidR="005D115D">
        <w:rPr>
          <w:sz w:val="24"/>
          <w:szCs w:val="24"/>
        </w:rPr>
        <w:t>attempting to create categories undermines the</w:t>
      </w:r>
      <w:r>
        <w:rPr>
          <w:sz w:val="24"/>
          <w:szCs w:val="24"/>
        </w:rPr>
        <w:t>s</w:t>
      </w:r>
      <w:r w:rsidR="005D115D">
        <w:rPr>
          <w:sz w:val="24"/>
          <w:szCs w:val="24"/>
        </w:rPr>
        <w:t>e</w:t>
      </w:r>
      <w:r>
        <w:rPr>
          <w:sz w:val="24"/>
          <w:szCs w:val="24"/>
        </w:rPr>
        <w:t xml:space="preserve"> </w:t>
      </w:r>
      <w:r w:rsidR="005D115D">
        <w:rPr>
          <w:sz w:val="24"/>
          <w:szCs w:val="24"/>
        </w:rPr>
        <w:t xml:space="preserve">baseline and emergent </w:t>
      </w:r>
      <w:r>
        <w:rPr>
          <w:sz w:val="24"/>
          <w:szCs w:val="24"/>
        </w:rPr>
        <w:t>understanding</w:t>
      </w:r>
      <w:r w:rsidR="005D115D">
        <w:rPr>
          <w:sz w:val="24"/>
          <w:szCs w:val="24"/>
        </w:rPr>
        <w:t>s</w:t>
      </w:r>
      <w:r>
        <w:rPr>
          <w:sz w:val="24"/>
          <w:szCs w:val="24"/>
        </w:rPr>
        <w:t xml:space="preserve"> of how we use language to attempt to categori</w:t>
      </w:r>
      <w:r w:rsidR="005D115D">
        <w:rPr>
          <w:sz w:val="24"/>
          <w:szCs w:val="24"/>
        </w:rPr>
        <w:t>se</w:t>
      </w:r>
      <w:r>
        <w:rPr>
          <w:sz w:val="24"/>
          <w:szCs w:val="24"/>
        </w:rPr>
        <w:t xml:space="preserve"> things</w:t>
      </w:r>
      <w:r w:rsidR="005D115D">
        <w:rPr>
          <w:sz w:val="24"/>
          <w:szCs w:val="24"/>
        </w:rPr>
        <w:t>. I</w:t>
      </w:r>
      <w:r>
        <w:rPr>
          <w:sz w:val="24"/>
          <w:szCs w:val="24"/>
        </w:rPr>
        <w:t xml:space="preserve">ronically, </w:t>
      </w:r>
      <w:r w:rsidR="005D115D">
        <w:rPr>
          <w:sz w:val="24"/>
          <w:szCs w:val="24"/>
        </w:rPr>
        <w:t xml:space="preserve">we create </w:t>
      </w:r>
      <w:r w:rsidR="001D2C46">
        <w:rPr>
          <w:sz w:val="24"/>
          <w:szCs w:val="24"/>
        </w:rPr>
        <w:t>categories</w:t>
      </w:r>
      <w:r w:rsidR="005D115D">
        <w:rPr>
          <w:sz w:val="24"/>
          <w:szCs w:val="24"/>
        </w:rPr>
        <w:t xml:space="preserve"> </w:t>
      </w:r>
      <w:r>
        <w:rPr>
          <w:sz w:val="24"/>
          <w:szCs w:val="24"/>
        </w:rPr>
        <w:t xml:space="preserve">to gain a better or </w:t>
      </w:r>
      <w:r w:rsidR="005D115D">
        <w:rPr>
          <w:sz w:val="24"/>
          <w:szCs w:val="24"/>
        </w:rPr>
        <w:t>clearer</w:t>
      </w:r>
      <w:r>
        <w:rPr>
          <w:sz w:val="24"/>
          <w:szCs w:val="24"/>
        </w:rPr>
        <w:t xml:space="preserve"> understanding of things as they are. In order to categorise anything, we must draw essentially arbitrary lines of distinction, but as we see with many of these examples it turns out the reality of the situation is not so clearly cut</w:t>
      </w:r>
      <w:r w:rsidR="001D2C46">
        <w:rPr>
          <w:sz w:val="24"/>
          <w:szCs w:val="24"/>
        </w:rPr>
        <w:t>. F</w:t>
      </w:r>
      <w:r>
        <w:rPr>
          <w:sz w:val="24"/>
          <w:szCs w:val="24"/>
        </w:rPr>
        <w:t>or example</w:t>
      </w:r>
      <w:r w:rsidR="001D2C46">
        <w:rPr>
          <w:sz w:val="24"/>
          <w:szCs w:val="24"/>
        </w:rPr>
        <w:t>,</w:t>
      </w:r>
      <w:r>
        <w:rPr>
          <w:sz w:val="24"/>
          <w:szCs w:val="24"/>
        </w:rPr>
        <w:t xml:space="preserve"> </w:t>
      </w:r>
      <w:r w:rsidR="001D2C46">
        <w:rPr>
          <w:sz w:val="24"/>
          <w:szCs w:val="24"/>
        </w:rPr>
        <w:t>drawing on an example given by Professor Robert Sapolsky,</w:t>
      </w:r>
      <w:r w:rsidR="001D2C46">
        <w:rPr>
          <w:rStyle w:val="FootnoteReference"/>
          <w:sz w:val="24"/>
          <w:szCs w:val="24"/>
        </w:rPr>
        <w:footnoteReference w:id="13"/>
      </w:r>
      <w:r w:rsidR="001D2C46">
        <w:rPr>
          <w:sz w:val="24"/>
          <w:szCs w:val="24"/>
        </w:rPr>
        <w:t xml:space="preserve"> </w:t>
      </w:r>
      <w:r>
        <w:rPr>
          <w:sz w:val="24"/>
          <w:szCs w:val="24"/>
        </w:rPr>
        <w:t xml:space="preserve">one person from one part of the world may </w:t>
      </w:r>
      <w:r w:rsidR="001D2C46">
        <w:rPr>
          <w:sz w:val="24"/>
          <w:szCs w:val="24"/>
        </w:rPr>
        <w:lastRenderedPageBreak/>
        <w:t>divide</w:t>
      </w:r>
      <w:r>
        <w:rPr>
          <w:sz w:val="24"/>
          <w:szCs w:val="24"/>
        </w:rPr>
        <w:t xml:space="preserve"> the colour wheel arbitrarily into different categories of colour, yet if one is from a different part of the world where the colours of the colour wheel have different lines drawn at di</w:t>
      </w:r>
      <w:r w:rsidR="001D2C46">
        <w:rPr>
          <w:sz w:val="24"/>
          <w:szCs w:val="24"/>
        </w:rPr>
        <w:t xml:space="preserve">fferent places, </w:t>
      </w:r>
      <w:r>
        <w:rPr>
          <w:sz w:val="24"/>
          <w:szCs w:val="24"/>
        </w:rPr>
        <w:t xml:space="preserve">what one </w:t>
      </w:r>
      <w:r w:rsidR="001D2C46">
        <w:rPr>
          <w:sz w:val="24"/>
          <w:szCs w:val="24"/>
        </w:rPr>
        <w:t xml:space="preserve">person </w:t>
      </w:r>
      <w:r>
        <w:rPr>
          <w:sz w:val="24"/>
          <w:szCs w:val="24"/>
        </w:rPr>
        <w:t xml:space="preserve">may account as being one colour, </w:t>
      </w:r>
      <w:r w:rsidR="001D2C46">
        <w:rPr>
          <w:sz w:val="24"/>
          <w:szCs w:val="24"/>
        </w:rPr>
        <w:t>another</w:t>
      </w:r>
      <w:r>
        <w:rPr>
          <w:sz w:val="24"/>
          <w:szCs w:val="24"/>
        </w:rPr>
        <w:t xml:space="preserve"> person m</w:t>
      </w:r>
      <w:r w:rsidR="001D2C46">
        <w:rPr>
          <w:sz w:val="24"/>
          <w:szCs w:val="24"/>
        </w:rPr>
        <w:t>a</w:t>
      </w:r>
      <w:r>
        <w:rPr>
          <w:sz w:val="24"/>
          <w:szCs w:val="24"/>
        </w:rPr>
        <w:t xml:space="preserve">y account as a different colour, and then </w:t>
      </w:r>
      <w:r w:rsidR="001D2C46">
        <w:rPr>
          <w:sz w:val="24"/>
          <w:szCs w:val="24"/>
        </w:rPr>
        <w:t>if the distinction is to be mad</w:t>
      </w:r>
      <w:r>
        <w:rPr>
          <w:sz w:val="24"/>
          <w:szCs w:val="24"/>
        </w:rPr>
        <w:t>e on the border of a line where one colour merges into another, it can be even more difficult to determine the ‘set differences’. However, of course</w:t>
      </w:r>
      <w:r w:rsidR="001D2C46">
        <w:rPr>
          <w:sz w:val="24"/>
          <w:szCs w:val="24"/>
        </w:rPr>
        <w:t>,</w:t>
      </w:r>
      <w:r>
        <w:rPr>
          <w:sz w:val="24"/>
          <w:szCs w:val="24"/>
        </w:rPr>
        <w:t xml:space="preserve"> if one were to take all of the lines of distinction out from between the other colours then we would easily observe that the colour wheel is in fact a continuum of different and pretty much infinitely dividable colours, one constantly merging into the next and so there would be no category that would be able to describe all colours at once</w:t>
      </w:r>
      <w:r w:rsidR="001D2C46">
        <w:rPr>
          <w:sz w:val="24"/>
          <w:szCs w:val="24"/>
        </w:rPr>
        <w:t xml:space="preserve">. Therefore, </w:t>
      </w:r>
      <w:r>
        <w:rPr>
          <w:sz w:val="24"/>
          <w:szCs w:val="24"/>
        </w:rPr>
        <w:t xml:space="preserve">the ‘sensible’ thing to do seems to be to have the categorisation there, to help us understand it better and yet to try not to fall into categorical thinking while doing so. </w:t>
      </w:r>
    </w:p>
    <w:p w14:paraId="04B54860" w14:textId="34FA682B" w:rsidR="005C0621" w:rsidRDefault="00285359" w:rsidP="007F3E1F">
      <w:pPr>
        <w:spacing w:line="360" w:lineRule="auto"/>
        <w:jc w:val="both"/>
        <w:rPr>
          <w:sz w:val="24"/>
          <w:szCs w:val="24"/>
        </w:rPr>
      </w:pPr>
      <w:r>
        <w:rPr>
          <w:sz w:val="24"/>
          <w:szCs w:val="24"/>
        </w:rPr>
        <w:t xml:space="preserve">What I have described here shows many of the inherent contradictions and even paradoxes that the application of an understanding through categorisation makes. And it is </w:t>
      </w:r>
      <w:r w:rsidR="005C0621">
        <w:rPr>
          <w:sz w:val="24"/>
          <w:szCs w:val="24"/>
        </w:rPr>
        <w:t>t</w:t>
      </w:r>
      <w:r>
        <w:rPr>
          <w:sz w:val="24"/>
          <w:szCs w:val="24"/>
        </w:rPr>
        <w:t>his nature</w:t>
      </w:r>
      <w:r w:rsidR="005C0621">
        <w:rPr>
          <w:sz w:val="24"/>
          <w:szCs w:val="24"/>
        </w:rPr>
        <w:t xml:space="preserve"> of things</w:t>
      </w:r>
      <w:r>
        <w:rPr>
          <w:sz w:val="24"/>
          <w:szCs w:val="24"/>
        </w:rPr>
        <w:t xml:space="preserve"> that Descartes failed to observe and therefore recognise in his pheno</w:t>
      </w:r>
      <w:r w:rsidR="005C0621">
        <w:rPr>
          <w:sz w:val="24"/>
          <w:szCs w:val="24"/>
        </w:rPr>
        <w:t>meno</w:t>
      </w:r>
      <w:r>
        <w:rPr>
          <w:sz w:val="24"/>
          <w:szCs w:val="24"/>
        </w:rPr>
        <w:t xml:space="preserve">logical experience, during his writing on dualism. </w:t>
      </w:r>
      <w:proofErr w:type="spellStart"/>
      <w:r>
        <w:rPr>
          <w:sz w:val="24"/>
          <w:szCs w:val="24"/>
        </w:rPr>
        <w:t>Chien-Te</w:t>
      </w:r>
      <w:proofErr w:type="spellEnd"/>
      <w:r>
        <w:rPr>
          <w:sz w:val="24"/>
          <w:szCs w:val="24"/>
        </w:rPr>
        <w:t xml:space="preserve"> Lin also points out that across all schools of Buddhism, “The Agama sutra states for example, that ‘consciousness’ (</w:t>
      </w:r>
      <w:proofErr w:type="spellStart"/>
      <w:r>
        <w:rPr>
          <w:sz w:val="24"/>
          <w:szCs w:val="24"/>
        </w:rPr>
        <w:t>vijnana</w:t>
      </w:r>
      <w:proofErr w:type="spellEnd"/>
      <w:r>
        <w:rPr>
          <w:sz w:val="24"/>
          <w:szCs w:val="24"/>
        </w:rPr>
        <w:t>) and ‘name-from’ (</w:t>
      </w:r>
      <w:proofErr w:type="spellStart"/>
      <w:r>
        <w:rPr>
          <w:sz w:val="24"/>
          <w:szCs w:val="24"/>
        </w:rPr>
        <w:t>nama-rupa</w:t>
      </w:r>
      <w:proofErr w:type="spellEnd"/>
      <w:r>
        <w:rPr>
          <w:sz w:val="24"/>
          <w:szCs w:val="24"/>
        </w:rPr>
        <w:t xml:space="preserve">) are interdependent </w:t>
      </w:r>
      <w:r w:rsidRPr="00473ECD">
        <w:rPr>
          <w:sz w:val="24"/>
          <w:szCs w:val="24"/>
        </w:rPr>
        <w:t>as a whole, much like in the way in which three reeds support each other in order to stand erect.”</w:t>
      </w:r>
      <w:r w:rsidR="005C0621" w:rsidRPr="00473ECD">
        <w:rPr>
          <w:rStyle w:val="FootnoteReference"/>
          <w:sz w:val="24"/>
          <w:szCs w:val="24"/>
        </w:rPr>
        <w:footnoteReference w:id="14"/>
      </w:r>
      <w:r w:rsidR="005C0621" w:rsidRPr="00473ECD">
        <w:rPr>
          <w:sz w:val="24"/>
          <w:szCs w:val="24"/>
        </w:rPr>
        <w:t xml:space="preserve"> T</w:t>
      </w:r>
      <w:r w:rsidRPr="00473ECD">
        <w:rPr>
          <w:sz w:val="24"/>
          <w:szCs w:val="24"/>
        </w:rPr>
        <w:t xml:space="preserve">his refers to what </w:t>
      </w:r>
      <w:proofErr w:type="spellStart"/>
      <w:r w:rsidRPr="00473ECD">
        <w:rPr>
          <w:sz w:val="24"/>
          <w:szCs w:val="24"/>
        </w:rPr>
        <w:t>Chien-Te</w:t>
      </w:r>
      <w:proofErr w:type="spellEnd"/>
      <w:r w:rsidRPr="00473ECD">
        <w:rPr>
          <w:sz w:val="24"/>
          <w:szCs w:val="24"/>
        </w:rPr>
        <w:t xml:space="preserve"> Lin calls, “the integrated wholeness of a human being”</w:t>
      </w:r>
      <w:r w:rsidR="005C0621" w:rsidRPr="00473ECD">
        <w:rPr>
          <w:sz w:val="24"/>
          <w:szCs w:val="24"/>
        </w:rPr>
        <w:t>,</w:t>
      </w:r>
      <w:r w:rsidR="005C0621" w:rsidRPr="00473ECD">
        <w:rPr>
          <w:rStyle w:val="FootnoteReference"/>
          <w:sz w:val="24"/>
          <w:szCs w:val="24"/>
        </w:rPr>
        <w:footnoteReference w:id="15"/>
      </w:r>
      <w:r w:rsidRPr="00473ECD">
        <w:rPr>
          <w:sz w:val="24"/>
          <w:szCs w:val="24"/>
        </w:rPr>
        <w:t xml:space="preserve"> clearly </w:t>
      </w:r>
      <w:r w:rsidR="005C0621" w:rsidRPr="00473ECD">
        <w:rPr>
          <w:sz w:val="24"/>
          <w:szCs w:val="24"/>
        </w:rPr>
        <w:t>suggesting</w:t>
      </w:r>
      <w:r w:rsidRPr="00473ECD">
        <w:rPr>
          <w:sz w:val="24"/>
          <w:szCs w:val="24"/>
        </w:rPr>
        <w:t xml:space="preserve"> that this holistic understanding of a human being from the Buddhist take on things is that there is no dualism to be had here that establishes a mind-body dualism and therefore problem. However, upon closer inspection the descriptions of the distinctions that Buddhism does make</w:t>
      </w:r>
      <w:r>
        <w:rPr>
          <w:sz w:val="24"/>
          <w:szCs w:val="24"/>
        </w:rPr>
        <w:t xml:space="preserve"> c</w:t>
      </w:r>
      <w:r w:rsidR="005C0621">
        <w:rPr>
          <w:sz w:val="24"/>
          <w:szCs w:val="24"/>
        </w:rPr>
        <w:t xml:space="preserve">an be more than just having two, </w:t>
      </w:r>
      <w:r>
        <w:rPr>
          <w:sz w:val="24"/>
          <w:szCs w:val="24"/>
        </w:rPr>
        <w:t>there is also, “three-way, five-way and six-way distinctions.”</w:t>
      </w:r>
      <w:r w:rsidR="005C0621">
        <w:rPr>
          <w:rStyle w:val="FootnoteReference"/>
          <w:sz w:val="24"/>
          <w:szCs w:val="24"/>
        </w:rPr>
        <w:footnoteReference w:id="16"/>
      </w:r>
      <w:r>
        <w:rPr>
          <w:sz w:val="24"/>
          <w:szCs w:val="24"/>
        </w:rPr>
        <w:t xml:space="preserve"> He mentions after this that all of these distinctions are merely provisional and therefore with this ‘conventional’ understanding a varying amount of distinctions is a possibility</w:t>
      </w:r>
      <w:r w:rsidR="005C0621">
        <w:rPr>
          <w:sz w:val="24"/>
          <w:szCs w:val="24"/>
        </w:rPr>
        <w:t>, as follows:</w:t>
      </w:r>
      <w:r>
        <w:rPr>
          <w:sz w:val="24"/>
          <w:szCs w:val="24"/>
        </w:rPr>
        <w:t xml:space="preserve"> </w:t>
      </w:r>
    </w:p>
    <w:p w14:paraId="6E83EA84" w14:textId="5CA3B32D" w:rsidR="00285359" w:rsidRDefault="00285359" w:rsidP="005C0621">
      <w:pPr>
        <w:spacing w:line="240" w:lineRule="auto"/>
        <w:ind w:left="1440"/>
        <w:jc w:val="both"/>
        <w:rPr>
          <w:b/>
          <w:sz w:val="26"/>
          <w:szCs w:val="26"/>
          <w:u w:val="single"/>
        </w:rPr>
      </w:pPr>
      <w:r>
        <w:rPr>
          <w:sz w:val="24"/>
          <w:szCs w:val="24"/>
        </w:rPr>
        <w:t>a later Buddhist school, the Yogacara, famously developed the theory of the ‘eight consciousnesses’ based on the original two consciousnesses and two additional consciousnesses, namely self-consciousness (</w:t>
      </w:r>
      <w:proofErr w:type="spellStart"/>
      <w:r>
        <w:rPr>
          <w:sz w:val="24"/>
          <w:szCs w:val="24"/>
        </w:rPr>
        <w:t>manas-vijnana</w:t>
      </w:r>
      <w:proofErr w:type="spellEnd"/>
      <w:r>
        <w:rPr>
          <w:sz w:val="24"/>
          <w:szCs w:val="24"/>
        </w:rPr>
        <w:t>) and storehouse consciousness(</w:t>
      </w:r>
      <w:proofErr w:type="spellStart"/>
      <w:r>
        <w:rPr>
          <w:sz w:val="24"/>
          <w:szCs w:val="24"/>
        </w:rPr>
        <w:t>alaya-vijnana</w:t>
      </w:r>
      <w:proofErr w:type="spellEnd"/>
      <w:r>
        <w:rPr>
          <w:sz w:val="24"/>
          <w:szCs w:val="24"/>
        </w:rPr>
        <w:t xml:space="preserve">). There is even a ninth consciousness </w:t>
      </w:r>
      <w:r>
        <w:rPr>
          <w:sz w:val="24"/>
          <w:szCs w:val="24"/>
        </w:rPr>
        <w:lastRenderedPageBreak/>
        <w:t xml:space="preserve">found in </w:t>
      </w:r>
      <w:proofErr w:type="spellStart"/>
      <w:r>
        <w:rPr>
          <w:sz w:val="24"/>
          <w:szCs w:val="24"/>
        </w:rPr>
        <w:t>Paramartha’s</w:t>
      </w:r>
      <w:proofErr w:type="spellEnd"/>
      <w:r>
        <w:rPr>
          <w:sz w:val="24"/>
          <w:szCs w:val="24"/>
        </w:rPr>
        <w:t xml:space="preserve"> system of Yogacara known as the stainless</w:t>
      </w:r>
      <w:r w:rsidR="005C0621">
        <w:rPr>
          <w:sz w:val="24"/>
          <w:szCs w:val="24"/>
        </w:rPr>
        <w:t xml:space="preserve"> consciousness (amala-</w:t>
      </w:r>
      <w:proofErr w:type="spellStart"/>
      <w:r w:rsidR="005C0621">
        <w:rPr>
          <w:sz w:val="24"/>
          <w:szCs w:val="24"/>
        </w:rPr>
        <w:t>vijnana</w:t>
      </w:r>
      <w:proofErr w:type="spellEnd"/>
      <w:r w:rsidR="005C0621">
        <w:rPr>
          <w:sz w:val="24"/>
          <w:szCs w:val="24"/>
        </w:rPr>
        <w:t>).</w:t>
      </w:r>
      <w:r w:rsidR="005C0621">
        <w:rPr>
          <w:rStyle w:val="FootnoteReference"/>
          <w:sz w:val="24"/>
          <w:szCs w:val="24"/>
        </w:rPr>
        <w:footnoteReference w:id="17"/>
      </w:r>
      <w:r>
        <w:rPr>
          <w:sz w:val="24"/>
          <w:szCs w:val="24"/>
        </w:rPr>
        <w:t xml:space="preserve"> </w:t>
      </w:r>
    </w:p>
    <w:p w14:paraId="55C8CB81" w14:textId="77777777" w:rsidR="00285359" w:rsidRDefault="00285359" w:rsidP="007F3E1F">
      <w:pPr>
        <w:spacing w:line="360" w:lineRule="auto"/>
        <w:jc w:val="both"/>
        <w:rPr>
          <w:b/>
          <w:sz w:val="26"/>
          <w:szCs w:val="26"/>
          <w:u w:val="single"/>
        </w:rPr>
      </w:pPr>
    </w:p>
    <w:p w14:paraId="1333EFF4" w14:textId="77777777" w:rsidR="00285359" w:rsidRPr="007C1027" w:rsidRDefault="00285359" w:rsidP="007F3E1F">
      <w:pPr>
        <w:spacing w:line="360" w:lineRule="auto"/>
        <w:jc w:val="both"/>
        <w:rPr>
          <w:b/>
          <w:sz w:val="26"/>
          <w:szCs w:val="26"/>
          <w:u w:val="single"/>
        </w:rPr>
      </w:pPr>
      <w:r w:rsidRPr="007C1027">
        <w:rPr>
          <w:b/>
          <w:sz w:val="26"/>
          <w:szCs w:val="26"/>
          <w:u w:val="single"/>
        </w:rPr>
        <w:t xml:space="preserve">Heidegger </w:t>
      </w:r>
    </w:p>
    <w:p w14:paraId="44FA4547" w14:textId="610A17EC" w:rsidR="0027063C" w:rsidRDefault="00285359" w:rsidP="007F3E1F">
      <w:pPr>
        <w:spacing w:line="360" w:lineRule="auto"/>
        <w:jc w:val="both"/>
        <w:rPr>
          <w:sz w:val="24"/>
          <w:szCs w:val="24"/>
        </w:rPr>
      </w:pPr>
      <w:r>
        <w:rPr>
          <w:sz w:val="24"/>
          <w:szCs w:val="24"/>
        </w:rPr>
        <w:t xml:space="preserve"> </w:t>
      </w:r>
      <w:r w:rsidR="005A5183">
        <w:rPr>
          <w:sz w:val="24"/>
          <w:szCs w:val="24"/>
        </w:rPr>
        <w:t xml:space="preserve">Martin </w:t>
      </w:r>
      <w:r>
        <w:rPr>
          <w:sz w:val="24"/>
          <w:szCs w:val="24"/>
        </w:rPr>
        <w:t>Heidegger breaks dow</w:t>
      </w:r>
      <w:r w:rsidR="004D2A77">
        <w:rPr>
          <w:sz w:val="24"/>
          <w:szCs w:val="24"/>
        </w:rPr>
        <w:t>n the distinctions that one has phenomenologically</w:t>
      </w:r>
      <w:r w:rsidR="00CC40E3">
        <w:rPr>
          <w:sz w:val="24"/>
          <w:szCs w:val="24"/>
        </w:rPr>
        <w:t>. An example of this is</w:t>
      </w:r>
      <w:r>
        <w:rPr>
          <w:sz w:val="24"/>
          <w:szCs w:val="24"/>
        </w:rPr>
        <w:t xml:space="preserve"> retrospectively thinking</w:t>
      </w:r>
      <w:r w:rsidR="004D2A77">
        <w:rPr>
          <w:sz w:val="24"/>
          <w:szCs w:val="24"/>
        </w:rPr>
        <w:t>,</w:t>
      </w:r>
      <w:r>
        <w:rPr>
          <w:sz w:val="24"/>
          <w:szCs w:val="24"/>
        </w:rPr>
        <w:t xml:space="preserve"> </w:t>
      </w:r>
      <w:r w:rsidR="00CC40E3">
        <w:rPr>
          <w:sz w:val="24"/>
          <w:szCs w:val="24"/>
        </w:rPr>
        <w:t xml:space="preserve">that </w:t>
      </w:r>
      <w:r>
        <w:rPr>
          <w:sz w:val="24"/>
          <w:szCs w:val="24"/>
        </w:rPr>
        <w:t>one can analyse that ones’ mind not being aware of the actions one takes and thus could be described as the ‘unintelligent’</w:t>
      </w:r>
      <w:r w:rsidR="004D2A77">
        <w:rPr>
          <w:sz w:val="24"/>
          <w:szCs w:val="24"/>
        </w:rPr>
        <w:t xml:space="preserve"> such as a person opening a window and </w:t>
      </w:r>
      <w:r>
        <w:rPr>
          <w:sz w:val="24"/>
          <w:szCs w:val="24"/>
        </w:rPr>
        <w:t xml:space="preserve"> </w:t>
      </w:r>
      <w:r w:rsidR="004D2A77">
        <w:rPr>
          <w:sz w:val="24"/>
          <w:szCs w:val="24"/>
        </w:rPr>
        <w:t>in order to get the window open, that person ha</w:t>
      </w:r>
      <w:r w:rsidR="005A5183">
        <w:rPr>
          <w:sz w:val="24"/>
          <w:szCs w:val="24"/>
        </w:rPr>
        <w:t>d</w:t>
      </w:r>
      <w:r w:rsidR="004D2A77">
        <w:rPr>
          <w:sz w:val="24"/>
          <w:szCs w:val="24"/>
        </w:rPr>
        <w:t xml:space="preserve"> to turn a handle, and yet that person could be having a deep intellectual discussion and had no conscious rational thought processes attached to the </w:t>
      </w:r>
      <w:r w:rsidR="005A5183">
        <w:rPr>
          <w:sz w:val="24"/>
          <w:szCs w:val="24"/>
        </w:rPr>
        <w:t>handle</w:t>
      </w:r>
      <w:r w:rsidR="004D2A77">
        <w:rPr>
          <w:sz w:val="24"/>
          <w:szCs w:val="24"/>
        </w:rPr>
        <w:t xml:space="preserve"> in thinking of it as an object that one needed to turn to use effectively.</w:t>
      </w:r>
      <w:r w:rsidR="005A5183">
        <w:rPr>
          <w:sz w:val="24"/>
          <w:szCs w:val="24"/>
        </w:rPr>
        <w:t xml:space="preserve"> These kinds of phenomenological descriptions have problems inherently attached to them for Cartesian dualism, for a</w:t>
      </w:r>
      <w:r w:rsidR="0027063C">
        <w:rPr>
          <w:sz w:val="24"/>
          <w:szCs w:val="24"/>
        </w:rPr>
        <w:t>s Gilbert Ryle puts it,</w:t>
      </w:r>
      <w:r>
        <w:rPr>
          <w:sz w:val="24"/>
          <w:szCs w:val="24"/>
        </w:rPr>
        <w:t xml:space="preserve"> </w:t>
      </w:r>
    </w:p>
    <w:p w14:paraId="58508727" w14:textId="44BFDEA6" w:rsidR="0027063C" w:rsidRDefault="00F3323F" w:rsidP="0027063C">
      <w:pPr>
        <w:spacing w:line="360" w:lineRule="auto"/>
        <w:ind w:left="1440"/>
        <w:jc w:val="both"/>
        <w:rPr>
          <w:sz w:val="24"/>
          <w:szCs w:val="24"/>
        </w:rPr>
      </w:pPr>
      <w:r w:rsidRPr="0027063C">
        <w:rPr>
          <w:sz w:val="24"/>
          <w:szCs w:val="24"/>
        </w:rPr>
        <w:t>The differen</w:t>
      </w:r>
      <w:r w:rsidR="0027063C" w:rsidRPr="0027063C">
        <w:rPr>
          <w:sz w:val="24"/>
          <w:szCs w:val="24"/>
        </w:rPr>
        <w:t>ce</w:t>
      </w:r>
      <w:r w:rsidRPr="0027063C">
        <w:rPr>
          <w:sz w:val="24"/>
          <w:szCs w:val="24"/>
        </w:rPr>
        <w:t xml:space="preserve"> between </w:t>
      </w:r>
      <w:r w:rsidR="0027063C" w:rsidRPr="0027063C">
        <w:rPr>
          <w:sz w:val="24"/>
          <w:szCs w:val="24"/>
        </w:rPr>
        <w:t>the human behaviours which we describe as intelligent and those which we describe as an intelligent must be difference in their causation; so, while some movements of human tones and lens or the effects of mechanical causes, others must be the effects of nonmechanical causes</w:t>
      </w:r>
      <w:r w:rsidR="0027063C">
        <w:rPr>
          <w:rStyle w:val="FootnoteReference"/>
          <w:sz w:val="24"/>
          <w:szCs w:val="24"/>
        </w:rPr>
        <w:footnoteReference w:id="18"/>
      </w:r>
      <w:r w:rsidR="0027063C">
        <w:rPr>
          <w:sz w:val="24"/>
          <w:szCs w:val="24"/>
        </w:rPr>
        <w:t xml:space="preserve"> </w:t>
      </w:r>
    </w:p>
    <w:p w14:paraId="4D9FB59D" w14:textId="239E67D7" w:rsidR="00C00B41" w:rsidRDefault="0027063C" w:rsidP="007F3E1F">
      <w:pPr>
        <w:spacing w:line="360" w:lineRule="auto"/>
        <w:jc w:val="both"/>
        <w:rPr>
          <w:sz w:val="24"/>
          <w:szCs w:val="24"/>
        </w:rPr>
      </w:pPr>
      <w:r>
        <w:rPr>
          <w:sz w:val="24"/>
          <w:szCs w:val="24"/>
        </w:rPr>
        <w:t>T</w:t>
      </w:r>
      <w:r w:rsidR="00285359">
        <w:rPr>
          <w:sz w:val="24"/>
          <w:szCs w:val="24"/>
        </w:rPr>
        <w:t>his muddies the waters of the distinction that Descartes tries to make as a part of the certainty he is trying to find in the book the meditations, the indubitable evidence of the distinction between subjects and objects and the incoherent dualism that he creates to attempt to describe this</w:t>
      </w:r>
      <w:r>
        <w:rPr>
          <w:sz w:val="24"/>
          <w:szCs w:val="24"/>
        </w:rPr>
        <w:t xml:space="preserve"> relationship of just two sorts of things that make up the world. In Simon Critchley’s article in The </w:t>
      </w:r>
      <w:r w:rsidR="005A5183">
        <w:rPr>
          <w:sz w:val="24"/>
          <w:szCs w:val="24"/>
        </w:rPr>
        <w:t>Guardian</w:t>
      </w:r>
      <w:r>
        <w:rPr>
          <w:sz w:val="24"/>
          <w:szCs w:val="24"/>
        </w:rPr>
        <w:t xml:space="preserve"> newspaper, </w:t>
      </w:r>
      <w:r w:rsidR="00473ECD">
        <w:rPr>
          <w:sz w:val="24"/>
          <w:szCs w:val="24"/>
        </w:rPr>
        <w:t>he describes Heidegger’s specific term, ‘Dasein’, as referring to the relationship between these two substances as, “prior to this dualistic picture of the relation between human beings and the world lies a deeper unity that he tries to capture the formula</w:t>
      </w:r>
      <w:r w:rsidR="00C00B41">
        <w:rPr>
          <w:sz w:val="24"/>
          <w:szCs w:val="24"/>
        </w:rPr>
        <w:t>,</w:t>
      </w:r>
    </w:p>
    <w:p w14:paraId="4A89202F" w14:textId="7D94884A" w:rsidR="00285359" w:rsidRDefault="00473ECD" w:rsidP="00C00B41">
      <w:pPr>
        <w:spacing w:line="360" w:lineRule="auto"/>
        <w:ind w:left="1440"/>
        <w:jc w:val="both"/>
        <w:rPr>
          <w:sz w:val="24"/>
          <w:szCs w:val="24"/>
        </w:rPr>
      </w:pPr>
      <w:r>
        <w:rPr>
          <w:sz w:val="24"/>
          <w:szCs w:val="24"/>
        </w:rPr>
        <w:t xml:space="preserve"> </w:t>
      </w:r>
      <w:r w:rsidR="00C00B41">
        <w:rPr>
          <w:sz w:val="24"/>
          <w:szCs w:val="24"/>
        </w:rPr>
        <w:t>“</w:t>
      </w:r>
      <w:r>
        <w:rPr>
          <w:sz w:val="24"/>
          <w:szCs w:val="24"/>
        </w:rPr>
        <w:t>Dasein is being-in-the-world”</w:t>
      </w:r>
      <w:r w:rsidR="00C00B41">
        <w:rPr>
          <w:sz w:val="24"/>
          <w:szCs w:val="24"/>
        </w:rPr>
        <w:t xml:space="preserve"> …If human being is really being-in the-world, then this entails that world itself as part of the fundamental constitution one </w:t>
      </w:r>
      <w:r w:rsidR="00C00B41">
        <w:rPr>
          <w:sz w:val="24"/>
          <w:szCs w:val="24"/>
        </w:rPr>
        <w:lastRenderedPageBreak/>
        <w:t>needs to be human. That is the same, I am not a free-floating self or ego facing a world of objects that stands over against the. Rather, for Heidegger, I am my world. The world is part and parcel be of the fabric of my existence.</w:t>
      </w:r>
      <w:r>
        <w:rPr>
          <w:sz w:val="24"/>
          <w:szCs w:val="24"/>
        </w:rPr>
        <w:t xml:space="preserve"> </w:t>
      </w:r>
      <w:r>
        <w:rPr>
          <w:rStyle w:val="FootnoteReference"/>
          <w:sz w:val="24"/>
          <w:szCs w:val="24"/>
        </w:rPr>
        <w:footnoteReference w:id="19"/>
      </w:r>
      <w:r w:rsidR="00FB08DD">
        <w:rPr>
          <w:sz w:val="24"/>
          <w:szCs w:val="24"/>
        </w:rPr>
        <w:t xml:space="preserve"> </w:t>
      </w:r>
    </w:p>
    <w:p w14:paraId="3DAE453C" w14:textId="10FD5224" w:rsidR="00FB08DD" w:rsidRDefault="00C00B41" w:rsidP="007F3E1F">
      <w:pPr>
        <w:spacing w:line="360" w:lineRule="auto"/>
        <w:jc w:val="both"/>
        <w:rPr>
          <w:sz w:val="24"/>
          <w:szCs w:val="24"/>
        </w:rPr>
      </w:pPr>
      <w:r>
        <w:rPr>
          <w:sz w:val="24"/>
          <w:szCs w:val="24"/>
        </w:rPr>
        <w:t>This way of understanding how we stand in the world both phenomenologically and existentially shows us again that, to think that external phenomena are separate mechanisms, from the mechanisms that make up my phenomenological experience would be a categorical mistake. There is an understanding from the description of Dasein, that</w:t>
      </w:r>
      <w:r w:rsidR="004D2A77">
        <w:rPr>
          <w:sz w:val="24"/>
          <w:szCs w:val="24"/>
        </w:rPr>
        <w:t xml:space="preserve"> we are always in and amongst the world rather than separate from it and to presume otherwise is a mistake in one’s own description of their phenomenological context and circumstances. For one cannot be without context when trying to describe anything, therefore, to attempt to describe a self where it is </w:t>
      </w:r>
      <w:proofErr w:type="spellStart"/>
      <w:proofErr w:type="gramStart"/>
      <w:r w:rsidR="004D2A77">
        <w:rPr>
          <w:sz w:val="24"/>
          <w:szCs w:val="24"/>
        </w:rPr>
        <w:t>a</w:t>
      </w:r>
      <w:proofErr w:type="spellEnd"/>
      <w:proofErr w:type="gramEnd"/>
      <w:r w:rsidR="004D2A77">
        <w:rPr>
          <w:sz w:val="24"/>
          <w:szCs w:val="24"/>
        </w:rPr>
        <w:t xml:space="preserve"> entirely separate entity from that of the rest of the known world is simply incoherent with one’s own phenomenological and existential experience.</w:t>
      </w:r>
    </w:p>
    <w:p w14:paraId="4A256662" w14:textId="77777777" w:rsidR="00FB08DD" w:rsidRDefault="00FB08DD" w:rsidP="007F3E1F">
      <w:pPr>
        <w:spacing w:line="360" w:lineRule="auto"/>
        <w:jc w:val="both"/>
        <w:rPr>
          <w:sz w:val="24"/>
          <w:szCs w:val="24"/>
        </w:rPr>
      </w:pPr>
    </w:p>
    <w:p w14:paraId="09A47BED" w14:textId="77777777" w:rsidR="00285359" w:rsidRDefault="00285359" w:rsidP="007F3E1F">
      <w:pPr>
        <w:spacing w:line="360" w:lineRule="auto"/>
        <w:jc w:val="both"/>
        <w:rPr>
          <w:b/>
          <w:sz w:val="26"/>
          <w:szCs w:val="26"/>
          <w:u w:val="single"/>
        </w:rPr>
      </w:pPr>
    </w:p>
    <w:p w14:paraId="0632E634" w14:textId="77777777" w:rsidR="00285359" w:rsidRDefault="00285359" w:rsidP="007F3E1F">
      <w:pPr>
        <w:spacing w:line="360" w:lineRule="auto"/>
        <w:jc w:val="both"/>
        <w:rPr>
          <w:b/>
          <w:sz w:val="26"/>
          <w:szCs w:val="26"/>
          <w:u w:val="single"/>
        </w:rPr>
      </w:pPr>
    </w:p>
    <w:p w14:paraId="69B607B8" w14:textId="77777777" w:rsidR="00285359" w:rsidRPr="008134CC" w:rsidRDefault="00285359" w:rsidP="007F3E1F">
      <w:pPr>
        <w:spacing w:line="360" w:lineRule="auto"/>
        <w:jc w:val="both"/>
        <w:rPr>
          <w:b/>
          <w:sz w:val="26"/>
          <w:szCs w:val="26"/>
          <w:u w:val="single"/>
        </w:rPr>
      </w:pPr>
      <w:r w:rsidRPr="008134CC">
        <w:rPr>
          <w:b/>
          <w:sz w:val="26"/>
          <w:szCs w:val="26"/>
          <w:u w:val="single"/>
        </w:rPr>
        <w:t>Bibliography</w:t>
      </w:r>
    </w:p>
    <w:p w14:paraId="7079C2E3" w14:textId="23223011" w:rsidR="00336A27" w:rsidRDefault="00EE2CF1">
      <w:r w:rsidRPr="00D96C75">
        <w:t xml:space="preserve"> Gilbert Ryle</w:t>
      </w:r>
      <w:r>
        <w:t xml:space="preserve">, </w:t>
      </w:r>
      <w:r w:rsidRPr="00D96C75">
        <w:t>The Concept of Mind (London: Hutchinson &amp; Co., 1969)</w:t>
      </w:r>
    </w:p>
    <w:p w14:paraId="687257EA" w14:textId="77777777" w:rsidR="00EE2CF1" w:rsidRDefault="00EE2CF1" w:rsidP="00EE2CF1">
      <w:pPr>
        <w:pStyle w:val="FootnoteText"/>
      </w:pPr>
      <w:r>
        <w:t>Robert Sapolsky, ‘Introduction to Human Behavioural Biology’, 2011, Stanford University,</w:t>
      </w:r>
    </w:p>
    <w:p w14:paraId="4ECEA3E5" w14:textId="7C026161" w:rsidR="00EE2CF1" w:rsidRDefault="00EE2CF1" w:rsidP="00EE2CF1">
      <w:hyperlink r:id="rId7" w:history="1">
        <w:r w:rsidRPr="00506390">
          <w:rPr>
            <w:rStyle w:val="Hyperlink"/>
          </w:rPr>
          <w:t>https://www.youtube.com/watch?v=NNnIGh9g6fA</w:t>
        </w:r>
      </w:hyperlink>
      <w:r>
        <w:t xml:space="preserve"> [Accessed 17</w:t>
      </w:r>
      <w:r w:rsidRPr="005C0621">
        <w:rPr>
          <w:vertAlign w:val="superscript"/>
        </w:rPr>
        <w:t>th</w:t>
      </w:r>
      <w:r>
        <w:t xml:space="preserve"> May 2019]</w:t>
      </w:r>
    </w:p>
    <w:p w14:paraId="025EC851" w14:textId="632DF94B" w:rsidR="00EE2CF1" w:rsidRDefault="00EE2CF1" w:rsidP="00EE2CF1">
      <w:proofErr w:type="spellStart"/>
      <w:r>
        <w:t>Chien-Te</w:t>
      </w:r>
      <w:proofErr w:type="spellEnd"/>
      <w:r>
        <w:t xml:space="preserve"> Lin, ‘Rethinking Mind-Body Dualism: A Buddhist Take on the Mind-Body Problem</w:t>
      </w:r>
      <w:proofErr w:type="gramStart"/>
      <w:r>
        <w:t xml:space="preserve">’,  </w:t>
      </w:r>
      <w:r w:rsidRPr="00010AD8">
        <w:rPr>
          <w:i/>
        </w:rPr>
        <w:t>Contemporary</w:t>
      </w:r>
      <w:proofErr w:type="gramEnd"/>
      <w:r w:rsidRPr="00010AD8">
        <w:rPr>
          <w:i/>
        </w:rPr>
        <w:t xml:space="preserve"> Buddhism</w:t>
      </w:r>
      <w:r>
        <w:t xml:space="preserve"> 2013, Vol. 14, No. 2, 239-264</w:t>
      </w:r>
    </w:p>
    <w:p w14:paraId="75C18BA2" w14:textId="353E8F41" w:rsidR="00EE2CF1" w:rsidRDefault="00EE2CF1" w:rsidP="00EE2CF1">
      <w:r>
        <w:t xml:space="preserve">Simon Critchley, </w:t>
      </w:r>
      <w:proofErr w:type="gramStart"/>
      <w:r>
        <w:t>2019,</w:t>
      </w:r>
      <w:r>
        <w:t xml:space="preserve">  Being</w:t>
      </w:r>
      <w:proofErr w:type="gramEnd"/>
      <w:r>
        <w:t xml:space="preserve"> and Time Part: 3 Being-in-the-world, The </w:t>
      </w:r>
      <w:proofErr w:type="spellStart"/>
      <w:r>
        <w:t>Gaurdian</w:t>
      </w:r>
      <w:proofErr w:type="spellEnd"/>
      <w:r>
        <w:t xml:space="preserve"> Newspaper.</w:t>
      </w:r>
      <w:bookmarkStart w:id="0" w:name="_GoBack"/>
      <w:bookmarkEnd w:id="0"/>
    </w:p>
    <w:sectPr w:rsidR="00EE2CF1" w:rsidSect="007C10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B4D4F" w14:textId="77777777" w:rsidR="00C96495" w:rsidRDefault="00C96495" w:rsidP="001054AE">
      <w:pPr>
        <w:spacing w:after="0" w:line="240" w:lineRule="auto"/>
      </w:pPr>
      <w:r>
        <w:separator/>
      </w:r>
    </w:p>
  </w:endnote>
  <w:endnote w:type="continuationSeparator" w:id="0">
    <w:p w14:paraId="3CAF76E9" w14:textId="77777777" w:rsidR="00C96495" w:rsidRDefault="00C96495" w:rsidP="00105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A2E21" w14:textId="77777777" w:rsidR="00C96495" w:rsidRDefault="00C96495" w:rsidP="001054AE">
      <w:pPr>
        <w:spacing w:after="0" w:line="240" w:lineRule="auto"/>
      </w:pPr>
      <w:r>
        <w:separator/>
      </w:r>
    </w:p>
  </w:footnote>
  <w:footnote w:type="continuationSeparator" w:id="0">
    <w:p w14:paraId="6CFB2310" w14:textId="77777777" w:rsidR="00C96495" w:rsidRDefault="00C96495" w:rsidP="001054AE">
      <w:pPr>
        <w:spacing w:after="0" w:line="240" w:lineRule="auto"/>
      </w:pPr>
      <w:r>
        <w:continuationSeparator/>
      </w:r>
    </w:p>
  </w:footnote>
  <w:footnote w:id="1">
    <w:p w14:paraId="6F0EFC81" w14:textId="26E55FF7" w:rsidR="001054AE" w:rsidRPr="00D96C75" w:rsidRDefault="001054AE">
      <w:pPr>
        <w:pStyle w:val="FootnoteText"/>
      </w:pPr>
      <w:r>
        <w:rPr>
          <w:rStyle w:val="FootnoteReference"/>
        </w:rPr>
        <w:footnoteRef/>
      </w:r>
      <w:r>
        <w:t xml:space="preserve"> </w:t>
      </w:r>
      <w:r w:rsidRPr="004B45C2">
        <w:t xml:space="preserve">Gilbert </w:t>
      </w:r>
      <w:proofErr w:type="gramStart"/>
      <w:r w:rsidRPr="004B45C2">
        <w:t xml:space="preserve">Ryle,  </w:t>
      </w:r>
      <w:r w:rsidRPr="004B45C2">
        <w:rPr>
          <w:i/>
        </w:rPr>
        <w:t>The</w:t>
      </w:r>
      <w:proofErr w:type="gramEnd"/>
      <w:r w:rsidRPr="004B45C2">
        <w:rPr>
          <w:i/>
        </w:rPr>
        <w:t xml:space="preserve"> Concept of Mind </w:t>
      </w:r>
      <w:r w:rsidRPr="004B45C2">
        <w:t>(</w:t>
      </w:r>
      <w:r w:rsidR="00473ECD" w:rsidRPr="00D96C75">
        <w:t>London</w:t>
      </w:r>
      <w:r w:rsidRPr="00D96C75">
        <w:t xml:space="preserve">: </w:t>
      </w:r>
      <w:r w:rsidR="00D96C75" w:rsidRPr="00D96C75">
        <w:t>Hutchinson &amp; Co.</w:t>
      </w:r>
      <w:r w:rsidRPr="00D96C75">
        <w:t xml:space="preserve">, </w:t>
      </w:r>
      <w:r w:rsidR="00473ECD" w:rsidRPr="00D96C75">
        <w:t>1969</w:t>
      </w:r>
      <w:r w:rsidRPr="00D96C75">
        <w:t>), p. 19</w:t>
      </w:r>
    </w:p>
  </w:footnote>
  <w:footnote w:id="2">
    <w:p w14:paraId="72A8B54B" w14:textId="172E0FD6" w:rsidR="004B45C2" w:rsidRDefault="004B45C2">
      <w:pPr>
        <w:pStyle w:val="FootnoteText"/>
      </w:pPr>
      <w:r w:rsidRPr="00D96C75">
        <w:rPr>
          <w:rStyle w:val="FootnoteReference"/>
        </w:rPr>
        <w:footnoteRef/>
      </w:r>
      <w:r w:rsidRPr="00D96C75">
        <w:t xml:space="preserve"> Descartes The Meditations… in Gilbert Ryle </w:t>
      </w:r>
      <w:proofErr w:type="gramStart"/>
      <w:r w:rsidRPr="00D96C75">
        <w:t>The</w:t>
      </w:r>
      <w:proofErr w:type="gramEnd"/>
      <w:r w:rsidRPr="00D96C75">
        <w:t xml:space="preserve"> Concept of Mind (</w:t>
      </w:r>
      <w:r w:rsidR="00D96C75" w:rsidRPr="00D96C75">
        <w:t>London</w:t>
      </w:r>
      <w:r w:rsidRPr="00D96C75">
        <w:t xml:space="preserve">: </w:t>
      </w:r>
      <w:r w:rsidR="00D96C75" w:rsidRPr="00D96C75">
        <w:t>Hutchinson &amp; Co.</w:t>
      </w:r>
      <w:r w:rsidRPr="00D96C75">
        <w:t xml:space="preserve">, </w:t>
      </w:r>
      <w:r w:rsidR="00D96C75" w:rsidRPr="00D96C75">
        <w:t>1969</w:t>
      </w:r>
      <w:r w:rsidRPr="00D96C75">
        <w:t xml:space="preserve">), p. </w:t>
      </w:r>
      <w:r w:rsidR="00D96C75" w:rsidRPr="00D96C75">
        <w:t>19</w:t>
      </w:r>
    </w:p>
  </w:footnote>
  <w:footnote w:id="3">
    <w:p w14:paraId="3E117F80" w14:textId="18A5421E" w:rsidR="004B45C2" w:rsidRDefault="004B45C2">
      <w:pPr>
        <w:pStyle w:val="FootnoteText"/>
      </w:pPr>
      <w:r>
        <w:rPr>
          <w:rStyle w:val="FootnoteReference"/>
        </w:rPr>
        <w:footnoteRef/>
      </w:r>
      <w:r>
        <w:t xml:space="preserve"> Gilbert Ryle, </w:t>
      </w:r>
      <w:r w:rsidR="00473ECD">
        <w:t>1969,</w:t>
      </w:r>
      <w:r>
        <w:t xml:space="preserve"> p. 19</w:t>
      </w:r>
    </w:p>
  </w:footnote>
  <w:footnote w:id="4">
    <w:p w14:paraId="662CE395" w14:textId="032FE514" w:rsidR="004B45C2" w:rsidRDefault="004B45C2">
      <w:pPr>
        <w:pStyle w:val="FootnoteText"/>
      </w:pPr>
      <w:r>
        <w:rPr>
          <w:rStyle w:val="FootnoteReference"/>
        </w:rPr>
        <w:footnoteRef/>
      </w:r>
      <w:r>
        <w:t xml:space="preserve"> Gilbert Ryle, </w:t>
      </w:r>
      <w:r w:rsidR="00F3323F">
        <w:t xml:space="preserve">1969, </w:t>
      </w:r>
      <w:r>
        <w:t>p. 20</w:t>
      </w:r>
    </w:p>
  </w:footnote>
  <w:footnote w:id="5">
    <w:p w14:paraId="1AEF3993" w14:textId="27C17B2B" w:rsidR="00D96C75" w:rsidRDefault="00D96C75">
      <w:pPr>
        <w:pStyle w:val="FootnoteText"/>
      </w:pPr>
      <w:r>
        <w:rPr>
          <w:rStyle w:val="FootnoteReference"/>
        </w:rPr>
        <w:footnoteRef/>
      </w:r>
      <w:r>
        <w:t xml:space="preserve"> Gilbert Ryle, 1969, p. 20</w:t>
      </w:r>
    </w:p>
  </w:footnote>
  <w:footnote w:id="6">
    <w:p w14:paraId="69830E53" w14:textId="4BDBD005" w:rsidR="00010AD8" w:rsidRDefault="00010AD8">
      <w:pPr>
        <w:pStyle w:val="FootnoteText"/>
      </w:pPr>
      <w:r>
        <w:rPr>
          <w:rStyle w:val="FootnoteReference"/>
        </w:rPr>
        <w:footnoteRef/>
      </w:r>
      <w:r>
        <w:t xml:space="preserve"> </w:t>
      </w:r>
      <w:proofErr w:type="spellStart"/>
      <w:r>
        <w:t>Chien-Te</w:t>
      </w:r>
      <w:proofErr w:type="spellEnd"/>
      <w:r>
        <w:t xml:space="preserve"> Lin, ‘Rethinking Mind-Body Dualism: A Buddhist Take on the Mind-Body Problem</w:t>
      </w:r>
      <w:proofErr w:type="gramStart"/>
      <w:r>
        <w:t xml:space="preserve">’,  </w:t>
      </w:r>
      <w:r w:rsidRPr="00010AD8">
        <w:rPr>
          <w:i/>
        </w:rPr>
        <w:t>Contemporary</w:t>
      </w:r>
      <w:proofErr w:type="gramEnd"/>
      <w:r w:rsidRPr="00010AD8">
        <w:rPr>
          <w:i/>
        </w:rPr>
        <w:t xml:space="preserve"> Buddhism</w:t>
      </w:r>
      <w:r>
        <w:t xml:space="preserve"> 2013, Vol. 14, No. 2, 239-264, p. 239</w:t>
      </w:r>
    </w:p>
  </w:footnote>
  <w:footnote w:id="7">
    <w:p w14:paraId="2ECF1097" w14:textId="79DF1BA0" w:rsidR="00010AD8" w:rsidRDefault="00010AD8">
      <w:pPr>
        <w:pStyle w:val="FootnoteText"/>
      </w:pPr>
      <w:r>
        <w:rPr>
          <w:rStyle w:val="FootnoteReference"/>
        </w:rPr>
        <w:footnoteRef/>
      </w:r>
      <w:r>
        <w:t xml:space="preserve"> </w:t>
      </w:r>
      <w:proofErr w:type="spellStart"/>
      <w:r>
        <w:t>Chien-Te</w:t>
      </w:r>
      <w:proofErr w:type="spellEnd"/>
      <w:r>
        <w:t xml:space="preserve"> Lin, 2013, p. 239</w:t>
      </w:r>
    </w:p>
  </w:footnote>
  <w:footnote w:id="8">
    <w:p w14:paraId="6E445C10" w14:textId="2F9EF13B" w:rsidR="00010AD8" w:rsidRDefault="00010AD8" w:rsidP="00010AD8">
      <w:pPr>
        <w:pStyle w:val="FootnoteText"/>
      </w:pPr>
      <w:r>
        <w:rPr>
          <w:rStyle w:val="FootnoteReference"/>
        </w:rPr>
        <w:footnoteRef/>
      </w:r>
      <w:r>
        <w:t xml:space="preserve"> </w:t>
      </w:r>
      <w:proofErr w:type="spellStart"/>
      <w:r>
        <w:t>Chien-Te</w:t>
      </w:r>
      <w:proofErr w:type="spellEnd"/>
      <w:r>
        <w:t xml:space="preserve"> Lin, 2013, </w:t>
      </w:r>
      <w:r w:rsidR="005D115D">
        <w:t>p. 240</w:t>
      </w:r>
      <w:r>
        <w:t xml:space="preserve"> </w:t>
      </w:r>
    </w:p>
  </w:footnote>
  <w:footnote w:id="9">
    <w:p w14:paraId="39D1226B" w14:textId="253FF126" w:rsidR="005D115D" w:rsidRDefault="005D115D">
      <w:pPr>
        <w:pStyle w:val="FootnoteText"/>
      </w:pPr>
      <w:r>
        <w:rPr>
          <w:rStyle w:val="FootnoteReference"/>
        </w:rPr>
        <w:footnoteRef/>
      </w:r>
      <w:r>
        <w:t xml:space="preserve"> </w:t>
      </w:r>
      <w:proofErr w:type="spellStart"/>
      <w:r>
        <w:t>Chien-Te</w:t>
      </w:r>
      <w:proofErr w:type="spellEnd"/>
      <w:r>
        <w:t xml:space="preserve"> Lin, 2013, p. 240</w:t>
      </w:r>
    </w:p>
  </w:footnote>
  <w:footnote w:id="10">
    <w:p w14:paraId="7EC3DE0D" w14:textId="79CF0341" w:rsidR="005D115D" w:rsidRDefault="005D115D">
      <w:pPr>
        <w:pStyle w:val="FootnoteText"/>
      </w:pPr>
      <w:r>
        <w:rPr>
          <w:rStyle w:val="FootnoteReference"/>
        </w:rPr>
        <w:footnoteRef/>
      </w:r>
      <w:r>
        <w:t xml:space="preserve"> </w:t>
      </w:r>
      <w:proofErr w:type="spellStart"/>
      <w:r>
        <w:t>Chien-Te</w:t>
      </w:r>
      <w:proofErr w:type="spellEnd"/>
      <w:r>
        <w:t xml:space="preserve"> Lin, 2013, p. 240</w:t>
      </w:r>
    </w:p>
  </w:footnote>
  <w:footnote w:id="11">
    <w:p w14:paraId="0848A729" w14:textId="658937FA" w:rsidR="005D115D" w:rsidRDefault="005D115D">
      <w:pPr>
        <w:pStyle w:val="FootnoteText"/>
      </w:pPr>
      <w:r>
        <w:rPr>
          <w:rStyle w:val="FootnoteReference"/>
        </w:rPr>
        <w:footnoteRef/>
      </w:r>
      <w:r>
        <w:t xml:space="preserve"> </w:t>
      </w:r>
      <w:proofErr w:type="spellStart"/>
      <w:r>
        <w:t>Chien-Te</w:t>
      </w:r>
      <w:proofErr w:type="spellEnd"/>
      <w:r>
        <w:t xml:space="preserve"> Lin, 2013, p. 241</w:t>
      </w:r>
    </w:p>
  </w:footnote>
  <w:footnote w:id="12">
    <w:p w14:paraId="08DA2810" w14:textId="2D17278E" w:rsidR="005D115D" w:rsidRDefault="005D115D">
      <w:pPr>
        <w:pStyle w:val="FootnoteText"/>
      </w:pPr>
      <w:r>
        <w:rPr>
          <w:rStyle w:val="FootnoteReference"/>
        </w:rPr>
        <w:footnoteRef/>
      </w:r>
      <w:r>
        <w:t xml:space="preserve"> </w:t>
      </w:r>
      <w:proofErr w:type="spellStart"/>
      <w:r>
        <w:t>Chien-Te</w:t>
      </w:r>
      <w:proofErr w:type="spellEnd"/>
      <w:r>
        <w:t xml:space="preserve"> Lin, 2013, p. 241</w:t>
      </w:r>
    </w:p>
  </w:footnote>
  <w:footnote w:id="13">
    <w:p w14:paraId="12CBF6FC" w14:textId="0C534560" w:rsidR="001D2C46" w:rsidRDefault="001D2C46" w:rsidP="001D2C46">
      <w:pPr>
        <w:pStyle w:val="FootnoteText"/>
      </w:pPr>
      <w:r>
        <w:rPr>
          <w:rStyle w:val="FootnoteReference"/>
        </w:rPr>
        <w:footnoteRef/>
      </w:r>
      <w:r>
        <w:t xml:space="preserve"> Robert Sapolsky, </w:t>
      </w:r>
      <w:r w:rsidR="005C0621">
        <w:t>‘</w:t>
      </w:r>
      <w:r>
        <w:t>Introduction to Human Behavioural Biology</w:t>
      </w:r>
      <w:r w:rsidR="005C0621">
        <w:t>’</w:t>
      </w:r>
      <w:r>
        <w:t xml:space="preserve">, 2011, </w:t>
      </w:r>
      <w:r w:rsidR="005C0621">
        <w:t>Stanford University,</w:t>
      </w:r>
    </w:p>
    <w:p w14:paraId="79007D4C" w14:textId="3746ACD1" w:rsidR="001D2C46" w:rsidRDefault="00C96495" w:rsidP="001D2C46">
      <w:pPr>
        <w:pStyle w:val="FootnoteText"/>
      </w:pPr>
      <w:hyperlink r:id="rId1" w:history="1">
        <w:r w:rsidR="005C0621" w:rsidRPr="00506390">
          <w:rPr>
            <w:rStyle w:val="Hyperlink"/>
          </w:rPr>
          <w:t>https://www.youtube.com/watch?v=NNnIGh9g6fA</w:t>
        </w:r>
      </w:hyperlink>
      <w:r w:rsidR="005C0621">
        <w:t xml:space="preserve"> [Accessed 17</w:t>
      </w:r>
      <w:r w:rsidR="005C0621" w:rsidRPr="005C0621">
        <w:rPr>
          <w:vertAlign w:val="superscript"/>
        </w:rPr>
        <w:t>th</w:t>
      </w:r>
      <w:r w:rsidR="005C0621">
        <w:t xml:space="preserve"> May 2019]</w:t>
      </w:r>
    </w:p>
  </w:footnote>
  <w:footnote w:id="14">
    <w:p w14:paraId="19934FDF" w14:textId="35686529" w:rsidR="005C0621" w:rsidRDefault="005C0621">
      <w:pPr>
        <w:pStyle w:val="FootnoteText"/>
      </w:pPr>
      <w:r>
        <w:rPr>
          <w:rStyle w:val="FootnoteReference"/>
        </w:rPr>
        <w:footnoteRef/>
      </w:r>
      <w:r>
        <w:t xml:space="preserve"> </w:t>
      </w:r>
      <w:proofErr w:type="spellStart"/>
      <w:r>
        <w:t>Chien-Te</w:t>
      </w:r>
      <w:proofErr w:type="spellEnd"/>
      <w:r>
        <w:t xml:space="preserve"> Lin, 2013, p. 241</w:t>
      </w:r>
    </w:p>
  </w:footnote>
  <w:footnote w:id="15">
    <w:p w14:paraId="0E7CDE08" w14:textId="04AC6051" w:rsidR="005C0621" w:rsidRDefault="005C0621">
      <w:pPr>
        <w:pStyle w:val="FootnoteText"/>
      </w:pPr>
      <w:r>
        <w:rPr>
          <w:rStyle w:val="FootnoteReference"/>
        </w:rPr>
        <w:footnoteRef/>
      </w:r>
      <w:r>
        <w:t xml:space="preserve"> </w:t>
      </w:r>
      <w:proofErr w:type="spellStart"/>
      <w:r>
        <w:t>Chien-Te</w:t>
      </w:r>
      <w:proofErr w:type="spellEnd"/>
      <w:r>
        <w:t xml:space="preserve"> Lin, 2013, p. 241</w:t>
      </w:r>
    </w:p>
  </w:footnote>
  <w:footnote w:id="16">
    <w:p w14:paraId="40125534" w14:textId="0CEC79B3" w:rsidR="005C0621" w:rsidRDefault="005C0621">
      <w:pPr>
        <w:pStyle w:val="FootnoteText"/>
      </w:pPr>
      <w:r>
        <w:rPr>
          <w:rStyle w:val="FootnoteReference"/>
        </w:rPr>
        <w:footnoteRef/>
      </w:r>
      <w:r>
        <w:t xml:space="preserve"> </w:t>
      </w:r>
      <w:proofErr w:type="spellStart"/>
      <w:r>
        <w:t>Chien-Te</w:t>
      </w:r>
      <w:proofErr w:type="spellEnd"/>
      <w:r>
        <w:t xml:space="preserve"> Lin, 2013, p. 241</w:t>
      </w:r>
    </w:p>
  </w:footnote>
  <w:footnote w:id="17">
    <w:p w14:paraId="057477B8" w14:textId="77777777" w:rsidR="005C0621" w:rsidRDefault="005C0621" w:rsidP="005C0621">
      <w:pPr>
        <w:pStyle w:val="FootnoteText"/>
      </w:pPr>
      <w:r>
        <w:rPr>
          <w:rStyle w:val="FootnoteReference"/>
        </w:rPr>
        <w:footnoteRef/>
      </w:r>
      <w:r>
        <w:t xml:space="preserve"> </w:t>
      </w:r>
      <w:proofErr w:type="spellStart"/>
      <w:r>
        <w:t>Chien-Te</w:t>
      </w:r>
      <w:proofErr w:type="spellEnd"/>
      <w:r>
        <w:t xml:space="preserve"> Lin, 2013, p. 241</w:t>
      </w:r>
    </w:p>
    <w:p w14:paraId="7F2560E2" w14:textId="7909ED96" w:rsidR="005C0621" w:rsidRDefault="005C0621">
      <w:pPr>
        <w:pStyle w:val="FootnoteText"/>
      </w:pPr>
    </w:p>
  </w:footnote>
  <w:footnote w:id="18">
    <w:p w14:paraId="11C96170" w14:textId="5CD3D58B" w:rsidR="0027063C" w:rsidRDefault="0027063C">
      <w:pPr>
        <w:pStyle w:val="FootnoteText"/>
      </w:pPr>
      <w:r>
        <w:rPr>
          <w:rStyle w:val="FootnoteReference"/>
        </w:rPr>
        <w:footnoteRef/>
      </w:r>
      <w:r>
        <w:t xml:space="preserve"> Gilbert Ryle, 1969, p.19</w:t>
      </w:r>
    </w:p>
  </w:footnote>
  <w:footnote w:id="19">
    <w:p w14:paraId="771B33E8" w14:textId="28FF9270" w:rsidR="00473ECD" w:rsidRDefault="00473ECD">
      <w:pPr>
        <w:pStyle w:val="FootnoteText"/>
      </w:pPr>
      <w:r>
        <w:rPr>
          <w:rStyle w:val="FootnoteReference"/>
        </w:rPr>
        <w:footnoteRef/>
      </w:r>
      <w:r>
        <w:t xml:space="preserve"> Simon Critchley, 2019, p.1, second paragraph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1F80DCF-40A8-44D7-B7BB-282959BF1B6D}"/>
    <w:docVar w:name="dgnword-eventsink" w:val="276391432"/>
  </w:docVars>
  <w:rsids>
    <w:rsidRoot w:val="0036647A"/>
    <w:rsid w:val="00010AD8"/>
    <w:rsid w:val="001054AE"/>
    <w:rsid w:val="001D2C46"/>
    <w:rsid w:val="0027063C"/>
    <w:rsid w:val="00285359"/>
    <w:rsid w:val="00336A27"/>
    <w:rsid w:val="0036647A"/>
    <w:rsid w:val="00473ECD"/>
    <w:rsid w:val="004B45C2"/>
    <w:rsid w:val="004D2A77"/>
    <w:rsid w:val="005A5183"/>
    <w:rsid w:val="005C0621"/>
    <w:rsid w:val="005D115D"/>
    <w:rsid w:val="007679C7"/>
    <w:rsid w:val="007F3E1F"/>
    <w:rsid w:val="008F69DA"/>
    <w:rsid w:val="0093113C"/>
    <w:rsid w:val="00B9657D"/>
    <w:rsid w:val="00C00B41"/>
    <w:rsid w:val="00C96495"/>
    <w:rsid w:val="00CC40E3"/>
    <w:rsid w:val="00D96C75"/>
    <w:rsid w:val="00EE2CF1"/>
    <w:rsid w:val="00F3323F"/>
    <w:rsid w:val="00FB0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F79A5"/>
  <w15:chartTrackingRefBased/>
  <w15:docId w15:val="{70F06F72-772A-43DB-AAAA-C74C9EB18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35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054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54AE"/>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1054AE"/>
    <w:rPr>
      <w:vertAlign w:val="superscript"/>
    </w:rPr>
  </w:style>
  <w:style w:type="character" w:styleId="Hyperlink">
    <w:name w:val="Hyperlink"/>
    <w:basedOn w:val="DefaultParagraphFont"/>
    <w:uiPriority w:val="99"/>
    <w:unhideWhenUsed/>
    <w:rsid w:val="001D2C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NNnIGh9g6f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NNnIGh9g6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A8DD48-FF6F-4597-B73D-C69B70C2B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2701</Words>
  <Characters>15399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2</cp:revision>
  <dcterms:created xsi:type="dcterms:W3CDTF">2019-05-24T22:58:00Z</dcterms:created>
  <dcterms:modified xsi:type="dcterms:W3CDTF">2019-05-24T22:58:00Z</dcterms:modified>
</cp:coreProperties>
</file>