
<file path=[Content_Types].xml><?xml version="1.0" encoding="utf-8"?>
<Types xmlns="http://schemas.openxmlformats.org/package/2006/content-types">
  <Default Extension="emf" ContentType="image/x-emf"/>
  <Default Extension="png" ContentType="image/png"/>
  <Default Extension="rels" ContentType="application/vnd.openxmlformats-package.relationships+xml"/>
  <Default Extension="xlsx" ContentType="application/vnd.openxmlformats-officedocument.spreadsheetml.sheet"/>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charts/chart1.xml" ContentType="application/vnd.openxmlformats-officedocument.drawingml.chart+xml"/>
  <Override PartName="/word/charts/style1.xml" ContentType="application/vnd.ms-office.chartstyle+xml"/>
  <Override PartName="/word/charts/colors1.xml" ContentType="application/vnd.ms-office.chartcolorstyle+xml"/>
  <Override PartName="/word/charts/chart2.xml" ContentType="application/vnd.openxmlformats-officedocument.drawingml.chart+xml"/>
  <Override PartName="/word/charts/style2.xml" ContentType="application/vnd.ms-office.chartstyle+xml"/>
  <Override PartName="/word/charts/colors2.xml" ContentType="application/vnd.ms-office.chartcolorstyle+xml"/>
  <Override PartName="/word/charts/chart3.xml" ContentType="application/vnd.openxmlformats-officedocument.drawingml.chart+xml"/>
  <Override PartName="/word/charts/style3.xml" ContentType="application/vnd.ms-office.chartstyle+xml"/>
  <Override PartName="/word/charts/colors3.xml" ContentType="application/vnd.ms-office.chartcolorstyle+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Metadata/LabelInfo.xml" ContentType="application/vnd.ms-office.classificationlabel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microsoft.com/office/2020/02/relationships/classificationlabels" Target="docMetadata/LabelInfo.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40EA82E1" w14:textId="13D5A5B3" w:rsidR="001D66F0" w:rsidRDefault="00280DB3" w:rsidP="000F49E7">
      <w:pPr>
        <w:ind w:left="426" w:hanging="426"/>
        <w:contextualSpacing/>
        <w:rPr>
          <w:sz w:val="24"/>
          <w:szCs w:val="24"/>
        </w:rPr>
      </w:pPr>
      <w:r w:rsidRPr="00C67262">
        <w:rPr>
          <w:b/>
          <w:bCs/>
          <w:sz w:val="24"/>
          <w:szCs w:val="24"/>
        </w:rPr>
        <w:t>Q1</w:t>
      </w:r>
      <w:r w:rsidRPr="003745EE">
        <w:rPr>
          <w:sz w:val="24"/>
          <w:szCs w:val="24"/>
        </w:rPr>
        <w:t>. AC 1.1</w:t>
      </w:r>
    </w:p>
    <w:p w14:paraId="306AFE81" w14:textId="77777777" w:rsidR="000F49E7" w:rsidRPr="003745EE" w:rsidRDefault="000F49E7" w:rsidP="000F49E7">
      <w:pPr>
        <w:ind w:left="426" w:hanging="426"/>
        <w:contextualSpacing/>
        <w:rPr>
          <w:sz w:val="24"/>
          <w:szCs w:val="24"/>
        </w:rPr>
      </w:pPr>
    </w:p>
    <w:p w14:paraId="4D7AC302" w14:textId="77777777" w:rsidR="00A412F2" w:rsidRDefault="00622C51" w:rsidP="00884986">
      <w:pPr>
        <w:ind w:left="426" w:hanging="426"/>
        <w:contextualSpacing/>
        <w:jc w:val="both"/>
        <w:rPr>
          <w:sz w:val="24"/>
          <w:szCs w:val="24"/>
        </w:rPr>
      </w:pPr>
      <w:r w:rsidRPr="003745EE">
        <w:rPr>
          <w:sz w:val="24"/>
          <w:szCs w:val="24"/>
        </w:rPr>
        <w:t>Evidence-based practice (EBP)</w:t>
      </w:r>
      <w:r w:rsidR="007232D0" w:rsidRPr="003745EE">
        <w:rPr>
          <w:sz w:val="24"/>
          <w:szCs w:val="24"/>
        </w:rPr>
        <w:t xml:space="preserve"> is the process of </w:t>
      </w:r>
      <w:r w:rsidR="00137BAC" w:rsidRPr="003745EE">
        <w:rPr>
          <w:sz w:val="24"/>
          <w:szCs w:val="24"/>
        </w:rPr>
        <w:t xml:space="preserve">critically </w:t>
      </w:r>
      <w:r w:rsidR="00FE5D44" w:rsidRPr="003745EE">
        <w:rPr>
          <w:sz w:val="24"/>
          <w:szCs w:val="24"/>
        </w:rPr>
        <w:t xml:space="preserve">analysing </w:t>
      </w:r>
      <w:r w:rsidR="00AF7C0E" w:rsidRPr="003745EE">
        <w:rPr>
          <w:sz w:val="24"/>
          <w:szCs w:val="24"/>
        </w:rPr>
        <w:t xml:space="preserve">evidence </w:t>
      </w:r>
      <w:r w:rsidR="00137BAC" w:rsidRPr="003745EE">
        <w:rPr>
          <w:sz w:val="24"/>
          <w:szCs w:val="24"/>
        </w:rPr>
        <w:t>from</w:t>
      </w:r>
      <w:r w:rsidR="00A412F2">
        <w:rPr>
          <w:sz w:val="24"/>
          <w:szCs w:val="24"/>
        </w:rPr>
        <w:t xml:space="preserve"> </w:t>
      </w:r>
    </w:p>
    <w:p w14:paraId="7817C8E1" w14:textId="585A5531" w:rsidR="00A412F2" w:rsidRDefault="00FE5D44" w:rsidP="00884986">
      <w:pPr>
        <w:ind w:left="426" w:hanging="426"/>
        <w:contextualSpacing/>
        <w:jc w:val="both"/>
        <w:rPr>
          <w:color w:val="000000" w:themeColor="text1"/>
          <w:sz w:val="24"/>
          <w:szCs w:val="24"/>
        </w:rPr>
      </w:pPr>
      <w:r w:rsidRPr="003745EE">
        <w:rPr>
          <w:sz w:val="24"/>
          <w:szCs w:val="24"/>
        </w:rPr>
        <w:t>reliable and</w:t>
      </w:r>
      <w:r w:rsidR="00A412F2">
        <w:rPr>
          <w:sz w:val="24"/>
          <w:szCs w:val="24"/>
        </w:rPr>
        <w:t xml:space="preserve"> </w:t>
      </w:r>
      <w:r w:rsidRPr="003745EE">
        <w:rPr>
          <w:sz w:val="24"/>
          <w:szCs w:val="24"/>
        </w:rPr>
        <w:t xml:space="preserve">credible sources </w:t>
      </w:r>
      <w:r w:rsidR="00981806" w:rsidRPr="003745EE">
        <w:rPr>
          <w:sz w:val="24"/>
          <w:szCs w:val="24"/>
        </w:rPr>
        <w:t xml:space="preserve">to </w:t>
      </w:r>
      <w:r w:rsidR="00992F66" w:rsidRPr="003745EE">
        <w:rPr>
          <w:sz w:val="24"/>
          <w:szCs w:val="24"/>
        </w:rPr>
        <w:t>make decision</w:t>
      </w:r>
      <w:r w:rsidR="00CC7CE4" w:rsidRPr="003745EE">
        <w:rPr>
          <w:sz w:val="24"/>
          <w:szCs w:val="24"/>
        </w:rPr>
        <w:t>s</w:t>
      </w:r>
      <w:r w:rsidR="00992F66" w:rsidRPr="003745EE">
        <w:rPr>
          <w:sz w:val="24"/>
          <w:szCs w:val="24"/>
        </w:rPr>
        <w:t xml:space="preserve"> and inform practice</w:t>
      </w:r>
      <w:r w:rsidR="00CC7CE4" w:rsidRPr="003745EE">
        <w:rPr>
          <w:sz w:val="24"/>
          <w:szCs w:val="24"/>
        </w:rPr>
        <w:t>s</w:t>
      </w:r>
      <w:r w:rsidR="00823CE1" w:rsidRPr="003745EE">
        <w:rPr>
          <w:color w:val="EE0000"/>
          <w:sz w:val="24"/>
          <w:szCs w:val="24"/>
        </w:rPr>
        <w:t xml:space="preserve"> </w:t>
      </w:r>
      <w:r w:rsidR="00823CE1" w:rsidRPr="003745EE">
        <w:rPr>
          <w:color w:val="000000" w:themeColor="text1"/>
          <w:sz w:val="24"/>
          <w:szCs w:val="24"/>
        </w:rPr>
        <w:t xml:space="preserve">(Waite et al., </w:t>
      </w:r>
    </w:p>
    <w:p w14:paraId="7C8D67F3" w14:textId="77777777" w:rsidR="00A412F2" w:rsidRDefault="00823CE1" w:rsidP="00884986">
      <w:pPr>
        <w:ind w:left="426" w:hanging="426"/>
        <w:contextualSpacing/>
        <w:jc w:val="both"/>
        <w:rPr>
          <w:color w:val="000000" w:themeColor="text1"/>
          <w:sz w:val="24"/>
          <w:szCs w:val="24"/>
        </w:rPr>
      </w:pPr>
      <w:r w:rsidRPr="003745EE">
        <w:rPr>
          <w:color w:val="000000" w:themeColor="text1"/>
          <w:sz w:val="24"/>
          <w:szCs w:val="24"/>
        </w:rPr>
        <w:t>2021, p.</w:t>
      </w:r>
      <w:r w:rsidR="00BE6B6D" w:rsidRPr="003745EE">
        <w:rPr>
          <w:color w:val="000000" w:themeColor="text1"/>
          <w:sz w:val="24"/>
          <w:szCs w:val="24"/>
        </w:rPr>
        <w:t>47</w:t>
      </w:r>
      <w:r w:rsidRPr="003745EE">
        <w:rPr>
          <w:color w:val="000000" w:themeColor="text1"/>
          <w:sz w:val="24"/>
          <w:szCs w:val="24"/>
        </w:rPr>
        <w:t>)</w:t>
      </w:r>
      <w:r w:rsidR="00BE6B6D" w:rsidRPr="003745EE">
        <w:rPr>
          <w:color w:val="000000" w:themeColor="text1"/>
          <w:sz w:val="24"/>
          <w:szCs w:val="24"/>
        </w:rPr>
        <w:t xml:space="preserve">. </w:t>
      </w:r>
      <w:r w:rsidR="001D7A6D" w:rsidRPr="003745EE">
        <w:rPr>
          <w:color w:val="000000" w:themeColor="text1"/>
          <w:sz w:val="24"/>
          <w:szCs w:val="24"/>
        </w:rPr>
        <w:t xml:space="preserve">Good decision making is the combination of </w:t>
      </w:r>
      <w:r w:rsidR="005B17B5" w:rsidRPr="003745EE">
        <w:rPr>
          <w:color w:val="000000" w:themeColor="text1"/>
          <w:sz w:val="24"/>
          <w:szCs w:val="24"/>
        </w:rPr>
        <w:t xml:space="preserve">“critical thinking and </w:t>
      </w:r>
      <w:r w:rsidR="00CC7CE4" w:rsidRPr="003745EE">
        <w:rPr>
          <w:color w:val="000000" w:themeColor="text1"/>
          <w:sz w:val="24"/>
          <w:szCs w:val="24"/>
        </w:rPr>
        <w:t xml:space="preserve">the use of </w:t>
      </w:r>
    </w:p>
    <w:p w14:paraId="586FDD91" w14:textId="4E21F0C1" w:rsidR="00A412F2" w:rsidRDefault="005B17B5" w:rsidP="00884986">
      <w:pPr>
        <w:ind w:left="426" w:hanging="426"/>
        <w:contextualSpacing/>
        <w:jc w:val="both"/>
        <w:rPr>
          <w:color w:val="000000" w:themeColor="text1"/>
          <w:sz w:val="24"/>
          <w:szCs w:val="24"/>
        </w:rPr>
      </w:pPr>
      <w:r w:rsidRPr="003745EE">
        <w:rPr>
          <w:color w:val="000000" w:themeColor="text1"/>
          <w:sz w:val="24"/>
          <w:szCs w:val="24"/>
        </w:rPr>
        <w:t>best available evidence”</w:t>
      </w:r>
      <w:r w:rsidR="0029750C" w:rsidRPr="003745EE">
        <w:rPr>
          <w:color w:val="000000" w:themeColor="text1"/>
          <w:sz w:val="24"/>
          <w:szCs w:val="24"/>
        </w:rPr>
        <w:t xml:space="preserve"> (Barends and Rousseau, 2018, p.2)</w:t>
      </w:r>
      <w:r w:rsidRPr="003745EE">
        <w:rPr>
          <w:color w:val="000000" w:themeColor="text1"/>
          <w:sz w:val="24"/>
          <w:szCs w:val="24"/>
        </w:rPr>
        <w:t xml:space="preserve">. </w:t>
      </w:r>
      <w:r w:rsidR="00A937A6" w:rsidRPr="003745EE">
        <w:rPr>
          <w:color w:val="000000" w:themeColor="text1"/>
          <w:sz w:val="24"/>
          <w:szCs w:val="24"/>
        </w:rPr>
        <w:t xml:space="preserve">Barends and </w:t>
      </w:r>
    </w:p>
    <w:p w14:paraId="057456CA" w14:textId="77777777" w:rsidR="00A412F2" w:rsidRDefault="00A937A6" w:rsidP="00884986">
      <w:pPr>
        <w:ind w:left="426" w:hanging="426"/>
        <w:contextualSpacing/>
        <w:jc w:val="both"/>
        <w:rPr>
          <w:color w:val="000000" w:themeColor="text1"/>
          <w:sz w:val="24"/>
          <w:szCs w:val="24"/>
        </w:rPr>
      </w:pPr>
      <w:r w:rsidRPr="003745EE">
        <w:rPr>
          <w:color w:val="000000" w:themeColor="text1"/>
          <w:sz w:val="24"/>
          <w:szCs w:val="24"/>
        </w:rPr>
        <w:t xml:space="preserve">Rousseau (2018, p.5) identified four sources of evidence to be </w:t>
      </w:r>
      <w:r w:rsidR="00E124FE" w:rsidRPr="003745EE">
        <w:rPr>
          <w:color w:val="000000" w:themeColor="text1"/>
          <w:sz w:val="24"/>
          <w:szCs w:val="24"/>
        </w:rPr>
        <w:t>considered</w:t>
      </w:r>
      <w:r w:rsidRPr="003745EE">
        <w:rPr>
          <w:color w:val="000000" w:themeColor="text1"/>
          <w:sz w:val="24"/>
          <w:szCs w:val="24"/>
        </w:rPr>
        <w:t xml:space="preserve"> before </w:t>
      </w:r>
    </w:p>
    <w:p w14:paraId="2DF9E3EB" w14:textId="77777777" w:rsidR="00A412F2" w:rsidRDefault="00A937A6" w:rsidP="00884986">
      <w:pPr>
        <w:ind w:left="426" w:hanging="426"/>
        <w:contextualSpacing/>
        <w:jc w:val="both"/>
        <w:rPr>
          <w:color w:val="000000" w:themeColor="text1"/>
          <w:sz w:val="24"/>
          <w:szCs w:val="24"/>
        </w:rPr>
      </w:pPr>
      <w:r w:rsidRPr="003745EE">
        <w:rPr>
          <w:color w:val="000000" w:themeColor="text1"/>
          <w:sz w:val="24"/>
          <w:szCs w:val="24"/>
        </w:rPr>
        <w:t xml:space="preserve">making </w:t>
      </w:r>
      <w:r w:rsidR="00B51214" w:rsidRPr="003745EE">
        <w:rPr>
          <w:color w:val="000000" w:themeColor="text1"/>
          <w:sz w:val="24"/>
          <w:szCs w:val="24"/>
        </w:rPr>
        <w:t xml:space="preserve">any </w:t>
      </w:r>
      <w:r w:rsidRPr="003745EE">
        <w:rPr>
          <w:color w:val="000000" w:themeColor="text1"/>
          <w:sz w:val="24"/>
          <w:szCs w:val="24"/>
        </w:rPr>
        <w:t>decisions, they are</w:t>
      </w:r>
      <w:r w:rsidR="00E8285E" w:rsidRPr="003745EE">
        <w:rPr>
          <w:color w:val="000000" w:themeColor="text1"/>
          <w:sz w:val="24"/>
          <w:szCs w:val="24"/>
        </w:rPr>
        <w:t xml:space="preserve"> </w:t>
      </w:r>
      <w:r w:rsidR="001D491A" w:rsidRPr="003745EE">
        <w:rPr>
          <w:color w:val="000000" w:themeColor="text1"/>
          <w:sz w:val="24"/>
          <w:szCs w:val="24"/>
        </w:rPr>
        <w:t>evidence</w:t>
      </w:r>
      <w:r w:rsidRPr="003745EE">
        <w:rPr>
          <w:color w:val="000000" w:themeColor="text1"/>
          <w:sz w:val="24"/>
          <w:szCs w:val="24"/>
        </w:rPr>
        <w:t xml:space="preserve"> from practitioner</w:t>
      </w:r>
      <w:r w:rsidR="00E8285E" w:rsidRPr="003745EE">
        <w:rPr>
          <w:color w:val="000000" w:themeColor="text1"/>
          <w:sz w:val="24"/>
          <w:szCs w:val="24"/>
        </w:rPr>
        <w:t>, t</w:t>
      </w:r>
      <w:r w:rsidRPr="003745EE">
        <w:rPr>
          <w:color w:val="000000" w:themeColor="text1"/>
          <w:sz w:val="24"/>
          <w:szCs w:val="24"/>
        </w:rPr>
        <w:t xml:space="preserve">he scientific research </w:t>
      </w:r>
    </w:p>
    <w:p w14:paraId="438C6B8D" w14:textId="0751D604" w:rsidR="000F49E7" w:rsidRDefault="00A937A6" w:rsidP="00884986">
      <w:pPr>
        <w:ind w:left="426" w:hanging="426"/>
        <w:contextualSpacing/>
        <w:jc w:val="both"/>
        <w:rPr>
          <w:color w:val="000000" w:themeColor="text1"/>
          <w:sz w:val="24"/>
          <w:szCs w:val="24"/>
        </w:rPr>
      </w:pPr>
      <w:r w:rsidRPr="003745EE">
        <w:rPr>
          <w:color w:val="000000" w:themeColor="text1"/>
          <w:sz w:val="24"/>
          <w:szCs w:val="24"/>
        </w:rPr>
        <w:t>literature</w:t>
      </w:r>
      <w:r w:rsidR="00E8285E" w:rsidRPr="003745EE">
        <w:rPr>
          <w:color w:val="000000" w:themeColor="text1"/>
          <w:sz w:val="24"/>
          <w:szCs w:val="24"/>
        </w:rPr>
        <w:t>, t</w:t>
      </w:r>
      <w:r w:rsidRPr="003745EE">
        <w:rPr>
          <w:color w:val="000000" w:themeColor="text1"/>
          <w:sz w:val="24"/>
          <w:szCs w:val="24"/>
        </w:rPr>
        <w:t xml:space="preserve">he organisation </w:t>
      </w:r>
      <w:r w:rsidR="006F4272" w:rsidRPr="003745EE">
        <w:rPr>
          <w:color w:val="000000" w:themeColor="text1"/>
          <w:sz w:val="24"/>
          <w:szCs w:val="24"/>
        </w:rPr>
        <w:t>and s</w:t>
      </w:r>
      <w:r w:rsidRPr="003745EE">
        <w:rPr>
          <w:color w:val="000000" w:themeColor="text1"/>
          <w:sz w:val="24"/>
          <w:szCs w:val="24"/>
        </w:rPr>
        <w:t>takeholders.</w:t>
      </w:r>
      <w:r w:rsidR="006F4272" w:rsidRPr="003745EE">
        <w:rPr>
          <w:color w:val="000000" w:themeColor="text1"/>
          <w:sz w:val="24"/>
          <w:szCs w:val="24"/>
        </w:rPr>
        <w:t xml:space="preserve"> </w:t>
      </w:r>
      <w:r w:rsidR="00A857FE" w:rsidRPr="003745EE">
        <w:rPr>
          <w:color w:val="000000" w:themeColor="text1"/>
          <w:sz w:val="24"/>
          <w:szCs w:val="24"/>
        </w:rPr>
        <w:t>CIPD (2025</w:t>
      </w:r>
      <w:r w:rsidR="000F49E7">
        <w:rPr>
          <w:color w:val="000000" w:themeColor="text1"/>
          <w:sz w:val="24"/>
          <w:szCs w:val="24"/>
        </w:rPr>
        <w:t>e</w:t>
      </w:r>
      <w:r w:rsidR="00A857FE" w:rsidRPr="003745EE">
        <w:rPr>
          <w:color w:val="000000" w:themeColor="text1"/>
          <w:sz w:val="24"/>
          <w:szCs w:val="24"/>
        </w:rPr>
        <w:t xml:space="preserve">) cautions </w:t>
      </w:r>
      <w:r w:rsidR="001F597A" w:rsidRPr="003745EE">
        <w:rPr>
          <w:color w:val="000000" w:themeColor="text1"/>
          <w:sz w:val="24"/>
          <w:szCs w:val="24"/>
        </w:rPr>
        <w:t>practitioners</w:t>
      </w:r>
      <w:r w:rsidR="000F49E7">
        <w:rPr>
          <w:color w:val="000000" w:themeColor="text1"/>
          <w:sz w:val="24"/>
          <w:szCs w:val="24"/>
        </w:rPr>
        <w:t xml:space="preserve"> </w:t>
      </w:r>
    </w:p>
    <w:p w14:paraId="37CA5A2C" w14:textId="77777777" w:rsidR="000F49E7" w:rsidRDefault="00A857FE" w:rsidP="00884986">
      <w:pPr>
        <w:ind w:left="426" w:hanging="426"/>
        <w:contextualSpacing/>
        <w:jc w:val="both"/>
        <w:rPr>
          <w:color w:val="000000" w:themeColor="text1"/>
          <w:sz w:val="24"/>
          <w:szCs w:val="24"/>
        </w:rPr>
      </w:pPr>
      <w:r w:rsidRPr="003745EE">
        <w:rPr>
          <w:color w:val="000000" w:themeColor="text1"/>
          <w:sz w:val="24"/>
          <w:szCs w:val="24"/>
        </w:rPr>
        <w:t>that evidence can be misleading in various ways.</w:t>
      </w:r>
      <w:r w:rsidR="001F597A" w:rsidRPr="003745EE">
        <w:rPr>
          <w:color w:val="000000" w:themeColor="text1"/>
          <w:sz w:val="24"/>
          <w:szCs w:val="24"/>
        </w:rPr>
        <w:t xml:space="preserve"> </w:t>
      </w:r>
      <w:r w:rsidR="006B1AF3" w:rsidRPr="003745EE">
        <w:rPr>
          <w:color w:val="000000" w:themeColor="text1"/>
          <w:sz w:val="24"/>
          <w:szCs w:val="24"/>
        </w:rPr>
        <w:t>For instance, w</w:t>
      </w:r>
      <w:r w:rsidR="00C336C1" w:rsidRPr="003745EE">
        <w:rPr>
          <w:color w:val="000000" w:themeColor="text1"/>
          <w:sz w:val="24"/>
          <w:szCs w:val="24"/>
        </w:rPr>
        <w:t xml:space="preserve">hile the </w:t>
      </w:r>
      <w:r w:rsidR="000D6313" w:rsidRPr="003745EE">
        <w:rPr>
          <w:color w:val="000000" w:themeColor="text1"/>
          <w:sz w:val="24"/>
          <w:szCs w:val="24"/>
        </w:rPr>
        <w:t>wide use of</w:t>
      </w:r>
      <w:r w:rsidR="000F49E7">
        <w:rPr>
          <w:color w:val="000000" w:themeColor="text1"/>
          <w:sz w:val="24"/>
          <w:szCs w:val="24"/>
        </w:rPr>
        <w:t xml:space="preserve"> </w:t>
      </w:r>
    </w:p>
    <w:p w14:paraId="293BE206" w14:textId="08ED2993" w:rsidR="000F49E7" w:rsidRDefault="000D6313" w:rsidP="00884986">
      <w:pPr>
        <w:ind w:left="426" w:hanging="426"/>
        <w:contextualSpacing/>
        <w:jc w:val="both"/>
        <w:rPr>
          <w:color w:val="000000" w:themeColor="text1"/>
          <w:sz w:val="24"/>
          <w:szCs w:val="24"/>
        </w:rPr>
      </w:pPr>
      <w:r w:rsidRPr="003745EE">
        <w:rPr>
          <w:color w:val="000000" w:themeColor="text1"/>
          <w:sz w:val="24"/>
          <w:szCs w:val="24"/>
        </w:rPr>
        <w:t>internet</w:t>
      </w:r>
      <w:r w:rsidR="00663889" w:rsidRPr="003745EE">
        <w:rPr>
          <w:color w:val="000000" w:themeColor="text1"/>
          <w:sz w:val="24"/>
          <w:szCs w:val="24"/>
        </w:rPr>
        <w:t xml:space="preserve"> has made information more </w:t>
      </w:r>
      <w:r w:rsidR="00147A81" w:rsidRPr="003745EE">
        <w:rPr>
          <w:color w:val="000000" w:themeColor="text1"/>
          <w:sz w:val="24"/>
          <w:szCs w:val="24"/>
        </w:rPr>
        <w:t>accessible;</w:t>
      </w:r>
      <w:r w:rsidR="00663889" w:rsidRPr="003745EE">
        <w:rPr>
          <w:color w:val="000000" w:themeColor="text1"/>
          <w:sz w:val="24"/>
          <w:szCs w:val="24"/>
        </w:rPr>
        <w:t xml:space="preserve"> practitioners</w:t>
      </w:r>
      <w:r w:rsidR="00446A27" w:rsidRPr="003745EE">
        <w:rPr>
          <w:color w:val="000000" w:themeColor="text1"/>
          <w:sz w:val="24"/>
          <w:szCs w:val="24"/>
        </w:rPr>
        <w:t xml:space="preserve"> need to be aware that</w:t>
      </w:r>
      <w:r w:rsidR="002B109C" w:rsidRPr="003745EE">
        <w:rPr>
          <w:color w:val="000000" w:themeColor="text1"/>
          <w:sz w:val="24"/>
          <w:szCs w:val="24"/>
        </w:rPr>
        <w:t xml:space="preserve"> </w:t>
      </w:r>
      <w:r w:rsidR="00B900F8" w:rsidRPr="003745EE">
        <w:rPr>
          <w:color w:val="000000" w:themeColor="text1"/>
          <w:sz w:val="24"/>
          <w:szCs w:val="24"/>
        </w:rPr>
        <w:t xml:space="preserve">the </w:t>
      </w:r>
    </w:p>
    <w:p w14:paraId="7B9D7EAB" w14:textId="77777777" w:rsidR="000F49E7" w:rsidRDefault="00B900F8" w:rsidP="00884986">
      <w:pPr>
        <w:ind w:left="426" w:hanging="426"/>
        <w:contextualSpacing/>
        <w:jc w:val="both"/>
        <w:rPr>
          <w:color w:val="000000" w:themeColor="text1"/>
          <w:sz w:val="24"/>
          <w:szCs w:val="24"/>
        </w:rPr>
      </w:pPr>
      <w:r w:rsidRPr="003745EE">
        <w:rPr>
          <w:color w:val="000000" w:themeColor="text1"/>
          <w:sz w:val="24"/>
          <w:szCs w:val="24"/>
        </w:rPr>
        <w:t>data you find on the internet can often be confl</w:t>
      </w:r>
      <w:r w:rsidR="00F44A17" w:rsidRPr="003745EE">
        <w:rPr>
          <w:color w:val="000000" w:themeColor="text1"/>
          <w:sz w:val="24"/>
          <w:szCs w:val="24"/>
        </w:rPr>
        <w:t>icting</w:t>
      </w:r>
      <w:r w:rsidR="001F1568" w:rsidRPr="003745EE">
        <w:rPr>
          <w:color w:val="000000" w:themeColor="text1"/>
          <w:sz w:val="24"/>
          <w:szCs w:val="24"/>
        </w:rPr>
        <w:t xml:space="preserve"> (Taylor and Woodhams, 2022,</w:t>
      </w:r>
    </w:p>
    <w:p w14:paraId="2524E998" w14:textId="77777777" w:rsidR="000F49E7" w:rsidRDefault="001F1568" w:rsidP="00884986">
      <w:pPr>
        <w:ind w:left="426" w:hanging="426"/>
        <w:contextualSpacing/>
        <w:jc w:val="both"/>
        <w:rPr>
          <w:color w:val="000000" w:themeColor="text1"/>
          <w:sz w:val="24"/>
          <w:szCs w:val="24"/>
        </w:rPr>
      </w:pPr>
      <w:r w:rsidRPr="003745EE">
        <w:rPr>
          <w:color w:val="000000" w:themeColor="text1"/>
          <w:sz w:val="24"/>
          <w:szCs w:val="24"/>
        </w:rPr>
        <w:t>p.123)</w:t>
      </w:r>
      <w:r w:rsidR="00F44A17" w:rsidRPr="003745EE">
        <w:rPr>
          <w:color w:val="000000" w:themeColor="text1"/>
          <w:sz w:val="24"/>
          <w:szCs w:val="24"/>
        </w:rPr>
        <w:t>.</w:t>
      </w:r>
      <w:r w:rsidR="000F49E7">
        <w:rPr>
          <w:color w:val="000000" w:themeColor="text1"/>
          <w:sz w:val="24"/>
          <w:szCs w:val="24"/>
        </w:rPr>
        <w:t xml:space="preserve"> </w:t>
      </w:r>
      <w:r w:rsidR="008F1F50" w:rsidRPr="003745EE">
        <w:rPr>
          <w:color w:val="000000" w:themeColor="text1"/>
          <w:sz w:val="24"/>
          <w:szCs w:val="24"/>
        </w:rPr>
        <w:t>One major concern when</w:t>
      </w:r>
      <w:r w:rsidR="005D403C" w:rsidRPr="003745EE">
        <w:rPr>
          <w:color w:val="000000" w:themeColor="text1"/>
          <w:sz w:val="24"/>
          <w:szCs w:val="24"/>
        </w:rPr>
        <w:t xml:space="preserve"> collecting evidence from practitioners is “selection </w:t>
      </w:r>
    </w:p>
    <w:p w14:paraId="559649BA" w14:textId="797E0B15" w:rsidR="000F49E7" w:rsidRDefault="005D403C" w:rsidP="00884986">
      <w:pPr>
        <w:ind w:left="426" w:hanging="426"/>
        <w:contextualSpacing/>
        <w:jc w:val="both"/>
        <w:rPr>
          <w:color w:val="000000" w:themeColor="text1"/>
          <w:sz w:val="24"/>
          <w:szCs w:val="24"/>
        </w:rPr>
      </w:pPr>
      <w:r w:rsidRPr="003745EE">
        <w:rPr>
          <w:color w:val="000000" w:themeColor="text1"/>
          <w:sz w:val="24"/>
          <w:szCs w:val="24"/>
        </w:rPr>
        <w:t>bias”</w:t>
      </w:r>
      <w:r w:rsidR="000F49E7">
        <w:rPr>
          <w:color w:val="000000" w:themeColor="text1"/>
          <w:sz w:val="24"/>
          <w:szCs w:val="24"/>
        </w:rPr>
        <w:t xml:space="preserve"> </w:t>
      </w:r>
      <w:r w:rsidR="00083BD5">
        <w:rPr>
          <w:color w:val="000000" w:themeColor="text1"/>
          <w:sz w:val="24"/>
          <w:szCs w:val="24"/>
        </w:rPr>
        <w:t>(</w:t>
      </w:r>
      <w:r w:rsidR="00505645" w:rsidRPr="003745EE">
        <w:rPr>
          <w:color w:val="000000" w:themeColor="text1"/>
          <w:sz w:val="24"/>
          <w:szCs w:val="24"/>
        </w:rPr>
        <w:t>Barends and Rousseau</w:t>
      </w:r>
      <w:r w:rsidR="00083BD5">
        <w:rPr>
          <w:color w:val="000000" w:themeColor="text1"/>
          <w:sz w:val="24"/>
          <w:szCs w:val="24"/>
        </w:rPr>
        <w:t xml:space="preserve">, </w:t>
      </w:r>
      <w:r w:rsidR="00505645" w:rsidRPr="003745EE">
        <w:rPr>
          <w:color w:val="000000" w:themeColor="text1"/>
          <w:sz w:val="24"/>
          <w:szCs w:val="24"/>
        </w:rPr>
        <w:t>2018, p.53)</w:t>
      </w:r>
      <w:r w:rsidRPr="003745EE">
        <w:rPr>
          <w:color w:val="000000" w:themeColor="text1"/>
          <w:sz w:val="24"/>
          <w:szCs w:val="24"/>
        </w:rPr>
        <w:t xml:space="preserve">, </w:t>
      </w:r>
      <w:r w:rsidR="00394CFD" w:rsidRPr="003745EE">
        <w:rPr>
          <w:color w:val="000000" w:themeColor="text1"/>
          <w:sz w:val="24"/>
          <w:szCs w:val="24"/>
        </w:rPr>
        <w:t xml:space="preserve">furthermore, </w:t>
      </w:r>
      <w:r w:rsidR="00F97407" w:rsidRPr="003745EE">
        <w:rPr>
          <w:color w:val="000000" w:themeColor="text1"/>
          <w:sz w:val="24"/>
          <w:szCs w:val="24"/>
        </w:rPr>
        <w:t>“best practice” in one</w:t>
      </w:r>
    </w:p>
    <w:p w14:paraId="03455527" w14:textId="301F98D0" w:rsidR="000F49E7" w:rsidRDefault="00F97407" w:rsidP="00884986">
      <w:pPr>
        <w:ind w:left="426" w:hanging="426"/>
        <w:contextualSpacing/>
        <w:jc w:val="both"/>
        <w:rPr>
          <w:color w:val="000000" w:themeColor="text1"/>
          <w:sz w:val="24"/>
          <w:szCs w:val="24"/>
        </w:rPr>
      </w:pPr>
      <w:r w:rsidRPr="003745EE">
        <w:rPr>
          <w:color w:val="000000" w:themeColor="text1"/>
          <w:sz w:val="24"/>
          <w:szCs w:val="24"/>
        </w:rPr>
        <w:t>organisation</w:t>
      </w:r>
      <w:r w:rsidR="000F49E7">
        <w:rPr>
          <w:color w:val="000000" w:themeColor="text1"/>
          <w:sz w:val="24"/>
          <w:szCs w:val="24"/>
        </w:rPr>
        <w:t xml:space="preserve"> </w:t>
      </w:r>
      <w:r w:rsidRPr="003745EE">
        <w:rPr>
          <w:color w:val="000000" w:themeColor="text1"/>
          <w:sz w:val="24"/>
          <w:szCs w:val="24"/>
        </w:rPr>
        <w:t xml:space="preserve">does not always </w:t>
      </w:r>
      <w:r w:rsidR="0055450B" w:rsidRPr="003745EE">
        <w:rPr>
          <w:color w:val="000000" w:themeColor="text1"/>
          <w:sz w:val="24"/>
          <w:szCs w:val="24"/>
        </w:rPr>
        <w:t>prove</w:t>
      </w:r>
      <w:r w:rsidR="00AB78DF" w:rsidRPr="003745EE">
        <w:rPr>
          <w:color w:val="000000" w:themeColor="text1"/>
          <w:sz w:val="24"/>
          <w:szCs w:val="24"/>
        </w:rPr>
        <w:t xml:space="preserve"> to be effective in a different conte</w:t>
      </w:r>
      <w:r w:rsidR="00136FCF" w:rsidRPr="003745EE">
        <w:rPr>
          <w:color w:val="000000" w:themeColor="text1"/>
          <w:sz w:val="24"/>
          <w:szCs w:val="24"/>
        </w:rPr>
        <w:t>xt</w:t>
      </w:r>
      <w:r w:rsidR="00394CFD" w:rsidRPr="003745EE">
        <w:rPr>
          <w:color w:val="000000" w:themeColor="text1"/>
          <w:sz w:val="24"/>
          <w:szCs w:val="24"/>
        </w:rPr>
        <w:t xml:space="preserve"> </w:t>
      </w:r>
      <w:r w:rsidR="00083BD5" w:rsidRPr="00083BD5">
        <w:rPr>
          <w:color w:val="000000" w:themeColor="text1"/>
          <w:sz w:val="24"/>
          <w:szCs w:val="24"/>
        </w:rPr>
        <w:t>(</w:t>
      </w:r>
      <w:r w:rsidR="00394CFD" w:rsidRPr="00083BD5">
        <w:rPr>
          <w:color w:val="000000" w:themeColor="text1"/>
          <w:sz w:val="24"/>
          <w:szCs w:val="24"/>
        </w:rPr>
        <w:t>B</w:t>
      </w:r>
      <w:r w:rsidR="00394CFD" w:rsidRPr="003745EE">
        <w:rPr>
          <w:color w:val="000000" w:themeColor="text1"/>
          <w:sz w:val="24"/>
          <w:szCs w:val="24"/>
        </w:rPr>
        <w:t xml:space="preserve">arends and </w:t>
      </w:r>
    </w:p>
    <w:p w14:paraId="76DC8A14" w14:textId="77777777" w:rsidR="00147A81" w:rsidRDefault="00394CFD" w:rsidP="00884986">
      <w:pPr>
        <w:ind w:left="426" w:hanging="426"/>
        <w:contextualSpacing/>
        <w:jc w:val="both"/>
        <w:rPr>
          <w:color w:val="000000" w:themeColor="text1"/>
          <w:sz w:val="24"/>
          <w:szCs w:val="24"/>
        </w:rPr>
      </w:pPr>
      <w:r w:rsidRPr="003745EE">
        <w:rPr>
          <w:color w:val="000000" w:themeColor="text1"/>
          <w:sz w:val="24"/>
          <w:szCs w:val="24"/>
        </w:rPr>
        <w:t>Rousseau</w:t>
      </w:r>
      <w:r w:rsidR="00083BD5">
        <w:rPr>
          <w:color w:val="000000" w:themeColor="text1"/>
          <w:sz w:val="24"/>
          <w:szCs w:val="24"/>
        </w:rPr>
        <w:t xml:space="preserve">, </w:t>
      </w:r>
      <w:r w:rsidRPr="003745EE">
        <w:rPr>
          <w:color w:val="000000" w:themeColor="text1"/>
          <w:sz w:val="24"/>
          <w:szCs w:val="24"/>
        </w:rPr>
        <w:t>2018, p.4).</w:t>
      </w:r>
      <w:r w:rsidR="00147A81">
        <w:rPr>
          <w:color w:val="000000" w:themeColor="text1"/>
          <w:sz w:val="24"/>
          <w:szCs w:val="24"/>
        </w:rPr>
        <w:t xml:space="preserve"> </w:t>
      </w:r>
      <w:r w:rsidR="00A6101D" w:rsidRPr="003745EE">
        <w:rPr>
          <w:color w:val="000000" w:themeColor="text1"/>
          <w:sz w:val="24"/>
          <w:szCs w:val="24"/>
        </w:rPr>
        <w:t xml:space="preserve">Decisions made </w:t>
      </w:r>
      <w:r w:rsidR="0057596A" w:rsidRPr="003745EE">
        <w:rPr>
          <w:color w:val="000000" w:themeColor="text1"/>
          <w:sz w:val="24"/>
          <w:szCs w:val="24"/>
        </w:rPr>
        <w:t xml:space="preserve">based solely </w:t>
      </w:r>
      <w:r w:rsidR="00A1508B" w:rsidRPr="003745EE">
        <w:rPr>
          <w:color w:val="000000" w:themeColor="text1"/>
          <w:sz w:val="24"/>
          <w:szCs w:val="24"/>
        </w:rPr>
        <w:t>on one’s individual opinion</w:t>
      </w:r>
      <w:r w:rsidR="00F815FA" w:rsidRPr="003745EE">
        <w:rPr>
          <w:color w:val="000000" w:themeColor="text1"/>
          <w:sz w:val="24"/>
          <w:szCs w:val="24"/>
        </w:rPr>
        <w:t xml:space="preserve"> is likely </w:t>
      </w:r>
    </w:p>
    <w:p w14:paraId="6B6E035B" w14:textId="77777777" w:rsidR="00147A81" w:rsidRDefault="00F815FA" w:rsidP="00884986">
      <w:pPr>
        <w:ind w:left="426" w:hanging="426"/>
        <w:contextualSpacing/>
        <w:jc w:val="both"/>
        <w:rPr>
          <w:color w:val="000000" w:themeColor="text1"/>
          <w:sz w:val="24"/>
          <w:szCs w:val="24"/>
        </w:rPr>
      </w:pPr>
      <w:r w:rsidRPr="003745EE">
        <w:rPr>
          <w:color w:val="000000" w:themeColor="text1"/>
          <w:sz w:val="24"/>
          <w:szCs w:val="24"/>
        </w:rPr>
        <w:t>to be risky (Waite et al., 2021, p.47).</w:t>
      </w:r>
      <w:r w:rsidR="006C4713" w:rsidRPr="003745EE">
        <w:rPr>
          <w:color w:val="000000" w:themeColor="text1"/>
          <w:sz w:val="24"/>
          <w:szCs w:val="24"/>
        </w:rPr>
        <w:t xml:space="preserve"> EBP is </w:t>
      </w:r>
      <w:r w:rsidR="003E45F8" w:rsidRPr="003745EE">
        <w:rPr>
          <w:color w:val="000000" w:themeColor="text1"/>
          <w:sz w:val="24"/>
          <w:szCs w:val="24"/>
        </w:rPr>
        <w:t xml:space="preserve">essential </w:t>
      </w:r>
      <w:r w:rsidR="00F71E97" w:rsidRPr="003745EE">
        <w:rPr>
          <w:color w:val="000000" w:themeColor="text1"/>
          <w:sz w:val="24"/>
          <w:szCs w:val="24"/>
        </w:rPr>
        <w:t xml:space="preserve">for </w:t>
      </w:r>
      <w:r w:rsidR="009D4EB5" w:rsidRPr="003745EE">
        <w:rPr>
          <w:color w:val="000000" w:themeColor="text1"/>
          <w:sz w:val="24"/>
          <w:szCs w:val="24"/>
        </w:rPr>
        <w:t xml:space="preserve">HR practitioners </w:t>
      </w:r>
      <w:r w:rsidR="003E45F8" w:rsidRPr="003745EE">
        <w:rPr>
          <w:color w:val="000000" w:themeColor="text1"/>
          <w:sz w:val="24"/>
          <w:szCs w:val="24"/>
        </w:rPr>
        <w:t>to</w:t>
      </w:r>
      <w:r w:rsidR="00E04566" w:rsidRPr="003745EE">
        <w:rPr>
          <w:color w:val="000000" w:themeColor="text1"/>
          <w:sz w:val="24"/>
          <w:szCs w:val="24"/>
        </w:rPr>
        <w:t xml:space="preserve"> ensure </w:t>
      </w:r>
    </w:p>
    <w:p w14:paraId="2CECF292" w14:textId="05AA2585" w:rsidR="005E3486" w:rsidRPr="003745EE" w:rsidRDefault="00E04566" w:rsidP="00884986">
      <w:pPr>
        <w:ind w:left="426" w:hanging="426"/>
        <w:contextualSpacing/>
        <w:jc w:val="both"/>
        <w:rPr>
          <w:color w:val="000000" w:themeColor="text1"/>
          <w:sz w:val="24"/>
          <w:szCs w:val="24"/>
        </w:rPr>
      </w:pPr>
      <w:r w:rsidRPr="003745EE">
        <w:rPr>
          <w:color w:val="000000" w:themeColor="text1"/>
          <w:sz w:val="24"/>
          <w:szCs w:val="24"/>
        </w:rPr>
        <w:t xml:space="preserve">their decisions </w:t>
      </w:r>
      <w:r w:rsidR="004A7DA7" w:rsidRPr="003745EE">
        <w:rPr>
          <w:sz w:val="24"/>
          <w:szCs w:val="24"/>
        </w:rPr>
        <w:t>can stand up to scrutiny</w:t>
      </w:r>
      <w:r w:rsidR="00ED67E4" w:rsidRPr="003745EE">
        <w:rPr>
          <w:sz w:val="24"/>
          <w:szCs w:val="24"/>
        </w:rPr>
        <w:t xml:space="preserve"> (</w:t>
      </w:r>
      <w:r w:rsidR="00ED67E4" w:rsidRPr="003745EE">
        <w:rPr>
          <w:color w:val="000000" w:themeColor="text1"/>
          <w:sz w:val="24"/>
          <w:szCs w:val="24"/>
        </w:rPr>
        <w:t>Taylor and Woodhams, 2022, p.123</w:t>
      </w:r>
      <w:r w:rsidR="00CE22C1" w:rsidRPr="003745EE">
        <w:rPr>
          <w:rFonts w:eastAsia="Microsoft YaHei"/>
          <w:color w:val="000000" w:themeColor="text1"/>
          <w:sz w:val="24"/>
          <w:szCs w:val="24"/>
          <w:lang w:eastAsia="zh-CN"/>
        </w:rPr>
        <w:t>)</w:t>
      </w:r>
      <w:r w:rsidR="00ED67E4" w:rsidRPr="003745EE">
        <w:rPr>
          <w:color w:val="000000" w:themeColor="text1"/>
          <w:sz w:val="24"/>
          <w:szCs w:val="24"/>
        </w:rPr>
        <w:t>.</w:t>
      </w:r>
    </w:p>
    <w:p w14:paraId="7C4C779C" w14:textId="77777777" w:rsidR="001129CC" w:rsidRPr="003745EE" w:rsidRDefault="001129CC" w:rsidP="00147A81">
      <w:pPr>
        <w:jc w:val="both"/>
        <w:rPr>
          <w:rFonts w:eastAsiaTheme="minorEastAsia"/>
          <w:color w:val="000000" w:themeColor="text1"/>
          <w:sz w:val="24"/>
          <w:szCs w:val="24"/>
          <w:lang w:eastAsia="zh-CN"/>
        </w:rPr>
      </w:pPr>
    </w:p>
    <w:p w14:paraId="5C99A2B3" w14:textId="18E87E75" w:rsidR="00091C87" w:rsidRPr="003745EE" w:rsidRDefault="00FF1E65" w:rsidP="00147A81">
      <w:pPr>
        <w:jc w:val="both"/>
        <w:rPr>
          <w:rFonts w:eastAsiaTheme="minorEastAsia"/>
          <w:color w:val="000000" w:themeColor="text1"/>
          <w:sz w:val="24"/>
          <w:szCs w:val="24"/>
          <w:lang w:eastAsia="zh-CN"/>
        </w:rPr>
      </w:pPr>
      <w:r w:rsidRPr="003745EE">
        <w:rPr>
          <w:color w:val="000000" w:themeColor="text1"/>
          <w:sz w:val="24"/>
          <w:szCs w:val="24"/>
        </w:rPr>
        <w:t>As the board of Technivara is now looking at expanding the business</w:t>
      </w:r>
      <w:r w:rsidR="009E4F9B" w:rsidRPr="003745EE">
        <w:rPr>
          <w:color w:val="000000" w:themeColor="text1"/>
          <w:sz w:val="24"/>
          <w:szCs w:val="24"/>
        </w:rPr>
        <w:t>,</w:t>
      </w:r>
      <w:r w:rsidR="00553E16" w:rsidRPr="003745EE">
        <w:rPr>
          <w:color w:val="000000" w:themeColor="text1"/>
          <w:sz w:val="24"/>
          <w:szCs w:val="24"/>
        </w:rPr>
        <w:t xml:space="preserve"> </w:t>
      </w:r>
      <w:r w:rsidRPr="003745EE">
        <w:rPr>
          <w:color w:val="000000" w:themeColor="text1"/>
          <w:sz w:val="24"/>
          <w:szCs w:val="24"/>
        </w:rPr>
        <w:t xml:space="preserve">it would be helpful for the People Practice </w:t>
      </w:r>
      <w:r w:rsidR="002805ED" w:rsidRPr="003745EE">
        <w:rPr>
          <w:color w:val="000000" w:themeColor="text1"/>
          <w:sz w:val="24"/>
          <w:szCs w:val="24"/>
        </w:rPr>
        <w:t xml:space="preserve">Manager </w:t>
      </w:r>
      <w:r w:rsidRPr="003745EE">
        <w:rPr>
          <w:color w:val="000000" w:themeColor="text1"/>
          <w:sz w:val="24"/>
          <w:szCs w:val="24"/>
        </w:rPr>
        <w:t xml:space="preserve">Sue to use best available evidence and critically analyse the data gathered to support </w:t>
      </w:r>
      <w:r w:rsidR="003312BD" w:rsidRPr="003745EE">
        <w:rPr>
          <w:color w:val="000000" w:themeColor="text1"/>
          <w:sz w:val="24"/>
          <w:szCs w:val="24"/>
        </w:rPr>
        <w:t>any findings or suggestions</w:t>
      </w:r>
      <w:r w:rsidRPr="003745EE">
        <w:rPr>
          <w:color w:val="000000" w:themeColor="text1"/>
          <w:sz w:val="24"/>
          <w:szCs w:val="24"/>
        </w:rPr>
        <w:t xml:space="preserve">.  </w:t>
      </w:r>
      <w:r w:rsidR="001B662E" w:rsidRPr="003745EE">
        <w:rPr>
          <w:color w:val="000000" w:themeColor="text1"/>
          <w:sz w:val="24"/>
          <w:szCs w:val="24"/>
        </w:rPr>
        <w:t xml:space="preserve">One example that Technivara could use EBP </w:t>
      </w:r>
      <w:r w:rsidR="002B52E8" w:rsidRPr="003745EE">
        <w:rPr>
          <w:color w:val="000000" w:themeColor="text1"/>
          <w:sz w:val="24"/>
          <w:szCs w:val="24"/>
        </w:rPr>
        <w:t xml:space="preserve">practice </w:t>
      </w:r>
      <w:r w:rsidR="001B662E" w:rsidRPr="003745EE">
        <w:rPr>
          <w:color w:val="000000" w:themeColor="text1"/>
          <w:sz w:val="24"/>
          <w:szCs w:val="24"/>
        </w:rPr>
        <w:t>is on its reward package.</w:t>
      </w:r>
      <w:r w:rsidR="001B662E" w:rsidRPr="003745EE">
        <w:rPr>
          <w:rFonts w:eastAsiaTheme="minorEastAsia"/>
          <w:color w:val="000000" w:themeColor="text1"/>
          <w:sz w:val="24"/>
          <w:szCs w:val="24"/>
          <w:lang w:eastAsia="zh-CN"/>
        </w:rPr>
        <w:t xml:space="preserve"> </w:t>
      </w:r>
      <w:r w:rsidR="008C42E8" w:rsidRPr="003745EE">
        <w:rPr>
          <w:rFonts w:eastAsiaTheme="minorEastAsia"/>
          <w:color w:val="000000" w:themeColor="text1"/>
          <w:sz w:val="24"/>
          <w:szCs w:val="24"/>
          <w:lang w:eastAsia="zh-CN"/>
        </w:rPr>
        <w:t xml:space="preserve">When applying EBP practice, </w:t>
      </w:r>
      <w:r w:rsidR="00CC3330" w:rsidRPr="003745EE">
        <w:rPr>
          <w:color w:val="000000" w:themeColor="text1"/>
          <w:sz w:val="24"/>
          <w:szCs w:val="24"/>
        </w:rPr>
        <w:t xml:space="preserve">the People Practice Manager Sue </w:t>
      </w:r>
      <w:r w:rsidR="00C735FF" w:rsidRPr="003745EE">
        <w:rPr>
          <w:color w:val="000000" w:themeColor="text1"/>
          <w:sz w:val="24"/>
          <w:szCs w:val="24"/>
        </w:rPr>
        <w:t xml:space="preserve">could </w:t>
      </w:r>
      <w:r w:rsidR="00AB11F1" w:rsidRPr="003745EE">
        <w:rPr>
          <w:color w:val="000000" w:themeColor="text1"/>
          <w:sz w:val="24"/>
          <w:szCs w:val="24"/>
        </w:rPr>
        <w:t xml:space="preserve">review available literature </w:t>
      </w:r>
      <w:r w:rsidR="00552143" w:rsidRPr="003745EE">
        <w:rPr>
          <w:color w:val="000000" w:themeColor="text1"/>
          <w:sz w:val="24"/>
          <w:szCs w:val="24"/>
        </w:rPr>
        <w:t xml:space="preserve">on what </w:t>
      </w:r>
      <w:r w:rsidR="00584270" w:rsidRPr="003745EE">
        <w:rPr>
          <w:color w:val="000000" w:themeColor="text1"/>
          <w:sz w:val="24"/>
          <w:szCs w:val="24"/>
        </w:rPr>
        <w:t xml:space="preserve">is likely to improve the effectiveness of </w:t>
      </w:r>
      <w:r w:rsidR="00670AFD" w:rsidRPr="003745EE">
        <w:rPr>
          <w:color w:val="000000" w:themeColor="text1"/>
          <w:sz w:val="24"/>
          <w:szCs w:val="24"/>
        </w:rPr>
        <w:t xml:space="preserve">reward packages. </w:t>
      </w:r>
      <w:r w:rsidR="00437FBB" w:rsidRPr="003745EE">
        <w:rPr>
          <w:color w:val="000000" w:themeColor="text1"/>
          <w:sz w:val="24"/>
          <w:szCs w:val="24"/>
        </w:rPr>
        <w:t xml:space="preserve">Sue has been working at Technivara for over eight years, she has the “tacit” knowledge of the </w:t>
      </w:r>
      <w:r w:rsidR="005C5DEE" w:rsidRPr="003745EE">
        <w:rPr>
          <w:color w:val="000000" w:themeColor="text1"/>
          <w:sz w:val="24"/>
          <w:szCs w:val="24"/>
        </w:rPr>
        <w:t>r</w:t>
      </w:r>
      <w:r w:rsidR="00437FBB" w:rsidRPr="003745EE">
        <w:rPr>
          <w:color w:val="000000" w:themeColor="text1"/>
          <w:sz w:val="24"/>
          <w:szCs w:val="24"/>
        </w:rPr>
        <w:t>eward package programme at Technivara from reflecting the “knowledge acquired by repeated experience” (Barends and Rousseau, 2018, p.6).</w:t>
      </w:r>
      <w:r w:rsidR="00435F9F" w:rsidRPr="003745EE">
        <w:rPr>
          <w:color w:val="000000" w:themeColor="text1"/>
          <w:sz w:val="24"/>
          <w:szCs w:val="24"/>
        </w:rPr>
        <w:t xml:space="preserve"> Sue </w:t>
      </w:r>
      <w:r w:rsidR="005F23A8" w:rsidRPr="003745EE">
        <w:rPr>
          <w:color w:val="000000" w:themeColor="text1"/>
          <w:sz w:val="24"/>
          <w:szCs w:val="24"/>
        </w:rPr>
        <w:t>coul</w:t>
      </w:r>
      <w:r w:rsidR="00435F9F" w:rsidRPr="003745EE">
        <w:rPr>
          <w:color w:val="000000" w:themeColor="text1"/>
          <w:sz w:val="24"/>
          <w:szCs w:val="24"/>
        </w:rPr>
        <w:t xml:space="preserve">d also consider data from Technivara in terms of </w:t>
      </w:r>
      <w:r w:rsidR="00FD4311" w:rsidRPr="003745EE">
        <w:rPr>
          <w:color w:val="000000" w:themeColor="text1"/>
          <w:sz w:val="24"/>
          <w:szCs w:val="24"/>
        </w:rPr>
        <w:t>current reward packages</w:t>
      </w:r>
      <w:r w:rsidR="005C5DEE" w:rsidRPr="003745EE">
        <w:rPr>
          <w:color w:val="000000" w:themeColor="text1"/>
          <w:sz w:val="24"/>
          <w:szCs w:val="24"/>
        </w:rPr>
        <w:t xml:space="preserve"> such as pay scales and </w:t>
      </w:r>
      <w:r w:rsidR="001418CB" w:rsidRPr="003745EE">
        <w:rPr>
          <w:color w:val="000000" w:themeColor="text1"/>
          <w:sz w:val="24"/>
          <w:szCs w:val="24"/>
        </w:rPr>
        <w:t>employee benefits,</w:t>
      </w:r>
      <w:r w:rsidR="00C37937" w:rsidRPr="003745EE">
        <w:rPr>
          <w:color w:val="000000" w:themeColor="text1"/>
          <w:sz w:val="24"/>
          <w:szCs w:val="24"/>
        </w:rPr>
        <w:t xml:space="preserve"> as well as available </w:t>
      </w:r>
      <w:r w:rsidR="009017AE" w:rsidRPr="003745EE">
        <w:rPr>
          <w:color w:val="000000" w:themeColor="text1"/>
          <w:sz w:val="24"/>
          <w:szCs w:val="24"/>
        </w:rPr>
        <w:t xml:space="preserve">budget for future reward packages. </w:t>
      </w:r>
      <w:r w:rsidR="007163D2" w:rsidRPr="003745EE">
        <w:rPr>
          <w:color w:val="000000"/>
          <w:sz w:val="24"/>
          <w:szCs w:val="24"/>
        </w:rPr>
        <w:t xml:space="preserve">Finally, gather input from </w:t>
      </w:r>
      <w:r w:rsidR="00B15D4C" w:rsidRPr="003745EE">
        <w:rPr>
          <w:color w:val="000000"/>
          <w:sz w:val="24"/>
          <w:szCs w:val="24"/>
        </w:rPr>
        <w:t xml:space="preserve">different stakeholders such as </w:t>
      </w:r>
      <w:r w:rsidR="007163D2" w:rsidRPr="003745EE">
        <w:rPr>
          <w:color w:val="000000"/>
          <w:sz w:val="24"/>
          <w:szCs w:val="24"/>
        </w:rPr>
        <w:t xml:space="preserve">management and staff to connect reward systems </w:t>
      </w:r>
      <w:r w:rsidR="00E72A1B" w:rsidRPr="003745EE">
        <w:rPr>
          <w:color w:val="000000"/>
          <w:sz w:val="24"/>
          <w:szCs w:val="24"/>
        </w:rPr>
        <w:t xml:space="preserve">with </w:t>
      </w:r>
      <w:r w:rsidR="009927C0" w:rsidRPr="003745EE">
        <w:rPr>
          <w:color w:val="000000"/>
          <w:sz w:val="24"/>
          <w:szCs w:val="24"/>
        </w:rPr>
        <w:t xml:space="preserve">incentives </w:t>
      </w:r>
      <w:r w:rsidR="00E72A1B" w:rsidRPr="003745EE">
        <w:rPr>
          <w:color w:val="000000"/>
          <w:sz w:val="24"/>
          <w:szCs w:val="24"/>
        </w:rPr>
        <w:t xml:space="preserve">to </w:t>
      </w:r>
      <w:r w:rsidR="00F7029A" w:rsidRPr="003745EE">
        <w:rPr>
          <w:color w:val="000000"/>
          <w:sz w:val="24"/>
          <w:szCs w:val="24"/>
        </w:rPr>
        <w:t xml:space="preserve">promote desired behaviours and </w:t>
      </w:r>
      <w:r w:rsidR="009927C0" w:rsidRPr="003745EE">
        <w:rPr>
          <w:color w:val="000000"/>
          <w:sz w:val="24"/>
          <w:szCs w:val="24"/>
        </w:rPr>
        <w:t xml:space="preserve">drive </w:t>
      </w:r>
      <w:r w:rsidR="00CB1EE0" w:rsidRPr="003745EE">
        <w:rPr>
          <w:color w:val="000000" w:themeColor="text1"/>
          <w:sz w:val="24"/>
          <w:szCs w:val="24"/>
        </w:rPr>
        <w:t xml:space="preserve">overall organisational </w:t>
      </w:r>
      <w:r w:rsidR="00F7029A" w:rsidRPr="003745EE">
        <w:rPr>
          <w:color w:val="000000"/>
          <w:sz w:val="24"/>
          <w:szCs w:val="24"/>
        </w:rPr>
        <w:t xml:space="preserve">performance </w:t>
      </w:r>
      <w:r w:rsidR="00EB7EE9" w:rsidRPr="003745EE">
        <w:rPr>
          <w:color w:val="000000" w:themeColor="text1"/>
          <w:sz w:val="24"/>
          <w:szCs w:val="24"/>
        </w:rPr>
        <w:t>(Waite et al., 2021, p.204).</w:t>
      </w:r>
      <w:r w:rsidR="00912A21" w:rsidRPr="003745EE">
        <w:rPr>
          <w:color w:val="000000" w:themeColor="text1"/>
          <w:sz w:val="24"/>
          <w:szCs w:val="24"/>
        </w:rPr>
        <w:t xml:space="preserve"> </w:t>
      </w:r>
    </w:p>
    <w:p w14:paraId="34163716" w14:textId="77777777" w:rsidR="00AA1526" w:rsidRPr="003745EE" w:rsidRDefault="00AA1526" w:rsidP="00147A81">
      <w:pPr>
        <w:jc w:val="both"/>
        <w:rPr>
          <w:color w:val="000000" w:themeColor="text1"/>
          <w:sz w:val="24"/>
          <w:szCs w:val="24"/>
        </w:rPr>
      </w:pPr>
    </w:p>
    <w:p w14:paraId="08A6E371" w14:textId="6DE5BEC1" w:rsidR="00DB0318" w:rsidRPr="00EC0366" w:rsidRDefault="0028497A" w:rsidP="00147A81">
      <w:pPr>
        <w:jc w:val="both"/>
        <w:rPr>
          <w:rFonts w:eastAsiaTheme="minorEastAsia"/>
          <w:color w:val="000000" w:themeColor="text1"/>
          <w:sz w:val="24"/>
          <w:szCs w:val="24"/>
          <w:lang w:eastAsia="zh-CN"/>
        </w:rPr>
      </w:pPr>
      <w:r w:rsidRPr="003745EE">
        <w:rPr>
          <w:color w:val="000000" w:themeColor="text1"/>
          <w:sz w:val="24"/>
          <w:szCs w:val="24"/>
        </w:rPr>
        <w:t>Another example could be the Learning and Development (L&amp;D) practices.</w:t>
      </w:r>
      <w:r w:rsidR="00156BC9" w:rsidRPr="003745EE">
        <w:rPr>
          <w:color w:val="000000" w:themeColor="text1"/>
          <w:sz w:val="24"/>
          <w:szCs w:val="24"/>
        </w:rPr>
        <w:t xml:space="preserve"> In addition to review relevant literature</w:t>
      </w:r>
      <w:r w:rsidR="001079B1" w:rsidRPr="003745EE">
        <w:rPr>
          <w:color w:val="000000" w:themeColor="text1"/>
          <w:sz w:val="24"/>
          <w:szCs w:val="24"/>
        </w:rPr>
        <w:t xml:space="preserve"> and apply her own </w:t>
      </w:r>
      <w:r w:rsidR="00AF6E64" w:rsidRPr="003745EE">
        <w:rPr>
          <w:color w:val="000000" w:themeColor="text1"/>
          <w:sz w:val="24"/>
          <w:szCs w:val="24"/>
        </w:rPr>
        <w:t xml:space="preserve">knowledge on the subject, </w:t>
      </w:r>
      <w:r w:rsidR="00156BC9" w:rsidRPr="003745EE">
        <w:rPr>
          <w:color w:val="000000" w:themeColor="text1"/>
          <w:sz w:val="24"/>
          <w:szCs w:val="24"/>
        </w:rPr>
        <w:t xml:space="preserve">Sue could collect data </w:t>
      </w:r>
      <w:r w:rsidR="00AF6E64" w:rsidRPr="003745EE">
        <w:rPr>
          <w:color w:val="000000" w:themeColor="text1"/>
          <w:sz w:val="24"/>
          <w:szCs w:val="24"/>
        </w:rPr>
        <w:t>on effective</w:t>
      </w:r>
      <w:r w:rsidR="004F0CB0" w:rsidRPr="003745EE">
        <w:rPr>
          <w:color w:val="000000" w:themeColor="text1"/>
          <w:sz w:val="24"/>
          <w:szCs w:val="24"/>
        </w:rPr>
        <w:t>ness</w:t>
      </w:r>
      <w:r w:rsidR="00AF6E64" w:rsidRPr="003745EE">
        <w:rPr>
          <w:color w:val="000000" w:themeColor="text1"/>
          <w:sz w:val="24"/>
          <w:szCs w:val="24"/>
        </w:rPr>
        <w:t xml:space="preserve"> of L&amp;D activities in terms of </w:t>
      </w:r>
      <w:r w:rsidR="00B06492" w:rsidRPr="003745EE">
        <w:rPr>
          <w:color w:val="000000" w:themeColor="text1"/>
          <w:sz w:val="24"/>
          <w:szCs w:val="24"/>
        </w:rPr>
        <w:t xml:space="preserve">engagement </w:t>
      </w:r>
      <w:r w:rsidR="004F0CB0" w:rsidRPr="003745EE">
        <w:rPr>
          <w:color w:val="000000" w:themeColor="text1"/>
          <w:sz w:val="24"/>
          <w:szCs w:val="24"/>
        </w:rPr>
        <w:t>rate</w:t>
      </w:r>
      <w:r w:rsidR="00BC2F18" w:rsidRPr="003745EE">
        <w:rPr>
          <w:color w:val="000000" w:themeColor="text1"/>
          <w:sz w:val="24"/>
          <w:szCs w:val="24"/>
        </w:rPr>
        <w:t xml:space="preserve"> and reflect on feedback. </w:t>
      </w:r>
      <w:r w:rsidR="008E1A51" w:rsidRPr="003745EE">
        <w:rPr>
          <w:color w:val="000000" w:themeColor="text1"/>
          <w:sz w:val="24"/>
          <w:szCs w:val="24"/>
        </w:rPr>
        <w:t xml:space="preserve">Sue </w:t>
      </w:r>
      <w:r w:rsidR="0062730A" w:rsidRPr="003745EE">
        <w:rPr>
          <w:color w:val="000000" w:themeColor="text1"/>
          <w:sz w:val="24"/>
          <w:szCs w:val="24"/>
        </w:rPr>
        <w:t xml:space="preserve">could </w:t>
      </w:r>
      <w:r w:rsidR="003C55BF" w:rsidRPr="003745EE">
        <w:rPr>
          <w:color w:val="000000" w:themeColor="text1"/>
          <w:sz w:val="24"/>
          <w:szCs w:val="24"/>
        </w:rPr>
        <w:t xml:space="preserve">collaborate with the business leaders </w:t>
      </w:r>
      <w:r w:rsidR="00394276" w:rsidRPr="003745EE">
        <w:rPr>
          <w:color w:val="000000" w:themeColor="text1"/>
          <w:sz w:val="24"/>
          <w:szCs w:val="24"/>
        </w:rPr>
        <w:t xml:space="preserve">to gain insight into the </w:t>
      </w:r>
      <w:r w:rsidR="00BD5D1C" w:rsidRPr="003745EE">
        <w:rPr>
          <w:color w:val="000000" w:themeColor="text1"/>
          <w:sz w:val="24"/>
          <w:szCs w:val="24"/>
        </w:rPr>
        <w:t>k</w:t>
      </w:r>
      <w:r w:rsidR="00394276" w:rsidRPr="003745EE">
        <w:rPr>
          <w:color w:val="000000" w:themeColor="text1"/>
          <w:sz w:val="24"/>
          <w:szCs w:val="24"/>
        </w:rPr>
        <w:t>nowl</w:t>
      </w:r>
      <w:r w:rsidR="000E47E6" w:rsidRPr="003745EE">
        <w:rPr>
          <w:color w:val="000000" w:themeColor="text1"/>
          <w:sz w:val="24"/>
          <w:szCs w:val="24"/>
        </w:rPr>
        <w:t>edge, skills and abilities (</w:t>
      </w:r>
      <w:r w:rsidR="00BD5D1C" w:rsidRPr="003745EE">
        <w:rPr>
          <w:color w:val="000000" w:themeColor="text1"/>
          <w:sz w:val="24"/>
          <w:szCs w:val="24"/>
        </w:rPr>
        <w:t>KSAs</w:t>
      </w:r>
      <w:r w:rsidR="000E47E6" w:rsidRPr="003745EE">
        <w:rPr>
          <w:color w:val="000000" w:themeColor="text1"/>
          <w:sz w:val="24"/>
          <w:szCs w:val="24"/>
        </w:rPr>
        <w:t>)</w:t>
      </w:r>
      <w:r w:rsidR="008307C5" w:rsidRPr="003745EE">
        <w:rPr>
          <w:color w:val="000000" w:themeColor="text1"/>
          <w:sz w:val="24"/>
          <w:szCs w:val="24"/>
        </w:rPr>
        <w:t xml:space="preserve"> </w:t>
      </w:r>
      <w:r w:rsidR="007D27C8" w:rsidRPr="003745EE">
        <w:rPr>
          <w:color w:val="000000" w:themeColor="text1"/>
          <w:sz w:val="24"/>
          <w:szCs w:val="24"/>
        </w:rPr>
        <w:t>and address skills gap</w:t>
      </w:r>
      <w:r w:rsidR="007D27C8" w:rsidRPr="003745EE">
        <w:rPr>
          <w:color w:val="EE0000"/>
          <w:sz w:val="24"/>
          <w:szCs w:val="24"/>
        </w:rPr>
        <w:t xml:space="preserve"> </w:t>
      </w:r>
      <w:r w:rsidR="007D27C8" w:rsidRPr="003745EE">
        <w:rPr>
          <w:color w:val="000000" w:themeColor="text1"/>
          <w:sz w:val="24"/>
          <w:szCs w:val="24"/>
        </w:rPr>
        <w:t xml:space="preserve">to support the business goal </w:t>
      </w:r>
      <w:r w:rsidR="007D27C8" w:rsidRPr="00E276FC">
        <w:rPr>
          <w:color w:val="000000" w:themeColor="text1"/>
          <w:sz w:val="24"/>
          <w:szCs w:val="24"/>
        </w:rPr>
        <w:t>(</w:t>
      </w:r>
      <w:r w:rsidR="007D27C8" w:rsidRPr="003745EE">
        <w:rPr>
          <w:color w:val="000000" w:themeColor="text1"/>
          <w:sz w:val="24"/>
          <w:szCs w:val="24"/>
        </w:rPr>
        <w:t>CIPD, 2025a).</w:t>
      </w:r>
      <w:r w:rsidR="00E55DBF" w:rsidRPr="003745EE">
        <w:rPr>
          <w:color w:val="000000" w:themeColor="text1"/>
          <w:sz w:val="24"/>
          <w:szCs w:val="24"/>
        </w:rPr>
        <w:t xml:space="preserve"> </w:t>
      </w:r>
    </w:p>
    <w:p w14:paraId="625DB1B8" w14:textId="77777777" w:rsidR="00254D97" w:rsidRPr="003745EE" w:rsidRDefault="00254D97" w:rsidP="00147A81">
      <w:pPr>
        <w:jc w:val="both"/>
        <w:rPr>
          <w:color w:val="000000" w:themeColor="text1"/>
          <w:sz w:val="24"/>
          <w:szCs w:val="24"/>
        </w:rPr>
      </w:pPr>
    </w:p>
    <w:p w14:paraId="042F1458" w14:textId="77777777" w:rsidR="00C67262" w:rsidRDefault="00C67262" w:rsidP="00EC0366">
      <w:pPr>
        <w:contextualSpacing/>
        <w:rPr>
          <w:color w:val="000000" w:themeColor="text1"/>
          <w:sz w:val="24"/>
          <w:szCs w:val="24"/>
        </w:rPr>
      </w:pPr>
    </w:p>
    <w:p w14:paraId="3F45FD47" w14:textId="77777777" w:rsidR="00147A81" w:rsidRDefault="00147A81" w:rsidP="00EC0366">
      <w:pPr>
        <w:contextualSpacing/>
        <w:rPr>
          <w:b/>
          <w:bCs/>
          <w:color w:val="004146"/>
          <w:sz w:val="24"/>
          <w:szCs w:val="24"/>
        </w:rPr>
      </w:pPr>
    </w:p>
    <w:p w14:paraId="5309DC50" w14:textId="77777777" w:rsidR="0078321A" w:rsidRDefault="0078321A" w:rsidP="00EC0366">
      <w:pPr>
        <w:contextualSpacing/>
        <w:rPr>
          <w:b/>
          <w:bCs/>
          <w:color w:val="004146"/>
          <w:sz w:val="24"/>
          <w:szCs w:val="24"/>
        </w:rPr>
      </w:pPr>
    </w:p>
    <w:p w14:paraId="43229292" w14:textId="77777777" w:rsidR="0078321A" w:rsidRDefault="0078321A" w:rsidP="00EC0366">
      <w:pPr>
        <w:contextualSpacing/>
        <w:rPr>
          <w:b/>
          <w:bCs/>
          <w:color w:val="004146"/>
          <w:sz w:val="24"/>
          <w:szCs w:val="24"/>
        </w:rPr>
      </w:pPr>
    </w:p>
    <w:p w14:paraId="47934634" w14:textId="77777777" w:rsidR="0078321A" w:rsidRDefault="0078321A" w:rsidP="00EC0366">
      <w:pPr>
        <w:contextualSpacing/>
        <w:rPr>
          <w:b/>
          <w:bCs/>
          <w:color w:val="004146"/>
          <w:sz w:val="24"/>
          <w:szCs w:val="24"/>
        </w:rPr>
      </w:pPr>
    </w:p>
    <w:p w14:paraId="43A13EB0" w14:textId="77777777" w:rsidR="00C67262" w:rsidRDefault="00C67262" w:rsidP="00EC0366">
      <w:pPr>
        <w:contextualSpacing/>
        <w:rPr>
          <w:b/>
          <w:bCs/>
          <w:color w:val="004146"/>
          <w:sz w:val="24"/>
          <w:szCs w:val="24"/>
        </w:rPr>
      </w:pPr>
    </w:p>
    <w:p w14:paraId="02485D59" w14:textId="6EBD921D" w:rsidR="009A5681" w:rsidRPr="003745EE" w:rsidRDefault="009A5681" w:rsidP="00EC0366">
      <w:pPr>
        <w:contextualSpacing/>
        <w:rPr>
          <w:sz w:val="24"/>
          <w:szCs w:val="24"/>
        </w:rPr>
      </w:pPr>
      <w:r w:rsidRPr="00C67262">
        <w:rPr>
          <w:b/>
          <w:bCs/>
          <w:color w:val="000000" w:themeColor="text1"/>
          <w:sz w:val="24"/>
          <w:szCs w:val="24"/>
        </w:rPr>
        <w:lastRenderedPageBreak/>
        <w:t>Q2.</w:t>
      </w:r>
      <w:r w:rsidRPr="00C67262">
        <w:rPr>
          <w:color w:val="000000" w:themeColor="text1"/>
          <w:sz w:val="24"/>
          <w:szCs w:val="24"/>
        </w:rPr>
        <w:t xml:space="preserve"> </w:t>
      </w:r>
      <w:r w:rsidRPr="003745EE">
        <w:rPr>
          <w:sz w:val="24"/>
          <w:szCs w:val="24"/>
        </w:rPr>
        <w:t>AC 1.2</w:t>
      </w:r>
    </w:p>
    <w:p w14:paraId="2D31DF8C" w14:textId="77777777" w:rsidR="009A5681" w:rsidRPr="003745EE" w:rsidRDefault="009A5681" w:rsidP="009A5681">
      <w:pPr>
        <w:rPr>
          <w:sz w:val="24"/>
          <w:szCs w:val="24"/>
        </w:rPr>
      </w:pPr>
    </w:p>
    <w:p w14:paraId="5B79FB6E" w14:textId="76EB0D36" w:rsidR="00D33ED7" w:rsidRPr="008328FE" w:rsidRDefault="009A5681" w:rsidP="008328FE">
      <w:pPr>
        <w:spacing w:after="160" w:line="278" w:lineRule="auto"/>
        <w:jc w:val="both"/>
        <w:rPr>
          <w:color w:val="000000" w:themeColor="text1"/>
          <w:sz w:val="24"/>
          <w:szCs w:val="24"/>
        </w:rPr>
      </w:pPr>
      <w:r w:rsidRPr="003745EE">
        <w:rPr>
          <w:sz w:val="24"/>
          <w:szCs w:val="24"/>
        </w:rPr>
        <w:t>Technivara is currently experiencing the sixteenth consecutive year of growth, and the board believe it’s time to expand the business. Before a decision can be made about the business strategy and what it means for Technivara’s stakeholders, it is essential to carry out a PESTLE analysis to scan external environment</w:t>
      </w:r>
      <w:r w:rsidR="00412FDB" w:rsidRPr="003745EE">
        <w:rPr>
          <w:sz w:val="24"/>
          <w:szCs w:val="24"/>
        </w:rPr>
        <w:t xml:space="preserve"> to identify </w:t>
      </w:r>
      <w:r w:rsidR="004A0FAA" w:rsidRPr="003745EE">
        <w:rPr>
          <w:sz w:val="24"/>
          <w:szCs w:val="24"/>
        </w:rPr>
        <w:t>opportunities and possible threats</w:t>
      </w:r>
      <w:r w:rsidR="00AF5A3C" w:rsidRPr="003745EE">
        <w:rPr>
          <w:sz w:val="24"/>
          <w:szCs w:val="24"/>
        </w:rPr>
        <w:t xml:space="preserve"> (Taylor and Woodhams, 2022, p.44)</w:t>
      </w:r>
      <w:r w:rsidRPr="003745EE">
        <w:rPr>
          <w:sz w:val="24"/>
          <w:szCs w:val="24"/>
        </w:rPr>
        <w:t xml:space="preserve">. </w:t>
      </w:r>
      <w:r w:rsidR="00F3007A" w:rsidRPr="003745EE">
        <w:rPr>
          <w:sz w:val="24"/>
          <w:szCs w:val="24"/>
        </w:rPr>
        <w:t xml:space="preserve">A PESTLE analysis provides insight into </w:t>
      </w:r>
      <w:r w:rsidR="00AB4155" w:rsidRPr="003745EE">
        <w:rPr>
          <w:sz w:val="24"/>
          <w:szCs w:val="24"/>
        </w:rPr>
        <w:t xml:space="preserve">key external factors </w:t>
      </w:r>
      <w:r w:rsidR="007F5D8C" w:rsidRPr="003745EE">
        <w:rPr>
          <w:sz w:val="24"/>
          <w:szCs w:val="24"/>
        </w:rPr>
        <w:t>(</w:t>
      </w:r>
      <w:r w:rsidR="00155B4D" w:rsidRPr="003745EE">
        <w:rPr>
          <w:sz w:val="24"/>
          <w:szCs w:val="24"/>
        </w:rPr>
        <w:t>Politics, Economic</w:t>
      </w:r>
      <w:r w:rsidR="006276B4" w:rsidRPr="003745EE">
        <w:rPr>
          <w:sz w:val="24"/>
          <w:szCs w:val="24"/>
        </w:rPr>
        <w:t>, Sociological, Technological, Legal and Environmental</w:t>
      </w:r>
      <w:r w:rsidR="007F5D8C" w:rsidRPr="003745EE">
        <w:rPr>
          <w:sz w:val="24"/>
          <w:szCs w:val="24"/>
        </w:rPr>
        <w:t>)</w:t>
      </w:r>
      <w:r w:rsidR="006276B4" w:rsidRPr="003745EE">
        <w:rPr>
          <w:sz w:val="24"/>
          <w:szCs w:val="24"/>
        </w:rPr>
        <w:t xml:space="preserve"> </w:t>
      </w:r>
      <w:r w:rsidR="00AB4155" w:rsidRPr="003745EE">
        <w:rPr>
          <w:sz w:val="24"/>
          <w:szCs w:val="24"/>
        </w:rPr>
        <w:t xml:space="preserve">which impact an </w:t>
      </w:r>
      <w:r w:rsidR="00412FF4" w:rsidRPr="003745EE">
        <w:rPr>
          <w:sz w:val="24"/>
          <w:szCs w:val="24"/>
        </w:rPr>
        <w:t>orga</w:t>
      </w:r>
      <w:r w:rsidR="00F179DC" w:rsidRPr="003745EE">
        <w:rPr>
          <w:sz w:val="24"/>
          <w:szCs w:val="24"/>
        </w:rPr>
        <w:t>ni</w:t>
      </w:r>
      <w:r w:rsidR="00412FF4" w:rsidRPr="003745EE">
        <w:rPr>
          <w:sz w:val="24"/>
          <w:szCs w:val="24"/>
        </w:rPr>
        <w:t>sation</w:t>
      </w:r>
      <w:r w:rsidR="008328FE">
        <w:rPr>
          <w:sz w:val="24"/>
          <w:szCs w:val="24"/>
        </w:rPr>
        <w:t xml:space="preserve"> </w:t>
      </w:r>
      <w:r w:rsidR="003C026A" w:rsidRPr="003745EE">
        <w:rPr>
          <w:color w:val="000000" w:themeColor="text1"/>
          <w:sz w:val="24"/>
          <w:szCs w:val="24"/>
        </w:rPr>
        <w:t>(Waite et al., 2021, p.7).</w:t>
      </w:r>
      <w:r w:rsidR="006276B4" w:rsidRPr="003745EE">
        <w:rPr>
          <w:color w:val="000000" w:themeColor="text1"/>
          <w:sz w:val="24"/>
          <w:szCs w:val="24"/>
        </w:rPr>
        <w:t xml:space="preserve"> </w:t>
      </w:r>
      <w:r w:rsidR="00175A11" w:rsidRPr="003745EE">
        <w:rPr>
          <w:color w:val="000000" w:themeColor="text1"/>
          <w:sz w:val="24"/>
          <w:szCs w:val="24"/>
        </w:rPr>
        <w:t xml:space="preserve">It can be used in different situations </w:t>
      </w:r>
      <w:r w:rsidR="00E4204A" w:rsidRPr="003745EE">
        <w:rPr>
          <w:color w:val="000000" w:themeColor="text1"/>
          <w:sz w:val="24"/>
          <w:szCs w:val="24"/>
        </w:rPr>
        <w:t xml:space="preserve">to guide </w:t>
      </w:r>
      <w:r w:rsidR="00F179DC" w:rsidRPr="003745EE">
        <w:rPr>
          <w:color w:val="000000" w:themeColor="text1"/>
          <w:sz w:val="24"/>
          <w:szCs w:val="24"/>
        </w:rPr>
        <w:t>p</w:t>
      </w:r>
      <w:r w:rsidR="005D3457" w:rsidRPr="003745EE">
        <w:rPr>
          <w:color w:val="000000" w:themeColor="text1"/>
          <w:sz w:val="24"/>
          <w:szCs w:val="24"/>
        </w:rPr>
        <w:t xml:space="preserve">eople </w:t>
      </w:r>
      <w:r w:rsidR="00F179DC" w:rsidRPr="003745EE">
        <w:rPr>
          <w:color w:val="000000" w:themeColor="text1"/>
          <w:sz w:val="24"/>
          <w:szCs w:val="24"/>
        </w:rPr>
        <w:t>p</w:t>
      </w:r>
      <w:r w:rsidR="005D3457" w:rsidRPr="003745EE">
        <w:rPr>
          <w:color w:val="000000" w:themeColor="text1"/>
          <w:sz w:val="24"/>
          <w:szCs w:val="24"/>
        </w:rPr>
        <w:t>rofessionals and senior management in strategical planning</w:t>
      </w:r>
      <w:r w:rsidR="006521B8" w:rsidRPr="003745EE">
        <w:rPr>
          <w:color w:val="000000" w:themeColor="text1"/>
          <w:sz w:val="24"/>
          <w:szCs w:val="24"/>
        </w:rPr>
        <w:t xml:space="preserve"> (</w:t>
      </w:r>
      <w:r w:rsidR="000E1BB0" w:rsidRPr="003745EE">
        <w:rPr>
          <w:color w:val="000000" w:themeColor="text1"/>
          <w:sz w:val="24"/>
          <w:szCs w:val="24"/>
        </w:rPr>
        <w:t>CIPD</w:t>
      </w:r>
      <w:r w:rsidR="006521B8" w:rsidRPr="003745EE">
        <w:rPr>
          <w:color w:val="000000" w:themeColor="text1"/>
          <w:sz w:val="24"/>
          <w:szCs w:val="24"/>
        </w:rPr>
        <w:t xml:space="preserve">, </w:t>
      </w:r>
      <w:r w:rsidR="000E1BB0" w:rsidRPr="003745EE">
        <w:rPr>
          <w:color w:val="000000" w:themeColor="text1"/>
          <w:sz w:val="24"/>
          <w:szCs w:val="24"/>
        </w:rPr>
        <w:t>2025</w:t>
      </w:r>
      <w:r w:rsidR="00197C1C">
        <w:rPr>
          <w:color w:val="000000" w:themeColor="text1"/>
          <w:sz w:val="24"/>
          <w:szCs w:val="24"/>
        </w:rPr>
        <w:t>c</w:t>
      </w:r>
      <w:r w:rsidR="000E1BB0" w:rsidRPr="003745EE">
        <w:rPr>
          <w:color w:val="000000" w:themeColor="text1"/>
          <w:sz w:val="24"/>
          <w:szCs w:val="24"/>
        </w:rPr>
        <w:t>).</w:t>
      </w:r>
      <w:r w:rsidR="00A44BE9" w:rsidRPr="003745EE">
        <w:rPr>
          <w:color w:val="000000" w:themeColor="text1"/>
          <w:sz w:val="24"/>
          <w:szCs w:val="24"/>
        </w:rPr>
        <w:t xml:space="preserve"> </w:t>
      </w:r>
      <w:r w:rsidR="00D52F4B" w:rsidRPr="003745EE">
        <w:rPr>
          <w:color w:val="000000" w:themeColor="text1"/>
          <w:sz w:val="24"/>
          <w:szCs w:val="24"/>
        </w:rPr>
        <w:t xml:space="preserve">Senior Management at Technivara needs to </w:t>
      </w:r>
      <w:r w:rsidR="002E3FE1" w:rsidRPr="003745EE">
        <w:rPr>
          <w:color w:val="000000" w:themeColor="text1"/>
          <w:sz w:val="24"/>
          <w:szCs w:val="24"/>
        </w:rPr>
        <w:t xml:space="preserve">consider the impact of economic factor when </w:t>
      </w:r>
      <w:r w:rsidR="00F6517C" w:rsidRPr="003745EE">
        <w:rPr>
          <w:color w:val="000000" w:themeColor="text1"/>
          <w:sz w:val="24"/>
          <w:szCs w:val="24"/>
        </w:rPr>
        <w:t xml:space="preserve">formulating their </w:t>
      </w:r>
      <w:r w:rsidR="00E94E81" w:rsidRPr="003745EE">
        <w:rPr>
          <w:color w:val="000000" w:themeColor="text1"/>
          <w:sz w:val="24"/>
          <w:szCs w:val="24"/>
        </w:rPr>
        <w:t>strategic business plan</w:t>
      </w:r>
      <w:r w:rsidR="00AB509F" w:rsidRPr="003745EE">
        <w:rPr>
          <w:color w:val="000000" w:themeColor="text1"/>
          <w:sz w:val="24"/>
          <w:szCs w:val="24"/>
        </w:rPr>
        <w:t>, for example, m</w:t>
      </w:r>
      <w:r w:rsidR="00140D0E" w:rsidRPr="003745EE">
        <w:rPr>
          <w:sz w:val="24"/>
          <w:szCs w:val="24"/>
        </w:rPr>
        <w:t>ost recently</w:t>
      </w:r>
      <w:r w:rsidR="008328FE">
        <w:rPr>
          <w:sz w:val="24"/>
          <w:szCs w:val="24"/>
        </w:rPr>
        <w:t xml:space="preserve"> </w:t>
      </w:r>
      <w:r w:rsidR="00140D0E" w:rsidRPr="003745EE">
        <w:rPr>
          <w:color w:val="000000" w:themeColor="text1"/>
          <w:sz w:val="24"/>
          <w:szCs w:val="24"/>
        </w:rPr>
        <w:t xml:space="preserve">Low Pay Commission </w:t>
      </w:r>
      <w:r w:rsidR="00140D0E" w:rsidRPr="003745EE">
        <w:rPr>
          <w:sz w:val="24"/>
          <w:szCs w:val="24"/>
        </w:rPr>
        <w:t>(2025) recommended a 4.1 per cent increase on the National Living Wage (£12.71) for 21 and over effective from 1 April 2026</w:t>
      </w:r>
      <w:r w:rsidR="001C5E19" w:rsidRPr="003745EE">
        <w:rPr>
          <w:sz w:val="24"/>
          <w:szCs w:val="24"/>
        </w:rPr>
        <w:t>,</w:t>
      </w:r>
      <w:r w:rsidR="00AB509F" w:rsidRPr="003745EE">
        <w:rPr>
          <w:sz w:val="24"/>
          <w:szCs w:val="24"/>
        </w:rPr>
        <w:t xml:space="preserve"> which would inevitably increase the operational cost at Technivara.</w:t>
      </w:r>
      <w:r w:rsidR="00140D0E" w:rsidRPr="003745EE">
        <w:rPr>
          <w:sz w:val="24"/>
          <w:szCs w:val="24"/>
        </w:rPr>
        <w:t xml:space="preserve"> </w:t>
      </w:r>
      <w:r w:rsidR="0021055C" w:rsidRPr="003745EE">
        <w:rPr>
          <w:sz w:val="24"/>
          <w:szCs w:val="24"/>
        </w:rPr>
        <w:t xml:space="preserve">Meanwhile with the </w:t>
      </w:r>
      <w:r w:rsidR="00ED0C38" w:rsidRPr="003745EE">
        <w:rPr>
          <w:sz w:val="24"/>
          <w:szCs w:val="24"/>
        </w:rPr>
        <w:t xml:space="preserve">development of technology, </w:t>
      </w:r>
      <w:r w:rsidR="00752EC8" w:rsidRPr="003745EE">
        <w:rPr>
          <w:sz w:val="24"/>
          <w:szCs w:val="24"/>
        </w:rPr>
        <w:t xml:space="preserve">automation </w:t>
      </w:r>
      <w:r w:rsidR="00C55E86" w:rsidRPr="003745EE">
        <w:rPr>
          <w:sz w:val="24"/>
          <w:szCs w:val="24"/>
        </w:rPr>
        <w:t>ha</w:t>
      </w:r>
      <w:r w:rsidR="00752EC8" w:rsidRPr="003745EE">
        <w:rPr>
          <w:sz w:val="24"/>
          <w:szCs w:val="24"/>
        </w:rPr>
        <w:t xml:space="preserve">s </w:t>
      </w:r>
      <w:r w:rsidR="0079644C" w:rsidRPr="003745EE">
        <w:rPr>
          <w:sz w:val="24"/>
          <w:szCs w:val="24"/>
        </w:rPr>
        <w:t>caused job losses</w:t>
      </w:r>
      <w:r w:rsidR="0079644C" w:rsidRPr="003745EE">
        <w:rPr>
          <w:color w:val="000000" w:themeColor="text1"/>
          <w:sz w:val="24"/>
          <w:szCs w:val="24"/>
        </w:rPr>
        <w:t xml:space="preserve"> (OECD). </w:t>
      </w:r>
      <w:r w:rsidR="003F4A56" w:rsidRPr="003745EE">
        <w:rPr>
          <w:color w:val="000000" w:themeColor="text1"/>
          <w:sz w:val="24"/>
          <w:szCs w:val="24"/>
        </w:rPr>
        <w:t>Armstrong and Taylor</w:t>
      </w:r>
      <w:r w:rsidR="0079644C" w:rsidRPr="003745EE">
        <w:rPr>
          <w:color w:val="000000" w:themeColor="text1"/>
          <w:sz w:val="24"/>
          <w:szCs w:val="24"/>
        </w:rPr>
        <w:t xml:space="preserve"> (</w:t>
      </w:r>
      <w:r w:rsidR="003F4A56" w:rsidRPr="003745EE">
        <w:rPr>
          <w:color w:val="000000" w:themeColor="text1"/>
          <w:sz w:val="24"/>
          <w:szCs w:val="24"/>
        </w:rPr>
        <w:t xml:space="preserve">2023, p.29) </w:t>
      </w:r>
      <w:proofErr w:type="gramStart"/>
      <w:r w:rsidR="003F4A56" w:rsidRPr="003745EE">
        <w:rPr>
          <w:color w:val="000000" w:themeColor="text1"/>
          <w:sz w:val="24"/>
          <w:szCs w:val="24"/>
        </w:rPr>
        <w:t>argues</w:t>
      </w:r>
      <w:proofErr w:type="gramEnd"/>
      <w:r w:rsidR="003F4A56" w:rsidRPr="003745EE">
        <w:rPr>
          <w:color w:val="000000" w:themeColor="text1"/>
          <w:sz w:val="24"/>
          <w:szCs w:val="24"/>
        </w:rPr>
        <w:t xml:space="preserve"> that there might be a time nag between job losses and job creation. For Technivara it could mean that they need to focus more on designing and engineering on hi-tech products to meet the needs of evolving market. </w:t>
      </w:r>
    </w:p>
    <w:p w14:paraId="41030E9B" w14:textId="2E69A2C3" w:rsidR="00980916" w:rsidRPr="003745EE" w:rsidRDefault="005B181B" w:rsidP="008328FE">
      <w:pPr>
        <w:spacing w:line="259" w:lineRule="auto"/>
        <w:jc w:val="both"/>
        <w:rPr>
          <w:sz w:val="24"/>
          <w:szCs w:val="24"/>
        </w:rPr>
      </w:pPr>
      <w:r w:rsidRPr="003745EE">
        <w:rPr>
          <w:color w:val="000000" w:themeColor="text1"/>
          <w:sz w:val="24"/>
          <w:szCs w:val="24"/>
        </w:rPr>
        <w:t xml:space="preserve">One appropriate method </w:t>
      </w:r>
      <w:r w:rsidR="000D6F7B" w:rsidRPr="003745EE">
        <w:rPr>
          <w:color w:val="000000" w:themeColor="text1"/>
          <w:sz w:val="24"/>
          <w:szCs w:val="24"/>
        </w:rPr>
        <w:t xml:space="preserve">Technivara </w:t>
      </w:r>
      <w:r w:rsidRPr="003745EE">
        <w:rPr>
          <w:color w:val="000000" w:themeColor="text1"/>
          <w:sz w:val="24"/>
          <w:szCs w:val="24"/>
        </w:rPr>
        <w:t xml:space="preserve">could use to identify </w:t>
      </w:r>
      <w:r w:rsidR="00523067" w:rsidRPr="003745EE">
        <w:rPr>
          <w:color w:val="000000" w:themeColor="text1"/>
          <w:sz w:val="24"/>
          <w:szCs w:val="24"/>
        </w:rPr>
        <w:t xml:space="preserve">issues and opportunities is interviews. </w:t>
      </w:r>
      <w:r w:rsidR="00D37CAC" w:rsidRPr="003745EE">
        <w:rPr>
          <w:color w:val="000000" w:themeColor="text1"/>
          <w:sz w:val="24"/>
          <w:szCs w:val="24"/>
        </w:rPr>
        <w:t xml:space="preserve">The format of </w:t>
      </w:r>
      <w:r w:rsidR="00144C0D" w:rsidRPr="003745EE">
        <w:rPr>
          <w:color w:val="000000" w:themeColor="text1"/>
          <w:sz w:val="24"/>
          <w:szCs w:val="24"/>
        </w:rPr>
        <w:t xml:space="preserve">interviews can be qualitative as well as quantitative, </w:t>
      </w:r>
      <w:r w:rsidR="00146FF6" w:rsidRPr="003745EE">
        <w:rPr>
          <w:color w:val="000000" w:themeColor="text1"/>
          <w:sz w:val="24"/>
          <w:szCs w:val="24"/>
        </w:rPr>
        <w:t>data collected through interviews can be as simple as</w:t>
      </w:r>
      <w:r w:rsidR="00DB2336" w:rsidRPr="003745EE">
        <w:rPr>
          <w:color w:val="000000" w:themeColor="text1"/>
          <w:sz w:val="24"/>
          <w:szCs w:val="24"/>
        </w:rPr>
        <w:t xml:space="preserve"> “Yes” or </w:t>
      </w:r>
      <w:r w:rsidR="00546889" w:rsidRPr="003745EE">
        <w:rPr>
          <w:color w:val="000000" w:themeColor="text1"/>
          <w:sz w:val="24"/>
          <w:szCs w:val="24"/>
        </w:rPr>
        <w:t>“No</w:t>
      </w:r>
      <w:r w:rsidR="00DB2336" w:rsidRPr="003745EE">
        <w:rPr>
          <w:color w:val="000000" w:themeColor="text1"/>
          <w:sz w:val="24"/>
          <w:szCs w:val="24"/>
        </w:rPr>
        <w:t xml:space="preserve">” answers, they can also provide </w:t>
      </w:r>
      <w:r w:rsidR="00240E47" w:rsidRPr="003745EE">
        <w:rPr>
          <w:color w:val="000000" w:themeColor="text1"/>
          <w:sz w:val="24"/>
          <w:szCs w:val="24"/>
        </w:rPr>
        <w:t xml:space="preserve">researchers with </w:t>
      </w:r>
      <w:r w:rsidR="00DB2336" w:rsidRPr="003745EE">
        <w:rPr>
          <w:color w:val="000000" w:themeColor="text1"/>
          <w:sz w:val="24"/>
          <w:szCs w:val="24"/>
        </w:rPr>
        <w:t xml:space="preserve">in-depth understanding of </w:t>
      </w:r>
      <w:r w:rsidR="00927C43" w:rsidRPr="003745EE">
        <w:rPr>
          <w:color w:val="000000" w:themeColor="text1"/>
          <w:sz w:val="24"/>
          <w:szCs w:val="24"/>
        </w:rPr>
        <w:t>interviewee</w:t>
      </w:r>
      <w:r w:rsidR="00240E47" w:rsidRPr="003745EE">
        <w:rPr>
          <w:color w:val="000000" w:themeColor="text1"/>
          <w:sz w:val="24"/>
          <w:szCs w:val="24"/>
        </w:rPr>
        <w:t>s’</w:t>
      </w:r>
      <w:r w:rsidR="00927C43" w:rsidRPr="003745EE">
        <w:rPr>
          <w:color w:val="000000" w:themeColor="text1"/>
          <w:sz w:val="24"/>
          <w:szCs w:val="24"/>
        </w:rPr>
        <w:t xml:space="preserve"> opinions, attitude and feelings </w:t>
      </w:r>
      <w:r w:rsidR="008E05C1" w:rsidRPr="003745EE">
        <w:rPr>
          <w:color w:val="000000" w:themeColor="text1"/>
          <w:sz w:val="24"/>
          <w:szCs w:val="24"/>
        </w:rPr>
        <w:t xml:space="preserve">to identify issues </w:t>
      </w:r>
      <w:r w:rsidR="00927C43" w:rsidRPr="003745EE">
        <w:rPr>
          <w:color w:val="000000" w:themeColor="text1"/>
          <w:sz w:val="24"/>
          <w:szCs w:val="24"/>
        </w:rPr>
        <w:t>(</w:t>
      </w:r>
      <w:r w:rsidR="00546889" w:rsidRPr="003745EE">
        <w:rPr>
          <w:color w:val="000000" w:themeColor="text1"/>
          <w:sz w:val="24"/>
          <w:szCs w:val="24"/>
        </w:rPr>
        <w:t>Taylor and Woodhams, 2020, p.641</w:t>
      </w:r>
      <w:r w:rsidR="00546889" w:rsidRPr="003745EE">
        <w:rPr>
          <w:rFonts w:eastAsia="Microsoft YaHei"/>
          <w:color w:val="000000" w:themeColor="text1"/>
          <w:sz w:val="24"/>
          <w:szCs w:val="24"/>
          <w:lang w:eastAsia="zh-CN"/>
        </w:rPr>
        <w:t>)</w:t>
      </w:r>
      <w:r w:rsidR="00546889" w:rsidRPr="003745EE">
        <w:rPr>
          <w:color w:val="000000" w:themeColor="text1"/>
          <w:sz w:val="24"/>
          <w:szCs w:val="24"/>
        </w:rPr>
        <w:t xml:space="preserve">. </w:t>
      </w:r>
      <w:r w:rsidR="004D3F68" w:rsidRPr="003745EE">
        <w:rPr>
          <w:sz w:val="24"/>
          <w:szCs w:val="24"/>
        </w:rPr>
        <w:t xml:space="preserve">If employees </w:t>
      </w:r>
      <w:r w:rsidR="00FA270E" w:rsidRPr="003745EE">
        <w:rPr>
          <w:sz w:val="24"/>
          <w:szCs w:val="24"/>
        </w:rPr>
        <w:t>can</w:t>
      </w:r>
      <w:r w:rsidR="001A1CF8" w:rsidRPr="003745EE">
        <w:rPr>
          <w:sz w:val="24"/>
          <w:szCs w:val="24"/>
        </w:rPr>
        <w:t xml:space="preserve"> raise concerns and feels that </w:t>
      </w:r>
      <w:r w:rsidR="00CB5B6B" w:rsidRPr="003745EE">
        <w:rPr>
          <w:sz w:val="24"/>
          <w:szCs w:val="24"/>
        </w:rPr>
        <w:t xml:space="preserve">they have a say on issues matter to them, </w:t>
      </w:r>
      <w:r w:rsidR="00FA270E" w:rsidRPr="003745EE">
        <w:rPr>
          <w:sz w:val="24"/>
          <w:szCs w:val="24"/>
        </w:rPr>
        <w:t xml:space="preserve">they are likely to </w:t>
      </w:r>
      <w:r w:rsidR="009C5ABE" w:rsidRPr="003745EE">
        <w:rPr>
          <w:sz w:val="24"/>
          <w:szCs w:val="24"/>
        </w:rPr>
        <w:t>feel trust</w:t>
      </w:r>
      <w:r w:rsidR="001F049E" w:rsidRPr="003745EE">
        <w:rPr>
          <w:sz w:val="24"/>
          <w:szCs w:val="24"/>
        </w:rPr>
        <w:t xml:space="preserve"> and perform better in their roles.</w:t>
      </w:r>
      <w:r w:rsidR="009C5ABE" w:rsidRPr="003745EE">
        <w:rPr>
          <w:sz w:val="24"/>
          <w:szCs w:val="24"/>
        </w:rPr>
        <w:t xml:space="preserve"> </w:t>
      </w:r>
      <w:r w:rsidR="00980916" w:rsidRPr="003745EE">
        <w:rPr>
          <w:sz w:val="24"/>
          <w:szCs w:val="24"/>
        </w:rPr>
        <w:t xml:space="preserve">However, </w:t>
      </w:r>
      <w:r w:rsidR="004C3F06" w:rsidRPr="003745EE">
        <w:rPr>
          <w:sz w:val="24"/>
          <w:szCs w:val="24"/>
        </w:rPr>
        <w:t>researcher needs to be mindful not to use leading questions in interviews</w:t>
      </w:r>
      <w:r w:rsidR="008328FE">
        <w:rPr>
          <w:sz w:val="24"/>
          <w:szCs w:val="24"/>
        </w:rPr>
        <w:t xml:space="preserve"> </w:t>
      </w:r>
      <w:r w:rsidR="004C3F06" w:rsidRPr="003745EE">
        <w:rPr>
          <w:color w:val="000000" w:themeColor="text1"/>
          <w:sz w:val="24"/>
          <w:szCs w:val="24"/>
        </w:rPr>
        <w:t>(Barends and Rousseau, 2018, p.</w:t>
      </w:r>
      <w:r w:rsidR="00482A1D" w:rsidRPr="003745EE">
        <w:rPr>
          <w:color w:val="000000" w:themeColor="text1"/>
          <w:sz w:val="24"/>
          <w:szCs w:val="24"/>
        </w:rPr>
        <w:t>57</w:t>
      </w:r>
      <w:r w:rsidR="004C3F06" w:rsidRPr="003745EE">
        <w:rPr>
          <w:color w:val="000000" w:themeColor="text1"/>
          <w:sz w:val="24"/>
          <w:szCs w:val="24"/>
        </w:rPr>
        <w:t>)</w:t>
      </w:r>
      <w:r w:rsidR="00482A1D" w:rsidRPr="003745EE">
        <w:rPr>
          <w:color w:val="000000" w:themeColor="text1"/>
          <w:sz w:val="24"/>
          <w:szCs w:val="24"/>
        </w:rPr>
        <w:t xml:space="preserve">. </w:t>
      </w:r>
      <w:r w:rsidR="00A85874" w:rsidRPr="003745EE">
        <w:rPr>
          <w:color w:val="000000" w:themeColor="text1"/>
          <w:sz w:val="24"/>
          <w:szCs w:val="24"/>
        </w:rPr>
        <w:t>In addition, i</w:t>
      </w:r>
      <w:r w:rsidR="00482A1D" w:rsidRPr="003745EE">
        <w:rPr>
          <w:color w:val="000000" w:themeColor="text1"/>
          <w:sz w:val="24"/>
          <w:szCs w:val="24"/>
        </w:rPr>
        <w:t xml:space="preserve">nterviews can also be time consuming </w:t>
      </w:r>
      <w:r w:rsidR="009A7F57" w:rsidRPr="003745EE">
        <w:rPr>
          <w:color w:val="000000" w:themeColor="text1"/>
          <w:sz w:val="24"/>
          <w:szCs w:val="24"/>
        </w:rPr>
        <w:t xml:space="preserve">(Taylor and Woodhams, 2020, p.641), </w:t>
      </w:r>
      <w:r w:rsidR="00075162" w:rsidRPr="003745EE">
        <w:rPr>
          <w:color w:val="000000" w:themeColor="text1"/>
          <w:sz w:val="24"/>
          <w:szCs w:val="24"/>
        </w:rPr>
        <w:t>it might be useful to consider interviewing a</w:t>
      </w:r>
      <w:r w:rsidR="00607180" w:rsidRPr="003745EE">
        <w:rPr>
          <w:color w:val="000000" w:themeColor="text1"/>
          <w:sz w:val="24"/>
          <w:szCs w:val="24"/>
        </w:rPr>
        <w:t xml:space="preserve"> small portion of the employees from each department.</w:t>
      </w:r>
    </w:p>
    <w:p w14:paraId="713A7C10" w14:textId="77777777" w:rsidR="00080104" w:rsidRPr="003745EE" w:rsidRDefault="00080104" w:rsidP="008328FE">
      <w:pPr>
        <w:jc w:val="both"/>
        <w:rPr>
          <w:color w:val="000000" w:themeColor="text1"/>
          <w:sz w:val="24"/>
          <w:szCs w:val="24"/>
        </w:rPr>
      </w:pPr>
    </w:p>
    <w:p w14:paraId="6A197D27" w14:textId="604A8E97" w:rsidR="003F6275" w:rsidRPr="003745EE" w:rsidRDefault="00225639" w:rsidP="008328FE">
      <w:pPr>
        <w:spacing w:after="160" w:line="278" w:lineRule="auto"/>
        <w:jc w:val="both"/>
        <w:rPr>
          <w:sz w:val="24"/>
          <w:szCs w:val="24"/>
        </w:rPr>
      </w:pPr>
      <w:r w:rsidRPr="003745EE">
        <w:rPr>
          <w:sz w:val="24"/>
          <w:szCs w:val="24"/>
        </w:rPr>
        <w:t>While a p</w:t>
      </w:r>
      <w:r w:rsidR="00A35EE1" w:rsidRPr="003745EE">
        <w:rPr>
          <w:sz w:val="24"/>
          <w:szCs w:val="24"/>
        </w:rPr>
        <w:t xml:space="preserve">estle analysis </w:t>
      </w:r>
      <w:r w:rsidR="00E70A96" w:rsidRPr="003745EE">
        <w:rPr>
          <w:sz w:val="24"/>
          <w:szCs w:val="24"/>
        </w:rPr>
        <w:t xml:space="preserve">provides a comprehension </w:t>
      </w:r>
      <w:r w:rsidR="00C9613A" w:rsidRPr="003745EE">
        <w:rPr>
          <w:sz w:val="24"/>
          <w:szCs w:val="24"/>
        </w:rPr>
        <w:t xml:space="preserve">overview of external environment </w:t>
      </w:r>
      <w:r w:rsidR="006934EC" w:rsidRPr="003745EE">
        <w:rPr>
          <w:sz w:val="24"/>
          <w:szCs w:val="24"/>
        </w:rPr>
        <w:t>to help Technivara</w:t>
      </w:r>
      <w:r w:rsidR="00727489" w:rsidRPr="003745EE">
        <w:rPr>
          <w:sz w:val="24"/>
          <w:szCs w:val="24"/>
        </w:rPr>
        <w:t xml:space="preserve"> to</w:t>
      </w:r>
      <w:r w:rsidR="006934EC" w:rsidRPr="003745EE">
        <w:rPr>
          <w:sz w:val="24"/>
          <w:szCs w:val="24"/>
        </w:rPr>
        <w:t xml:space="preserve"> </w:t>
      </w:r>
      <w:r w:rsidR="00727489" w:rsidRPr="003745EE">
        <w:rPr>
          <w:sz w:val="24"/>
          <w:szCs w:val="24"/>
        </w:rPr>
        <w:t xml:space="preserve">mitigate risks and guide business planning, </w:t>
      </w:r>
      <w:r w:rsidR="002456FD" w:rsidRPr="003745EE">
        <w:rPr>
          <w:sz w:val="24"/>
          <w:szCs w:val="24"/>
        </w:rPr>
        <w:t xml:space="preserve">with people practices </w:t>
      </w:r>
      <w:r w:rsidR="002914C1" w:rsidRPr="003745EE">
        <w:rPr>
          <w:sz w:val="24"/>
          <w:szCs w:val="24"/>
        </w:rPr>
        <w:t xml:space="preserve">mainly been paper based, </w:t>
      </w:r>
      <w:r w:rsidR="0056528B" w:rsidRPr="003745EE">
        <w:rPr>
          <w:sz w:val="24"/>
          <w:szCs w:val="24"/>
        </w:rPr>
        <w:t xml:space="preserve">Sue </w:t>
      </w:r>
      <w:r w:rsidR="00494D5D" w:rsidRPr="003745EE">
        <w:rPr>
          <w:sz w:val="24"/>
          <w:szCs w:val="24"/>
        </w:rPr>
        <w:t xml:space="preserve">and her team need to be conscious not to “oversimplify” the data needed </w:t>
      </w:r>
      <w:r w:rsidR="00494D5D" w:rsidRPr="003745EE">
        <w:rPr>
          <w:color w:val="000000" w:themeColor="text1"/>
          <w:sz w:val="24"/>
          <w:szCs w:val="24"/>
        </w:rPr>
        <w:t>(</w:t>
      </w:r>
      <w:r w:rsidR="00C71EE7" w:rsidRPr="003745EE">
        <w:rPr>
          <w:color w:val="000000" w:themeColor="text1"/>
          <w:sz w:val="24"/>
          <w:szCs w:val="24"/>
        </w:rPr>
        <w:t>CIPD</w:t>
      </w:r>
      <w:r w:rsidR="00494D5D" w:rsidRPr="003745EE">
        <w:rPr>
          <w:color w:val="000000" w:themeColor="text1"/>
          <w:sz w:val="24"/>
          <w:szCs w:val="24"/>
        </w:rPr>
        <w:t xml:space="preserve">, </w:t>
      </w:r>
      <w:r w:rsidR="00C71EE7" w:rsidRPr="003745EE">
        <w:rPr>
          <w:color w:val="000000" w:themeColor="text1"/>
          <w:sz w:val="24"/>
          <w:szCs w:val="24"/>
        </w:rPr>
        <w:t>2025</w:t>
      </w:r>
      <w:r w:rsidR="008328FE">
        <w:rPr>
          <w:color w:val="000000" w:themeColor="text1"/>
          <w:sz w:val="24"/>
          <w:szCs w:val="24"/>
        </w:rPr>
        <w:t>c</w:t>
      </w:r>
      <w:r w:rsidR="00C71EE7" w:rsidRPr="003745EE">
        <w:rPr>
          <w:color w:val="000000" w:themeColor="text1"/>
          <w:sz w:val="24"/>
          <w:szCs w:val="24"/>
        </w:rPr>
        <w:t>).</w:t>
      </w:r>
      <w:r w:rsidR="00A37C81" w:rsidRPr="003745EE">
        <w:rPr>
          <w:color w:val="000000" w:themeColor="text1"/>
          <w:sz w:val="24"/>
          <w:szCs w:val="24"/>
        </w:rPr>
        <w:t xml:space="preserve"> </w:t>
      </w:r>
      <w:r w:rsidR="00F76A4D" w:rsidRPr="003745EE">
        <w:rPr>
          <w:color w:val="000000" w:themeColor="text1"/>
          <w:sz w:val="24"/>
          <w:szCs w:val="24"/>
        </w:rPr>
        <w:t xml:space="preserve">Armstrong and Taylor (2023, p.24) </w:t>
      </w:r>
      <w:proofErr w:type="gramStart"/>
      <w:r w:rsidR="00F76A4D" w:rsidRPr="003745EE">
        <w:rPr>
          <w:color w:val="000000" w:themeColor="text1"/>
          <w:sz w:val="24"/>
          <w:szCs w:val="24"/>
        </w:rPr>
        <w:t>adds</w:t>
      </w:r>
      <w:proofErr w:type="gramEnd"/>
      <w:r w:rsidR="00F76A4D" w:rsidRPr="003745EE">
        <w:rPr>
          <w:color w:val="000000" w:themeColor="text1"/>
          <w:sz w:val="24"/>
          <w:szCs w:val="24"/>
        </w:rPr>
        <w:t xml:space="preserve"> that how an organisation functions </w:t>
      </w:r>
      <w:r w:rsidR="008328FE" w:rsidRPr="003745EE">
        <w:rPr>
          <w:color w:val="000000" w:themeColor="text1"/>
          <w:sz w:val="24"/>
          <w:szCs w:val="24"/>
        </w:rPr>
        <w:t>are</w:t>
      </w:r>
      <w:r w:rsidR="00F76A4D" w:rsidRPr="003745EE">
        <w:rPr>
          <w:color w:val="000000" w:themeColor="text1"/>
          <w:sz w:val="24"/>
          <w:szCs w:val="24"/>
        </w:rPr>
        <w:t xml:space="preserve"> influenced by external as well as internal </w:t>
      </w:r>
      <w:r w:rsidR="00F76A4D" w:rsidRPr="003745EE">
        <w:rPr>
          <w:sz w:val="24"/>
          <w:szCs w:val="24"/>
        </w:rPr>
        <w:t xml:space="preserve">environmental factors, therefore SWOT analysis would be carried out at the same time. </w:t>
      </w:r>
    </w:p>
    <w:p w14:paraId="0F81C09C" w14:textId="77777777" w:rsidR="008328FE" w:rsidRDefault="008328FE" w:rsidP="00140D0E">
      <w:pPr>
        <w:rPr>
          <w:sz w:val="24"/>
          <w:szCs w:val="24"/>
        </w:rPr>
      </w:pPr>
    </w:p>
    <w:p w14:paraId="2AFF8E35" w14:textId="77777777" w:rsidR="0078321A" w:rsidRDefault="0078321A" w:rsidP="00140D0E">
      <w:pPr>
        <w:rPr>
          <w:sz w:val="24"/>
          <w:szCs w:val="24"/>
        </w:rPr>
      </w:pPr>
    </w:p>
    <w:p w14:paraId="6784AFAA" w14:textId="77777777" w:rsidR="0078321A" w:rsidRDefault="0078321A" w:rsidP="00140D0E">
      <w:pPr>
        <w:rPr>
          <w:sz w:val="24"/>
          <w:szCs w:val="24"/>
        </w:rPr>
      </w:pPr>
    </w:p>
    <w:p w14:paraId="08193AC0" w14:textId="77777777" w:rsidR="008328FE" w:rsidRDefault="008328FE" w:rsidP="00140D0E">
      <w:pPr>
        <w:rPr>
          <w:sz w:val="24"/>
          <w:szCs w:val="24"/>
        </w:rPr>
      </w:pPr>
    </w:p>
    <w:p w14:paraId="71FDEBE2" w14:textId="77777777" w:rsidR="008328FE" w:rsidRDefault="008328FE" w:rsidP="00140D0E">
      <w:pPr>
        <w:rPr>
          <w:sz w:val="24"/>
          <w:szCs w:val="24"/>
        </w:rPr>
      </w:pPr>
    </w:p>
    <w:p w14:paraId="1E58DD1A" w14:textId="1C2B5AE2" w:rsidR="00D6383F" w:rsidRPr="003745EE" w:rsidRDefault="00D6383F" w:rsidP="00D6383F">
      <w:pPr>
        <w:rPr>
          <w:sz w:val="24"/>
          <w:szCs w:val="24"/>
        </w:rPr>
      </w:pPr>
      <w:r w:rsidRPr="00C67262">
        <w:rPr>
          <w:b/>
          <w:bCs/>
          <w:sz w:val="24"/>
          <w:szCs w:val="24"/>
        </w:rPr>
        <w:lastRenderedPageBreak/>
        <w:t>Q3</w:t>
      </w:r>
      <w:r w:rsidRPr="003745EE">
        <w:rPr>
          <w:sz w:val="24"/>
          <w:szCs w:val="24"/>
        </w:rPr>
        <w:t>. AC 1.3</w:t>
      </w:r>
    </w:p>
    <w:p w14:paraId="45FD9B50" w14:textId="77777777" w:rsidR="00D6383F" w:rsidRPr="003745EE" w:rsidRDefault="00D6383F" w:rsidP="00D6383F">
      <w:pPr>
        <w:rPr>
          <w:sz w:val="24"/>
          <w:szCs w:val="24"/>
        </w:rPr>
      </w:pPr>
    </w:p>
    <w:p w14:paraId="5226DF86" w14:textId="17F0CC7E" w:rsidR="00D6383F" w:rsidRPr="003745EE" w:rsidRDefault="00D6383F" w:rsidP="002366F5">
      <w:pPr>
        <w:jc w:val="both"/>
        <w:rPr>
          <w:sz w:val="24"/>
          <w:szCs w:val="24"/>
        </w:rPr>
      </w:pPr>
      <w:r w:rsidRPr="003745EE">
        <w:rPr>
          <w:sz w:val="24"/>
          <w:szCs w:val="24"/>
        </w:rPr>
        <w:t>In a CIPD podcast (Howlett and Coburn, 2019), it is considered that:</w:t>
      </w:r>
    </w:p>
    <w:p w14:paraId="47F8B025" w14:textId="77777777" w:rsidR="00D6383F" w:rsidRPr="003745EE" w:rsidRDefault="00D6383F" w:rsidP="002366F5">
      <w:pPr>
        <w:jc w:val="both"/>
        <w:rPr>
          <w:sz w:val="24"/>
          <w:szCs w:val="24"/>
        </w:rPr>
      </w:pPr>
    </w:p>
    <w:p w14:paraId="3859F08C" w14:textId="77777777" w:rsidR="00D6383F" w:rsidRPr="003745EE" w:rsidRDefault="00D6383F" w:rsidP="002366F5">
      <w:pPr>
        <w:jc w:val="both"/>
        <w:rPr>
          <w:i/>
          <w:iCs/>
          <w:sz w:val="24"/>
          <w:szCs w:val="24"/>
        </w:rPr>
      </w:pPr>
      <w:r w:rsidRPr="003745EE">
        <w:rPr>
          <w:i/>
          <w:iCs/>
          <w:sz w:val="24"/>
          <w:szCs w:val="24"/>
        </w:rPr>
        <w:t xml:space="preserve">“Critical thinking is the ability to think well, to think clearly, to take into account a number of diverse considerations and to reach conclusions which engage and take other people with you”. </w:t>
      </w:r>
    </w:p>
    <w:p w14:paraId="1647503B" w14:textId="77777777" w:rsidR="00D6383F" w:rsidRPr="003745EE" w:rsidRDefault="00D6383F" w:rsidP="002366F5">
      <w:pPr>
        <w:jc w:val="both"/>
        <w:rPr>
          <w:sz w:val="24"/>
          <w:szCs w:val="24"/>
        </w:rPr>
      </w:pPr>
    </w:p>
    <w:p w14:paraId="1FC3DA8A" w14:textId="77BFB6F0" w:rsidR="001B274E" w:rsidRPr="003745EE" w:rsidRDefault="00D6383F" w:rsidP="002366F5">
      <w:pPr>
        <w:jc w:val="both"/>
        <w:rPr>
          <w:sz w:val="24"/>
          <w:szCs w:val="24"/>
        </w:rPr>
      </w:pPr>
      <w:r w:rsidRPr="003745EE">
        <w:rPr>
          <w:sz w:val="24"/>
          <w:szCs w:val="24"/>
        </w:rPr>
        <w:t xml:space="preserve">Howlett and Coburn (2019) goes on to explain that with the development of digital transformation and artificial intelligence, a large amount of </w:t>
      </w:r>
      <w:r w:rsidR="00287D5B" w:rsidRPr="003745EE">
        <w:rPr>
          <w:sz w:val="24"/>
          <w:szCs w:val="24"/>
        </w:rPr>
        <w:t>low-level</w:t>
      </w:r>
      <w:r w:rsidRPr="003745EE">
        <w:rPr>
          <w:sz w:val="24"/>
          <w:szCs w:val="24"/>
        </w:rPr>
        <w:t xml:space="preserve"> decision-making can be done for us. This enables humans to focus on more complex and intellectual “higher ground” issues. Schafer</w:t>
      </w:r>
      <w:r w:rsidR="00595813">
        <w:rPr>
          <w:sz w:val="24"/>
          <w:szCs w:val="24"/>
        </w:rPr>
        <w:t xml:space="preserve"> </w:t>
      </w:r>
      <w:r w:rsidRPr="003745EE">
        <w:rPr>
          <w:sz w:val="24"/>
          <w:szCs w:val="24"/>
        </w:rPr>
        <w:t xml:space="preserve">(2025) views critical thinking as the “cornerstone” of human intelligence. One key aspect of critical thinking is to “critique” ideas and opinions of other people. </w:t>
      </w:r>
    </w:p>
    <w:p w14:paraId="1AA1AAFE" w14:textId="77777777" w:rsidR="001B274E" w:rsidRPr="003745EE" w:rsidRDefault="001B274E" w:rsidP="002366F5">
      <w:pPr>
        <w:jc w:val="both"/>
        <w:rPr>
          <w:sz w:val="24"/>
          <w:szCs w:val="24"/>
        </w:rPr>
      </w:pPr>
    </w:p>
    <w:p w14:paraId="28AC15BD" w14:textId="73693C54" w:rsidR="00D9296F" w:rsidRPr="003745EE" w:rsidRDefault="00D6383F" w:rsidP="002366F5">
      <w:pPr>
        <w:jc w:val="both"/>
        <w:rPr>
          <w:color w:val="000000" w:themeColor="text1"/>
          <w:sz w:val="24"/>
          <w:szCs w:val="24"/>
        </w:rPr>
      </w:pPr>
      <w:r w:rsidRPr="003745EE">
        <w:rPr>
          <w:sz w:val="24"/>
          <w:szCs w:val="24"/>
        </w:rPr>
        <w:t xml:space="preserve">At Technivara, the board feels it’s time to expand the business, </w:t>
      </w:r>
      <w:r w:rsidR="007016B2" w:rsidRPr="003745EE">
        <w:rPr>
          <w:sz w:val="24"/>
          <w:szCs w:val="24"/>
        </w:rPr>
        <w:t>as people pro</w:t>
      </w:r>
      <w:r w:rsidR="0007639D" w:rsidRPr="003745EE">
        <w:rPr>
          <w:sz w:val="24"/>
          <w:szCs w:val="24"/>
        </w:rPr>
        <w:t xml:space="preserve">fessionals, </w:t>
      </w:r>
      <w:r w:rsidR="00B10F57" w:rsidRPr="003745EE">
        <w:rPr>
          <w:sz w:val="24"/>
          <w:szCs w:val="24"/>
        </w:rPr>
        <w:t xml:space="preserve">before we can propose a new people practice strategy </w:t>
      </w:r>
      <w:r w:rsidR="00225D66" w:rsidRPr="003745EE">
        <w:rPr>
          <w:sz w:val="24"/>
          <w:szCs w:val="24"/>
        </w:rPr>
        <w:t>to meet the business needs and objectives</w:t>
      </w:r>
      <w:r w:rsidR="0033469D" w:rsidRPr="003745EE">
        <w:rPr>
          <w:sz w:val="24"/>
          <w:szCs w:val="24"/>
        </w:rPr>
        <w:t>, for example</w:t>
      </w:r>
      <w:r w:rsidR="00225D66" w:rsidRPr="003745EE">
        <w:rPr>
          <w:sz w:val="24"/>
          <w:szCs w:val="24"/>
        </w:rPr>
        <w:t xml:space="preserve"> </w:t>
      </w:r>
      <w:r w:rsidR="00B10F57" w:rsidRPr="003745EE">
        <w:rPr>
          <w:sz w:val="24"/>
          <w:szCs w:val="24"/>
        </w:rPr>
        <w:t xml:space="preserve">on Workforce planning, </w:t>
      </w:r>
      <w:r w:rsidR="0007639D" w:rsidRPr="003745EE">
        <w:rPr>
          <w:sz w:val="24"/>
          <w:szCs w:val="24"/>
        </w:rPr>
        <w:t xml:space="preserve">we need to critically analyse </w:t>
      </w:r>
      <w:r w:rsidR="00C548E9" w:rsidRPr="003745EE">
        <w:rPr>
          <w:sz w:val="24"/>
          <w:szCs w:val="24"/>
        </w:rPr>
        <w:t xml:space="preserve">the </w:t>
      </w:r>
      <w:r w:rsidR="00F3222A" w:rsidRPr="003745EE">
        <w:rPr>
          <w:sz w:val="24"/>
          <w:szCs w:val="24"/>
        </w:rPr>
        <w:t>best available evidence</w:t>
      </w:r>
      <w:r w:rsidR="00C548E9" w:rsidRPr="003745EE">
        <w:rPr>
          <w:sz w:val="24"/>
          <w:szCs w:val="24"/>
        </w:rPr>
        <w:t xml:space="preserve"> </w:t>
      </w:r>
      <w:r w:rsidR="005C4B9D" w:rsidRPr="003745EE">
        <w:rPr>
          <w:sz w:val="24"/>
          <w:szCs w:val="24"/>
        </w:rPr>
        <w:t xml:space="preserve">from all four sources </w:t>
      </w:r>
      <w:r w:rsidR="00CE0903" w:rsidRPr="003745EE">
        <w:rPr>
          <w:sz w:val="24"/>
          <w:szCs w:val="24"/>
        </w:rPr>
        <w:t>to ensure reliability and validity</w:t>
      </w:r>
      <w:r w:rsidR="00E60CAF" w:rsidRPr="003745EE">
        <w:rPr>
          <w:sz w:val="24"/>
          <w:szCs w:val="24"/>
        </w:rPr>
        <w:t xml:space="preserve"> (CIPD, 2025</w:t>
      </w:r>
      <w:r w:rsidR="004B3FA5">
        <w:rPr>
          <w:sz w:val="24"/>
          <w:szCs w:val="24"/>
        </w:rPr>
        <w:t>e</w:t>
      </w:r>
      <w:r w:rsidR="00E60CAF" w:rsidRPr="003745EE">
        <w:rPr>
          <w:sz w:val="24"/>
          <w:szCs w:val="24"/>
        </w:rPr>
        <w:t>).</w:t>
      </w:r>
      <w:r w:rsidR="001A4865" w:rsidRPr="003745EE">
        <w:rPr>
          <w:sz w:val="24"/>
          <w:szCs w:val="24"/>
        </w:rPr>
        <w:t xml:space="preserve"> </w:t>
      </w:r>
      <w:r w:rsidR="0066767A" w:rsidRPr="003745EE">
        <w:rPr>
          <w:sz w:val="24"/>
          <w:szCs w:val="24"/>
        </w:rPr>
        <w:t xml:space="preserve">When collecting </w:t>
      </w:r>
      <w:r w:rsidR="004C304D" w:rsidRPr="003745EE">
        <w:rPr>
          <w:sz w:val="24"/>
          <w:szCs w:val="24"/>
        </w:rPr>
        <w:t xml:space="preserve">data from </w:t>
      </w:r>
      <w:r w:rsidR="00E62FC4" w:rsidRPr="003745EE">
        <w:rPr>
          <w:sz w:val="24"/>
          <w:szCs w:val="24"/>
        </w:rPr>
        <w:t xml:space="preserve">internal </w:t>
      </w:r>
      <w:r w:rsidR="008F2024" w:rsidRPr="003745EE">
        <w:rPr>
          <w:sz w:val="24"/>
          <w:szCs w:val="24"/>
        </w:rPr>
        <w:t>stakeholders</w:t>
      </w:r>
      <w:r w:rsidR="004C304D" w:rsidRPr="003745EE">
        <w:rPr>
          <w:sz w:val="24"/>
          <w:szCs w:val="24"/>
        </w:rPr>
        <w:t xml:space="preserve">, we need to be aware of </w:t>
      </w:r>
      <w:r w:rsidR="003C1063" w:rsidRPr="003745EE">
        <w:rPr>
          <w:sz w:val="24"/>
          <w:szCs w:val="24"/>
        </w:rPr>
        <w:t>the “representativeness” of the</w:t>
      </w:r>
      <w:r w:rsidR="00727AD3" w:rsidRPr="003745EE">
        <w:rPr>
          <w:sz w:val="24"/>
          <w:szCs w:val="24"/>
        </w:rPr>
        <w:t xml:space="preserve"> sample</w:t>
      </w:r>
      <w:r w:rsidR="00D25E78" w:rsidRPr="003745EE">
        <w:rPr>
          <w:sz w:val="24"/>
          <w:szCs w:val="24"/>
        </w:rPr>
        <w:t xml:space="preserve">. </w:t>
      </w:r>
      <w:r w:rsidR="007D41A8" w:rsidRPr="003745EE">
        <w:rPr>
          <w:color w:val="000000" w:themeColor="text1"/>
          <w:sz w:val="24"/>
          <w:szCs w:val="24"/>
        </w:rPr>
        <w:t xml:space="preserve">In the context of </w:t>
      </w:r>
      <w:r w:rsidR="00161F73" w:rsidRPr="003745EE">
        <w:rPr>
          <w:color w:val="000000" w:themeColor="text1"/>
          <w:sz w:val="24"/>
          <w:szCs w:val="24"/>
        </w:rPr>
        <w:t>workforce planning</w:t>
      </w:r>
      <w:r w:rsidR="003E10BC" w:rsidRPr="003745EE">
        <w:rPr>
          <w:color w:val="000000" w:themeColor="text1"/>
          <w:sz w:val="24"/>
          <w:szCs w:val="24"/>
        </w:rPr>
        <w:t xml:space="preserve"> where </w:t>
      </w:r>
      <w:r w:rsidR="001559DD" w:rsidRPr="003745EE">
        <w:rPr>
          <w:color w:val="000000" w:themeColor="text1"/>
          <w:sz w:val="24"/>
          <w:szCs w:val="24"/>
        </w:rPr>
        <w:t xml:space="preserve">hundreds of </w:t>
      </w:r>
      <w:r w:rsidR="00A46328" w:rsidRPr="003745EE">
        <w:rPr>
          <w:color w:val="000000" w:themeColor="text1"/>
          <w:sz w:val="24"/>
          <w:szCs w:val="24"/>
        </w:rPr>
        <w:t xml:space="preserve">employees </w:t>
      </w:r>
      <w:r w:rsidR="003E10BC" w:rsidRPr="003745EE">
        <w:rPr>
          <w:color w:val="000000" w:themeColor="text1"/>
          <w:sz w:val="24"/>
          <w:szCs w:val="24"/>
        </w:rPr>
        <w:t>could potentially be affected by the change</w:t>
      </w:r>
      <w:r w:rsidR="00161F73" w:rsidRPr="003745EE">
        <w:rPr>
          <w:color w:val="000000" w:themeColor="text1"/>
          <w:sz w:val="24"/>
          <w:szCs w:val="24"/>
        </w:rPr>
        <w:t>, if we only collect evidence from a</w:t>
      </w:r>
      <w:r w:rsidR="00382EFA" w:rsidRPr="003745EE">
        <w:rPr>
          <w:color w:val="000000" w:themeColor="text1"/>
          <w:sz w:val="24"/>
          <w:szCs w:val="24"/>
        </w:rPr>
        <w:t xml:space="preserve"> focus group of four or five employees</w:t>
      </w:r>
      <w:r w:rsidR="00A46328" w:rsidRPr="003745EE">
        <w:rPr>
          <w:color w:val="000000" w:themeColor="text1"/>
          <w:sz w:val="24"/>
          <w:szCs w:val="24"/>
        </w:rPr>
        <w:t xml:space="preserve">, </w:t>
      </w:r>
      <w:r w:rsidR="00162EB8" w:rsidRPr="003745EE">
        <w:rPr>
          <w:color w:val="000000" w:themeColor="text1"/>
          <w:sz w:val="24"/>
          <w:szCs w:val="24"/>
        </w:rPr>
        <w:t xml:space="preserve">its representativeness could be questioned. </w:t>
      </w:r>
      <w:r w:rsidR="005209E5" w:rsidRPr="003745EE">
        <w:rPr>
          <w:color w:val="000000" w:themeColor="text1"/>
          <w:sz w:val="24"/>
          <w:szCs w:val="24"/>
        </w:rPr>
        <w:t xml:space="preserve">It is likely we would </w:t>
      </w:r>
      <w:r w:rsidR="008F0466" w:rsidRPr="003745EE">
        <w:rPr>
          <w:color w:val="000000" w:themeColor="text1"/>
          <w:sz w:val="24"/>
          <w:szCs w:val="24"/>
        </w:rPr>
        <w:t xml:space="preserve">need to </w:t>
      </w:r>
      <w:r w:rsidR="00E07A81" w:rsidRPr="003745EE">
        <w:rPr>
          <w:color w:val="000000" w:themeColor="text1"/>
          <w:sz w:val="24"/>
          <w:szCs w:val="24"/>
        </w:rPr>
        <w:t>collect more evidence from</w:t>
      </w:r>
      <w:r w:rsidR="003365C8" w:rsidRPr="003745EE">
        <w:rPr>
          <w:color w:val="000000" w:themeColor="text1"/>
          <w:sz w:val="24"/>
          <w:szCs w:val="24"/>
        </w:rPr>
        <w:t xml:space="preserve"> a larger sample</w:t>
      </w:r>
      <w:r w:rsidR="003F58E2" w:rsidRPr="003745EE">
        <w:rPr>
          <w:color w:val="000000" w:themeColor="text1"/>
          <w:sz w:val="24"/>
          <w:szCs w:val="24"/>
        </w:rPr>
        <w:t xml:space="preserve"> of employees</w:t>
      </w:r>
      <w:r w:rsidR="001C68B3" w:rsidRPr="003745EE">
        <w:rPr>
          <w:color w:val="000000" w:themeColor="text1"/>
          <w:sz w:val="24"/>
          <w:szCs w:val="24"/>
        </w:rPr>
        <w:t xml:space="preserve"> using</w:t>
      </w:r>
      <w:r w:rsidR="008F0466" w:rsidRPr="003745EE">
        <w:rPr>
          <w:color w:val="000000" w:themeColor="text1"/>
          <w:sz w:val="24"/>
          <w:szCs w:val="24"/>
        </w:rPr>
        <w:t xml:space="preserve"> a </w:t>
      </w:r>
      <w:r w:rsidR="00E07A81" w:rsidRPr="003745EE">
        <w:rPr>
          <w:color w:val="000000" w:themeColor="text1"/>
          <w:sz w:val="24"/>
          <w:szCs w:val="24"/>
        </w:rPr>
        <w:t>survey</w:t>
      </w:r>
      <w:r w:rsidR="008F0466" w:rsidRPr="003745EE">
        <w:rPr>
          <w:color w:val="000000" w:themeColor="text1"/>
          <w:sz w:val="24"/>
          <w:szCs w:val="24"/>
        </w:rPr>
        <w:t xml:space="preserve"> or </w:t>
      </w:r>
      <w:r w:rsidR="00FF39F8" w:rsidRPr="003745EE">
        <w:rPr>
          <w:color w:val="000000" w:themeColor="text1"/>
          <w:sz w:val="24"/>
          <w:szCs w:val="24"/>
        </w:rPr>
        <w:t xml:space="preserve">a </w:t>
      </w:r>
      <w:r w:rsidR="008F0466" w:rsidRPr="003745EE">
        <w:rPr>
          <w:color w:val="000000" w:themeColor="text1"/>
          <w:sz w:val="24"/>
          <w:szCs w:val="24"/>
        </w:rPr>
        <w:t>questionnaire</w:t>
      </w:r>
      <w:r w:rsidR="001C68B3" w:rsidRPr="003745EE">
        <w:rPr>
          <w:color w:val="000000" w:themeColor="text1"/>
          <w:sz w:val="24"/>
          <w:szCs w:val="24"/>
        </w:rPr>
        <w:t xml:space="preserve">. </w:t>
      </w:r>
      <w:r w:rsidR="008F0466" w:rsidRPr="003745EE">
        <w:rPr>
          <w:color w:val="000000" w:themeColor="text1"/>
          <w:sz w:val="24"/>
          <w:szCs w:val="24"/>
        </w:rPr>
        <w:t xml:space="preserve"> </w:t>
      </w:r>
      <w:r w:rsidR="003F4BF0" w:rsidRPr="003745EE">
        <w:rPr>
          <w:color w:val="000000" w:themeColor="text1"/>
          <w:sz w:val="24"/>
          <w:szCs w:val="24"/>
        </w:rPr>
        <w:t xml:space="preserve">We also need to consider </w:t>
      </w:r>
      <w:r w:rsidR="00F31B40" w:rsidRPr="003745EE">
        <w:rPr>
          <w:color w:val="000000" w:themeColor="text1"/>
          <w:sz w:val="24"/>
          <w:szCs w:val="24"/>
        </w:rPr>
        <w:t xml:space="preserve">the impact of ethical concerns </w:t>
      </w:r>
      <w:r w:rsidR="001A0042" w:rsidRPr="003745EE">
        <w:rPr>
          <w:color w:val="000000" w:themeColor="text1"/>
          <w:sz w:val="24"/>
          <w:szCs w:val="24"/>
        </w:rPr>
        <w:t xml:space="preserve">when a group of employees might be </w:t>
      </w:r>
      <w:r w:rsidR="00B13D9F" w:rsidRPr="003745EE">
        <w:rPr>
          <w:color w:val="000000" w:themeColor="text1"/>
          <w:sz w:val="24"/>
          <w:szCs w:val="24"/>
        </w:rPr>
        <w:t>“</w:t>
      </w:r>
      <w:r w:rsidR="001A0042" w:rsidRPr="003745EE">
        <w:rPr>
          <w:color w:val="000000" w:themeColor="text1"/>
          <w:sz w:val="24"/>
          <w:szCs w:val="24"/>
        </w:rPr>
        <w:t>harmed</w:t>
      </w:r>
      <w:r w:rsidR="00B13D9F" w:rsidRPr="003745EE">
        <w:rPr>
          <w:color w:val="000000" w:themeColor="text1"/>
          <w:sz w:val="24"/>
          <w:szCs w:val="24"/>
        </w:rPr>
        <w:t>”</w:t>
      </w:r>
      <w:r w:rsidR="002D7D92" w:rsidRPr="003745EE">
        <w:rPr>
          <w:color w:val="000000" w:themeColor="text1"/>
          <w:sz w:val="24"/>
          <w:szCs w:val="24"/>
        </w:rPr>
        <w:t>, for example</w:t>
      </w:r>
      <w:r w:rsidR="00D21D12" w:rsidRPr="003745EE">
        <w:rPr>
          <w:color w:val="000000" w:themeColor="text1"/>
          <w:sz w:val="24"/>
          <w:szCs w:val="24"/>
        </w:rPr>
        <w:t xml:space="preserve"> workforce planning </w:t>
      </w:r>
      <w:r w:rsidR="00211182" w:rsidRPr="003745EE">
        <w:rPr>
          <w:color w:val="000000" w:themeColor="text1"/>
          <w:sz w:val="24"/>
          <w:szCs w:val="24"/>
        </w:rPr>
        <w:t xml:space="preserve">only involves </w:t>
      </w:r>
      <w:r w:rsidR="00430CF6" w:rsidRPr="003745EE">
        <w:rPr>
          <w:color w:val="000000" w:themeColor="text1"/>
          <w:sz w:val="24"/>
          <w:szCs w:val="24"/>
        </w:rPr>
        <w:t xml:space="preserve">employees over the age of </w:t>
      </w:r>
      <w:r w:rsidR="004B3FA5">
        <w:rPr>
          <w:color w:val="000000" w:themeColor="text1"/>
          <w:sz w:val="24"/>
          <w:szCs w:val="24"/>
        </w:rPr>
        <w:t>fifty-five</w:t>
      </w:r>
      <w:r w:rsidR="00430CF6" w:rsidRPr="003745EE">
        <w:rPr>
          <w:color w:val="000000" w:themeColor="text1"/>
          <w:sz w:val="24"/>
          <w:szCs w:val="24"/>
        </w:rPr>
        <w:t xml:space="preserve"> be</w:t>
      </w:r>
      <w:r w:rsidR="001A0042" w:rsidRPr="003745EE">
        <w:rPr>
          <w:color w:val="000000" w:themeColor="text1"/>
          <w:sz w:val="24"/>
          <w:szCs w:val="24"/>
        </w:rPr>
        <w:t xml:space="preserve"> made redundant</w:t>
      </w:r>
      <w:r w:rsidR="00FC2A41" w:rsidRPr="003745EE">
        <w:rPr>
          <w:color w:val="000000" w:themeColor="text1"/>
          <w:sz w:val="24"/>
          <w:szCs w:val="24"/>
        </w:rPr>
        <w:t xml:space="preserve"> is likely to cause ethical and legal implications (Barends and Rousseau, 2018, p.242).</w:t>
      </w:r>
      <w:r w:rsidR="00991FA2" w:rsidRPr="003745EE">
        <w:rPr>
          <w:color w:val="000000" w:themeColor="text1"/>
          <w:sz w:val="24"/>
          <w:szCs w:val="24"/>
        </w:rPr>
        <w:t xml:space="preserve"> </w:t>
      </w:r>
      <w:r w:rsidR="00252E30" w:rsidRPr="003745EE">
        <w:rPr>
          <w:sz w:val="24"/>
          <w:szCs w:val="24"/>
        </w:rPr>
        <w:t xml:space="preserve">In meetings with senior leadership, </w:t>
      </w:r>
      <w:r w:rsidR="00991FA2" w:rsidRPr="003745EE">
        <w:rPr>
          <w:sz w:val="24"/>
          <w:szCs w:val="24"/>
        </w:rPr>
        <w:t xml:space="preserve">HR professionals need to </w:t>
      </w:r>
      <w:r w:rsidR="00252E30" w:rsidRPr="003745EE">
        <w:rPr>
          <w:sz w:val="24"/>
          <w:szCs w:val="24"/>
        </w:rPr>
        <w:t>have a “critical mindset”</w:t>
      </w:r>
      <w:r w:rsidR="00CA36F1" w:rsidRPr="003745EE">
        <w:rPr>
          <w:sz w:val="24"/>
          <w:szCs w:val="24"/>
        </w:rPr>
        <w:t xml:space="preserve"> to analyse information and data critically instead of taking them at face value</w:t>
      </w:r>
      <w:r w:rsidR="00913612" w:rsidRPr="003745EE">
        <w:rPr>
          <w:sz w:val="24"/>
          <w:szCs w:val="24"/>
        </w:rPr>
        <w:t xml:space="preserve"> (</w:t>
      </w:r>
      <w:r w:rsidR="00991FA2" w:rsidRPr="003745EE">
        <w:rPr>
          <w:sz w:val="24"/>
          <w:szCs w:val="24"/>
        </w:rPr>
        <w:t>Barends, Briner and Rousseau</w:t>
      </w:r>
      <w:r w:rsidR="00913612" w:rsidRPr="003745EE">
        <w:rPr>
          <w:sz w:val="24"/>
          <w:szCs w:val="24"/>
        </w:rPr>
        <w:t xml:space="preserve">, </w:t>
      </w:r>
      <w:r w:rsidR="00991FA2" w:rsidRPr="003745EE">
        <w:rPr>
          <w:sz w:val="24"/>
          <w:szCs w:val="24"/>
        </w:rPr>
        <w:t>2014)</w:t>
      </w:r>
      <w:r w:rsidR="00913612" w:rsidRPr="003745EE">
        <w:rPr>
          <w:sz w:val="24"/>
          <w:szCs w:val="24"/>
        </w:rPr>
        <w:t xml:space="preserve">. </w:t>
      </w:r>
    </w:p>
    <w:p w14:paraId="38BC55E2" w14:textId="77777777" w:rsidR="00D9296F" w:rsidRPr="003745EE" w:rsidRDefault="00D9296F" w:rsidP="002366F5">
      <w:pPr>
        <w:jc w:val="both"/>
        <w:rPr>
          <w:color w:val="000000" w:themeColor="text1"/>
          <w:sz w:val="24"/>
          <w:szCs w:val="24"/>
        </w:rPr>
      </w:pPr>
    </w:p>
    <w:p w14:paraId="6BFCA4E8" w14:textId="2A1D1C5D" w:rsidR="00CE0903" w:rsidRPr="003745EE" w:rsidRDefault="007B727D" w:rsidP="002366F5">
      <w:pPr>
        <w:jc w:val="both"/>
        <w:rPr>
          <w:sz w:val="24"/>
          <w:szCs w:val="24"/>
        </w:rPr>
      </w:pPr>
      <w:r w:rsidRPr="003745EE">
        <w:rPr>
          <w:sz w:val="24"/>
          <w:szCs w:val="24"/>
        </w:rPr>
        <w:t xml:space="preserve">The final point is to </w:t>
      </w:r>
      <w:r w:rsidR="00177599" w:rsidRPr="003745EE">
        <w:rPr>
          <w:sz w:val="24"/>
          <w:szCs w:val="24"/>
        </w:rPr>
        <w:t>be aware of common errors which would provide</w:t>
      </w:r>
      <w:r w:rsidR="00E91677" w:rsidRPr="003745EE">
        <w:rPr>
          <w:sz w:val="24"/>
          <w:szCs w:val="24"/>
        </w:rPr>
        <w:t xml:space="preserve"> us with </w:t>
      </w:r>
      <w:r w:rsidR="0066551D">
        <w:rPr>
          <w:sz w:val="24"/>
          <w:szCs w:val="24"/>
        </w:rPr>
        <w:t xml:space="preserve">a </w:t>
      </w:r>
      <w:r w:rsidR="00E91677" w:rsidRPr="003745EE">
        <w:rPr>
          <w:sz w:val="24"/>
          <w:szCs w:val="24"/>
        </w:rPr>
        <w:t xml:space="preserve">set of “lenses” and </w:t>
      </w:r>
      <w:r w:rsidR="0047184D" w:rsidRPr="003745EE">
        <w:rPr>
          <w:sz w:val="24"/>
          <w:szCs w:val="24"/>
        </w:rPr>
        <w:t>t</w:t>
      </w:r>
      <w:r w:rsidRPr="003745EE">
        <w:rPr>
          <w:sz w:val="24"/>
          <w:szCs w:val="24"/>
        </w:rPr>
        <w:t xml:space="preserve">he ability to </w:t>
      </w:r>
      <w:r w:rsidR="0047184D" w:rsidRPr="003745EE">
        <w:rPr>
          <w:sz w:val="24"/>
          <w:szCs w:val="24"/>
        </w:rPr>
        <w:t xml:space="preserve">identify errors and </w:t>
      </w:r>
      <w:r w:rsidRPr="003745EE">
        <w:rPr>
          <w:sz w:val="24"/>
          <w:szCs w:val="24"/>
        </w:rPr>
        <w:t>hold strategic conversations to make a persuasive case. We see more people working collaboratively (“collective intelligence”) as a team than reliant on individual intelligence or ability when solving problems, HR professionals play the role as  “facilitator</w:t>
      </w:r>
      <w:r w:rsidR="00F827B7">
        <w:rPr>
          <w:sz w:val="24"/>
          <w:szCs w:val="24"/>
        </w:rPr>
        <w:t>s</w:t>
      </w:r>
      <w:r w:rsidRPr="003745EE">
        <w:rPr>
          <w:sz w:val="24"/>
          <w:szCs w:val="24"/>
        </w:rPr>
        <w:t>” engaging in strategic conversations with internal business leaders to promote their thinking in a more “robust, structured” way, critical thinking add value to it</w:t>
      </w:r>
      <w:r w:rsidR="004B3FA5">
        <w:rPr>
          <w:sz w:val="24"/>
          <w:szCs w:val="24"/>
        </w:rPr>
        <w:t xml:space="preserve"> </w:t>
      </w:r>
      <w:r w:rsidRPr="003745EE">
        <w:rPr>
          <w:sz w:val="24"/>
          <w:szCs w:val="24"/>
        </w:rPr>
        <w:t>(Howlett and Coburn, 2019).</w:t>
      </w:r>
      <w:r w:rsidR="007A3DCE" w:rsidRPr="003745EE">
        <w:rPr>
          <w:sz w:val="24"/>
          <w:szCs w:val="24"/>
        </w:rPr>
        <w:t xml:space="preserve"> </w:t>
      </w:r>
    </w:p>
    <w:p w14:paraId="74F94434" w14:textId="77777777" w:rsidR="00DA6023" w:rsidRPr="003745EE" w:rsidRDefault="00DA6023" w:rsidP="00D6383F">
      <w:pPr>
        <w:rPr>
          <w:sz w:val="24"/>
          <w:szCs w:val="24"/>
        </w:rPr>
      </w:pPr>
    </w:p>
    <w:p w14:paraId="1E8E7CCD" w14:textId="77777777" w:rsidR="00DA6023" w:rsidRPr="003745EE" w:rsidRDefault="00DA6023" w:rsidP="00D6383F">
      <w:pPr>
        <w:rPr>
          <w:sz w:val="24"/>
          <w:szCs w:val="24"/>
        </w:rPr>
      </w:pPr>
    </w:p>
    <w:p w14:paraId="39039F18" w14:textId="77777777" w:rsidR="00ED167A" w:rsidRDefault="00ED167A" w:rsidP="00EC0366">
      <w:pPr>
        <w:pStyle w:val="BodyText"/>
        <w:ind w:right="283"/>
        <w:jc w:val="both"/>
        <w:rPr>
          <w:b/>
          <w:bCs/>
          <w:color w:val="004146"/>
          <w:sz w:val="24"/>
          <w:szCs w:val="24"/>
        </w:rPr>
      </w:pPr>
    </w:p>
    <w:p w14:paraId="72E9391E" w14:textId="77777777" w:rsidR="00ED167A" w:rsidRDefault="00ED167A" w:rsidP="0078321A">
      <w:pPr>
        <w:pStyle w:val="BodyText"/>
        <w:ind w:right="283"/>
        <w:jc w:val="both"/>
        <w:rPr>
          <w:b/>
          <w:bCs/>
          <w:color w:val="004146"/>
          <w:sz w:val="24"/>
          <w:szCs w:val="24"/>
        </w:rPr>
      </w:pPr>
    </w:p>
    <w:p w14:paraId="7AB8D417" w14:textId="77777777" w:rsidR="0078321A" w:rsidRDefault="0078321A" w:rsidP="0078321A">
      <w:pPr>
        <w:pStyle w:val="BodyText"/>
        <w:ind w:right="283"/>
        <w:jc w:val="both"/>
        <w:rPr>
          <w:b/>
          <w:bCs/>
          <w:color w:val="004146"/>
          <w:sz w:val="24"/>
          <w:szCs w:val="24"/>
        </w:rPr>
      </w:pPr>
    </w:p>
    <w:p w14:paraId="59D5BE49" w14:textId="77777777" w:rsidR="0078321A" w:rsidRDefault="0078321A" w:rsidP="0078321A">
      <w:pPr>
        <w:pStyle w:val="BodyText"/>
        <w:ind w:right="283"/>
        <w:jc w:val="both"/>
        <w:rPr>
          <w:b/>
          <w:bCs/>
          <w:color w:val="004146"/>
          <w:sz w:val="24"/>
          <w:szCs w:val="24"/>
        </w:rPr>
      </w:pPr>
    </w:p>
    <w:p w14:paraId="1434BB31" w14:textId="77777777" w:rsidR="0078321A" w:rsidRPr="003745EE" w:rsidRDefault="0078321A" w:rsidP="0078321A">
      <w:pPr>
        <w:pStyle w:val="BodyText"/>
        <w:ind w:right="283"/>
        <w:jc w:val="both"/>
        <w:rPr>
          <w:b/>
          <w:bCs/>
          <w:color w:val="004146"/>
          <w:sz w:val="24"/>
          <w:szCs w:val="24"/>
        </w:rPr>
      </w:pPr>
    </w:p>
    <w:p w14:paraId="1110C315" w14:textId="77777777" w:rsidR="00A539C6" w:rsidRPr="003745EE" w:rsidRDefault="00A539C6" w:rsidP="00A539C6">
      <w:pPr>
        <w:pStyle w:val="BodyText"/>
        <w:ind w:left="426" w:right="283" w:hanging="426"/>
        <w:jc w:val="both"/>
        <w:rPr>
          <w:b/>
          <w:bCs/>
          <w:color w:val="004146"/>
          <w:sz w:val="24"/>
          <w:szCs w:val="24"/>
        </w:rPr>
      </w:pPr>
    </w:p>
    <w:p w14:paraId="3D39E667" w14:textId="14E42A00" w:rsidR="00A539C6" w:rsidRPr="003745EE" w:rsidRDefault="00A539C6" w:rsidP="00A539C6">
      <w:pPr>
        <w:pStyle w:val="BodyText"/>
        <w:ind w:left="426" w:right="283" w:hanging="426"/>
        <w:jc w:val="both"/>
        <w:rPr>
          <w:sz w:val="24"/>
          <w:szCs w:val="24"/>
        </w:rPr>
      </w:pPr>
      <w:r w:rsidRPr="00C67262">
        <w:rPr>
          <w:b/>
          <w:bCs/>
          <w:color w:val="000000" w:themeColor="text1"/>
          <w:sz w:val="24"/>
          <w:szCs w:val="24"/>
        </w:rPr>
        <w:lastRenderedPageBreak/>
        <w:t>Q4.</w:t>
      </w:r>
      <w:r w:rsidRPr="003745EE">
        <w:rPr>
          <w:sz w:val="24"/>
          <w:szCs w:val="24"/>
        </w:rPr>
        <w:t xml:space="preserve"> AC 1.4</w:t>
      </w:r>
    </w:p>
    <w:p w14:paraId="7148E1D2" w14:textId="77777777" w:rsidR="00A539C6" w:rsidRPr="003745EE" w:rsidRDefault="00A539C6" w:rsidP="00A539C6">
      <w:pPr>
        <w:rPr>
          <w:sz w:val="24"/>
          <w:szCs w:val="24"/>
        </w:rPr>
      </w:pPr>
    </w:p>
    <w:p w14:paraId="140C1E6B" w14:textId="77777777" w:rsidR="00A539C6" w:rsidRPr="003745EE" w:rsidRDefault="00A539C6" w:rsidP="00A539C6">
      <w:pPr>
        <w:rPr>
          <w:color w:val="000000" w:themeColor="text1"/>
          <w:sz w:val="24"/>
          <w:szCs w:val="24"/>
        </w:rPr>
      </w:pPr>
      <w:r w:rsidRPr="003745EE">
        <w:rPr>
          <w:sz w:val="24"/>
          <w:szCs w:val="24"/>
        </w:rPr>
        <w:t xml:space="preserve">Example 1: </w:t>
      </w:r>
      <w:r w:rsidRPr="003745EE">
        <w:rPr>
          <w:color w:val="000000" w:themeColor="text1"/>
          <w:sz w:val="24"/>
          <w:szCs w:val="24"/>
        </w:rPr>
        <w:t>Rational approach to decision-making</w:t>
      </w:r>
    </w:p>
    <w:p w14:paraId="0C769581" w14:textId="77777777" w:rsidR="00A539C6" w:rsidRPr="003745EE" w:rsidRDefault="00A539C6" w:rsidP="00A539C6">
      <w:pPr>
        <w:rPr>
          <w:sz w:val="24"/>
          <w:szCs w:val="24"/>
        </w:rPr>
      </w:pPr>
    </w:p>
    <w:p w14:paraId="2FF79C5B" w14:textId="136806EE" w:rsidR="00A539C6" w:rsidRPr="003745EE" w:rsidRDefault="00A539C6" w:rsidP="00A539C6">
      <w:pPr>
        <w:rPr>
          <w:color w:val="000000" w:themeColor="text1"/>
          <w:sz w:val="24"/>
          <w:szCs w:val="24"/>
        </w:rPr>
      </w:pPr>
      <w:r w:rsidRPr="003745EE">
        <w:rPr>
          <w:color w:val="000000" w:themeColor="text1"/>
          <w:sz w:val="24"/>
          <w:szCs w:val="24"/>
        </w:rPr>
        <w:t xml:space="preserve">Adair (2022, p.37) suggests the Classic Five-Step Approach to decision-making as shown in Figure </w:t>
      </w:r>
      <w:r w:rsidRPr="003745EE">
        <w:rPr>
          <w:b/>
          <w:bCs/>
          <w:color w:val="000000" w:themeColor="text1"/>
          <w:sz w:val="24"/>
          <w:szCs w:val="24"/>
        </w:rPr>
        <w:t xml:space="preserve">4.1. </w:t>
      </w:r>
      <w:r w:rsidRPr="003745EE">
        <w:rPr>
          <w:color w:val="000000" w:themeColor="text1"/>
          <w:sz w:val="24"/>
          <w:szCs w:val="24"/>
        </w:rPr>
        <w:t>It is also known as the rational approach to decision-making.</w:t>
      </w:r>
    </w:p>
    <w:p w14:paraId="59B92F39" w14:textId="77777777" w:rsidR="007275D2" w:rsidRPr="003745EE" w:rsidRDefault="007275D2" w:rsidP="00A539C6">
      <w:pPr>
        <w:rPr>
          <w:b/>
          <w:bCs/>
          <w:color w:val="000000" w:themeColor="text1"/>
          <w:sz w:val="24"/>
          <w:szCs w:val="24"/>
        </w:rPr>
      </w:pPr>
    </w:p>
    <w:p w14:paraId="49360C5A" w14:textId="77777777" w:rsidR="00A539C6" w:rsidRPr="003745EE" w:rsidRDefault="00A539C6" w:rsidP="00A539C6">
      <w:pPr>
        <w:jc w:val="center"/>
        <w:rPr>
          <w:b/>
          <w:bCs/>
          <w:color w:val="000000" w:themeColor="text1"/>
          <w:sz w:val="24"/>
          <w:szCs w:val="24"/>
        </w:rPr>
      </w:pPr>
      <w:r w:rsidRPr="003745EE">
        <w:rPr>
          <w:noProof/>
          <w:sz w:val="24"/>
          <w:szCs w:val="24"/>
        </w:rPr>
        <w:drawing>
          <wp:inline distT="0" distB="0" distL="0" distR="0" wp14:anchorId="14A9E1C7" wp14:editId="54474AC9">
            <wp:extent cx="2323911" cy="2051050"/>
            <wp:effectExtent l="0" t="0" r="635" b="6350"/>
            <wp:docPr id="937060983" name="Picture 1" descr="A diagram of steps&#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95712806" name="Picture 1" descr="A diagram of steps&#10;&#10;AI-generated content may be incorrect."/>
                    <pic:cNvPicPr/>
                  </pic:nvPicPr>
                  <pic:blipFill>
                    <a:blip r:embed="rId6"/>
                    <a:stretch>
                      <a:fillRect/>
                    </a:stretch>
                  </pic:blipFill>
                  <pic:spPr>
                    <a:xfrm>
                      <a:off x="0" y="0"/>
                      <a:ext cx="2331169" cy="2057456"/>
                    </a:xfrm>
                    <a:prstGeom prst="rect">
                      <a:avLst/>
                    </a:prstGeom>
                  </pic:spPr>
                </pic:pic>
              </a:graphicData>
            </a:graphic>
          </wp:inline>
        </w:drawing>
      </w:r>
    </w:p>
    <w:p w14:paraId="3503578F" w14:textId="77777777" w:rsidR="00A539C6" w:rsidRPr="003745EE" w:rsidRDefault="00A539C6" w:rsidP="00A539C6">
      <w:pPr>
        <w:jc w:val="center"/>
        <w:rPr>
          <w:b/>
          <w:bCs/>
          <w:color w:val="000000" w:themeColor="text1"/>
          <w:sz w:val="24"/>
          <w:szCs w:val="24"/>
        </w:rPr>
      </w:pPr>
    </w:p>
    <w:p w14:paraId="3984A280" w14:textId="4179F3EE" w:rsidR="00A539C6" w:rsidRPr="003745EE" w:rsidRDefault="00A539C6" w:rsidP="00A539C6">
      <w:pPr>
        <w:rPr>
          <w:color w:val="000000" w:themeColor="text1"/>
          <w:sz w:val="24"/>
          <w:szCs w:val="24"/>
        </w:rPr>
      </w:pPr>
      <w:r w:rsidRPr="003745EE">
        <w:rPr>
          <w:color w:val="000000" w:themeColor="text1"/>
          <w:sz w:val="24"/>
          <w:szCs w:val="24"/>
        </w:rPr>
        <w:t xml:space="preserve">Figure </w:t>
      </w:r>
      <w:r w:rsidRPr="003745EE">
        <w:rPr>
          <w:b/>
          <w:bCs/>
          <w:color w:val="000000" w:themeColor="text1"/>
          <w:sz w:val="24"/>
          <w:szCs w:val="24"/>
        </w:rPr>
        <w:t>4.1</w:t>
      </w:r>
      <w:r w:rsidR="00C429D7">
        <w:rPr>
          <w:b/>
          <w:bCs/>
          <w:color w:val="000000" w:themeColor="text1"/>
          <w:sz w:val="24"/>
          <w:szCs w:val="24"/>
        </w:rPr>
        <w:t xml:space="preserve"> </w:t>
      </w:r>
      <w:r w:rsidRPr="003745EE">
        <w:rPr>
          <w:color w:val="000000" w:themeColor="text1"/>
          <w:sz w:val="24"/>
          <w:szCs w:val="24"/>
        </w:rPr>
        <w:t xml:space="preserve">(Adair, 2022, p.37) A five-step to decision making </w:t>
      </w:r>
    </w:p>
    <w:p w14:paraId="09209DCE" w14:textId="77777777" w:rsidR="00A539C6" w:rsidRPr="003745EE" w:rsidRDefault="00A539C6" w:rsidP="00A539C6">
      <w:pPr>
        <w:rPr>
          <w:color w:val="000000" w:themeColor="text1"/>
          <w:sz w:val="24"/>
          <w:szCs w:val="24"/>
        </w:rPr>
      </w:pPr>
    </w:p>
    <w:p w14:paraId="305ADF1E" w14:textId="77777777" w:rsidR="00A539C6" w:rsidRPr="003745EE" w:rsidRDefault="00A539C6" w:rsidP="00A539C6">
      <w:pPr>
        <w:rPr>
          <w:b/>
          <w:bCs/>
          <w:color w:val="000000" w:themeColor="text1"/>
          <w:sz w:val="24"/>
          <w:szCs w:val="24"/>
        </w:rPr>
      </w:pPr>
      <w:r w:rsidRPr="003745EE">
        <w:rPr>
          <w:b/>
          <w:bCs/>
          <w:color w:val="000000" w:themeColor="text1"/>
          <w:sz w:val="24"/>
          <w:szCs w:val="24"/>
        </w:rPr>
        <w:t>Define the Objective</w:t>
      </w:r>
    </w:p>
    <w:p w14:paraId="292E5AD7" w14:textId="77777777" w:rsidR="00A539C6" w:rsidRPr="003745EE" w:rsidRDefault="00A539C6" w:rsidP="00A539C6">
      <w:pPr>
        <w:rPr>
          <w:color w:val="000000" w:themeColor="text1"/>
          <w:sz w:val="24"/>
          <w:szCs w:val="24"/>
        </w:rPr>
      </w:pPr>
      <w:r w:rsidRPr="003745EE">
        <w:rPr>
          <w:color w:val="000000" w:themeColor="text1"/>
          <w:sz w:val="24"/>
          <w:szCs w:val="24"/>
        </w:rPr>
        <w:t>The management team at Technivara need to set a clear and concise objective. Failing that, the process of decision-making will be “absurd in a cloud”, it might be useful to write the ideas down (Adair, 2022, p.21).</w:t>
      </w:r>
    </w:p>
    <w:p w14:paraId="725FB4E2" w14:textId="77777777" w:rsidR="00A539C6" w:rsidRPr="003745EE" w:rsidRDefault="00A539C6" w:rsidP="00A539C6">
      <w:pPr>
        <w:rPr>
          <w:color w:val="000000" w:themeColor="text1"/>
          <w:sz w:val="24"/>
          <w:szCs w:val="24"/>
        </w:rPr>
      </w:pPr>
    </w:p>
    <w:p w14:paraId="5CAB2694" w14:textId="77777777" w:rsidR="00A539C6" w:rsidRPr="003745EE" w:rsidRDefault="00A539C6" w:rsidP="00A539C6">
      <w:pPr>
        <w:rPr>
          <w:b/>
          <w:bCs/>
          <w:color w:val="000000" w:themeColor="text1"/>
          <w:sz w:val="24"/>
          <w:szCs w:val="24"/>
        </w:rPr>
      </w:pPr>
      <w:r w:rsidRPr="003745EE">
        <w:rPr>
          <w:b/>
          <w:bCs/>
          <w:color w:val="000000" w:themeColor="text1"/>
          <w:sz w:val="24"/>
          <w:szCs w:val="24"/>
        </w:rPr>
        <w:t xml:space="preserve">Collect relevant Information </w:t>
      </w:r>
    </w:p>
    <w:p w14:paraId="2CF3EBEF" w14:textId="3AA512C7" w:rsidR="00A539C6" w:rsidRPr="003745EE" w:rsidRDefault="00A539C6" w:rsidP="00A539C6">
      <w:pPr>
        <w:rPr>
          <w:sz w:val="24"/>
          <w:szCs w:val="24"/>
        </w:rPr>
      </w:pPr>
      <w:r w:rsidRPr="003745EE">
        <w:rPr>
          <w:color w:val="000000" w:themeColor="text1"/>
          <w:sz w:val="24"/>
          <w:szCs w:val="24"/>
        </w:rPr>
        <w:t xml:space="preserve">(Adair, 2022, pp. 22-23) comments that the development of data and information has been “relentless” and that managers are experiencing “Information Overload Syndrome”. When collecting evidence from all four sources, CIPD (2024) suggests the approach should be “pragmatic” and “auditable”. It is important for practitioners not to make decisions in the absence of “critical information” what is not already available (Adair, 2022, p. 21). </w:t>
      </w:r>
    </w:p>
    <w:p w14:paraId="24AF0671" w14:textId="77777777" w:rsidR="00A539C6" w:rsidRPr="003745EE" w:rsidRDefault="00A539C6" w:rsidP="00A539C6">
      <w:pPr>
        <w:rPr>
          <w:sz w:val="24"/>
          <w:szCs w:val="24"/>
        </w:rPr>
      </w:pPr>
    </w:p>
    <w:p w14:paraId="6996F5FD" w14:textId="77777777" w:rsidR="00A539C6" w:rsidRPr="003745EE" w:rsidRDefault="00A539C6" w:rsidP="00A539C6">
      <w:pPr>
        <w:rPr>
          <w:b/>
          <w:bCs/>
          <w:color w:val="000000" w:themeColor="text1"/>
          <w:sz w:val="24"/>
          <w:szCs w:val="24"/>
        </w:rPr>
      </w:pPr>
      <w:r w:rsidRPr="003745EE">
        <w:rPr>
          <w:b/>
          <w:bCs/>
          <w:color w:val="000000" w:themeColor="text1"/>
          <w:sz w:val="24"/>
          <w:szCs w:val="24"/>
        </w:rPr>
        <w:t>Generate feasible options</w:t>
      </w:r>
    </w:p>
    <w:p w14:paraId="31F048B9" w14:textId="45C57B1E" w:rsidR="000128E6" w:rsidRPr="003745EE" w:rsidRDefault="00A539C6" w:rsidP="00A539C6">
      <w:pPr>
        <w:rPr>
          <w:sz w:val="24"/>
          <w:szCs w:val="24"/>
        </w:rPr>
      </w:pPr>
      <w:r w:rsidRPr="003745EE">
        <w:rPr>
          <w:color w:val="000000" w:themeColor="text1"/>
          <w:sz w:val="24"/>
          <w:szCs w:val="24"/>
        </w:rPr>
        <w:t xml:space="preserve">People practice at Technivara has mainly been paper driven, the full use of </w:t>
      </w:r>
      <w:r w:rsidRPr="003745EE">
        <w:rPr>
          <w:sz w:val="24"/>
          <w:szCs w:val="24"/>
        </w:rPr>
        <w:t xml:space="preserve">data analytics has not been “exploited” </w:t>
      </w:r>
      <w:r w:rsidRPr="003745EE">
        <w:rPr>
          <w:color w:val="000000" w:themeColor="text1"/>
          <w:sz w:val="24"/>
          <w:szCs w:val="24"/>
        </w:rPr>
        <w:t>(Waite et al., 2021, p.52), management need to be aware of “availability bias” due to their reliance on paper driven practices</w:t>
      </w:r>
      <w:r w:rsidRPr="003745EE">
        <w:rPr>
          <w:sz w:val="24"/>
          <w:szCs w:val="24"/>
        </w:rPr>
        <w:t xml:space="preserve">. </w:t>
      </w:r>
    </w:p>
    <w:p w14:paraId="2E71C334" w14:textId="77777777" w:rsidR="00A539C6" w:rsidRPr="003745EE" w:rsidRDefault="00A539C6" w:rsidP="00A539C6">
      <w:pPr>
        <w:rPr>
          <w:b/>
          <w:bCs/>
          <w:color w:val="000000" w:themeColor="text1"/>
          <w:sz w:val="24"/>
          <w:szCs w:val="24"/>
        </w:rPr>
      </w:pPr>
    </w:p>
    <w:p w14:paraId="5D5A6B9E" w14:textId="77777777" w:rsidR="00A539C6" w:rsidRPr="003745EE" w:rsidRDefault="00A539C6" w:rsidP="00A539C6">
      <w:pPr>
        <w:rPr>
          <w:b/>
          <w:bCs/>
          <w:color w:val="000000" w:themeColor="text1"/>
          <w:sz w:val="24"/>
          <w:szCs w:val="24"/>
        </w:rPr>
      </w:pPr>
      <w:r w:rsidRPr="003745EE">
        <w:rPr>
          <w:b/>
          <w:bCs/>
          <w:color w:val="000000" w:themeColor="text1"/>
          <w:sz w:val="24"/>
          <w:szCs w:val="24"/>
        </w:rPr>
        <w:t>Make the decision</w:t>
      </w:r>
    </w:p>
    <w:p w14:paraId="70DF8268" w14:textId="273AF9F4" w:rsidR="00A539C6" w:rsidRPr="003745EE" w:rsidRDefault="00A539C6" w:rsidP="00A539C6">
      <w:pPr>
        <w:rPr>
          <w:sz w:val="24"/>
          <w:szCs w:val="24"/>
        </w:rPr>
      </w:pPr>
      <w:r w:rsidRPr="003745EE">
        <w:rPr>
          <w:color w:val="000000" w:themeColor="text1"/>
          <w:sz w:val="24"/>
          <w:szCs w:val="24"/>
        </w:rPr>
        <w:t>M</w:t>
      </w:r>
      <w:r w:rsidRPr="003745EE">
        <w:rPr>
          <w:sz w:val="24"/>
          <w:szCs w:val="24"/>
        </w:rPr>
        <w:t xml:space="preserve">anagement </w:t>
      </w:r>
      <w:r w:rsidR="00C429D7" w:rsidRPr="003745EE">
        <w:rPr>
          <w:sz w:val="24"/>
          <w:szCs w:val="24"/>
        </w:rPr>
        <w:t>tends</w:t>
      </w:r>
      <w:r w:rsidRPr="003745EE">
        <w:rPr>
          <w:sz w:val="24"/>
          <w:szCs w:val="24"/>
        </w:rPr>
        <w:t xml:space="preserve"> to overlook sound evidence and overly reliant on personal experience (</w:t>
      </w:r>
      <w:r w:rsidRPr="003745EE">
        <w:rPr>
          <w:color w:val="000000" w:themeColor="text1"/>
          <w:sz w:val="24"/>
          <w:szCs w:val="24"/>
        </w:rPr>
        <w:t>Barends and Rousseau, 2018, p.1).</w:t>
      </w:r>
      <w:r w:rsidR="00C429D7">
        <w:rPr>
          <w:color w:val="000000" w:themeColor="text1"/>
          <w:sz w:val="24"/>
          <w:szCs w:val="24"/>
        </w:rPr>
        <w:t xml:space="preserve"> </w:t>
      </w:r>
      <w:r w:rsidRPr="003745EE">
        <w:rPr>
          <w:sz w:val="24"/>
          <w:szCs w:val="24"/>
        </w:rPr>
        <w:t>They argue we have a moral obligation to make use of best available evidence when making decisions. When calculating risks, consideration needs to be given to “groupthink”</w:t>
      </w:r>
      <w:r w:rsidR="00D03D96" w:rsidRPr="003745EE">
        <w:rPr>
          <w:sz w:val="24"/>
          <w:szCs w:val="24"/>
        </w:rPr>
        <w:t xml:space="preserve">. </w:t>
      </w:r>
      <w:r w:rsidR="00DA532E" w:rsidRPr="003745EE">
        <w:rPr>
          <w:sz w:val="24"/>
          <w:szCs w:val="24"/>
        </w:rPr>
        <w:t>Measurements could be put in place to encourage</w:t>
      </w:r>
      <w:r w:rsidRPr="003745EE">
        <w:rPr>
          <w:sz w:val="24"/>
          <w:szCs w:val="24"/>
        </w:rPr>
        <w:t xml:space="preserve"> group member</w:t>
      </w:r>
      <w:r w:rsidR="00DA532E" w:rsidRPr="003745EE">
        <w:rPr>
          <w:sz w:val="24"/>
          <w:szCs w:val="24"/>
        </w:rPr>
        <w:t>s</w:t>
      </w:r>
      <w:r w:rsidRPr="003745EE">
        <w:rPr>
          <w:sz w:val="24"/>
          <w:szCs w:val="24"/>
        </w:rPr>
        <w:t xml:space="preserve"> to voice their opinions and concerns</w:t>
      </w:r>
      <w:r w:rsidR="00C429D7">
        <w:rPr>
          <w:sz w:val="24"/>
          <w:szCs w:val="24"/>
        </w:rPr>
        <w:t xml:space="preserve"> </w:t>
      </w:r>
      <w:r w:rsidRPr="003745EE">
        <w:rPr>
          <w:color w:val="000000" w:themeColor="text1"/>
          <w:sz w:val="24"/>
          <w:szCs w:val="24"/>
        </w:rPr>
        <w:t xml:space="preserve">(Buchanan and Huczynski, 2019, p.689). </w:t>
      </w:r>
    </w:p>
    <w:p w14:paraId="499AD335" w14:textId="77777777" w:rsidR="00A539C6" w:rsidRPr="003745EE" w:rsidRDefault="00A539C6" w:rsidP="00A539C6">
      <w:pPr>
        <w:rPr>
          <w:color w:val="000000" w:themeColor="text1"/>
          <w:sz w:val="24"/>
          <w:szCs w:val="24"/>
        </w:rPr>
      </w:pPr>
    </w:p>
    <w:p w14:paraId="53A562CF" w14:textId="77777777" w:rsidR="00A539C6" w:rsidRPr="003745EE" w:rsidRDefault="00A539C6" w:rsidP="00A539C6">
      <w:pPr>
        <w:rPr>
          <w:b/>
          <w:bCs/>
          <w:color w:val="000000" w:themeColor="text1"/>
          <w:sz w:val="24"/>
          <w:szCs w:val="24"/>
        </w:rPr>
      </w:pPr>
      <w:r w:rsidRPr="003745EE">
        <w:rPr>
          <w:b/>
          <w:bCs/>
          <w:color w:val="000000" w:themeColor="text1"/>
          <w:sz w:val="24"/>
          <w:szCs w:val="24"/>
        </w:rPr>
        <w:t xml:space="preserve">Implement and evaluate </w:t>
      </w:r>
    </w:p>
    <w:p w14:paraId="0ACC6EC7" w14:textId="10EED6CA" w:rsidR="00A539C6" w:rsidRPr="003745EE" w:rsidRDefault="00A539C6" w:rsidP="00A539C6">
      <w:pPr>
        <w:rPr>
          <w:color w:val="000000" w:themeColor="text1"/>
          <w:sz w:val="24"/>
          <w:szCs w:val="24"/>
        </w:rPr>
      </w:pPr>
      <w:r w:rsidRPr="003745EE">
        <w:rPr>
          <w:color w:val="000000" w:themeColor="text1"/>
          <w:sz w:val="24"/>
          <w:szCs w:val="24"/>
        </w:rPr>
        <w:t>Practitioners use “the Depth Mind” to evaluate decisions and it is</w:t>
      </w:r>
      <w:r w:rsidRPr="003745EE">
        <w:rPr>
          <w:color w:val="EE0000"/>
          <w:sz w:val="24"/>
          <w:szCs w:val="24"/>
        </w:rPr>
        <w:t xml:space="preserve"> </w:t>
      </w:r>
      <w:r w:rsidRPr="003745EE">
        <w:rPr>
          <w:color w:val="000000" w:themeColor="text1"/>
          <w:sz w:val="24"/>
          <w:szCs w:val="24"/>
        </w:rPr>
        <w:t xml:space="preserve">the continuous evaluation and execution that “yield” great, positive outcomes (Adair, 2022, p.20). </w:t>
      </w:r>
    </w:p>
    <w:p w14:paraId="28F669AD" w14:textId="2FD8FE07" w:rsidR="00303D78" w:rsidRPr="003745EE" w:rsidRDefault="00AF34C6" w:rsidP="00303D78">
      <w:pPr>
        <w:rPr>
          <w:sz w:val="24"/>
          <w:szCs w:val="24"/>
        </w:rPr>
      </w:pPr>
      <w:r w:rsidRPr="003745EE">
        <w:rPr>
          <w:color w:val="000000" w:themeColor="text1"/>
          <w:sz w:val="24"/>
          <w:szCs w:val="24"/>
        </w:rPr>
        <w:t xml:space="preserve">This approach </w:t>
      </w:r>
      <w:r w:rsidR="000230B3" w:rsidRPr="003745EE">
        <w:rPr>
          <w:color w:val="000000" w:themeColor="text1"/>
          <w:sz w:val="24"/>
          <w:szCs w:val="24"/>
        </w:rPr>
        <w:t>ensures decision made by professionals are based on facts</w:t>
      </w:r>
      <w:r w:rsidR="00303D78" w:rsidRPr="003745EE">
        <w:rPr>
          <w:color w:val="000000" w:themeColor="text1"/>
          <w:sz w:val="24"/>
          <w:szCs w:val="24"/>
        </w:rPr>
        <w:t xml:space="preserve">, </w:t>
      </w:r>
      <w:r w:rsidRPr="003745EE">
        <w:rPr>
          <w:color w:val="000000" w:themeColor="text1"/>
          <w:sz w:val="24"/>
          <w:szCs w:val="24"/>
        </w:rPr>
        <w:t xml:space="preserve">to </w:t>
      </w:r>
      <w:r w:rsidR="00086774" w:rsidRPr="003745EE">
        <w:rPr>
          <w:color w:val="000000" w:themeColor="text1"/>
          <w:sz w:val="24"/>
          <w:szCs w:val="24"/>
        </w:rPr>
        <w:t xml:space="preserve">remove common bias such as “mental </w:t>
      </w:r>
      <w:r w:rsidR="00D02B53" w:rsidRPr="003745EE">
        <w:rPr>
          <w:color w:val="000000" w:themeColor="text1"/>
          <w:sz w:val="24"/>
          <w:szCs w:val="24"/>
        </w:rPr>
        <w:t>shortcut”</w:t>
      </w:r>
      <w:r w:rsidR="00303D78" w:rsidRPr="003745EE">
        <w:rPr>
          <w:color w:val="000000" w:themeColor="text1"/>
          <w:sz w:val="24"/>
          <w:szCs w:val="24"/>
        </w:rPr>
        <w:t xml:space="preserve">. </w:t>
      </w:r>
      <w:r w:rsidR="00303D78" w:rsidRPr="003745EE">
        <w:rPr>
          <w:sz w:val="24"/>
          <w:szCs w:val="24"/>
        </w:rPr>
        <w:t>This awareness would provide you with a set of “lenses” and ways to identify errors which lead to resolution of a problem (Howlett and Coburn, 2019).</w:t>
      </w:r>
    </w:p>
    <w:p w14:paraId="5FC27805" w14:textId="77777777" w:rsidR="00A539C6" w:rsidRPr="003745EE" w:rsidRDefault="00A539C6" w:rsidP="00A539C6">
      <w:pPr>
        <w:rPr>
          <w:color w:val="000000" w:themeColor="text1"/>
          <w:sz w:val="24"/>
          <w:szCs w:val="24"/>
        </w:rPr>
      </w:pPr>
    </w:p>
    <w:p w14:paraId="42834CB4" w14:textId="77777777" w:rsidR="00A539C6" w:rsidRPr="003745EE" w:rsidRDefault="00A539C6" w:rsidP="00A539C6">
      <w:pPr>
        <w:rPr>
          <w:color w:val="000000" w:themeColor="text1"/>
          <w:sz w:val="24"/>
          <w:szCs w:val="24"/>
        </w:rPr>
      </w:pPr>
      <w:r w:rsidRPr="003745EE">
        <w:rPr>
          <w:color w:val="000000" w:themeColor="text1"/>
          <w:sz w:val="24"/>
          <w:szCs w:val="24"/>
        </w:rPr>
        <w:t>Example 2: De Bono’s Six Thinking Hats</w:t>
      </w:r>
    </w:p>
    <w:p w14:paraId="42227D04" w14:textId="51EA3137" w:rsidR="00A539C6" w:rsidRPr="003745EE" w:rsidRDefault="00A539C6" w:rsidP="00A539C6">
      <w:pPr>
        <w:rPr>
          <w:color w:val="000000" w:themeColor="text1"/>
          <w:sz w:val="24"/>
          <w:szCs w:val="24"/>
        </w:rPr>
      </w:pPr>
      <w:r w:rsidRPr="003745EE">
        <w:rPr>
          <w:color w:val="000000" w:themeColor="text1"/>
          <w:sz w:val="24"/>
          <w:szCs w:val="24"/>
        </w:rPr>
        <w:t xml:space="preserve">Another decision-making process is De Bono’s Six Thinking Hats, </w:t>
      </w:r>
      <w:r w:rsidR="00241172" w:rsidRPr="003745EE">
        <w:rPr>
          <w:color w:val="000000" w:themeColor="text1"/>
          <w:sz w:val="24"/>
          <w:szCs w:val="24"/>
        </w:rPr>
        <w:t>i</w:t>
      </w:r>
      <w:r w:rsidRPr="003745EE">
        <w:rPr>
          <w:color w:val="000000" w:themeColor="text1"/>
          <w:sz w:val="24"/>
          <w:szCs w:val="24"/>
        </w:rPr>
        <w:t xml:space="preserve">t might be useful to engage specialists when calculating risks in relation to a decision (Adair, 2022, pp.29-30). Taylor and Woodhams (2022, p.115) </w:t>
      </w:r>
      <w:proofErr w:type="gramStart"/>
      <w:r w:rsidRPr="003745EE">
        <w:rPr>
          <w:color w:val="000000" w:themeColor="text1"/>
          <w:sz w:val="24"/>
          <w:szCs w:val="24"/>
        </w:rPr>
        <w:t>suggests</w:t>
      </w:r>
      <w:proofErr w:type="gramEnd"/>
      <w:r w:rsidRPr="003745EE">
        <w:rPr>
          <w:color w:val="000000" w:themeColor="text1"/>
          <w:sz w:val="24"/>
          <w:szCs w:val="24"/>
        </w:rPr>
        <w:t xml:space="preserve"> that six hats encourage management team to make an informed decision taking </w:t>
      </w:r>
      <w:proofErr w:type="gramStart"/>
      <w:r w:rsidRPr="003745EE">
        <w:rPr>
          <w:color w:val="000000" w:themeColor="text1"/>
          <w:sz w:val="24"/>
          <w:szCs w:val="24"/>
        </w:rPr>
        <w:t>a number of</w:t>
      </w:r>
      <w:proofErr w:type="gramEnd"/>
      <w:r w:rsidRPr="003745EE">
        <w:rPr>
          <w:color w:val="000000" w:themeColor="text1"/>
          <w:sz w:val="24"/>
          <w:szCs w:val="24"/>
        </w:rPr>
        <w:t xml:space="preserve"> parallel perspectives </w:t>
      </w:r>
      <w:r w:rsidR="005F12BD" w:rsidRPr="003745EE">
        <w:rPr>
          <w:color w:val="000000" w:themeColor="text1"/>
          <w:sz w:val="24"/>
          <w:szCs w:val="24"/>
        </w:rPr>
        <w:t>into</w:t>
      </w:r>
      <w:r w:rsidRPr="003745EE">
        <w:rPr>
          <w:color w:val="000000" w:themeColor="text1"/>
          <w:sz w:val="24"/>
          <w:szCs w:val="24"/>
        </w:rPr>
        <w:t xml:space="preserve"> consideration. </w:t>
      </w:r>
    </w:p>
    <w:p w14:paraId="7041DC7D" w14:textId="77777777" w:rsidR="009C5BB8" w:rsidRPr="003745EE" w:rsidRDefault="009C5BB8" w:rsidP="00457C6A">
      <w:pPr>
        <w:rPr>
          <w:color w:val="000000" w:themeColor="text1"/>
          <w:sz w:val="24"/>
          <w:szCs w:val="24"/>
        </w:rPr>
      </w:pPr>
    </w:p>
    <w:p w14:paraId="09E91D2D" w14:textId="3E506F37" w:rsidR="00A51336" w:rsidRPr="003745EE" w:rsidRDefault="00DD2F37" w:rsidP="00A51336">
      <w:pPr>
        <w:rPr>
          <w:color w:val="000000" w:themeColor="text1"/>
          <w:sz w:val="24"/>
          <w:szCs w:val="24"/>
        </w:rPr>
      </w:pPr>
      <w:r w:rsidRPr="003745EE">
        <w:rPr>
          <w:color w:val="000000" w:themeColor="text1"/>
          <w:sz w:val="24"/>
          <w:szCs w:val="24"/>
        </w:rPr>
        <w:t>For example, w</w:t>
      </w:r>
      <w:r w:rsidR="009C5BB8" w:rsidRPr="003745EE">
        <w:rPr>
          <w:color w:val="000000" w:themeColor="text1"/>
          <w:sz w:val="24"/>
          <w:szCs w:val="24"/>
        </w:rPr>
        <w:t xml:space="preserve">hen </w:t>
      </w:r>
      <w:proofErr w:type="gramStart"/>
      <w:r w:rsidR="009C5BB8" w:rsidRPr="003745EE">
        <w:rPr>
          <w:color w:val="000000" w:themeColor="text1"/>
          <w:sz w:val="24"/>
          <w:szCs w:val="24"/>
        </w:rPr>
        <w:t>making a decision</w:t>
      </w:r>
      <w:proofErr w:type="gramEnd"/>
      <w:r w:rsidR="009C5BB8" w:rsidRPr="003745EE">
        <w:rPr>
          <w:color w:val="000000" w:themeColor="text1"/>
          <w:sz w:val="24"/>
          <w:szCs w:val="24"/>
        </w:rPr>
        <w:t xml:space="preserve"> on reward package,</w:t>
      </w:r>
      <w:r w:rsidR="00C56044" w:rsidRPr="003745EE">
        <w:rPr>
          <w:color w:val="000000" w:themeColor="text1"/>
          <w:sz w:val="24"/>
          <w:szCs w:val="24"/>
        </w:rPr>
        <w:t xml:space="preserve"> Barends and Rousseau (2018, p.3) comments that most management decisions are not made based the best available evidence. </w:t>
      </w:r>
      <w:r w:rsidR="00F27F96" w:rsidRPr="003745EE">
        <w:rPr>
          <w:color w:val="000000" w:themeColor="text1"/>
          <w:sz w:val="24"/>
          <w:szCs w:val="24"/>
        </w:rPr>
        <w:t>A</w:t>
      </w:r>
      <w:r w:rsidR="006E000D" w:rsidRPr="003745EE">
        <w:rPr>
          <w:color w:val="000000" w:themeColor="text1"/>
          <w:sz w:val="24"/>
          <w:szCs w:val="24"/>
        </w:rPr>
        <w:t xml:space="preserve"> decision on </w:t>
      </w:r>
      <w:r w:rsidR="00957E8D" w:rsidRPr="003745EE">
        <w:rPr>
          <w:color w:val="000000" w:themeColor="text1"/>
          <w:sz w:val="24"/>
          <w:szCs w:val="24"/>
        </w:rPr>
        <w:t xml:space="preserve">compulsory redundancy to </w:t>
      </w:r>
      <w:r w:rsidR="008A6E3A" w:rsidRPr="003745EE">
        <w:rPr>
          <w:color w:val="000000" w:themeColor="text1"/>
          <w:sz w:val="24"/>
          <w:szCs w:val="24"/>
        </w:rPr>
        <w:t xml:space="preserve">operational costs </w:t>
      </w:r>
      <w:r w:rsidR="00957E8D" w:rsidRPr="003745EE">
        <w:rPr>
          <w:color w:val="000000" w:themeColor="text1"/>
          <w:sz w:val="24"/>
          <w:szCs w:val="24"/>
        </w:rPr>
        <w:t xml:space="preserve">could potentially </w:t>
      </w:r>
      <w:r w:rsidR="002C56B3" w:rsidRPr="003745EE">
        <w:rPr>
          <w:color w:val="000000" w:themeColor="text1"/>
          <w:sz w:val="24"/>
          <w:szCs w:val="24"/>
        </w:rPr>
        <w:t xml:space="preserve">cause legal implications (Black hat). </w:t>
      </w:r>
      <w:r w:rsidR="004955E5" w:rsidRPr="003745EE">
        <w:rPr>
          <w:color w:val="000000" w:themeColor="text1"/>
          <w:sz w:val="24"/>
          <w:szCs w:val="24"/>
        </w:rPr>
        <w:t xml:space="preserve">Instead, we could explore the option of rolling out a </w:t>
      </w:r>
      <w:r w:rsidR="008A6E3A" w:rsidRPr="003745EE">
        <w:rPr>
          <w:color w:val="000000" w:themeColor="text1"/>
          <w:sz w:val="24"/>
          <w:szCs w:val="24"/>
        </w:rPr>
        <w:t xml:space="preserve">voluntary redundancy </w:t>
      </w:r>
      <w:r w:rsidR="000B15A6" w:rsidRPr="003745EE">
        <w:rPr>
          <w:color w:val="000000" w:themeColor="text1"/>
          <w:sz w:val="24"/>
          <w:szCs w:val="24"/>
        </w:rPr>
        <w:t>programme (</w:t>
      </w:r>
      <w:r w:rsidR="00606E33" w:rsidRPr="003745EE">
        <w:rPr>
          <w:color w:val="000000" w:themeColor="text1"/>
          <w:sz w:val="24"/>
          <w:szCs w:val="24"/>
        </w:rPr>
        <w:t>Green Hat)</w:t>
      </w:r>
      <w:r w:rsidR="00671906" w:rsidRPr="003745EE">
        <w:rPr>
          <w:color w:val="000000" w:themeColor="text1"/>
          <w:sz w:val="24"/>
          <w:szCs w:val="24"/>
        </w:rPr>
        <w:t xml:space="preserve">, </w:t>
      </w:r>
      <w:r w:rsidR="000B15A6" w:rsidRPr="003745EE">
        <w:rPr>
          <w:color w:val="000000" w:themeColor="text1"/>
          <w:sz w:val="24"/>
          <w:szCs w:val="24"/>
        </w:rPr>
        <w:t>like</w:t>
      </w:r>
      <w:r w:rsidR="00671906" w:rsidRPr="003745EE">
        <w:rPr>
          <w:color w:val="000000" w:themeColor="text1"/>
          <w:sz w:val="24"/>
          <w:szCs w:val="24"/>
        </w:rPr>
        <w:t xml:space="preserve"> the case study at KPMG</w:t>
      </w:r>
      <w:r w:rsidR="008A6E3A" w:rsidRPr="003745EE">
        <w:rPr>
          <w:color w:val="000000" w:themeColor="text1"/>
          <w:sz w:val="24"/>
          <w:szCs w:val="24"/>
        </w:rPr>
        <w:t xml:space="preserve">. </w:t>
      </w:r>
      <w:r w:rsidR="003234FC" w:rsidRPr="003745EE">
        <w:rPr>
          <w:color w:val="000000" w:themeColor="text1"/>
          <w:sz w:val="24"/>
          <w:szCs w:val="24"/>
        </w:rPr>
        <w:t xml:space="preserve">It’s </w:t>
      </w:r>
      <w:r w:rsidR="00F61E40" w:rsidRPr="003745EE">
        <w:rPr>
          <w:color w:val="000000" w:themeColor="text1"/>
          <w:sz w:val="24"/>
          <w:szCs w:val="24"/>
        </w:rPr>
        <w:t xml:space="preserve">good practice to find alternative to </w:t>
      </w:r>
      <w:r w:rsidR="000B15A6" w:rsidRPr="003745EE">
        <w:rPr>
          <w:color w:val="000000" w:themeColor="text1"/>
          <w:sz w:val="24"/>
          <w:szCs w:val="24"/>
        </w:rPr>
        <w:t>compulsory redundancy</w:t>
      </w:r>
      <w:r w:rsidR="00A51336" w:rsidRPr="003745EE">
        <w:rPr>
          <w:color w:val="000000" w:themeColor="text1"/>
          <w:sz w:val="24"/>
          <w:szCs w:val="24"/>
        </w:rPr>
        <w:t xml:space="preserve"> (Taylor and Woodhams, 2022, p.</w:t>
      </w:r>
      <w:r w:rsidR="00DE74C8" w:rsidRPr="003745EE">
        <w:rPr>
          <w:color w:val="000000" w:themeColor="text1"/>
          <w:sz w:val="24"/>
          <w:szCs w:val="24"/>
        </w:rPr>
        <w:t>104</w:t>
      </w:r>
      <w:r w:rsidR="00A51336" w:rsidRPr="003745EE">
        <w:rPr>
          <w:color w:val="000000" w:themeColor="text1"/>
          <w:sz w:val="24"/>
          <w:szCs w:val="24"/>
        </w:rPr>
        <w:t>)</w:t>
      </w:r>
    </w:p>
    <w:p w14:paraId="109ADA4A" w14:textId="4F10F760" w:rsidR="009C5BB8" w:rsidRPr="003745EE" w:rsidRDefault="009C5BB8" w:rsidP="009C5BB8">
      <w:pPr>
        <w:rPr>
          <w:color w:val="000000" w:themeColor="text1"/>
          <w:sz w:val="24"/>
          <w:szCs w:val="24"/>
        </w:rPr>
      </w:pPr>
    </w:p>
    <w:p w14:paraId="76040DD9" w14:textId="77777777" w:rsidR="00A539C6" w:rsidRDefault="00A539C6" w:rsidP="00A539C6">
      <w:pPr>
        <w:rPr>
          <w:color w:val="000000" w:themeColor="text1"/>
          <w:sz w:val="24"/>
          <w:szCs w:val="24"/>
        </w:rPr>
      </w:pPr>
    </w:p>
    <w:p w14:paraId="3A2F9635" w14:textId="77777777" w:rsidR="0078321A" w:rsidRDefault="0078321A" w:rsidP="00A539C6">
      <w:pPr>
        <w:rPr>
          <w:color w:val="000000" w:themeColor="text1"/>
          <w:sz w:val="24"/>
          <w:szCs w:val="24"/>
        </w:rPr>
      </w:pPr>
    </w:p>
    <w:p w14:paraId="18B8B2F4" w14:textId="77777777" w:rsidR="00D405F4" w:rsidRPr="003745EE" w:rsidRDefault="00D405F4">
      <w:pPr>
        <w:rPr>
          <w:sz w:val="24"/>
          <w:szCs w:val="24"/>
        </w:rPr>
      </w:pPr>
    </w:p>
    <w:p w14:paraId="4C814089" w14:textId="00FF404C" w:rsidR="00D405F4" w:rsidRPr="003745EE" w:rsidRDefault="00D405F4" w:rsidP="00D405F4">
      <w:pPr>
        <w:pStyle w:val="BodyText"/>
        <w:ind w:left="426" w:right="283" w:hanging="426"/>
        <w:jc w:val="both"/>
        <w:rPr>
          <w:sz w:val="24"/>
          <w:szCs w:val="24"/>
        </w:rPr>
      </w:pPr>
      <w:r w:rsidRPr="00C67262">
        <w:rPr>
          <w:b/>
          <w:bCs/>
          <w:color w:val="000000" w:themeColor="text1"/>
          <w:sz w:val="24"/>
          <w:szCs w:val="24"/>
        </w:rPr>
        <w:t>Q5</w:t>
      </w:r>
      <w:r w:rsidRPr="003745EE">
        <w:rPr>
          <w:sz w:val="24"/>
          <w:szCs w:val="24"/>
        </w:rPr>
        <w:t xml:space="preserve"> AC 1.5</w:t>
      </w:r>
    </w:p>
    <w:p w14:paraId="1595AE93" w14:textId="77777777" w:rsidR="00D405F4" w:rsidRPr="003745EE" w:rsidRDefault="00D405F4" w:rsidP="00D405F4">
      <w:pPr>
        <w:rPr>
          <w:color w:val="EE0000"/>
          <w:sz w:val="24"/>
          <w:szCs w:val="24"/>
        </w:rPr>
      </w:pPr>
    </w:p>
    <w:p w14:paraId="2A56F8F9" w14:textId="73255614" w:rsidR="00D405F4" w:rsidRPr="003745EE" w:rsidRDefault="00D405F4" w:rsidP="00117E7D">
      <w:pPr>
        <w:jc w:val="both"/>
        <w:rPr>
          <w:sz w:val="24"/>
          <w:szCs w:val="24"/>
        </w:rPr>
      </w:pPr>
      <w:r w:rsidRPr="003745EE">
        <w:rPr>
          <w:color w:val="000000" w:themeColor="text1"/>
          <w:sz w:val="24"/>
          <w:szCs w:val="24"/>
        </w:rPr>
        <w:t xml:space="preserve">Armstrong and Taylor (2020, </w:t>
      </w:r>
      <w:r w:rsidRPr="003745EE">
        <w:rPr>
          <w:sz w:val="24"/>
          <w:szCs w:val="24"/>
        </w:rPr>
        <w:t>p.179</w:t>
      </w:r>
      <w:r w:rsidRPr="003745EE">
        <w:rPr>
          <w:color w:val="000000" w:themeColor="text1"/>
          <w:sz w:val="24"/>
          <w:szCs w:val="24"/>
        </w:rPr>
        <w:t xml:space="preserve">) </w:t>
      </w:r>
      <w:proofErr w:type="gramStart"/>
      <w:r w:rsidRPr="003745EE">
        <w:rPr>
          <w:color w:val="000000" w:themeColor="text1"/>
          <w:sz w:val="24"/>
          <w:szCs w:val="24"/>
        </w:rPr>
        <w:t>considers</w:t>
      </w:r>
      <w:proofErr w:type="gramEnd"/>
      <w:r w:rsidRPr="003745EE">
        <w:rPr>
          <w:color w:val="000000" w:themeColor="text1"/>
          <w:sz w:val="24"/>
          <w:szCs w:val="24"/>
        </w:rPr>
        <w:t xml:space="preserve"> that “ethics </w:t>
      </w:r>
      <w:r w:rsidRPr="003745EE">
        <w:rPr>
          <w:sz w:val="24"/>
          <w:szCs w:val="24"/>
        </w:rPr>
        <w:t>is concerned with making ethical decisions and judgements”. There are different ethical perspectives, for example:</w:t>
      </w:r>
    </w:p>
    <w:p w14:paraId="32E22DE4" w14:textId="77777777" w:rsidR="00D405F4" w:rsidRPr="003745EE" w:rsidRDefault="00D405F4" w:rsidP="00117E7D">
      <w:pPr>
        <w:jc w:val="both"/>
        <w:rPr>
          <w:color w:val="000000" w:themeColor="text1"/>
          <w:sz w:val="24"/>
          <w:szCs w:val="24"/>
        </w:rPr>
      </w:pPr>
    </w:p>
    <w:p w14:paraId="659A2B71" w14:textId="77777777" w:rsidR="00D405F4" w:rsidRPr="00C67262" w:rsidRDefault="00D405F4" w:rsidP="00117E7D">
      <w:pPr>
        <w:jc w:val="both"/>
        <w:rPr>
          <w:sz w:val="24"/>
          <w:szCs w:val="24"/>
          <w:u w:val="single"/>
        </w:rPr>
      </w:pPr>
      <w:r w:rsidRPr="00C67262">
        <w:rPr>
          <w:sz w:val="24"/>
          <w:szCs w:val="24"/>
          <w:u w:val="single"/>
        </w:rPr>
        <w:t xml:space="preserve">Deontology </w:t>
      </w:r>
    </w:p>
    <w:p w14:paraId="7F35162B" w14:textId="77777777" w:rsidR="00D405F4" w:rsidRPr="003745EE" w:rsidRDefault="00D405F4" w:rsidP="00117E7D">
      <w:pPr>
        <w:jc w:val="both"/>
        <w:rPr>
          <w:b/>
          <w:bCs/>
          <w:sz w:val="24"/>
          <w:szCs w:val="24"/>
          <w:u w:val="single"/>
        </w:rPr>
      </w:pPr>
    </w:p>
    <w:p w14:paraId="6874BFEE" w14:textId="4CF2638F" w:rsidR="00655579" w:rsidRPr="003745EE" w:rsidRDefault="00D405F4" w:rsidP="00117E7D">
      <w:pPr>
        <w:jc w:val="both"/>
        <w:rPr>
          <w:color w:val="000000" w:themeColor="text1"/>
          <w:sz w:val="24"/>
          <w:szCs w:val="24"/>
        </w:rPr>
      </w:pPr>
      <w:r w:rsidRPr="003745EE">
        <w:rPr>
          <w:sz w:val="24"/>
          <w:szCs w:val="24"/>
        </w:rPr>
        <w:t xml:space="preserve">According to </w:t>
      </w:r>
      <w:r w:rsidRPr="003745EE">
        <w:rPr>
          <w:color w:val="000000" w:themeColor="text1"/>
          <w:sz w:val="24"/>
          <w:szCs w:val="24"/>
        </w:rPr>
        <w:t xml:space="preserve">Waite et al. (2021, p.70), </w:t>
      </w:r>
      <w:r w:rsidRPr="003745EE">
        <w:rPr>
          <w:sz w:val="24"/>
          <w:szCs w:val="24"/>
        </w:rPr>
        <w:t xml:space="preserve">Deontology refers to doing the right thing based on “justice, fairness and quality”, and there are “fundamental” rights and wrongs. </w:t>
      </w:r>
      <w:r w:rsidRPr="003745EE">
        <w:rPr>
          <w:color w:val="000000" w:themeColor="text1"/>
          <w:sz w:val="24"/>
          <w:szCs w:val="24"/>
        </w:rPr>
        <w:t xml:space="preserve">Armstrong and Taylor (2020, </w:t>
      </w:r>
      <w:r w:rsidRPr="003745EE">
        <w:rPr>
          <w:sz w:val="24"/>
          <w:szCs w:val="24"/>
        </w:rPr>
        <w:t>p.172</w:t>
      </w:r>
      <w:r w:rsidRPr="003745EE">
        <w:rPr>
          <w:color w:val="000000" w:themeColor="text1"/>
          <w:sz w:val="24"/>
          <w:szCs w:val="24"/>
        </w:rPr>
        <w:t xml:space="preserve">) </w:t>
      </w:r>
      <w:proofErr w:type="gramStart"/>
      <w:r w:rsidRPr="003745EE">
        <w:rPr>
          <w:color w:val="000000" w:themeColor="text1"/>
          <w:sz w:val="24"/>
          <w:szCs w:val="24"/>
        </w:rPr>
        <w:t>goes</w:t>
      </w:r>
      <w:proofErr w:type="gramEnd"/>
      <w:r w:rsidRPr="003745EE">
        <w:rPr>
          <w:color w:val="000000" w:themeColor="text1"/>
          <w:sz w:val="24"/>
          <w:szCs w:val="24"/>
        </w:rPr>
        <w:t xml:space="preserve"> further to explain that there is a clear right or wrong of some actions irrespective of their consequences. </w:t>
      </w:r>
      <w:r w:rsidR="000A68B9" w:rsidRPr="003745EE">
        <w:rPr>
          <w:color w:val="000000" w:themeColor="text1"/>
          <w:sz w:val="24"/>
          <w:szCs w:val="24"/>
        </w:rPr>
        <w:t xml:space="preserve">For example, </w:t>
      </w:r>
      <w:r w:rsidR="009D3E50" w:rsidRPr="003745EE">
        <w:rPr>
          <w:color w:val="000000" w:themeColor="text1"/>
          <w:sz w:val="24"/>
          <w:szCs w:val="24"/>
        </w:rPr>
        <w:t xml:space="preserve">if Technivara would </w:t>
      </w:r>
      <w:r w:rsidR="00836579" w:rsidRPr="003745EE">
        <w:rPr>
          <w:color w:val="000000" w:themeColor="text1"/>
          <w:sz w:val="24"/>
          <w:szCs w:val="24"/>
        </w:rPr>
        <w:t xml:space="preserve">like to offer promotion to its employees, </w:t>
      </w:r>
      <w:r w:rsidR="0042073A" w:rsidRPr="003745EE">
        <w:rPr>
          <w:color w:val="000000" w:themeColor="text1"/>
          <w:sz w:val="24"/>
          <w:szCs w:val="24"/>
        </w:rPr>
        <w:t xml:space="preserve">obviously, </w:t>
      </w:r>
      <w:r w:rsidR="00BE4CC7" w:rsidRPr="003745EE">
        <w:rPr>
          <w:color w:val="000000" w:themeColor="text1"/>
          <w:sz w:val="24"/>
          <w:szCs w:val="24"/>
        </w:rPr>
        <w:t xml:space="preserve">it is not feasible to </w:t>
      </w:r>
      <w:r w:rsidR="007F59FA" w:rsidRPr="003745EE">
        <w:rPr>
          <w:color w:val="000000" w:themeColor="text1"/>
          <w:sz w:val="24"/>
          <w:szCs w:val="24"/>
        </w:rPr>
        <w:t>promote everyone. People professionals c</w:t>
      </w:r>
      <w:r w:rsidR="00830DA0" w:rsidRPr="003745EE">
        <w:rPr>
          <w:color w:val="000000" w:themeColor="text1"/>
          <w:sz w:val="24"/>
          <w:szCs w:val="24"/>
        </w:rPr>
        <w:t>ould</w:t>
      </w:r>
      <w:r w:rsidR="007F59FA" w:rsidRPr="003745EE">
        <w:rPr>
          <w:color w:val="000000" w:themeColor="text1"/>
          <w:sz w:val="24"/>
          <w:szCs w:val="24"/>
        </w:rPr>
        <w:t xml:space="preserve"> </w:t>
      </w:r>
      <w:r w:rsidR="007B5BDA" w:rsidRPr="003745EE">
        <w:rPr>
          <w:color w:val="000000" w:themeColor="text1"/>
          <w:sz w:val="24"/>
          <w:szCs w:val="24"/>
        </w:rPr>
        <w:t xml:space="preserve">utilise “eight ethical lenses” when making workplace decisions </w:t>
      </w:r>
      <w:r w:rsidR="00BB2935" w:rsidRPr="003745EE">
        <w:rPr>
          <w:color w:val="000000" w:themeColor="text1"/>
          <w:sz w:val="24"/>
          <w:szCs w:val="24"/>
        </w:rPr>
        <w:t xml:space="preserve">on </w:t>
      </w:r>
      <w:r w:rsidR="00FE702E" w:rsidRPr="003745EE">
        <w:rPr>
          <w:color w:val="000000" w:themeColor="text1"/>
          <w:sz w:val="24"/>
          <w:szCs w:val="24"/>
        </w:rPr>
        <w:t>their promotion strategy</w:t>
      </w:r>
      <w:r w:rsidR="007F779A">
        <w:rPr>
          <w:color w:val="EE0000"/>
          <w:sz w:val="24"/>
          <w:szCs w:val="24"/>
        </w:rPr>
        <w:t xml:space="preserve"> </w:t>
      </w:r>
      <w:r w:rsidR="007B5BDA" w:rsidRPr="003745EE">
        <w:rPr>
          <w:color w:val="000000" w:themeColor="text1"/>
          <w:sz w:val="24"/>
          <w:szCs w:val="24"/>
        </w:rPr>
        <w:t>CIPD (2025</w:t>
      </w:r>
      <w:r w:rsidR="007F779A">
        <w:rPr>
          <w:color w:val="000000" w:themeColor="text1"/>
          <w:sz w:val="24"/>
          <w:szCs w:val="24"/>
        </w:rPr>
        <w:t>d</w:t>
      </w:r>
      <w:r w:rsidR="007B5BDA" w:rsidRPr="003745EE">
        <w:rPr>
          <w:color w:val="000000" w:themeColor="text1"/>
          <w:sz w:val="24"/>
          <w:szCs w:val="24"/>
        </w:rPr>
        <w:t>)</w:t>
      </w:r>
      <w:r w:rsidR="00AD1DB0" w:rsidRPr="003745EE">
        <w:rPr>
          <w:color w:val="000000" w:themeColor="text1"/>
          <w:sz w:val="24"/>
          <w:szCs w:val="24"/>
        </w:rPr>
        <w:t xml:space="preserve">, these lenses are </w:t>
      </w:r>
      <w:r w:rsidR="00C2450E" w:rsidRPr="003745EE">
        <w:rPr>
          <w:color w:val="000000" w:themeColor="text1"/>
          <w:sz w:val="24"/>
          <w:szCs w:val="24"/>
        </w:rPr>
        <w:t>f</w:t>
      </w:r>
      <w:r w:rsidRPr="003745EE">
        <w:rPr>
          <w:color w:val="000000" w:themeColor="text1"/>
          <w:sz w:val="24"/>
          <w:szCs w:val="24"/>
        </w:rPr>
        <w:t>airness</w:t>
      </w:r>
      <w:r w:rsidR="00C2450E" w:rsidRPr="003745EE">
        <w:rPr>
          <w:color w:val="000000" w:themeColor="text1"/>
          <w:sz w:val="24"/>
          <w:szCs w:val="24"/>
        </w:rPr>
        <w:t>, m</w:t>
      </w:r>
      <w:r w:rsidRPr="003745EE">
        <w:rPr>
          <w:color w:val="000000" w:themeColor="text1"/>
          <w:sz w:val="24"/>
          <w:szCs w:val="24"/>
        </w:rPr>
        <w:t>erit</w:t>
      </w:r>
      <w:r w:rsidR="00C2450E" w:rsidRPr="003745EE">
        <w:rPr>
          <w:color w:val="000000" w:themeColor="text1"/>
          <w:sz w:val="24"/>
          <w:szCs w:val="24"/>
        </w:rPr>
        <w:t>, m</w:t>
      </w:r>
      <w:r w:rsidRPr="003745EE">
        <w:rPr>
          <w:color w:val="000000" w:themeColor="text1"/>
          <w:sz w:val="24"/>
          <w:szCs w:val="24"/>
        </w:rPr>
        <w:t>arket</w:t>
      </w:r>
      <w:r w:rsidR="00C2450E" w:rsidRPr="003745EE">
        <w:rPr>
          <w:color w:val="000000" w:themeColor="text1"/>
          <w:sz w:val="24"/>
          <w:szCs w:val="24"/>
        </w:rPr>
        <w:t>, d</w:t>
      </w:r>
      <w:r w:rsidRPr="003745EE">
        <w:rPr>
          <w:color w:val="000000" w:themeColor="text1"/>
          <w:sz w:val="24"/>
          <w:szCs w:val="24"/>
        </w:rPr>
        <w:t>emocracy</w:t>
      </w:r>
      <w:r w:rsidR="00C2450E" w:rsidRPr="003745EE">
        <w:rPr>
          <w:color w:val="000000" w:themeColor="text1"/>
          <w:sz w:val="24"/>
          <w:szCs w:val="24"/>
        </w:rPr>
        <w:t>, w</w:t>
      </w:r>
      <w:r w:rsidRPr="003745EE">
        <w:rPr>
          <w:color w:val="000000" w:themeColor="text1"/>
          <w:sz w:val="24"/>
          <w:szCs w:val="24"/>
        </w:rPr>
        <w:t>ell-being</w:t>
      </w:r>
      <w:r w:rsidR="00C2450E" w:rsidRPr="003745EE">
        <w:rPr>
          <w:color w:val="000000" w:themeColor="text1"/>
          <w:sz w:val="24"/>
          <w:szCs w:val="24"/>
        </w:rPr>
        <w:t>, r</w:t>
      </w:r>
      <w:r w:rsidRPr="003745EE">
        <w:rPr>
          <w:color w:val="000000" w:themeColor="text1"/>
          <w:sz w:val="24"/>
          <w:szCs w:val="24"/>
        </w:rPr>
        <w:t>ights and duties</w:t>
      </w:r>
      <w:r w:rsidR="00C2450E" w:rsidRPr="003745EE">
        <w:rPr>
          <w:color w:val="000000" w:themeColor="text1"/>
          <w:sz w:val="24"/>
          <w:szCs w:val="24"/>
        </w:rPr>
        <w:t>, c</w:t>
      </w:r>
      <w:r w:rsidRPr="003745EE">
        <w:rPr>
          <w:color w:val="000000" w:themeColor="text1"/>
          <w:sz w:val="24"/>
          <w:szCs w:val="24"/>
        </w:rPr>
        <w:t xml:space="preserve">haracter </w:t>
      </w:r>
      <w:r w:rsidR="00C2450E" w:rsidRPr="003745EE">
        <w:rPr>
          <w:color w:val="000000" w:themeColor="text1"/>
          <w:sz w:val="24"/>
          <w:szCs w:val="24"/>
        </w:rPr>
        <w:t>and h</w:t>
      </w:r>
      <w:r w:rsidRPr="003745EE">
        <w:rPr>
          <w:color w:val="000000" w:themeColor="text1"/>
          <w:sz w:val="24"/>
          <w:szCs w:val="24"/>
        </w:rPr>
        <w:t>anding down</w:t>
      </w:r>
      <w:r w:rsidR="00C2450E" w:rsidRPr="003745EE">
        <w:rPr>
          <w:color w:val="000000" w:themeColor="text1"/>
          <w:sz w:val="24"/>
          <w:szCs w:val="24"/>
        </w:rPr>
        <w:t>.</w:t>
      </w:r>
      <w:r w:rsidR="00960427" w:rsidRPr="003745EE">
        <w:rPr>
          <w:color w:val="000000" w:themeColor="text1"/>
          <w:sz w:val="24"/>
          <w:szCs w:val="24"/>
        </w:rPr>
        <w:t xml:space="preserve"> </w:t>
      </w:r>
    </w:p>
    <w:p w14:paraId="6BCA54BF" w14:textId="77777777" w:rsidR="00655579" w:rsidRPr="003745EE" w:rsidRDefault="00655579" w:rsidP="00117E7D">
      <w:pPr>
        <w:jc w:val="both"/>
        <w:rPr>
          <w:color w:val="000000" w:themeColor="text1"/>
          <w:sz w:val="24"/>
          <w:szCs w:val="24"/>
        </w:rPr>
      </w:pPr>
    </w:p>
    <w:p w14:paraId="7E42C887" w14:textId="58EFA1DC" w:rsidR="002829A7" w:rsidRPr="003745EE" w:rsidRDefault="00D405F4" w:rsidP="00117E7D">
      <w:pPr>
        <w:jc w:val="both"/>
        <w:rPr>
          <w:sz w:val="24"/>
          <w:szCs w:val="24"/>
        </w:rPr>
      </w:pPr>
      <w:r w:rsidRPr="003745EE">
        <w:rPr>
          <w:color w:val="000000" w:themeColor="text1"/>
          <w:sz w:val="24"/>
          <w:szCs w:val="24"/>
        </w:rPr>
        <w:t xml:space="preserve">Deontology promotes fair dealings and values </w:t>
      </w:r>
      <w:proofErr w:type="gramStart"/>
      <w:r w:rsidRPr="003745EE">
        <w:rPr>
          <w:color w:val="000000" w:themeColor="text1"/>
          <w:sz w:val="24"/>
          <w:szCs w:val="24"/>
        </w:rPr>
        <w:t>each individual</w:t>
      </w:r>
      <w:proofErr w:type="gramEnd"/>
      <w:r w:rsidRPr="003745EE">
        <w:rPr>
          <w:color w:val="000000" w:themeColor="text1"/>
          <w:sz w:val="24"/>
          <w:szCs w:val="24"/>
        </w:rPr>
        <w:t>.</w:t>
      </w:r>
      <w:r w:rsidR="00FE702E" w:rsidRPr="003745EE">
        <w:rPr>
          <w:color w:val="000000" w:themeColor="text1"/>
          <w:sz w:val="24"/>
          <w:szCs w:val="24"/>
        </w:rPr>
        <w:t xml:space="preserve"> </w:t>
      </w:r>
      <w:r w:rsidR="00174BBD" w:rsidRPr="003745EE">
        <w:rPr>
          <w:color w:val="000000" w:themeColor="text1"/>
          <w:sz w:val="24"/>
          <w:szCs w:val="24"/>
        </w:rPr>
        <w:t xml:space="preserve">Armstrong and Taylor (2020, </w:t>
      </w:r>
      <w:r w:rsidR="00174BBD" w:rsidRPr="003745EE">
        <w:rPr>
          <w:sz w:val="24"/>
          <w:szCs w:val="24"/>
        </w:rPr>
        <w:t>p.178</w:t>
      </w:r>
      <w:r w:rsidR="00174BBD" w:rsidRPr="003745EE">
        <w:rPr>
          <w:color w:val="000000" w:themeColor="text1"/>
          <w:sz w:val="24"/>
          <w:szCs w:val="24"/>
        </w:rPr>
        <w:t xml:space="preserve">) </w:t>
      </w:r>
      <w:proofErr w:type="gramStart"/>
      <w:r w:rsidR="00174BBD" w:rsidRPr="003745EE">
        <w:rPr>
          <w:color w:val="000000" w:themeColor="text1"/>
          <w:sz w:val="24"/>
          <w:szCs w:val="24"/>
        </w:rPr>
        <w:t>argues</w:t>
      </w:r>
      <w:proofErr w:type="gramEnd"/>
      <w:r w:rsidR="00174BBD" w:rsidRPr="003745EE">
        <w:rPr>
          <w:color w:val="000000" w:themeColor="text1"/>
          <w:sz w:val="24"/>
          <w:szCs w:val="24"/>
        </w:rPr>
        <w:t xml:space="preserve"> the responsibility of promoting and monitoring core values on how people should be managed and treated in the organisation falls on HR practitioners.</w:t>
      </w:r>
      <w:r w:rsidR="008621F3" w:rsidRPr="003745EE">
        <w:rPr>
          <w:color w:val="000000" w:themeColor="text1"/>
          <w:sz w:val="24"/>
          <w:szCs w:val="24"/>
        </w:rPr>
        <w:t xml:space="preserve"> </w:t>
      </w:r>
      <w:r w:rsidR="003348B4" w:rsidRPr="003745EE">
        <w:rPr>
          <w:color w:val="000000" w:themeColor="text1"/>
          <w:sz w:val="24"/>
          <w:szCs w:val="24"/>
        </w:rPr>
        <w:t xml:space="preserve">For </w:t>
      </w:r>
      <w:r w:rsidR="003348B4" w:rsidRPr="003745EE">
        <w:rPr>
          <w:color w:val="000000" w:themeColor="text1"/>
          <w:sz w:val="24"/>
          <w:szCs w:val="24"/>
        </w:rPr>
        <w:lastRenderedPageBreak/>
        <w:t>example, w</w:t>
      </w:r>
      <w:r w:rsidR="006151D4" w:rsidRPr="003745EE">
        <w:rPr>
          <w:color w:val="000000" w:themeColor="text1"/>
          <w:sz w:val="24"/>
          <w:szCs w:val="24"/>
        </w:rPr>
        <w:t>hen deciding on staff promotion</w:t>
      </w:r>
      <w:r w:rsidR="008621F3" w:rsidRPr="003745EE">
        <w:rPr>
          <w:color w:val="000000" w:themeColor="text1"/>
          <w:sz w:val="24"/>
          <w:szCs w:val="24"/>
        </w:rPr>
        <w:t>s</w:t>
      </w:r>
      <w:r w:rsidR="006151D4" w:rsidRPr="003745EE">
        <w:rPr>
          <w:color w:val="000000" w:themeColor="text1"/>
          <w:sz w:val="24"/>
          <w:szCs w:val="24"/>
        </w:rPr>
        <w:t xml:space="preserve">, Technivara needs to </w:t>
      </w:r>
      <w:r w:rsidR="006E4F31" w:rsidRPr="003745EE">
        <w:rPr>
          <w:color w:val="000000" w:themeColor="text1"/>
          <w:sz w:val="24"/>
          <w:szCs w:val="24"/>
        </w:rPr>
        <w:t xml:space="preserve">adhere to </w:t>
      </w:r>
      <w:r w:rsidR="00BD3A49" w:rsidRPr="003745EE">
        <w:rPr>
          <w:color w:val="000000" w:themeColor="text1"/>
          <w:sz w:val="24"/>
          <w:szCs w:val="24"/>
        </w:rPr>
        <w:t xml:space="preserve">a set of </w:t>
      </w:r>
      <w:r w:rsidR="009303D3" w:rsidRPr="003745EE">
        <w:rPr>
          <w:color w:val="000000" w:themeColor="text1"/>
          <w:sz w:val="24"/>
          <w:szCs w:val="24"/>
        </w:rPr>
        <w:t xml:space="preserve">clear criteria </w:t>
      </w:r>
      <w:r w:rsidR="007574F5" w:rsidRPr="003745EE">
        <w:rPr>
          <w:color w:val="000000" w:themeColor="text1"/>
          <w:sz w:val="24"/>
          <w:szCs w:val="24"/>
        </w:rPr>
        <w:t xml:space="preserve">as outlined in their performance management strategy </w:t>
      </w:r>
      <w:r w:rsidR="009303D3" w:rsidRPr="003745EE">
        <w:rPr>
          <w:color w:val="000000" w:themeColor="text1"/>
          <w:sz w:val="24"/>
          <w:szCs w:val="24"/>
        </w:rPr>
        <w:t xml:space="preserve">to ensure fairness and transparency. </w:t>
      </w:r>
      <w:r w:rsidR="00B13E5A" w:rsidRPr="003745EE">
        <w:rPr>
          <w:color w:val="000000" w:themeColor="text1"/>
          <w:sz w:val="24"/>
          <w:szCs w:val="24"/>
        </w:rPr>
        <w:t xml:space="preserve">Deontology enables </w:t>
      </w:r>
      <w:r w:rsidR="0057081E" w:rsidRPr="003745EE">
        <w:rPr>
          <w:color w:val="000000" w:themeColor="text1"/>
          <w:sz w:val="24"/>
          <w:szCs w:val="24"/>
        </w:rPr>
        <w:t xml:space="preserve">consistent adherence to ethical </w:t>
      </w:r>
      <w:r w:rsidR="006F0BBE" w:rsidRPr="003745EE">
        <w:rPr>
          <w:color w:val="000000" w:themeColor="text1"/>
          <w:sz w:val="24"/>
          <w:szCs w:val="24"/>
        </w:rPr>
        <w:t>values.</w:t>
      </w:r>
      <w:r w:rsidR="004131B7" w:rsidRPr="003745EE">
        <w:rPr>
          <w:color w:val="000000" w:themeColor="text1"/>
          <w:sz w:val="24"/>
          <w:szCs w:val="24"/>
        </w:rPr>
        <w:t xml:space="preserve"> The issue with Deon</w:t>
      </w:r>
      <w:r w:rsidR="00F942FB" w:rsidRPr="003745EE">
        <w:rPr>
          <w:color w:val="000000" w:themeColor="text1"/>
          <w:sz w:val="24"/>
          <w:szCs w:val="24"/>
        </w:rPr>
        <w:t xml:space="preserve">tology is that it only concerns </w:t>
      </w:r>
      <w:r w:rsidR="006E28BB" w:rsidRPr="003745EE">
        <w:rPr>
          <w:color w:val="000000" w:themeColor="text1"/>
          <w:sz w:val="24"/>
          <w:szCs w:val="24"/>
        </w:rPr>
        <w:t xml:space="preserve">with </w:t>
      </w:r>
      <w:r w:rsidR="00633E30" w:rsidRPr="003745EE">
        <w:rPr>
          <w:color w:val="000000" w:themeColor="text1"/>
          <w:sz w:val="24"/>
          <w:szCs w:val="24"/>
        </w:rPr>
        <w:t>actions</w:t>
      </w:r>
      <w:r w:rsidR="006E28BB" w:rsidRPr="003745EE">
        <w:rPr>
          <w:color w:val="000000" w:themeColor="text1"/>
          <w:sz w:val="24"/>
          <w:szCs w:val="24"/>
        </w:rPr>
        <w:t xml:space="preserve"> not consequences</w:t>
      </w:r>
      <w:r w:rsidR="006448C6" w:rsidRPr="003745EE">
        <w:rPr>
          <w:color w:val="000000" w:themeColor="text1"/>
          <w:sz w:val="24"/>
          <w:szCs w:val="24"/>
        </w:rPr>
        <w:t xml:space="preserve"> </w:t>
      </w:r>
      <w:r w:rsidR="00F94531" w:rsidRPr="003745EE">
        <w:rPr>
          <w:color w:val="000000" w:themeColor="text1"/>
          <w:sz w:val="24"/>
          <w:szCs w:val="24"/>
        </w:rPr>
        <w:t>(Taylor and Woodhams, 2022, p.154)</w:t>
      </w:r>
      <w:r w:rsidR="00633E30" w:rsidRPr="003745EE">
        <w:rPr>
          <w:color w:val="000000" w:themeColor="text1"/>
          <w:sz w:val="24"/>
          <w:szCs w:val="24"/>
        </w:rPr>
        <w:t xml:space="preserve">. </w:t>
      </w:r>
      <w:r w:rsidR="0046147C" w:rsidRPr="003745EE">
        <w:rPr>
          <w:color w:val="000000" w:themeColor="text1"/>
          <w:sz w:val="24"/>
          <w:szCs w:val="24"/>
        </w:rPr>
        <w:t>Using “rights and duties” lens mentioned above</w:t>
      </w:r>
      <w:r w:rsidR="006927BF" w:rsidRPr="003745EE">
        <w:rPr>
          <w:color w:val="000000" w:themeColor="text1"/>
          <w:sz w:val="24"/>
          <w:szCs w:val="24"/>
        </w:rPr>
        <w:t xml:space="preserve">, in the eyes of a </w:t>
      </w:r>
      <w:r w:rsidR="003B1A38" w:rsidRPr="003745EE">
        <w:rPr>
          <w:color w:val="000000" w:themeColor="text1"/>
          <w:sz w:val="24"/>
          <w:szCs w:val="24"/>
        </w:rPr>
        <w:t>deontologist</w:t>
      </w:r>
      <w:r w:rsidR="006927BF" w:rsidRPr="003745EE">
        <w:rPr>
          <w:color w:val="000000" w:themeColor="text1"/>
          <w:sz w:val="24"/>
          <w:szCs w:val="24"/>
        </w:rPr>
        <w:t xml:space="preserve">, </w:t>
      </w:r>
      <w:r w:rsidR="00A87501" w:rsidRPr="003745EE">
        <w:rPr>
          <w:color w:val="000000" w:themeColor="text1"/>
          <w:sz w:val="24"/>
          <w:szCs w:val="24"/>
        </w:rPr>
        <w:t>dismissal</w:t>
      </w:r>
      <w:r w:rsidR="006927BF" w:rsidRPr="003745EE">
        <w:rPr>
          <w:color w:val="000000" w:themeColor="text1"/>
          <w:sz w:val="24"/>
          <w:szCs w:val="24"/>
        </w:rPr>
        <w:t xml:space="preserve"> is wrong as some people</w:t>
      </w:r>
      <w:r w:rsidR="003B1A38" w:rsidRPr="003745EE">
        <w:rPr>
          <w:color w:val="000000" w:themeColor="text1"/>
          <w:sz w:val="24"/>
          <w:szCs w:val="24"/>
        </w:rPr>
        <w:t xml:space="preserve"> lose their jobs</w:t>
      </w:r>
      <w:r w:rsidR="00EE7C83" w:rsidRPr="003745EE">
        <w:rPr>
          <w:color w:val="000000" w:themeColor="text1"/>
          <w:sz w:val="24"/>
          <w:szCs w:val="24"/>
        </w:rPr>
        <w:t xml:space="preserve"> even when </w:t>
      </w:r>
      <w:proofErr w:type="gramStart"/>
      <w:r w:rsidR="00EE7C83" w:rsidRPr="003745EE">
        <w:rPr>
          <w:color w:val="000000" w:themeColor="text1"/>
          <w:sz w:val="24"/>
          <w:szCs w:val="24"/>
        </w:rPr>
        <w:t>in reality the</w:t>
      </w:r>
      <w:proofErr w:type="gramEnd"/>
      <w:r w:rsidR="00EE7C83" w:rsidRPr="003745EE">
        <w:rPr>
          <w:color w:val="000000" w:themeColor="text1"/>
          <w:sz w:val="24"/>
          <w:szCs w:val="24"/>
        </w:rPr>
        <w:t xml:space="preserve"> role is no longer needed </w:t>
      </w:r>
      <w:r w:rsidR="00EB33DD" w:rsidRPr="003745EE">
        <w:rPr>
          <w:color w:val="000000" w:themeColor="text1"/>
          <w:sz w:val="24"/>
          <w:szCs w:val="24"/>
        </w:rPr>
        <w:t>Waite et al., (2021, p.155</w:t>
      </w:r>
      <w:r w:rsidR="003A761E" w:rsidRPr="003745EE">
        <w:rPr>
          <w:color w:val="000000" w:themeColor="text1"/>
          <w:sz w:val="24"/>
          <w:szCs w:val="24"/>
        </w:rPr>
        <w:t>).</w:t>
      </w:r>
    </w:p>
    <w:p w14:paraId="04300793" w14:textId="77777777" w:rsidR="00D405F4" w:rsidRPr="003745EE" w:rsidRDefault="00D405F4" w:rsidP="00117E7D">
      <w:pPr>
        <w:jc w:val="both"/>
        <w:rPr>
          <w:sz w:val="24"/>
          <w:szCs w:val="24"/>
        </w:rPr>
      </w:pPr>
    </w:p>
    <w:p w14:paraId="3A6B2A92" w14:textId="77777777" w:rsidR="00D405F4" w:rsidRPr="00C67262" w:rsidRDefault="00D405F4" w:rsidP="00117E7D">
      <w:pPr>
        <w:jc w:val="both"/>
        <w:rPr>
          <w:sz w:val="24"/>
          <w:szCs w:val="24"/>
          <w:u w:val="single"/>
        </w:rPr>
      </w:pPr>
      <w:r w:rsidRPr="00C67262">
        <w:rPr>
          <w:sz w:val="24"/>
          <w:szCs w:val="24"/>
          <w:u w:val="single"/>
        </w:rPr>
        <w:t>Utilitarianism</w:t>
      </w:r>
    </w:p>
    <w:p w14:paraId="14740F7E" w14:textId="77777777" w:rsidR="00D405F4" w:rsidRPr="003745EE" w:rsidRDefault="00D405F4" w:rsidP="00117E7D">
      <w:pPr>
        <w:jc w:val="both"/>
        <w:rPr>
          <w:b/>
          <w:bCs/>
          <w:sz w:val="24"/>
          <w:szCs w:val="24"/>
          <w:u w:val="single"/>
        </w:rPr>
      </w:pPr>
    </w:p>
    <w:p w14:paraId="3C4CE833" w14:textId="7DA20DA5" w:rsidR="00D405F4" w:rsidRPr="003745EE" w:rsidRDefault="00117E7D" w:rsidP="00117E7D">
      <w:pPr>
        <w:jc w:val="both"/>
        <w:rPr>
          <w:sz w:val="24"/>
          <w:szCs w:val="24"/>
        </w:rPr>
      </w:pPr>
      <w:r>
        <w:rPr>
          <w:sz w:val="24"/>
          <w:szCs w:val="24"/>
        </w:rPr>
        <w:t xml:space="preserve">The </w:t>
      </w:r>
      <w:r w:rsidR="00D405F4" w:rsidRPr="003745EE">
        <w:rPr>
          <w:color w:val="000000" w:themeColor="text1"/>
          <w:sz w:val="24"/>
          <w:szCs w:val="24"/>
        </w:rPr>
        <w:t xml:space="preserve">aim for </w:t>
      </w:r>
      <w:r w:rsidR="00D405F4" w:rsidRPr="003745EE">
        <w:rPr>
          <w:sz w:val="24"/>
          <w:szCs w:val="24"/>
        </w:rPr>
        <w:t>Utilitarianism is to achieve the “greatest good” for the “greatest number”</w:t>
      </w:r>
      <w:r w:rsidR="004F48A6" w:rsidRPr="003745EE">
        <w:rPr>
          <w:color w:val="EE0000"/>
          <w:sz w:val="24"/>
          <w:szCs w:val="24"/>
        </w:rPr>
        <w:t xml:space="preserve"> </w:t>
      </w:r>
      <w:r w:rsidR="004F48A6" w:rsidRPr="00470599">
        <w:rPr>
          <w:color w:val="000000" w:themeColor="text1"/>
          <w:sz w:val="24"/>
          <w:szCs w:val="24"/>
        </w:rPr>
        <w:t>(</w:t>
      </w:r>
      <w:r w:rsidR="004F48A6" w:rsidRPr="003745EE">
        <w:rPr>
          <w:color w:val="000000" w:themeColor="text1"/>
          <w:sz w:val="24"/>
          <w:szCs w:val="24"/>
        </w:rPr>
        <w:t>Waite et al., 2021, p.70)</w:t>
      </w:r>
      <w:r w:rsidR="008B76D0" w:rsidRPr="003745EE">
        <w:rPr>
          <w:color w:val="000000" w:themeColor="text1"/>
          <w:sz w:val="24"/>
          <w:szCs w:val="24"/>
        </w:rPr>
        <w:t xml:space="preserve">. </w:t>
      </w:r>
      <w:r w:rsidR="00D405F4" w:rsidRPr="003745EE">
        <w:rPr>
          <w:color w:val="000000" w:themeColor="text1"/>
          <w:sz w:val="24"/>
          <w:szCs w:val="24"/>
        </w:rPr>
        <w:t xml:space="preserve">Armstrong and Taylor (2020, </w:t>
      </w:r>
      <w:r w:rsidR="00D405F4" w:rsidRPr="003745EE">
        <w:rPr>
          <w:sz w:val="24"/>
          <w:szCs w:val="24"/>
        </w:rPr>
        <w:t>p.172</w:t>
      </w:r>
      <w:r w:rsidR="00D405F4" w:rsidRPr="003745EE">
        <w:rPr>
          <w:color w:val="000000" w:themeColor="text1"/>
          <w:sz w:val="24"/>
          <w:szCs w:val="24"/>
        </w:rPr>
        <w:t xml:space="preserve">) </w:t>
      </w:r>
      <w:proofErr w:type="gramStart"/>
      <w:r w:rsidR="00D405F4" w:rsidRPr="003745EE">
        <w:rPr>
          <w:color w:val="000000" w:themeColor="text1"/>
          <w:sz w:val="24"/>
          <w:szCs w:val="24"/>
        </w:rPr>
        <w:t>considers</w:t>
      </w:r>
      <w:proofErr w:type="gramEnd"/>
      <w:r w:rsidR="00D405F4" w:rsidRPr="003745EE">
        <w:rPr>
          <w:color w:val="000000" w:themeColor="text1"/>
          <w:sz w:val="24"/>
          <w:szCs w:val="24"/>
        </w:rPr>
        <w:t xml:space="preserve"> </w:t>
      </w:r>
      <w:r w:rsidR="00D405F4" w:rsidRPr="003745EE">
        <w:rPr>
          <w:sz w:val="24"/>
          <w:szCs w:val="24"/>
        </w:rPr>
        <w:t xml:space="preserve">in this theory, actions can be justified </w:t>
      </w:r>
      <w:proofErr w:type="gramStart"/>
      <w:r w:rsidR="00D405F4" w:rsidRPr="003745EE">
        <w:rPr>
          <w:sz w:val="24"/>
          <w:szCs w:val="24"/>
        </w:rPr>
        <w:t>as long as</w:t>
      </w:r>
      <w:proofErr w:type="gramEnd"/>
      <w:r w:rsidR="00D405F4" w:rsidRPr="003745EE">
        <w:rPr>
          <w:sz w:val="24"/>
          <w:szCs w:val="24"/>
        </w:rPr>
        <w:t xml:space="preserve"> they maximise the overall balance of pleasure against pain. Utilitarianism is interested only in the total amount of good our actions create, but not in how that good is distributed across a range of different people </w:t>
      </w:r>
      <w:r w:rsidR="00D405F4" w:rsidRPr="003745EE">
        <w:rPr>
          <w:color w:val="000000" w:themeColor="text1"/>
          <w:sz w:val="24"/>
          <w:szCs w:val="24"/>
        </w:rPr>
        <w:t xml:space="preserve">(Markovits, 2015). </w:t>
      </w:r>
    </w:p>
    <w:p w14:paraId="6D74B91A" w14:textId="77777777" w:rsidR="00D405F4" w:rsidRPr="003745EE" w:rsidRDefault="00D405F4" w:rsidP="00117E7D">
      <w:pPr>
        <w:jc w:val="both"/>
        <w:rPr>
          <w:color w:val="000000" w:themeColor="text1"/>
          <w:sz w:val="24"/>
          <w:szCs w:val="24"/>
        </w:rPr>
      </w:pPr>
    </w:p>
    <w:p w14:paraId="31EE0CB6" w14:textId="14F8229F" w:rsidR="00D405F4" w:rsidRPr="003745EE" w:rsidRDefault="00D405F4" w:rsidP="00117E7D">
      <w:pPr>
        <w:jc w:val="both"/>
        <w:rPr>
          <w:sz w:val="24"/>
          <w:szCs w:val="24"/>
        </w:rPr>
      </w:pPr>
      <w:r w:rsidRPr="003745EE">
        <w:rPr>
          <w:sz w:val="24"/>
          <w:szCs w:val="24"/>
        </w:rPr>
        <w:t xml:space="preserve">At Technivara, the board now feels it’s time to expand its business, a new reward package </w:t>
      </w:r>
      <w:r w:rsidR="00C265CE" w:rsidRPr="003745EE">
        <w:rPr>
          <w:sz w:val="24"/>
          <w:szCs w:val="24"/>
        </w:rPr>
        <w:t>including redundanc</w:t>
      </w:r>
      <w:r w:rsidR="00800793" w:rsidRPr="003745EE">
        <w:rPr>
          <w:sz w:val="24"/>
          <w:szCs w:val="24"/>
        </w:rPr>
        <w:t xml:space="preserve">ies </w:t>
      </w:r>
      <w:r w:rsidRPr="003745EE">
        <w:rPr>
          <w:sz w:val="24"/>
          <w:szCs w:val="24"/>
        </w:rPr>
        <w:t xml:space="preserve">might be needed after the merger and acquisition. </w:t>
      </w:r>
      <w:r w:rsidR="00572B58" w:rsidRPr="003745EE">
        <w:rPr>
          <w:sz w:val="24"/>
          <w:szCs w:val="24"/>
        </w:rPr>
        <w:t>Utilitarianism</w:t>
      </w:r>
      <w:r w:rsidR="004452B6" w:rsidRPr="003745EE">
        <w:rPr>
          <w:sz w:val="24"/>
          <w:szCs w:val="24"/>
        </w:rPr>
        <w:t xml:space="preserve"> focuses on maximising organisation’s productivity</w:t>
      </w:r>
      <w:r w:rsidR="00F14F52" w:rsidRPr="003745EE">
        <w:rPr>
          <w:sz w:val="24"/>
          <w:szCs w:val="24"/>
        </w:rPr>
        <w:t xml:space="preserve"> even if it means laying </w:t>
      </w:r>
      <w:r w:rsidR="002B21B2" w:rsidRPr="003745EE">
        <w:rPr>
          <w:sz w:val="24"/>
          <w:szCs w:val="24"/>
        </w:rPr>
        <w:t xml:space="preserve">off employees. </w:t>
      </w:r>
      <w:r w:rsidRPr="003745EE">
        <w:rPr>
          <w:sz w:val="24"/>
          <w:szCs w:val="24"/>
        </w:rPr>
        <w:t>HR professionals need to be mindful that utilitarianism can lead to neglecting individual rights and freedom</w:t>
      </w:r>
      <w:r w:rsidR="00800793" w:rsidRPr="003745EE">
        <w:rPr>
          <w:sz w:val="24"/>
          <w:szCs w:val="24"/>
        </w:rPr>
        <w:t xml:space="preserve"> when laying off employees</w:t>
      </w:r>
      <w:r w:rsidRPr="003745EE">
        <w:rPr>
          <w:sz w:val="24"/>
          <w:szCs w:val="24"/>
        </w:rPr>
        <w:t xml:space="preserve">. It is important that the benefit of the minority group would not be scarified or negatively impacted. </w:t>
      </w:r>
    </w:p>
    <w:p w14:paraId="146A7C1C" w14:textId="77777777" w:rsidR="00D405F4" w:rsidRPr="003745EE" w:rsidRDefault="00D405F4" w:rsidP="00117E7D">
      <w:pPr>
        <w:jc w:val="both"/>
        <w:rPr>
          <w:sz w:val="24"/>
          <w:szCs w:val="24"/>
        </w:rPr>
      </w:pPr>
    </w:p>
    <w:p w14:paraId="494D926A" w14:textId="3F5D2370" w:rsidR="003A761E" w:rsidRPr="003745EE" w:rsidRDefault="003A761E" w:rsidP="00117E7D">
      <w:pPr>
        <w:jc w:val="both"/>
        <w:rPr>
          <w:color w:val="000000" w:themeColor="text1"/>
          <w:sz w:val="24"/>
          <w:szCs w:val="24"/>
        </w:rPr>
      </w:pPr>
      <w:r w:rsidRPr="003745EE">
        <w:rPr>
          <w:color w:val="000000" w:themeColor="text1"/>
          <w:sz w:val="24"/>
          <w:szCs w:val="24"/>
        </w:rPr>
        <w:t xml:space="preserve">To conclude, Technivara </w:t>
      </w:r>
      <w:r w:rsidR="0066395C" w:rsidRPr="003745EE">
        <w:rPr>
          <w:color w:val="000000" w:themeColor="text1"/>
          <w:sz w:val="24"/>
          <w:szCs w:val="24"/>
        </w:rPr>
        <w:t>could</w:t>
      </w:r>
      <w:r w:rsidR="00251990" w:rsidRPr="003745EE">
        <w:rPr>
          <w:color w:val="000000" w:themeColor="text1"/>
          <w:sz w:val="24"/>
          <w:szCs w:val="24"/>
        </w:rPr>
        <w:t xml:space="preserve"> </w:t>
      </w:r>
      <w:r w:rsidR="0066395C" w:rsidRPr="003745EE">
        <w:rPr>
          <w:color w:val="000000" w:themeColor="text1"/>
          <w:sz w:val="24"/>
          <w:szCs w:val="24"/>
        </w:rPr>
        <w:t xml:space="preserve">use </w:t>
      </w:r>
      <w:r w:rsidR="00132334" w:rsidRPr="003745EE">
        <w:rPr>
          <w:sz w:val="24"/>
          <w:szCs w:val="24"/>
        </w:rPr>
        <w:t>Utilitarianism</w:t>
      </w:r>
      <w:r w:rsidR="00132334" w:rsidRPr="003745EE">
        <w:rPr>
          <w:color w:val="000000" w:themeColor="text1"/>
          <w:sz w:val="24"/>
          <w:szCs w:val="24"/>
        </w:rPr>
        <w:t xml:space="preserve"> </w:t>
      </w:r>
      <w:r w:rsidR="00AA5B2E" w:rsidRPr="003745EE">
        <w:rPr>
          <w:color w:val="000000" w:themeColor="text1"/>
          <w:sz w:val="24"/>
          <w:szCs w:val="24"/>
        </w:rPr>
        <w:t>in conjunction with Deontology</w:t>
      </w:r>
      <w:r w:rsidR="00D16D87" w:rsidRPr="003745EE">
        <w:rPr>
          <w:color w:val="000000" w:themeColor="text1"/>
          <w:sz w:val="24"/>
          <w:szCs w:val="24"/>
        </w:rPr>
        <w:t xml:space="preserve"> by critically analysing </w:t>
      </w:r>
      <w:r w:rsidR="00CB6951" w:rsidRPr="003745EE">
        <w:rPr>
          <w:color w:val="000000" w:themeColor="text1"/>
          <w:sz w:val="24"/>
          <w:szCs w:val="24"/>
        </w:rPr>
        <w:t xml:space="preserve">four forces </w:t>
      </w:r>
      <w:r w:rsidRPr="003745EE">
        <w:rPr>
          <w:color w:val="000000" w:themeColor="text1"/>
          <w:sz w:val="24"/>
          <w:szCs w:val="24"/>
        </w:rPr>
        <w:t xml:space="preserve">to protect the </w:t>
      </w:r>
      <w:r w:rsidR="005F7887" w:rsidRPr="003745EE">
        <w:rPr>
          <w:color w:val="000000" w:themeColor="text1"/>
          <w:sz w:val="24"/>
          <w:szCs w:val="24"/>
        </w:rPr>
        <w:t xml:space="preserve">needs </w:t>
      </w:r>
      <w:r w:rsidRPr="003745EE">
        <w:rPr>
          <w:color w:val="000000" w:themeColor="text1"/>
          <w:sz w:val="24"/>
          <w:szCs w:val="24"/>
        </w:rPr>
        <w:t>of the business</w:t>
      </w:r>
      <w:r w:rsidR="005F7887" w:rsidRPr="003745EE">
        <w:rPr>
          <w:color w:val="000000" w:themeColor="text1"/>
          <w:sz w:val="24"/>
          <w:szCs w:val="24"/>
        </w:rPr>
        <w:t>, own values</w:t>
      </w:r>
      <w:r w:rsidRPr="003745EE">
        <w:rPr>
          <w:color w:val="000000" w:themeColor="text1"/>
          <w:sz w:val="24"/>
          <w:szCs w:val="24"/>
        </w:rPr>
        <w:t xml:space="preserve"> as well as challenging unethical behaviours (Taylor and Woodhams, 2022, pp</w:t>
      </w:r>
      <w:r w:rsidR="007F779A">
        <w:rPr>
          <w:color w:val="000000" w:themeColor="text1"/>
          <w:sz w:val="24"/>
          <w:szCs w:val="24"/>
        </w:rPr>
        <w:t>.</w:t>
      </w:r>
      <w:r w:rsidRPr="003745EE">
        <w:rPr>
          <w:color w:val="000000" w:themeColor="text1"/>
          <w:sz w:val="24"/>
          <w:szCs w:val="24"/>
        </w:rPr>
        <w:t>154-156)</w:t>
      </w:r>
      <w:r w:rsidR="00693401" w:rsidRPr="003745EE">
        <w:rPr>
          <w:color w:val="000000" w:themeColor="text1"/>
          <w:sz w:val="24"/>
          <w:szCs w:val="24"/>
        </w:rPr>
        <w:t>.</w:t>
      </w:r>
    </w:p>
    <w:p w14:paraId="3FF6C380" w14:textId="77777777" w:rsidR="003A761E" w:rsidRPr="003745EE" w:rsidRDefault="003A761E" w:rsidP="00117E7D">
      <w:pPr>
        <w:jc w:val="both"/>
        <w:rPr>
          <w:sz w:val="24"/>
          <w:szCs w:val="24"/>
        </w:rPr>
      </w:pPr>
    </w:p>
    <w:p w14:paraId="3F8BF6C7" w14:textId="77777777" w:rsidR="001D36B8" w:rsidRDefault="001D36B8">
      <w:pPr>
        <w:rPr>
          <w:sz w:val="24"/>
          <w:szCs w:val="24"/>
        </w:rPr>
      </w:pPr>
    </w:p>
    <w:p w14:paraId="4D2EB2FF" w14:textId="77777777" w:rsidR="00F827B7" w:rsidRDefault="00F827B7">
      <w:pPr>
        <w:rPr>
          <w:sz w:val="24"/>
          <w:szCs w:val="24"/>
        </w:rPr>
      </w:pPr>
    </w:p>
    <w:p w14:paraId="71F76DCD" w14:textId="77777777" w:rsidR="00F827B7" w:rsidRPr="003745EE" w:rsidRDefault="00F827B7">
      <w:pPr>
        <w:rPr>
          <w:sz w:val="24"/>
          <w:szCs w:val="24"/>
        </w:rPr>
      </w:pPr>
    </w:p>
    <w:p w14:paraId="486463D4" w14:textId="509ADF6B" w:rsidR="00C53E8B" w:rsidRPr="003745EE" w:rsidRDefault="00C53E8B" w:rsidP="00C67262">
      <w:pPr>
        <w:pStyle w:val="BodyText"/>
        <w:ind w:left="567" w:right="283" w:hanging="567"/>
        <w:jc w:val="both"/>
        <w:rPr>
          <w:sz w:val="24"/>
          <w:szCs w:val="24"/>
        </w:rPr>
      </w:pPr>
      <w:r w:rsidRPr="00C67262">
        <w:rPr>
          <w:b/>
          <w:bCs/>
          <w:color w:val="000000" w:themeColor="text1"/>
          <w:sz w:val="24"/>
          <w:szCs w:val="24"/>
        </w:rPr>
        <w:t>Q6.</w:t>
      </w:r>
      <w:r w:rsidRPr="00C67262">
        <w:rPr>
          <w:color w:val="000000" w:themeColor="text1"/>
          <w:sz w:val="24"/>
          <w:szCs w:val="24"/>
        </w:rPr>
        <w:t xml:space="preserve"> </w:t>
      </w:r>
      <w:r w:rsidRPr="003745EE">
        <w:rPr>
          <w:sz w:val="24"/>
          <w:szCs w:val="24"/>
        </w:rPr>
        <w:t>AC 3.1</w:t>
      </w:r>
    </w:p>
    <w:p w14:paraId="4E56994D" w14:textId="77777777" w:rsidR="00C53E8B" w:rsidRPr="003745EE" w:rsidRDefault="00C53E8B" w:rsidP="00C53E8B">
      <w:pPr>
        <w:rPr>
          <w:sz w:val="24"/>
          <w:szCs w:val="24"/>
        </w:rPr>
      </w:pPr>
    </w:p>
    <w:p w14:paraId="6B43FE47" w14:textId="0B51D671" w:rsidR="00C53E8B" w:rsidRDefault="00C53E8B" w:rsidP="00FA17DA">
      <w:pPr>
        <w:jc w:val="both"/>
        <w:rPr>
          <w:color w:val="000000" w:themeColor="text1"/>
          <w:sz w:val="24"/>
          <w:szCs w:val="24"/>
        </w:rPr>
      </w:pPr>
      <w:r w:rsidRPr="003745EE">
        <w:rPr>
          <w:sz w:val="24"/>
          <w:szCs w:val="24"/>
        </w:rPr>
        <w:t>Technivara is in the private sector, its aim is to make profits for their owners</w:t>
      </w:r>
      <w:r w:rsidRPr="003745EE">
        <w:rPr>
          <w:color w:val="000000" w:themeColor="text1"/>
          <w:sz w:val="24"/>
          <w:szCs w:val="24"/>
        </w:rPr>
        <w:t xml:space="preserve"> (Taylor and Woodhams, 2022b, p.22). </w:t>
      </w:r>
      <w:r w:rsidRPr="003745EE">
        <w:rPr>
          <w:sz w:val="24"/>
          <w:szCs w:val="24"/>
        </w:rPr>
        <w:t xml:space="preserve">To measure Technivara’s financial performance, a </w:t>
      </w:r>
      <w:r w:rsidRPr="003745EE">
        <w:rPr>
          <w:color w:val="000000" w:themeColor="text1"/>
          <w:sz w:val="24"/>
          <w:szCs w:val="24"/>
        </w:rPr>
        <w:t>balance sheet is crucial for</w:t>
      </w:r>
      <w:r w:rsidRPr="003745EE">
        <w:rPr>
          <w:sz w:val="24"/>
          <w:szCs w:val="24"/>
        </w:rPr>
        <w:t xml:space="preserve"> stakeholders to understand the financial health and status of the organisation </w:t>
      </w:r>
      <w:proofErr w:type="gramStart"/>
      <w:r w:rsidRPr="003745EE">
        <w:rPr>
          <w:sz w:val="24"/>
          <w:szCs w:val="24"/>
        </w:rPr>
        <w:t>in order for</w:t>
      </w:r>
      <w:proofErr w:type="gramEnd"/>
      <w:r w:rsidRPr="003745EE">
        <w:rPr>
          <w:sz w:val="24"/>
          <w:szCs w:val="24"/>
        </w:rPr>
        <w:t xml:space="preserve"> them to make informed decisions about investing in it</w:t>
      </w:r>
      <w:r w:rsidR="00CC71AD">
        <w:rPr>
          <w:sz w:val="24"/>
          <w:szCs w:val="24"/>
        </w:rPr>
        <w:t xml:space="preserve"> </w:t>
      </w:r>
      <w:r w:rsidRPr="003745EE">
        <w:rPr>
          <w:color w:val="000000" w:themeColor="text1"/>
          <w:sz w:val="24"/>
          <w:szCs w:val="24"/>
        </w:rPr>
        <w:t>(Stobierski, 2020c).</w:t>
      </w:r>
      <w:r w:rsidRPr="003745EE">
        <w:rPr>
          <w:sz w:val="24"/>
          <w:szCs w:val="24"/>
        </w:rPr>
        <w:t xml:space="preserve"> </w:t>
      </w:r>
      <w:r w:rsidRPr="003745EE">
        <w:rPr>
          <w:color w:val="000000" w:themeColor="text1"/>
          <w:sz w:val="24"/>
          <w:szCs w:val="24"/>
        </w:rPr>
        <w:t xml:space="preserve">A balance sheet provides a “snapshot” of Technivara’s historical financial performance within a given period to show if the business has made any profits (Waite et al., 2021, p.58).  It can offer internal stakeholders such as business </w:t>
      </w:r>
      <w:r w:rsidR="00F230ED" w:rsidRPr="003745EE">
        <w:rPr>
          <w:color w:val="000000" w:themeColor="text1"/>
          <w:sz w:val="24"/>
          <w:szCs w:val="24"/>
        </w:rPr>
        <w:t>leaders’</w:t>
      </w:r>
      <w:r w:rsidRPr="003745EE">
        <w:rPr>
          <w:color w:val="000000" w:themeColor="text1"/>
          <w:sz w:val="24"/>
          <w:szCs w:val="24"/>
        </w:rPr>
        <w:t xml:space="preserve"> critical insight into whether the management team needs to make changes to its goals. External auditors such as KPMG where I work use the balance sheet to determine if it is in complying with relevant laws and regulations.</w:t>
      </w:r>
      <w:r w:rsidRPr="003745EE">
        <w:rPr>
          <w:color w:val="EE0000"/>
          <w:sz w:val="24"/>
          <w:szCs w:val="24"/>
        </w:rPr>
        <w:t xml:space="preserve"> </w:t>
      </w:r>
      <w:r w:rsidRPr="003745EE">
        <w:rPr>
          <w:color w:val="000000" w:themeColor="text1"/>
          <w:sz w:val="24"/>
          <w:szCs w:val="24"/>
        </w:rPr>
        <w:t xml:space="preserve">It will enable potential investors to have a better understanding of the risks involved in investing in the firm (KPMG, </w:t>
      </w:r>
      <w:r w:rsidRPr="00CC71AD">
        <w:rPr>
          <w:color w:val="000000" w:themeColor="text1"/>
          <w:sz w:val="24"/>
          <w:szCs w:val="24"/>
        </w:rPr>
        <w:t xml:space="preserve">2026). </w:t>
      </w:r>
      <w:r w:rsidRPr="003745EE">
        <w:rPr>
          <w:color w:val="000000" w:themeColor="text1"/>
          <w:sz w:val="24"/>
          <w:szCs w:val="24"/>
        </w:rPr>
        <w:t xml:space="preserve">However, Stobierski (2020c) cautions that a balance sheet </w:t>
      </w:r>
      <w:r w:rsidR="00CC71AD" w:rsidRPr="003745EE">
        <w:rPr>
          <w:color w:val="000000" w:themeColor="text1"/>
          <w:sz w:val="24"/>
          <w:szCs w:val="24"/>
        </w:rPr>
        <w:t>provides</w:t>
      </w:r>
      <w:r w:rsidRPr="003745EE">
        <w:rPr>
          <w:color w:val="000000" w:themeColor="text1"/>
          <w:sz w:val="24"/>
          <w:szCs w:val="24"/>
        </w:rPr>
        <w:t xml:space="preserve"> financial information as of a specific date in the past, there will be risks with stakeholders and investors making predictions on future outcome and performance based on past data. Future outcomes </w:t>
      </w:r>
      <w:r w:rsidRPr="003745EE">
        <w:rPr>
          <w:color w:val="000000" w:themeColor="text1"/>
          <w:sz w:val="24"/>
          <w:szCs w:val="24"/>
        </w:rPr>
        <w:lastRenderedPageBreak/>
        <w:t xml:space="preserve">cannot be guaranteed by past performance (Stobierski, 2020c). </w:t>
      </w:r>
    </w:p>
    <w:p w14:paraId="6555B5AD" w14:textId="77777777" w:rsidR="003745EE" w:rsidRPr="003745EE" w:rsidRDefault="003745EE" w:rsidP="00FA17DA">
      <w:pPr>
        <w:jc w:val="both"/>
        <w:rPr>
          <w:b/>
          <w:bCs/>
          <w:color w:val="000000" w:themeColor="text1"/>
          <w:sz w:val="24"/>
          <w:szCs w:val="24"/>
        </w:rPr>
      </w:pPr>
    </w:p>
    <w:p w14:paraId="2A7EEBCC" w14:textId="70D70EE1" w:rsidR="00C53E8B" w:rsidRPr="003745EE" w:rsidRDefault="00C53E8B" w:rsidP="00FA17DA">
      <w:pPr>
        <w:jc w:val="both"/>
        <w:rPr>
          <w:color w:val="000000" w:themeColor="text1"/>
          <w:sz w:val="24"/>
          <w:szCs w:val="24"/>
        </w:rPr>
      </w:pPr>
      <w:r w:rsidRPr="003745EE">
        <w:rPr>
          <w:color w:val="000000" w:themeColor="text1"/>
          <w:sz w:val="24"/>
          <w:szCs w:val="24"/>
        </w:rPr>
        <w:t xml:space="preserve">According to Gibson (2023), </w:t>
      </w:r>
      <w:r w:rsidRPr="003745EE">
        <w:rPr>
          <w:sz w:val="24"/>
          <w:szCs w:val="24"/>
        </w:rPr>
        <w:t>while financial indicators are critical to assessing short-term business performance and profitability, non-financial performance can impact your business’s long-term success. At Tenchnivara, n</w:t>
      </w:r>
      <w:r w:rsidRPr="003745EE">
        <w:rPr>
          <w:color w:val="000000" w:themeColor="text1"/>
          <w:sz w:val="24"/>
          <w:szCs w:val="24"/>
        </w:rPr>
        <w:t>on-financial performance could be measured by exit interview data which can provide insight into why people leave, especially key employees, so appropriate actions can be taken to retain talents and reduce cost of turnover</w:t>
      </w:r>
      <w:r w:rsidR="00FA17DA">
        <w:rPr>
          <w:color w:val="000000" w:themeColor="text1"/>
          <w:sz w:val="24"/>
          <w:szCs w:val="24"/>
        </w:rPr>
        <w:t xml:space="preserve"> (</w:t>
      </w:r>
      <w:r w:rsidRPr="003745EE">
        <w:rPr>
          <w:color w:val="000000" w:themeColor="text1"/>
          <w:sz w:val="24"/>
          <w:szCs w:val="24"/>
        </w:rPr>
        <w:t>Armstrong and Taylor, 2023, p.350). Exit interviews could also be used as a people management tool to persuade people to stay as part of risk of leaving analysis (Taylor and Woodhams, 2022b, p.100; Armstrong and Taylor, 2023, pp.353-354;). The drawback of exit interviews is that the information collected through this method is often “fallible” and “distorted” it should be used alongside employee survey to not only understand why people leave but also identify ways of making people stay (Armstrong and Taylor, 2023, p.354).</w:t>
      </w:r>
    </w:p>
    <w:p w14:paraId="42232001" w14:textId="77777777" w:rsidR="00C53E8B" w:rsidRDefault="00C53E8B" w:rsidP="00FA17DA">
      <w:pPr>
        <w:jc w:val="both"/>
        <w:rPr>
          <w:sz w:val="24"/>
          <w:szCs w:val="24"/>
        </w:rPr>
      </w:pPr>
    </w:p>
    <w:p w14:paraId="6E2ACD37" w14:textId="77777777" w:rsidR="00F827B7" w:rsidRDefault="00F827B7" w:rsidP="00FA17DA">
      <w:pPr>
        <w:jc w:val="both"/>
        <w:rPr>
          <w:sz w:val="24"/>
          <w:szCs w:val="24"/>
        </w:rPr>
      </w:pPr>
    </w:p>
    <w:p w14:paraId="2585F14D" w14:textId="77777777" w:rsidR="00F827B7" w:rsidRDefault="00F827B7" w:rsidP="00FA17DA">
      <w:pPr>
        <w:jc w:val="both"/>
        <w:rPr>
          <w:sz w:val="24"/>
          <w:szCs w:val="24"/>
        </w:rPr>
      </w:pPr>
    </w:p>
    <w:p w14:paraId="563F16C4" w14:textId="77777777" w:rsidR="00C67262" w:rsidRPr="003745EE" w:rsidRDefault="00C67262">
      <w:pPr>
        <w:rPr>
          <w:sz w:val="24"/>
          <w:szCs w:val="24"/>
        </w:rPr>
      </w:pPr>
    </w:p>
    <w:p w14:paraId="3271B74A" w14:textId="4D593D7C" w:rsidR="003745EE" w:rsidRPr="003745EE" w:rsidRDefault="003745EE" w:rsidP="003745EE">
      <w:pPr>
        <w:pStyle w:val="BodyText"/>
        <w:ind w:left="426" w:right="283" w:hanging="426"/>
        <w:jc w:val="both"/>
        <w:rPr>
          <w:sz w:val="24"/>
          <w:szCs w:val="24"/>
        </w:rPr>
      </w:pPr>
      <w:r w:rsidRPr="00C67262">
        <w:rPr>
          <w:b/>
          <w:bCs/>
          <w:color w:val="000000" w:themeColor="text1"/>
          <w:sz w:val="24"/>
          <w:szCs w:val="24"/>
        </w:rPr>
        <w:t>Q7.</w:t>
      </w:r>
      <w:r w:rsidRPr="003745EE">
        <w:rPr>
          <w:sz w:val="24"/>
          <w:szCs w:val="24"/>
        </w:rPr>
        <w:t xml:space="preserve"> AC 3.2</w:t>
      </w:r>
    </w:p>
    <w:p w14:paraId="4F915E4F" w14:textId="77777777" w:rsidR="003745EE" w:rsidRPr="003745EE" w:rsidRDefault="003745EE" w:rsidP="003745EE">
      <w:pPr>
        <w:rPr>
          <w:sz w:val="24"/>
          <w:szCs w:val="24"/>
        </w:rPr>
      </w:pPr>
    </w:p>
    <w:p w14:paraId="16DBE108" w14:textId="3F636528" w:rsidR="003745EE" w:rsidRDefault="003745EE" w:rsidP="00BB65DB">
      <w:pPr>
        <w:jc w:val="both"/>
        <w:rPr>
          <w:sz w:val="24"/>
          <w:szCs w:val="24"/>
        </w:rPr>
      </w:pPr>
      <w:r w:rsidRPr="003745EE">
        <w:rPr>
          <w:sz w:val="24"/>
          <w:szCs w:val="24"/>
        </w:rPr>
        <w:t xml:space="preserve">In a CIPD podcast </w:t>
      </w:r>
      <w:r w:rsidRPr="003745EE">
        <w:rPr>
          <w:color w:val="000000" w:themeColor="text1"/>
          <w:sz w:val="24"/>
          <w:szCs w:val="24"/>
        </w:rPr>
        <w:t xml:space="preserve">(CIPD, 2022a), it was mentioned that people professionals need to work in partnership with managers and to coach, advise and influence managers. While some of the day-to-day people management responsibilities need to be completed efficiently, with the change of businesses and evolving markets, Human Resource Management (HRM) has become a strategic activity, HR managers are both “integral” to the delivery and execution of an organisation’s long-term strategic goals as well as leading the formation of business strategies </w:t>
      </w:r>
      <w:r w:rsidRPr="00BB65DB">
        <w:rPr>
          <w:color w:val="000000" w:themeColor="text1"/>
          <w:sz w:val="24"/>
          <w:szCs w:val="24"/>
        </w:rPr>
        <w:t>(T</w:t>
      </w:r>
      <w:r w:rsidRPr="003745EE">
        <w:rPr>
          <w:sz w:val="24"/>
          <w:szCs w:val="24"/>
        </w:rPr>
        <w:t>aylor and Woodhams,  2022b, p.8). It is thus important, according to Armstrong and Taylor (2023, p.67) that HR manager Sue Young at Technivara needs to ensure that HR policies and processes are fully integrated with the business strategy.</w:t>
      </w:r>
    </w:p>
    <w:p w14:paraId="1EDF1E0E" w14:textId="77777777" w:rsidR="00C67262" w:rsidRPr="003745EE" w:rsidRDefault="00C67262" w:rsidP="00BB65DB">
      <w:pPr>
        <w:jc w:val="both"/>
        <w:rPr>
          <w:sz w:val="24"/>
          <w:szCs w:val="24"/>
        </w:rPr>
      </w:pPr>
    </w:p>
    <w:p w14:paraId="0C54ABB4" w14:textId="279C2343" w:rsidR="003745EE" w:rsidRDefault="003745EE" w:rsidP="00BB65DB">
      <w:pPr>
        <w:jc w:val="both"/>
        <w:rPr>
          <w:sz w:val="24"/>
          <w:szCs w:val="24"/>
        </w:rPr>
      </w:pPr>
      <w:r w:rsidRPr="003745EE">
        <w:rPr>
          <w:sz w:val="24"/>
          <w:szCs w:val="24"/>
        </w:rPr>
        <w:t xml:space="preserve">There are different ways people practices could add value at Technivara, for example, Sue and her team could examine employee experience and align it with business strategies. The board at Technivara is planning on expanding the business, with that, the management team need to consider how they are going to attract, hire and attain talents to meet business needs. More importantly, to build and foster organisational culture to enhance a positive employee experience at every stage of employee lifecycle so people stay long term </w:t>
      </w:r>
      <w:r w:rsidRPr="003745EE">
        <w:rPr>
          <w:color w:val="000000" w:themeColor="text1"/>
          <w:sz w:val="24"/>
          <w:szCs w:val="24"/>
        </w:rPr>
        <w:t xml:space="preserve">(CIPD, 2022a). All of which would add value by better positioning Technivara at the ever changing and increasingly competitive market through shaping a high-performance culture </w:t>
      </w:r>
      <w:r w:rsidRPr="003745EE">
        <w:rPr>
          <w:sz w:val="24"/>
          <w:szCs w:val="24"/>
        </w:rPr>
        <w:t>(Armstrong and Taylor, 2020, p.63).</w:t>
      </w:r>
    </w:p>
    <w:p w14:paraId="18913F3A" w14:textId="77777777" w:rsidR="00BB65DB" w:rsidRPr="003745EE" w:rsidRDefault="00BB65DB" w:rsidP="00BB65DB">
      <w:pPr>
        <w:jc w:val="both"/>
        <w:rPr>
          <w:color w:val="EE0000"/>
          <w:sz w:val="24"/>
          <w:szCs w:val="24"/>
        </w:rPr>
      </w:pPr>
    </w:p>
    <w:p w14:paraId="274BC9EC" w14:textId="70F161A6" w:rsidR="003745EE" w:rsidRDefault="003745EE" w:rsidP="00BB65DB">
      <w:pPr>
        <w:jc w:val="both"/>
        <w:rPr>
          <w:color w:val="EE0000"/>
          <w:sz w:val="24"/>
          <w:szCs w:val="24"/>
        </w:rPr>
      </w:pPr>
      <w:r w:rsidRPr="003745EE">
        <w:rPr>
          <w:color w:val="000000" w:themeColor="text1"/>
          <w:sz w:val="24"/>
          <w:szCs w:val="24"/>
        </w:rPr>
        <w:t xml:space="preserve">One way of measuring the impact people practice has at Technivara is through a costs-benefits analysis on employee wellbeing initiatives including health and safety considerations. Investment in wellbeing at work including physical wellbeing plays a key role in employee lifecycle (Taylor and Woodhams, 2022a, p248). Technivara is manufacturing and supplying part for various sectors, employees on production lines are </w:t>
      </w:r>
      <w:r w:rsidRPr="003745EE">
        <w:rPr>
          <w:color w:val="000000" w:themeColor="text1"/>
          <w:sz w:val="24"/>
          <w:szCs w:val="24"/>
        </w:rPr>
        <w:lastRenderedPageBreak/>
        <w:t xml:space="preserve">carrying out repetitive tasks. Technivara could explore how they can provide a good work environment including minimising stress, supplying amenities such as restaurants, sport and social clubs, as well as taking account of “ergonomic” considerations such as workstation design (Armstrong and Taylor, 2020, p.569). HR manager Sue and her team can review the organisation’s spending on health insurance premium and the employee absent costs to determine the impact and effectiveness of the practice (Taylor and Woodhams, 2022, p.136). </w:t>
      </w:r>
    </w:p>
    <w:p w14:paraId="10BB0B3D" w14:textId="77777777" w:rsidR="00C67262" w:rsidRPr="003745EE" w:rsidRDefault="00C67262" w:rsidP="00BB65DB">
      <w:pPr>
        <w:jc w:val="both"/>
        <w:rPr>
          <w:color w:val="000000" w:themeColor="text1"/>
          <w:sz w:val="24"/>
          <w:szCs w:val="24"/>
        </w:rPr>
      </w:pPr>
    </w:p>
    <w:p w14:paraId="218E18AF" w14:textId="58648315" w:rsidR="003745EE" w:rsidRDefault="003745EE" w:rsidP="00BB65DB">
      <w:pPr>
        <w:jc w:val="both"/>
        <w:rPr>
          <w:color w:val="000000" w:themeColor="text1"/>
          <w:sz w:val="24"/>
          <w:szCs w:val="24"/>
        </w:rPr>
      </w:pPr>
      <w:r w:rsidRPr="003745EE">
        <w:rPr>
          <w:color w:val="000000" w:themeColor="text1"/>
          <w:sz w:val="24"/>
          <w:szCs w:val="24"/>
        </w:rPr>
        <w:t xml:space="preserve">We can also use non-financial measures such as staff surveys. HR practitioners can benchmark employee satisfaction rate on wellbeing at the beginning of the initiative and consult with them on what employees would like to change. Surveys can be carried out quarterly to monitor progress. Surveys can be an effective analysis method to collect data. According to Taylor and Woodhams (2022, p.128), surveys are relatively simple and straightforward to administer and it’s convenient for the respondents. However, it might not provide detailed information for the topic concerned and it’s difficult to ask complex questions. It is therefore important to ensure surveys are “clear and concise”. </w:t>
      </w:r>
    </w:p>
    <w:p w14:paraId="7B4C64EC" w14:textId="77777777" w:rsidR="00514386" w:rsidRDefault="00514386" w:rsidP="00BB65DB">
      <w:pPr>
        <w:jc w:val="both"/>
        <w:rPr>
          <w:color w:val="000000" w:themeColor="text1"/>
          <w:sz w:val="24"/>
          <w:szCs w:val="24"/>
        </w:rPr>
      </w:pPr>
    </w:p>
    <w:p w14:paraId="38A25407" w14:textId="77777777" w:rsidR="00C67262" w:rsidRDefault="00C67262">
      <w:pPr>
        <w:rPr>
          <w:color w:val="000000" w:themeColor="text1"/>
          <w:sz w:val="24"/>
          <w:szCs w:val="24"/>
        </w:rPr>
      </w:pPr>
    </w:p>
    <w:p w14:paraId="39193583" w14:textId="77777777" w:rsidR="00F827B7" w:rsidRDefault="00F827B7">
      <w:pPr>
        <w:rPr>
          <w:color w:val="000000" w:themeColor="text1"/>
          <w:sz w:val="24"/>
          <w:szCs w:val="24"/>
        </w:rPr>
      </w:pPr>
    </w:p>
    <w:p w14:paraId="434E62B0" w14:textId="77777777" w:rsidR="00F827B7" w:rsidRPr="00EC0366" w:rsidRDefault="00F827B7">
      <w:pPr>
        <w:rPr>
          <w:color w:val="000000" w:themeColor="text1"/>
          <w:sz w:val="24"/>
          <w:szCs w:val="24"/>
        </w:rPr>
      </w:pPr>
    </w:p>
    <w:p w14:paraId="08334A90" w14:textId="25292B73" w:rsidR="00D31286" w:rsidRDefault="004B00D9">
      <w:pPr>
        <w:rPr>
          <w:sz w:val="24"/>
          <w:szCs w:val="24"/>
        </w:rPr>
      </w:pPr>
      <w:r w:rsidRPr="00C67262">
        <w:rPr>
          <w:b/>
          <w:bCs/>
          <w:sz w:val="24"/>
          <w:szCs w:val="24"/>
        </w:rPr>
        <w:t>Q8</w:t>
      </w:r>
      <w:r>
        <w:rPr>
          <w:sz w:val="24"/>
          <w:szCs w:val="24"/>
        </w:rPr>
        <w:t xml:space="preserve"> </w:t>
      </w:r>
      <w:r w:rsidR="00D4028D">
        <w:rPr>
          <w:sz w:val="24"/>
          <w:szCs w:val="24"/>
        </w:rPr>
        <w:t>AC 2.1</w:t>
      </w:r>
    </w:p>
    <w:p w14:paraId="11C67425" w14:textId="0099005A" w:rsidR="00D4028D" w:rsidRDefault="00ED77F2">
      <w:pPr>
        <w:rPr>
          <w:sz w:val="24"/>
          <w:szCs w:val="24"/>
        </w:rPr>
      </w:pPr>
      <w:r>
        <w:rPr>
          <w:sz w:val="24"/>
          <w:szCs w:val="24"/>
        </w:rPr>
        <w:object w:dxaOrig="1508" w:dyaOrig="984" w14:anchorId="08AF2BD4">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_x0000_i1025" type="#_x0000_t75" style="width:75.5pt;height:49pt" o:ole="">
            <v:imagedata r:id="rId7" o:title=""/>
          </v:shape>
          <o:OLEObject Type="Embed" ProgID="Excel.Sheet.12" ShapeID="_x0000_i1025" DrawAspect="Icon" ObjectID="_1831377926" r:id="rId8"/>
        </w:object>
      </w:r>
    </w:p>
    <w:p w14:paraId="2B9519F1" w14:textId="699D35A3" w:rsidR="00FC2C81" w:rsidRPr="003745EE" w:rsidRDefault="00FC2C81" w:rsidP="00552DC8">
      <w:pPr>
        <w:jc w:val="center"/>
        <w:rPr>
          <w:sz w:val="24"/>
          <w:szCs w:val="24"/>
        </w:rPr>
      </w:pPr>
      <w:r w:rsidRPr="00FC2C81">
        <w:rPr>
          <w:noProof/>
        </w:rPr>
        <w:drawing>
          <wp:inline distT="0" distB="0" distL="0" distR="0" wp14:anchorId="11C0CB47" wp14:editId="670283F2">
            <wp:extent cx="4329455" cy="2851150"/>
            <wp:effectExtent l="0" t="0" r="0" b="6350"/>
            <wp:docPr id="1699405485"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1"/>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4356087" cy="2868689"/>
                    </a:xfrm>
                    <a:prstGeom prst="rect">
                      <a:avLst/>
                    </a:prstGeom>
                    <a:noFill/>
                    <a:ln>
                      <a:noFill/>
                    </a:ln>
                  </pic:spPr>
                </pic:pic>
              </a:graphicData>
            </a:graphic>
          </wp:inline>
        </w:drawing>
      </w:r>
    </w:p>
    <w:p w14:paraId="124AF257" w14:textId="77777777" w:rsidR="001D36B8" w:rsidRPr="003745EE" w:rsidRDefault="001D36B8">
      <w:pPr>
        <w:rPr>
          <w:sz w:val="24"/>
          <w:szCs w:val="24"/>
        </w:rPr>
      </w:pPr>
    </w:p>
    <w:p w14:paraId="345283AF" w14:textId="5A075F71" w:rsidR="00F626AC" w:rsidRDefault="00F626AC"/>
    <w:p w14:paraId="0D869D00" w14:textId="77777777" w:rsidR="0078321A" w:rsidRDefault="0078321A">
      <w:pPr>
        <w:rPr>
          <w:b/>
          <w:bCs/>
        </w:rPr>
      </w:pPr>
    </w:p>
    <w:p w14:paraId="7527A325" w14:textId="77777777" w:rsidR="0078321A" w:rsidRDefault="0078321A">
      <w:pPr>
        <w:rPr>
          <w:b/>
          <w:bCs/>
        </w:rPr>
      </w:pPr>
    </w:p>
    <w:p w14:paraId="54663C84" w14:textId="77777777" w:rsidR="0078321A" w:rsidRDefault="0078321A">
      <w:pPr>
        <w:rPr>
          <w:b/>
          <w:bCs/>
        </w:rPr>
      </w:pPr>
    </w:p>
    <w:p w14:paraId="463872A8" w14:textId="77777777" w:rsidR="0078321A" w:rsidRDefault="0078321A">
      <w:pPr>
        <w:rPr>
          <w:b/>
          <w:bCs/>
        </w:rPr>
      </w:pPr>
    </w:p>
    <w:p w14:paraId="04484D16" w14:textId="53A04308" w:rsidR="005419C8" w:rsidRDefault="005419C8">
      <w:r w:rsidRPr="00C67262">
        <w:rPr>
          <w:b/>
          <w:bCs/>
        </w:rPr>
        <w:lastRenderedPageBreak/>
        <w:t xml:space="preserve">Q9 </w:t>
      </w:r>
      <w:r>
        <w:t>AC</w:t>
      </w:r>
      <w:r w:rsidR="0054703E">
        <w:t xml:space="preserve"> 2.2 </w:t>
      </w:r>
    </w:p>
    <w:p w14:paraId="4755DC8A" w14:textId="51533307" w:rsidR="00AC7CC2" w:rsidRDefault="00AC7CC2"/>
    <w:p w14:paraId="29309B5B" w14:textId="77777777" w:rsidR="0054703E" w:rsidRDefault="0054703E"/>
    <w:p w14:paraId="3C5CBB71" w14:textId="0A309CB2" w:rsidR="0054703E" w:rsidRDefault="00387CCC" w:rsidP="00387CCC">
      <w:pPr>
        <w:jc w:val="center"/>
      </w:pPr>
      <w:r>
        <w:t>Clustered Column</w:t>
      </w:r>
    </w:p>
    <w:p w14:paraId="6B7648A6" w14:textId="77777777" w:rsidR="009A4835" w:rsidRDefault="009A4835" w:rsidP="00387CCC">
      <w:pPr>
        <w:jc w:val="center"/>
      </w:pPr>
    </w:p>
    <w:p w14:paraId="2EF763B3" w14:textId="4F461B02" w:rsidR="003D018D" w:rsidRDefault="009A4835" w:rsidP="009A4835">
      <w:pPr>
        <w:jc w:val="center"/>
      </w:pPr>
      <w:r>
        <w:rPr>
          <w:noProof/>
          <w14:ligatures w14:val="standardContextual"/>
        </w:rPr>
        <w:drawing>
          <wp:inline distT="0" distB="0" distL="0" distR="0" wp14:anchorId="4F86EE99" wp14:editId="0F9326A9">
            <wp:extent cx="4737100" cy="3136900"/>
            <wp:effectExtent l="0" t="0" r="6350" b="6350"/>
            <wp:docPr id="1002111806" name="Chart 1">
              <a:extLst xmlns:a="http://schemas.openxmlformats.org/drawingml/2006/main">
                <a:ext uri="{FF2B5EF4-FFF2-40B4-BE49-F238E27FC236}">
                  <a16:creationId xmlns:a16="http://schemas.microsoft.com/office/drawing/2014/main" id="{6FE67736-6285-1000-8BB7-2B0E1DB2F47F}"/>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0"/>
              </a:graphicData>
            </a:graphic>
          </wp:inline>
        </w:drawing>
      </w:r>
    </w:p>
    <w:p w14:paraId="1C7BB37C" w14:textId="77777777" w:rsidR="004E75C3" w:rsidRDefault="004E75C3" w:rsidP="00F230ED"/>
    <w:p w14:paraId="578018D5" w14:textId="77777777" w:rsidR="004E75C3" w:rsidRDefault="004E75C3" w:rsidP="004423CC">
      <w:pPr>
        <w:jc w:val="center"/>
      </w:pPr>
    </w:p>
    <w:p w14:paraId="5255B678" w14:textId="684592A5" w:rsidR="004423CC" w:rsidRDefault="00562CAF" w:rsidP="004423CC">
      <w:pPr>
        <w:jc w:val="center"/>
      </w:pPr>
      <w:r>
        <w:t>Stacked</w:t>
      </w:r>
      <w:r w:rsidR="002F4697">
        <w:t xml:space="preserve"> Bar </w:t>
      </w:r>
    </w:p>
    <w:p w14:paraId="63EC8753" w14:textId="77777777" w:rsidR="00552DC8" w:rsidRDefault="00552DC8" w:rsidP="004423CC">
      <w:pPr>
        <w:jc w:val="center"/>
      </w:pPr>
    </w:p>
    <w:p w14:paraId="63F7594E" w14:textId="4703187A" w:rsidR="002F4697" w:rsidRDefault="004E75C3" w:rsidP="004423CC">
      <w:pPr>
        <w:jc w:val="center"/>
      </w:pPr>
      <w:r>
        <w:rPr>
          <w:noProof/>
          <w14:ligatures w14:val="standardContextual"/>
        </w:rPr>
        <w:drawing>
          <wp:inline distT="0" distB="0" distL="0" distR="0" wp14:anchorId="5CCED5D0" wp14:editId="279C1C1E">
            <wp:extent cx="4787900" cy="3384550"/>
            <wp:effectExtent l="0" t="0" r="12700" b="6350"/>
            <wp:docPr id="337161239" name="Chart 1">
              <a:extLst xmlns:a="http://schemas.openxmlformats.org/drawingml/2006/main">
                <a:ext uri="{FF2B5EF4-FFF2-40B4-BE49-F238E27FC236}">
                  <a16:creationId xmlns:a16="http://schemas.microsoft.com/office/drawing/2014/main" id="{D26249DA-1CD9-44B5-30DF-A1A7CB599079}"/>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1"/>
              </a:graphicData>
            </a:graphic>
          </wp:inline>
        </w:drawing>
      </w:r>
    </w:p>
    <w:p w14:paraId="3F5C74B7" w14:textId="77777777" w:rsidR="004423CC" w:rsidRDefault="004423CC" w:rsidP="00D264C5"/>
    <w:p w14:paraId="25DC938D" w14:textId="77777777" w:rsidR="002F4697" w:rsidRDefault="002F4697" w:rsidP="00D264C5"/>
    <w:p w14:paraId="05033EA2" w14:textId="25893D72" w:rsidR="00552DC8" w:rsidRDefault="00BB30A9" w:rsidP="002F4697">
      <w:pPr>
        <w:jc w:val="center"/>
      </w:pPr>
      <w:r>
        <w:t>Line Graph</w:t>
      </w:r>
    </w:p>
    <w:p w14:paraId="262CF702" w14:textId="63755C1A" w:rsidR="00372987" w:rsidRDefault="00372987" w:rsidP="002F4697">
      <w:pPr>
        <w:jc w:val="center"/>
      </w:pPr>
    </w:p>
    <w:p w14:paraId="09A06E7C" w14:textId="77777777" w:rsidR="00825CCE" w:rsidRDefault="00825CCE" w:rsidP="002F4697">
      <w:pPr>
        <w:jc w:val="center"/>
      </w:pPr>
    </w:p>
    <w:p w14:paraId="2B7FF62F" w14:textId="131982C4" w:rsidR="00825CCE" w:rsidRDefault="006D2507" w:rsidP="002F4697">
      <w:pPr>
        <w:jc w:val="center"/>
      </w:pPr>
      <w:r>
        <w:rPr>
          <w:noProof/>
          <w14:ligatures w14:val="standardContextual"/>
        </w:rPr>
        <w:drawing>
          <wp:inline distT="0" distB="0" distL="0" distR="0" wp14:anchorId="54BA5B24" wp14:editId="756141AA">
            <wp:extent cx="5943600" cy="2959100"/>
            <wp:effectExtent l="0" t="0" r="0" b="12700"/>
            <wp:docPr id="1336329866" name="Chart 1">
              <a:extLst xmlns:a="http://schemas.openxmlformats.org/drawingml/2006/main">
                <a:ext uri="{FF2B5EF4-FFF2-40B4-BE49-F238E27FC236}">
                  <a16:creationId xmlns:a16="http://schemas.microsoft.com/office/drawing/2014/main" id="{3C00B81F-7B40-BFAB-8FFA-F28EEADEAD09}"/>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2"/>
              </a:graphicData>
            </a:graphic>
          </wp:inline>
        </w:drawing>
      </w:r>
    </w:p>
    <w:p w14:paraId="3B4A63FA" w14:textId="4D84869F" w:rsidR="0007543F" w:rsidRDefault="0007543F" w:rsidP="002F4697">
      <w:pPr>
        <w:jc w:val="center"/>
      </w:pPr>
    </w:p>
    <w:p w14:paraId="484221C9" w14:textId="4D367A14" w:rsidR="0007543F" w:rsidRDefault="0007543F" w:rsidP="002F4697">
      <w:pPr>
        <w:jc w:val="center"/>
      </w:pPr>
    </w:p>
    <w:p w14:paraId="33B1CAE5" w14:textId="77777777" w:rsidR="00552DC8" w:rsidRDefault="00552DC8" w:rsidP="002F4697">
      <w:pPr>
        <w:jc w:val="center"/>
      </w:pPr>
    </w:p>
    <w:p w14:paraId="4260761C" w14:textId="77777777" w:rsidR="00C67262" w:rsidRDefault="00C67262" w:rsidP="000237F0"/>
    <w:p w14:paraId="543AE548" w14:textId="77777777" w:rsidR="00C67262" w:rsidRDefault="00C67262" w:rsidP="000237F0"/>
    <w:p w14:paraId="688811EE" w14:textId="099FD855" w:rsidR="00552DC8" w:rsidRDefault="00552DC8" w:rsidP="000237F0">
      <w:r w:rsidRPr="00C67262">
        <w:rPr>
          <w:b/>
          <w:bCs/>
        </w:rPr>
        <w:t>Q10</w:t>
      </w:r>
      <w:r>
        <w:t xml:space="preserve"> AC</w:t>
      </w:r>
      <w:r w:rsidR="000237F0">
        <w:t xml:space="preserve"> 2.3</w:t>
      </w:r>
    </w:p>
    <w:p w14:paraId="68226C94" w14:textId="77777777" w:rsidR="00552DC8" w:rsidRDefault="00552DC8" w:rsidP="00EF67AC"/>
    <w:p w14:paraId="696F8001" w14:textId="77777777" w:rsidR="00EF67AC" w:rsidRPr="00F230ED" w:rsidRDefault="00EF67AC" w:rsidP="00EF67AC">
      <w:pPr>
        <w:rPr>
          <w:sz w:val="24"/>
          <w:szCs w:val="24"/>
        </w:rPr>
      </w:pPr>
      <w:r w:rsidRPr="00F230ED">
        <w:rPr>
          <w:sz w:val="24"/>
          <w:szCs w:val="24"/>
        </w:rPr>
        <w:t>Recently, 42 employees from Technivara attended a learning and development activity; after analysing the evaluation feedback from participants, we identified the following trends and themes:</w:t>
      </w:r>
    </w:p>
    <w:p w14:paraId="758E96FA" w14:textId="4D046996" w:rsidR="00EF67AC" w:rsidRPr="00F230ED" w:rsidRDefault="00EF67AC" w:rsidP="00EF67AC">
      <w:pPr>
        <w:pStyle w:val="ListParagraph"/>
        <w:widowControl/>
        <w:numPr>
          <w:ilvl w:val="0"/>
          <w:numId w:val="5"/>
        </w:numPr>
        <w:autoSpaceDE/>
        <w:autoSpaceDN/>
        <w:spacing w:after="160" w:line="278" w:lineRule="auto"/>
        <w:rPr>
          <w:sz w:val="24"/>
          <w:szCs w:val="24"/>
        </w:rPr>
      </w:pPr>
      <w:r w:rsidRPr="00F230ED">
        <w:rPr>
          <w:sz w:val="24"/>
          <w:szCs w:val="24"/>
        </w:rPr>
        <w:t xml:space="preserve">14 per cent of the participants thought the learning was linked to their performance target, only 14 per cent of the participants were able to transfer their learning by applying the new knowledge, skills and abilities (KSAs) in their working role </w:t>
      </w:r>
      <w:r w:rsidRPr="00F230ED">
        <w:rPr>
          <w:color w:val="000000" w:themeColor="text1"/>
          <w:sz w:val="24"/>
          <w:szCs w:val="24"/>
        </w:rPr>
        <w:t xml:space="preserve">(CIPD, 2022b). </w:t>
      </w:r>
    </w:p>
    <w:p w14:paraId="7A42F53F" w14:textId="77777777" w:rsidR="00EF67AC" w:rsidRPr="00F230ED" w:rsidRDefault="00EF67AC" w:rsidP="00EF67AC">
      <w:pPr>
        <w:pStyle w:val="ListParagraph"/>
        <w:ind w:left="360"/>
        <w:rPr>
          <w:sz w:val="24"/>
          <w:szCs w:val="24"/>
        </w:rPr>
      </w:pPr>
    </w:p>
    <w:p w14:paraId="75C7589C" w14:textId="77777777" w:rsidR="00EF67AC" w:rsidRPr="00F230ED" w:rsidRDefault="00EF67AC" w:rsidP="00EF67AC">
      <w:pPr>
        <w:pStyle w:val="ListParagraph"/>
        <w:widowControl/>
        <w:numPr>
          <w:ilvl w:val="0"/>
          <w:numId w:val="5"/>
        </w:numPr>
        <w:autoSpaceDE/>
        <w:autoSpaceDN/>
        <w:spacing w:after="160" w:line="278" w:lineRule="auto"/>
        <w:rPr>
          <w:sz w:val="24"/>
          <w:szCs w:val="24"/>
        </w:rPr>
      </w:pPr>
      <w:r w:rsidRPr="00F230ED">
        <w:rPr>
          <w:sz w:val="24"/>
          <w:szCs w:val="24"/>
        </w:rPr>
        <w:t xml:space="preserve">24 per cent of the participants thought that their learning preferences were considered, with 5 per cent of the participants able to engage in the training having resulted in only 12 per cent of the participants meeting their desired learning outcome. </w:t>
      </w:r>
    </w:p>
    <w:p w14:paraId="7B9F5A12" w14:textId="1539C527" w:rsidR="00EF67AC" w:rsidRPr="00F230ED" w:rsidRDefault="00EF67AC" w:rsidP="00EF67AC">
      <w:pPr>
        <w:rPr>
          <w:color w:val="000000" w:themeColor="text1"/>
          <w:sz w:val="24"/>
          <w:szCs w:val="24"/>
        </w:rPr>
      </w:pPr>
      <w:r w:rsidRPr="00F230ED">
        <w:rPr>
          <w:color w:val="000000" w:themeColor="text1"/>
          <w:sz w:val="24"/>
          <w:szCs w:val="24"/>
        </w:rPr>
        <w:t>From the findings we can see very few participants considered the learning was linked to their performance target which resulted in a low rate of learning transfer.  Learning and development (L&amp;D) activities aim to provide organisations with the right people to achieve their goals</w:t>
      </w:r>
      <w:r w:rsidR="004315DB" w:rsidRPr="00F230ED">
        <w:rPr>
          <w:color w:val="000000" w:themeColor="text1"/>
          <w:sz w:val="24"/>
          <w:szCs w:val="24"/>
        </w:rPr>
        <w:t xml:space="preserve"> </w:t>
      </w:r>
      <w:r w:rsidRPr="00F230ED">
        <w:rPr>
          <w:color w:val="000000" w:themeColor="text1"/>
          <w:sz w:val="24"/>
          <w:szCs w:val="24"/>
        </w:rPr>
        <w:t>(Armstrong and Taylor, 2023, p.319).</w:t>
      </w:r>
      <w:r w:rsidRPr="00F230ED">
        <w:rPr>
          <w:color w:val="EE0000"/>
          <w:sz w:val="24"/>
          <w:szCs w:val="24"/>
        </w:rPr>
        <w:t xml:space="preserve"> </w:t>
      </w:r>
      <w:r w:rsidRPr="00F230ED">
        <w:rPr>
          <w:color w:val="000000" w:themeColor="text1"/>
          <w:sz w:val="24"/>
          <w:szCs w:val="24"/>
        </w:rPr>
        <w:t xml:space="preserve">CIPD (2025a) asserts that L&amp;D can only be effective if it is integrated and aligned to the wider strategic goals and overall directions. This should form the basis for organisations to identify the </w:t>
      </w:r>
      <w:proofErr w:type="gramStart"/>
      <w:r w:rsidR="004315DB" w:rsidRPr="00F230ED">
        <w:rPr>
          <w:color w:val="000000" w:themeColor="text1"/>
          <w:sz w:val="24"/>
          <w:szCs w:val="24"/>
        </w:rPr>
        <w:t>knowledge</w:t>
      </w:r>
      <w:proofErr w:type="gramEnd"/>
      <w:r w:rsidR="004315DB" w:rsidRPr="00F230ED">
        <w:rPr>
          <w:color w:val="000000" w:themeColor="text1"/>
          <w:sz w:val="24"/>
          <w:szCs w:val="24"/>
        </w:rPr>
        <w:t xml:space="preserve"> </w:t>
      </w:r>
      <w:r w:rsidRPr="00F230ED">
        <w:rPr>
          <w:color w:val="000000" w:themeColor="text1"/>
          <w:sz w:val="24"/>
          <w:szCs w:val="24"/>
        </w:rPr>
        <w:lastRenderedPageBreak/>
        <w:t xml:space="preserve">and skills employees need to meet their demands. </w:t>
      </w:r>
    </w:p>
    <w:p w14:paraId="12531D9C" w14:textId="77777777" w:rsidR="004315DB" w:rsidRPr="00F230ED" w:rsidRDefault="004315DB" w:rsidP="00EF67AC">
      <w:pPr>
        <w:rPr>
          <w:color w:val="000000" w:themeColor="text1"/>
          <w:sz w:val="24"/>
          <w:szCs w:val="24"/>
        </w:rPr>
      </w:pPr>
    </w:p>
    <w:p w14:paraId="2B4F590E" w14:textId="5828F51B" w:rsidR="00EF67AC" w:rsidRPr="00F230ED" w:rsidRDefault="00EF67AC" w:rsidP="00EF67AC">
      <w:pPr>
        <w:rPr>
          <w:color w:val="000000" w:themeColor="text1"/>
          <w:sz w:val="24"/>
          <w:szCs w:val="24"/>
        </w:rPr>
      </w:pPr>
      <w:r w:rsidRPr="00F230ED">
        <w:rPr>
          <w:color w:val="000000" w:themeColor="text1"/>
          <w:sz w:val="24"/>
          <w:szCs w:val="24"/>
        </w:rPr>
        <w:t xml:space="preserve">Armstrong and Taylor (2023, p.344) </w:t>
      </w:r>
      <w:proofErr w:type="gramStart"/>
      <w:r w:rsidRPr="00F230ED">
        <w:rPr>
          <w:color w:val="000000" w:themeColor="text1"/>
          <w:sz w:val="24"/>
          <w:szCs w:val="24"/>
        </w:rPr>
        <w:t>suggests</w:t>
      </w:r>
      <w:proofErr w:type="gramEnd"/>
      <w:r w:rsidRPr="00F230ED">
        <w:rPr>
          <w:color w:val="000000" w:themeColor="text1"/>
          <w:sz w:val="24"/>
          <w:szCs w:val="24"/>
        </w:rPr>
        <w:t xml:space="preserve"> that we should analyse learning needs at organisaltioanl, group and individual level to identify what people know and can do and what they should know and do, so learning can fill the gaps to enable organisations to reach their strategic business goals. LNA should happen at three levels. Johnson (2017) explains the process should be the senior leadership “cascade” down the core needs which align with the overall business strategy. Middle management in different functions should work collaboratively to </w:t>
      </w:r>
      <w:proofErr w:type="gramStart"/>
      <w:r w:rsidRPr="00F230ED">
        <w:rPr>
          <w:color w:val="000000" w:themeColor="text1"/>
          <w:sz w:val="24"/>
          <w:szCs w:val="24"/>
        </w:rPr>
        <w:t>reflected back</w:t>
      </w:r>
      <w:proofErr w:type="gramEnd"/>
      <w:r w:rsidRPr="00F230ED">
        <w:rPr>
          <w:color w:val="000000" w:themeColor="text1"/>
          <w:sz w:val="24"/>
          <w:szCs w:val="24"/>
        </w:rPr>
        <w:t xml:space="preserve"> up. Cross-functional collaboration with stakeholders is critical for successful deployment of an L&amp;D strategy (CIPD,2025a). </w:t>
      </w:r>
    </w:p>
    <w:p w14:paraId="1A5110A0" w14:textId="77777777" w:rsidR="006E0608" w:rsidRPr="00F230ED" w:rsidRDefault="006E0608" w:rsidP="00EF67AC">
      <w:pPr>
        <w:rPr>
          <w:color w:val="000000" w:themeColor="text1"/>
          <w:sz w:val="24"/>
          <w:szCs w:val="24"/>
        </w:rPr>
      </w:pPr>
    </w:p>
    <w:p w14:paraId="1E1832F3" w14:textId="7DADD5C4" w:rsidR="00EF67AC" w:rsidRPr="00F230ED" w:rsidRDefault="00EF67AC" w:rsidP="00EF67AC">
      <w:pPr>
        <w:rPr>
          <w:sz w:val="24"/>
          <w:szCs w:val="24"/>
        </w:rPr>
      </w:pPr>
      <w:r w:rsidRPr="00F230ED">
        <w:rPr>
          <w:color w:val="000000" w:themeColor="text1"/>
          <w:sz w:val="24"/>
          <w:szCs w:val="24"/>
        </w:rPr>
        <w:t xml:space="preserve">It is also obvious in the findings that </w:t>
      </w:r>
      <w:proofErr w:type="gramStart"/>
      <w:r w:rsidRPr="00F230ED">
        <w:rPr>
          <w:color w:val="000000" w:themeColor="text1"/>
          <w:sz w:val="24"/>
          <w:szCs w:val="24"/>
        </w:rPr>
        <w:t>the majority of</w:t>
      </w:r>
      <w:proofErr w:type="gramEnd"/>
      <w:r w:rsidRPr="00F230ED">
        <w:rPr>
          <w:color w:val="000000" w:themeColor="text1"/>
          <w:sz w:val="24"/>
          <w:szCs w:val="24"/>
        </w:rPr>
        <w:t xml:space="preserve"> the participants thought their learning preferences were not considered, this has impacted on the engagement rate of the learning experience and resulted in only one fifth of the participants met their individual learning outcomes. Waite et al. (2021, p.383) </w:t>
      </w:r>
      <w:r w:rsidRPr="00F230ED">
        <w:rPr>
          <w:sz w:val="24"/>
          <w:szCs w:val="24"/>
        </w:rPr>
        <w:t xml:space="preserve">states that learning is a “complex process”. L&amp;D professionals need to understand how people learn, consider individuals’ learning style and the learning curve. When designing L&amp;D activities, </w:t>
      </w:r>
      <w:r w:rsidRPr="00F230ED">
        <w:rPr>
          <w:color w:val="000000" w:themeColor="text1"/>
          <w:sz w:val="24"/>
          <w:szCs w:val="24"/>
        </w:rPr>
        <w:t xml:space="preserve">CIPD (2025a) argues the necessity of gaining insight into adult learning </w:t>
      </w:r>
      <w:proofErr w:type="gramStart"/>
      <w:r w:rsidRPr="00F230ED">
        <w:rPr>
          <w:color w:val="000000" w:themeColor="text1"/>
          <w:sz w:val="24"/>
          <w:szCs w:val="24"/>
        </w:rPr>
        <w:t>theory,  incorporating</w:t>
      </w:r>
      <w:proofErr w:type="gramEnd"/>
      <w:r w:rsidRPr="00F230ED">
        <w:rPr>
          <w:color w:val="000000" w:themeColor="text1"/>
          <w:sz w:val="24"/>
          <w:szCs w:val="24"/>
        </w:rPr>
        <w:t xml:space="preserve"> a variety of methods to suit the needs of different learning styles. For example, apart from using standard PowerPoint slides in training, Technivara could also consider videos, discussions and hands-on exercises to enhance learning. </w:t>
      </w:r>
    </w:p>
    <w:p w14:paraId="216744FC" w14:textId="77777777" w:rsidR="00EF67AC" w:rsidRPr="00F230ED" w:rsidRDefault="00EF67AC" w:rsidP="00EF67AC">
      <w:pPr>
        <w:rPr>
          <w:b/>
          <w:bCs/>
          <w:sz w:val="24"/>
          <w:szCs w:val="24"/>
          <w:u w:val="single"/>
        </w:rPr>
      </w:pPr>
    </w:p>
    <w:p w14:paraId="11CE2D93" w14:textId="77777777" w:rsidR="00EF67AC" w:rsidRPr="00F230ED" w:rsidRDefault="00EF67AC" w:rsidP="00EF67AC">
      <w:pPr>
        <w:rPr>
          <w:color w:val="000000" w:themeColor="text1"/>
          <w:sz w:val="24"/>
          <w:szCs w:val="24"/>
          <w:u w:val="single"/>
        </w:rPr>
      </w:pPr>
      <w:r w:rsidRPr="00F230ED">
        <w:rPr>
          <w:b/>
          <w:bCs/>
          <w:sz w:val="24"/>
          <w:szCs w:val="24"/>
          <w:u w:val="single"/>
        </w:rPr>
        <w:t>Recommendation 1</w:t>
      </w:r>
      <w:r w:rsidRPr="00F230ED">
        <w:rPr>
          <w:sz w:val="24"/>
          <w:szCs w:val="24"/>
          <w:u w:val="single"/>
        </w:rPr>
        <w:t xml:space="preserve">: To carry out a </w:t>
      </w:r>
      <w:r w:rsidRPr="00F230ED">
        <w:rPr>
          <w:color w:val="000000" w:themeColor="text1"/>
          <w:sz w:val="24"/>
          <w:szCs w:val="24"/>
          <w:u w:val="single"/>
        </w:rPr>
        <w:t>learning needs analysis (LNA) annually</w:t>
      </w:r>
    </w:p>
    <w:p w14:paraId="07F25BBC" w14:textId="77777777" w:rsidR="004315DB" w:rsidRPr="00F230ED" w:rsidRDefault="004315DB" w:rsidP="00EF67AC">
      <w:pPr>
        <w:rPr>
          <w:color w:val="000000" w:themeColor="text1"/>
          <w:sz w:val="24"/>
          <w:szCs w:val="24"/>
          <w:u w:val="single"/>
        </w:rPr>
      </w:pPr>
    </w:p>
    <w:p w14:paraId="2DB71275" w14:textId="602E4137" w:rsidR="00EF67AC" w:rsidRPr="00F230ED" w:rsidRDefault="00EF67AC" w:rsidP="00EF67AC">
      <w:pPr>
        <w:rPr>
          <w:color w:val="000000" w:themeColor="text1"/>
          <w:sz w:val="24"/>
          <w:szCs w:val="24"/>
        </w:rPr>
      </w:pPr>
      <w:r w:rsidRPr="00F230ED">
        <w:rPr>
          <w:color w:val="000000" w:themeColor="text1"/>
          <w:sz w:val="24"/>
          <w:szCs w:val="24"/>
        </w:rPr>
        <w:t>A</w:t>
      </w:r>
      <w:r w:rsidRPr="00F230ED">
        <w:rPr>
          <w:color w:val="EE0000"/>
          <w:sz w:val="24"/>
          <w:szCs w:val="24"/>
        </w:rPr>
        <w:t xml:space="preserve"> </w:t>
      </w:r>
      <w:r w:rsidRPr="00F230ED">
        <w:rPr>
          <w:color w:val="000000" w:themeColor="text1"/>
          <w:sz w:val="24"/>
          <w:szCs w:val="24"/>
        </w:rPr>
        <w:t>LNA can be carried out internally at Technivara using Learning and Development Tools Checklist recommended by CIPD (2025</w:t>
      </w:r>
      <w:r w:rsidR="00D51939" w:rsidRPr="00F230ED">
        <w:rPr>
          <w:color w:val="000000" w:themeColor="text1"/>
          <w:sz w:val="24"/>
          <w:szCs w:val="24"/>
        </w:rPr>
        <w:t>f</w:t>
      </w:r>
      <w:r w:rsidRPr="00F230ED">
        <w:rPr>
          <w:color w:val="000000" w:themeColor="text1"/>
          <w:sz w:val="24"/>
          <w:szCs w:val="24"/>
        </w:rPr>
        <w:t>), given the fact that Technivara is a medium sized organisation with limited budget and resources, CIPD (2024c) recommend the focus should be on effective collaboration with stakeholders by conducting one-to-one interviews with senior stakeholders to identify capability needs (CIPD, 2025a). Questionnaires and surveys can be used to collect data from a wider group of employees to determine learning needs. Once learning needs are identified, Technivara needs to carry out a costs and benefits analysis to assess the benefits to the business and potential return on investment. According to CIPD (2024c), Technivara could exploring sources of funding/resourcing and government support available, such as Industrial Training Levy Grant provided by The Engineering Construction Industry Training Board (ECITB, 2025).</w:t>
      </w:r>
    </w:p>
    <w:p w14:paraId="634BD2DE" w14:textId="77777777" w:rsidR="00EF67AC" w:rsidRPr="00F230ED" w:rsidRDefault="00EF67AC" w:rsidP="00EF67AC">
      <w:pPr>
        <w:rPr>
          <w:b/>
          <w:bCs/>
          <w:color w:val="000000" w:themeColor="text1"/>
          <w:sz w:val="24"/>
          <w:szCs w:val="24"/>
        </w:rPr>
      </w:pPr>
    </w:p>
    <w:p w14:paraId="6EE5699C" w14:textId="77777777" w:rsidR="00EF67AC" w:rsidRPr="00F230ED" w:rsidRDefault="00EF67AC" w:rsidP="00EF67AC">
      <w:pPr>
        <w:rPr>
          <w:b/>
          <w:bCs/>
          <w:color w:val="000000" w:themeColor="text1"/>
          <w:sz w:val="24"/>
          <w:szCs w:val="24"/>
        </w:rPr>
      </w:pPr>
      <w:r w:rsidRPr="00F230ED">
        <w:rPr>
          <w:b/>
          <w:bCs/>
          <w:color w:val="000000" w:themeColor="text1"/>
          <w:sz w:val="24"/>
          <w:szCs w:val="24"/>
        </w:rPr>
        <w:t xml:space="preserve">Benefits </w:t>
      </w:r>
    </w:p>
    <w:p w14:paraId="72117324" w14:textId="122DB807" w:rsidR="00EF67AC" w:rsidRPr="00F230ED" w:rsidRDefault="00EF67AC" w:rsidP="00EF67AC">
      <w:pPr>
        <w:rPr>
          <w:color w:val="000000" w:themeColor="text1"/>
          <w:sz w:val="24"/>
          <w:szCs w:val="24"/>
        </w:rPr>
      </w:pPr>
      <w:r w:rsidRPr="00F230ED">
        <w:rPr>
          <w:color w:val="000000" w:themeColor="text1"/>
          <w:sz w:val="24"/>
          <w:szCs w:val="24"/>
        </w:rPr>
        <w:t>Conducting LNAs would help ensure that Technivara has a capable workforce with the right skill set to meet its evolving development needs in a changing market (Beevers, Rea and Hayden, 2020, pp.76-77; CIPD, 2024c).</w:t>
      </w:r>
    </w:p>
    <w:p w14:paraId="227B1475" w14:textId="77777777" w:rsidR="00EF67AC" w:rsidRPr="00F230ED" w:rsidRDefault="00EF67AC" w:rsidP="00EF67AC">
      <w:pPr>
        <w:rPr>
          <w:b/>
          <w:bCs/>
          <w:color w:val="000000" w:themeColor="text1"/>
          <w:sz w:val="24"/>
          <w:szCs w:val="24"/>
        </w:rPr>
      </w:pPr>
    </w:p>
    <w:p w14:paraId="66CC8107" w14:textId="77777777" w:rsidR="00EF67AC" w:rsidRPr="00F230ED" w:rsidRDefault="00EF67AC" w:rsidP="00EF67AC">
      <w:pPr>
        <w:rPr>
          <w:color w:val="000000" w:themeColor="text1"/>
          <w:sz w:val="24"/>
          <w:szCs w:val="24"/>
        </w:rPr>
      </w:pPr>
      <w:r w:rsidRPr="00F230ED">
        <w:rPr>
          <w:b/>
          <w:bCs/>
          <w:color w:val="000000" w:themeColor="text1"/>
          <w:sz w:val="24"/>
          <w:szCs w:val="24"/>
        </w:rPr>
        <w:t>Risks</w:t>
      </w:r>
      <w:r w:rsidRPr="00F230ED">
        <w:rPr>
          <w:color w:val="000000" w:themeColor="text1"/>
          <w:sz w:val="24"/>
          <w:szCs w:val="24"/>
        </w:rPr>
        <w:t xml:space="preserve"> </w:t>
      </w:r>
    </w:p>
    <w:p w14:paraId="4E7ED00B" w14:textId="0B577E6C" w:rsidR="00EF67AC" w:rsidRPr="00F230ED" w:rsidRDefault="00EF67AC" w:rsidP="00EF67AC">
      <w:pPr>
        <w:rPr>
          <w:color w:val="000000" w:themeColor="text1"/>
          <w:sz w:val="24"/>
          <w:szCs w:val="24"/>
        </w:rPr>
      </w:pPr>
      <w:r w:rsidRPr="00F230ED">
        <w:rPr>
          <w:color w:val="000000" w:themeColor="text1"/>
          <w:sz w:val="24"/>
          <w:szCs w:val="24"/>
        </w:rPr>
        <w:t xml:space="preserve">A work survey conducted by CIPD (CIPD, 2021) revealed that around a third of organisations have reduced budgets for L&amp;D activities. Therefore, it is important to ensure that L&amp;D activities are effective in addressing defined learning needs. The risk of </w:t>
      </w:r>
      <w:r w:rsidRPr="00F230ED">
        <w:rPr>
          <w:color w:val="000000" w:themeColor="text1"/>
          <w:sz w:val="24"/>
          <w:szCs w:val="24"/>
        </w:rPr>
        <w:lastRenderedPageBreak/>
        <w:t>not carrying out LNAs is that Technivara may not have a workforce with the right skill set to meet its organisational goals. In addition, Technivara might spend limited budgets and resources on issues that cannot be resolved through learning and development, such as interpersonal issues (Beevers, Rea and Hayden, 2020, p. 72).</w:t>
      </w:r>
    </w:p>
    <w:p w14:paraId="7200226A" w14:textId="77777777" w:rsidR="00EF67AC" w:rsidRPr="00F230ED" w:rsidRDefault="00EF67AC" w:rsidP="00EF67AC">
      <w:pPr>
        <w:rPr>
          <w:color w:val="000000" w:themeColor="text1"/>
          <w:sz w:val="24"/>
          <w:szCs w:val="24"/>
        </w:rPr>
      </w:pPr>
    </w:p>
    <w:p w14:paraId="0A353658" w14:textId="77777777" w:rsidR="00EF67AC" w:rsidRPr="00F230ED" w:rsidRDefault="00EF67AC" w:rsidP="00EF67AC">
      <w:pPr>
        <w:rPr>
          <w:b/>
          <w:bCs/>
          <w:color w:val="000000" w:themeColor="text1"/>
          <w:sz w:val="24"/>
          <w:szCs w:val="24"/>
        </w:rPr>
      </w:pPr>
      <w:r w:rsidRPr="00F230ED">
        <w:rPr>
          <w:b/>
          <w:bCs/>
          <w:color w:val="000000" w:themeColor="text1"/>
          <w:sz w:val="24"/>
          <w:szCs w:val="24"/>
        </w:rPr>
        <w:t xml:space="preserve">Financial implications </w:t>
      </w:r>
    </w:p>
    <w:p w14:paraId="36728EEF" w14:textId="4C102193" w:rsidR="00EF67AC" w:rsidRPr="00F230ED" w:rsidRDefault="00EF67AC" w:rsidP="00EF67AC">
      <w:pPr>
        <w:rPr>
          <w:color w:val="000000" w:themeColor="text1"/>
          <w:sz w:val="24"/>
          <w:szCs w:val="24"/>
        </w:rPr>
      </w:pPr>
      <w:r w:rsidRPr="00F230ED">
        <w:rPr>
          <w:color w:val="000000" w:themeColor="text1"/>
          <w:sz w:val="24"/>
          <w:szCs w:val="24"/>
        </w:rPr>
        <w:t>While LNAs can be carried out internally, Technivara needs to take account of hidden cost of involving stakeholders in LNAs. According to Indeed (2025), average annual salary of a Manager in the United Kingdom is £45634, that’s £25.07/hour gross (UK Salary Calculator, 2025). It is estimated that 40 hours are needed for two managers from each of the 10 functions to engage in one-to-one Interviews and discussions, total cost would be £1002.80.</w:t>
      </w:r>
    </w:p>
    <w:p w14:paraId="63E22CCE" w14:textId="77777777" w:rsidR="00EF67AC" w:rsidRPr="00F230ED" w:rsidRDefault="00EF67AC" w:rsidP="00EF67AC">
      <w:pPr>
        <w:rPr>
          <w:color w:val="000000" w:themeColor="text1"/>
          <w:sz w:val="24"/>
          <w:szCs w:val="24"/>
        </w:rPr>
      </w:pPr>
    </w:p>
    <w:p w14:paraId="76DDCDB3" w14:textId="77777777" w:rsidR="00EF67AC" w:rsidRPr="00F230ED" w:rsidRDefault="00EF67AC" w:rsidP="00EF67AC">
      <w:pPr>
        <w:rPr>
          <w:color w:val="000000" w:themeColor="text1"/>
          <w:sz w:val="24"/>
          <w:szCs w:val="24"/>
          <w:u w:val="single"/>
        </w:rPr>
      </w:pPr>
      <w:r w:rsidRPr="00F230ED">
        <w:rPr>
          <w:b/>
          <w:bCs/>
          <w:sz w:val="24"/>
          <w:szCs w:val="24"/>
          <w:u w:val="single"/>
        </w:rPr>
        <w:t xml:space="preserve">Recommendation </w:t>
      </w:r>
      <w:r w:rsidRPr="00F230ED">
        <w:rPr>
          <w:color w:val="000000" w:themeColor="text1"/>
          <w:sz w:val="24"/>
          <w:szCs w:val="24"/>
          <w:u w:val="single"/>
        </w:rPr>
        <w:t>2: To provide training to managers to support learning transfers</w:t>
      </w:r>
    </w:p>
    <w:p w14:paraId="36293753" w14:textId="478BC3E2" w:rsidR="00EF67AC" w:rsidRPr="00F230ED" w:rsidRDefault="00EF67AC" w:rsidP="00EF67AC">
      <w:pPr>
        <w:rPr>
          <w:color w:val="000000" w:themeColor="text1"/>
          <w:sz w:val="24"/>
          <w:szCs w:val="24"/>
        </w:rPr>
      </w:pPr>
      <w:r w:rsidRPr="00F230ED">
        <w:rPr>
          <w:color w:val="000000" w:themeColor="text1"/>
          <w:sz w:val="24"/>
          <w:szCs w:val="24"/>
        </w:rPr>
        <w:t xml:space="preserve">Technivara to source an external provider to deliver coaching and mentoring sessions to managers, enabling them to facilitate employees in applying their learning to their </w:t>
      </w:r>
      <w:r w:rsidR="005C56B2" w:rsidRPr="00F230ED">
        <w:rPr>
          <w:color w:val="000000" w:themeColor="text1"/>
          <w:sz w:val="24"/>
          <w:szCs w:val="24"/>
        </w:rPr>
        <w:t>roles (</w:t>
      </w:r>
      <w:r w:rsidRPr="00F230ED">
        <w:rPr>
          <w:color w:val="000000" w:themeColor="text1"/>
          <w:sz w:val="24"/>
          <w:szCs w:val="24"/>
        </w:rPr>
        <w:t>Armstrong and Taylor</w:t>
      </w:r>
      <w:r w:rsidR="005C56B2" w:rsidRPr="00F230ED">
        <w:rPr>
          <w:color w:val="000000" w:themeColor="text1"/>
          <w:sz w:val="24"/>
          <w:szCs w:val="24"/>
        </w:rPr>
        <w:t xml:space="preserve">, </w:t>
      </w:r>
      <w:r w:rsidRPr="00F230ED">
        <w:rPr>
          <w:color w:val="000000" w:themeColor="text1"/>
          <w:sz w:val="24"/>
          <w:szCs w:val="24"/>
        </w:rPr>
        <w:t>2023, pp.354-355).</w:t>
      </w:r>
    </w:p>
    <w:p w14:paraId="663C492F" w14:textId="77777777" w:rsidR="00EF67AC" w:rsidRPr="00F230ED" w:rsidRDefault="00EF67AC" w:rsidP="00EF67AC">
      <w:pPr>
        <w:rPr>
          <w:color w:val="000000" w:themeColor="text1"/>
          <w:sz w:val="24"/>
          <w:szCs w:val="24"/>
        </w:rPr>
      </w:pPr>
    </w:p>
    <w:p w14:paraId="31D08EB4" w14:textId="77777777" w:rsidR="00EF67AC" w:rsidRPr="00F230ED" w:rsidRDefault="00EF67AC" w:rsidP="00EF67AC">
      <w:pPr>
        <w:rPr>
          <w:color w:val="EE0000"/>
          <w:sz w:val="24"/>
          <w:szCs w:val="24"/>
        </w:rPr>
      </w:pPr>
      <w:r w:rsidRPr="00F230ED">
        <w:rPr>
          <w:b/>
          <w:bCs/>
          <w:color w:val="000000" w:themeColor="text1"/>
          <w:sz w:val="24"/>
          <w:szCs w:val="24"/>
        </w:rPr>
        <w:t>Benefits</w:t>
      </w:r>
      <w:r w:rsidRPr="00F230ED">
        <w:rPr>
          <w:color w:val="EE0000"/>
          <w:sz w:val="24"/>
          <w:szCs w:val="24"/>
        </w:rPr>
        <w:t xml:space="preserve"> </w:t>
      </w:r>
    </w:p>
    <w:p w14:paraId="7FFBE320" w14:textId="77777777" w:rsidR="004315DB" w:rsidRPr="00F230ED" w:rsidRDefault="004315DB" w:rsidP="00EF67AC">
      <w:pPr>
        <w:rPr>
          <w:color w:val="EE0000"/>
          <w:sz w:val="24"/>
          <w:szCs w:val="24"/>
        </w:rPr>
      </w:pPr>
    </w:p>
    <w:p w14:paraId="28FF682F" w14:textId="0D5B5DC1" w:rsidR="00EF67AC" w:rsidRPr="00F230ED" w:rsidRDefault="00EF67AC" w:rsidP="00EF67AC">
      <w:pPr>
        <w:rPr>
          <w:color w:val="000000" w:themeColor="text1"/>
          <w:sz w:val="24"/>
          <w:szCs w:val="24"/>
        </w:rPr>
      </w:pPr>
      <w:r w:rsidRPr="00F230ED">
        <w:rPr>
          <w:color w:val="000000" w:themeColor="text1"/>
          <w:sz w:val="24"/>
          <w:szCs w:val="24"/>
        </w:rPr>
        <w:t xml:space="preserve">CIPD (2022b) explains when learning transfer happens, it can get leadership’s buy-in and support. It also has the potential to “open doors” to build greater recognition of how learning improves individual and business performances </w:t>
      </w:r>
      <w:r w:rsidR="005C56B2" w:rsidRPr="00F230ED">
        <w:rPr>
          <w:color w:val="000000" w:themeColor="text1"/>
          <w:sz w:val="24"/>
          <w:szCs w:val="24"/>
        </w:rPr>
        <w:t>(</w:t>
      </w:r>
      <w:r w:rsidRPr="00F230ED">
        <w:rPr>
          <w:color w:val="000000" w:themeColor="text1"/>
          <w:sz w:val="24"/>
          <w:szCs w:val="24"/>
        </w:rPr>
        <w:t>CIPD</w:t>
      </w:r>
      <w:r w:rsidR="005C56B2" w:rsidRPr="00F230ED">
        <w:rPr>
          <w:color w:val="000000" w:themeColor="text1"/>
          <w:sz w:val="24"/>
          <w:szCs w:val="24"/>
        </w:rPr>
        <w:t xml:space="preserve">, </w:t>
      </w:r>
      <w:r w:rsidRPr="00F230ED">
        <w:rPr>
          <w:color w:val="000000" w:themeColor="text1"/>
          <w:sz w:val="24"/>
          <w:szCs w:val="24"/>
        </w:rPr>
        <w:t xml:space="preserve">2014). </w:t>
      </w:r>
    </w:p>
    <w:p w14:paraId="694C8FEA" w14:textId="77777777" w:rsidR="00EF67AC" w:rsidRPr="00F230ED" w:rsidRDefault="00EF67AC" w:rsidP="00EF67AC">
      <w:pPr>
        <w:rPr>
          <w:b/>
          <w:bCs/>
          <w:color w:val="000000" w:themeColor="text1"/>
          <w:sz w:val="24"/>
          <w:szCs w:val="24"/>
        </w:rPr>
      </w:pPr>
      <w:r w:rsidRPr="00F230ED">
        <w:rPr>
          <w:b/>
          <w:bCs/>
          <w:color w:val="000000" w:themeColor="text1"/>
          <w:sz w:val="24"/>
          <w:szCs w:val="24"/>
        </w:rPr>
        <w:t>Risks</w:t>
      </w:r>
    </w:p>
    <w:p w14:paraId="3939F0BB" w14:textId="128D553D" w:rsidR="00EF67AC" w:rsidRPr="00F230ED" w:rsidRDefault="00EF67AC" w:rsidP="00EF67AC">
      <w:pPr>
        <w:rPr>
          <w:color w:val="000000" w:themeColor="text1"/>
          <w:sz w:val="24"/>
          <w:szCs w:val="24"/>
        </w:rPr>
      </w:pPr>
      <w:r w:rsidRPr="00F230ED">
        <w:rPr>
          <w:color w:val="000000" w:themeColor="text1"/>
          <w:sz w:val="24"/>
          <w:szCs w:val="24"/>
        </w:rPr>
        <w:t>If learners are not fully engaged in the whole process, L&amp;D activities would likely to be ineffective (Armstrong and Taylor, 2020, p.413). If sustainable changes are not witnessed by stakeholders, it might be difficulties to obtain organisational buy-in (CIPD, 2014).</w:t>
      </w:r>
    </w:p>
    <w:p w14:paraId="7ED4FEE9" w14:textId="77777777" w:rsidR="00EF67AC" w:rsidRPr="00F230ED" w:rsidRDefault="00EF67AC" w:rsidP="00EF67AC">
      <w:pPr>
        <w:rPr>
          <w:b/>
          <w:bCs/>
          <w:color w:val="000000" w:themeColor="text1"/>
          <w:sz w:val="24"/>
          <w:szCs w:val="24"/>
        </w:rPr>
      </w:pPr>
    </w:p>
    <w:p w14:paraId="4C442DB3" w14:textId="77777777" w:rsidR="00EF67AC" w:rsidRPr="00F230ED" w:rsidRDefault="00EF67AC" w:rsidP="00EF67AC">
      <w:pPr>
        <w:rPr>
          <w:b/>
          <w:bCs/>
          <w:color w:val="000000" w:themeColor="text1"/>
          <w:sz w:val="24"/>
          <w:szCs w:val="24"/>
        </w:rPr>
      </w:pPr>
      <w:r w:rsidRPr="00F230ED">
        <w:rPr>
          <w:b/>
          <w:bCs/>
          <w:color w:val="000000" w:themeColor="text1"/>
          <w:sz w:val="24"/>
          <w:szCs w:val="24"/>
        </w:rPr>
        <w:t xml:space="preserve">Financial implications </w:t>
      </w:r>
    </w:p>
    <w:p w14:paraId="6E9A0C02" w14:textId="6DF87B79" w:rsidR="00EF67AC" w:rsidRPr="00F230ED" w:rsidRDefault="00EF67AC" w:rsidP="00EF67AC">
      <w:pPr>
        <w:rPr>
          <w:color w:val="000000" w:themeColor="text1"/>
          <w:sz w:val="24"/>
          <w:szCs w:val="24"/>
        </w:rPr>
      </w:pPr>
      <w:r w:rsidRPr="00F230ED">
        <w:rPr>
          <w:color w:val="000000" w:themeColor="text1"/>
          <w:sz w:val="24"/>
          <w:szCs w:val="24"/>
        </w:rPr>
        <w:t xml:space="preserve">External training such as Level 7 CBIT Advanced Diploma in Leadership Coaching and Mentoring is estimated to be £450 per person (Reed, 2026). The training cost of £9000 for 20 middle management team is likely to be covered by The Engineering Construction Industry Training Board (ECITB, 2025) under Leadership, management and supervisory development category. </w:t>
      </w:r>
    </w:p>
    <w:p w14:paraId="26CB9CB8" w14:textId="77777777" w:rsidR="00EF67AC" w:rsidRPr="00F230ED" w:rsidRDefault="00EF67AC" w:rsidP="00EF67AC">
      <w:pPr>
        <w:rPr>
          <w:color w:val="000000" w:themeColor="text1"/>
          <w:sz w:val="24"/>
          <w:szCs w:val="24"/>
        </w:rPr>
      </w:pPr>
    </w:p>
    <w:p w14:paraId="6C47F936" w14:textId="77777777" w:rsidR="00EF67AC" w:rsidRPr="00F230ED" w:rsidRDefault="00EF67AC" w:rsidP="00EF67AC">
      <w:pPr>
        <w:rPr>
          <w:color w:val="000000" w:themeColor="text1"/>
          <w:sz w:val="24"/>
          <w:szCs w:val="24"/>
        </w:rPr>
      </w:pPr>
      <w:r w:rsidRPr="00F230ED">
        <w:rPr>
          <w:color w:val="000000" w:themeColor="text1"/>
          <w:sz w:val="24"/>
          <w:szCs w:val="24"/>
        </w:rPr>
        <w:t xml:space="preserve">Disclaimer </w:t>
      </w:r>
    </w:p>
    <w:p w14:paraId="20307991" w14:textId="4C69CEC0" w:rsidR="00EF67AC" w:rsidRPr="00F230ED" w:rsidRDefault="00EF67AC" w:rsidP="00EF67AC">
      <w:pPr>
        <w:rPr>
          <w:sz w:val="24"/>
          <w:szCs w:val="24"/>
        </w:rPr>
      </w:pPr>
      <w:r w:rsidRPr="00F230ED">
        <w:rPr>
          <w:sz w:val="24"/>
          <w:szCs w:val="24"/>
        </w:rPr>
        <w:t xml:space="preserve">We acknowledge the limitations of these recommendations which are made in the absence of past benchmark data at Technivara. </w:t>
      </w:r>
      <w:r w:rsidRPr="00F230ED">
        <w:rPr>
          <w:color w:val="000000" w:themeColor="text1"/>
          <w:sz w:val="24"/>
          <w:szCs w:val="24"/>
        </w:rPr>
        <w:t>Learner f</w:t>
      </w:r>
      <w:r w:rsidRPr="00F230ED">
        <w:rPr>
          <w:sz w:val="24"/>
          <w:szCs w:val="24"/>
        </w:rPr>
        <w:t xml:space="preserve">eedback alone is not sufficient to evaluate the overall effectiveness of L&amp;D activities. In the future, </w:t>
      </w:r>
      <w:r w:rsidRPr="00F230ED">
        <w:rPr>
          <w:color w:val="000000" w:themeColor="text1"/>
          <w:sz w:val="24"/>
          <w:szCs w:val="24"/>
        </w:rPr>
        <w:t xml:space="preserve">Sue and her team should move away from paper-based practices to ensure data such as pre- and post-learning can be recorded and analysed accurately </w:t>
      </w:r>
      <w:r w:rsidR="004315DB" w:rsidRPr="00F230ED">
        <w:rPr>
          <w:color w:val="000000" w:themeColor="text1"/>
          <w:sz w:val="24"/>
          <w:szCs w:val="24"/>
        </w:rPr>
        <w:t>(</w:t>
      </w:r>
      <w:r w:rsidRPr="00F230ED">
        <w:rPr>
          <w:color w:val="000000" w:themeColor="text1"/>
          <w:sz w:val="24"/>
          <w:szCs w:val="24"/>
        </w:rPr>
        <w:t>Beevers, Rea and Hayden</w:t>
      </w:r>
      <w:r w:rsidR="004315DB" w:rsidRPr="00F230ED">
        <w:rPr>
          <w:color w:val="000000" w:themeColor="text1"/>
          <w:sz w:val="24"/>
          <w:szCs w:val="24"/>
        </w:rPr>
        <w:t xml:space="preserve">, </w:t>
      </w:r>
      <w:r w:rsidRPr="00F230ED">
        <w:rPr>
          <w:color w:val="000000" w:themeColor="text1"/>
          <w:sz w:val="24"/>
          <w:szCs w:val="24"/>
        </w:rPr>
        <w:t xml:space="preserve">2020). </w:t>
      </w:r>
    </w:p>
    <w:p w14:paraId="7EB46758" w14:textId="77777777" w:rsidR="00EF67AC" w:rsidRPr="00F230ED" w:rsidRDefault="00EF67AC" w:rsidP="00EF67AC">
      <w:pPr>
        <w:rPr>
          <w:color w:val="000000" w:themeColor="text1"/>
          <w:sz w:val="24"/>
          <w:szCs w:val="24"/>
        </w:rPr>
      </w:pPr>
    </w:p>
    <w:p w14:paraId="116EF9BD" w14:textId="77777777" w:rsidR="00EF67AC" w:rsidRPr="00F230ED" w:rsidRDefault="00EF67AC" w:rsidP="00EF67AC">
      <w:pPr>
        <w:rPr>
          <w:sz w:val="24"/>
          <w:szCs w:val="24"/>
        </w:rPr>
      </w:pPr>
    </w:p>
    <w:p w14:paraId="120E2DB7" w14:textId="77777777" w:rsidR="00415F7C" w:rsidRPr="00F230ED" w:rsidRDefault="00415F7C" w:rsidP="00EF67AC">
      <w:pPr>
        <w:rPr>
          <w:sz w:val="24"/>
          <w:szCs w:val="24"/>
        </w:rPr>
      </w:pPr>
    </w:p>
    <w:p w14:paraId="24C4A029" w14:textId="77777777" w:rsidR="00415F7C" w:rsidRPr="00F230ED" w:rsidRDefault="00415F7C" w:rsidP="00EF67AC">
      <w:pPr>
        <w:rPr>
          <w:sz w:val="24"/>
          <w:szCs w:val="24"/>
        </w:rPr>
      </w:pPr>
    </w:p>
    <w:p w14:paraId="32C0FF32" w14:textId="77777777" w:rsidR="00415F7C" w:rsidRPr="00F230ED" w:rsidRDefault="00415F7C" w:rsidP="00415F7C">
      <w:pPr>
        <w:adjustRightInd w:val="0"/>
        <w:spacing w:after="240" w:line="360" w:lineRule="auto"/>
        <w:rPr>
          <w:sz w:val="24"/>
          <w:szCs w:val="24"/>
        </w:rPr>
      </w:pPr>
      <w:r w:rsidRPr="00F230ED">
        <w:rPr>
          <w:sz w:val="24"/>
          <w:szCs w:val="24"/>
        </w:rPr>
        <w:lastRenderedPageBreak/>
        <w:t>Bibliography</w:t>
      </w:r>
    </w:p>
    <w:p w14:paraId="310AE773" w14:textId="77777777" w:rsidR="00415F7C" w:rsidRPr="00F230ED" w:rsidRDefault="00415F7C" w:rsidP="00415F7C">
      <w:pPr>
        <w:adjustRightInd w:val="0"/>
        <w:spacing w:after="240" w:line="360" w:lineRule="auto"/>
        <w:rPr>
          <w:sz w:val="24"/>
          <w:szCs w:val="24"/>
        </w:rPr>
      </w:pPr>
      <w:r w:rsidRPr="00F230ED">
        <w:rPr>
          <w:sz w:val="24"/>
          <w:szCs w:val="24"/>
        </w:rPr>
        <w:t xml:space="preserve">Adair, J. (2022). </w:t>
      </w:r>
      <w:r w:rsidRPr="00F230ED">
        <w:rPr>
          <w:i/>
          <w:iCs/>
          <w:sz w:val="24"/>
          <w:szCs w:val="24"/>
        </w:rPr>
        <w:t xml:space="preserve">Decision making and problem </w:t>
      </w:r>
      <w:proofErr w:type="gramStart"/>
      <w:r w:rsidRPr="00F230ED">
        <w:rPr>
          <w:i/>
          <w:iCs/>
          <w:sz w:val="24"/>
          <w:szCs w:val="24"/>
        </w:rPr>
        <w:t>solving:</w:t>
      </w:r>
      <w:proofErr w:type="gramEnd"/>
      <w:r w:rsidRPr="00F230ED">
        <w:rPr>
          <w:i/>
          <w:iCs/>
          <w:sz w:val="24"/>
          <w:szCs w:val="24"/>
        </w:rPr>
        <w:t xml:space="preserve"> break through barriers and banish uncertainty at work</w:t>
      </w:r>
      <w:r w:rsidRPr="00F230ED">
        <w:rPr>
          <w:sz w:val="24"/>
          <w:szCs w:val="24"/>
        </w:rPr>
        <w:t>. London; New York, Ny: Kogan Page.</w:t>
      </w:r>
    </w:p>
    <w:p w14:paraId="0A5DE8CB" w14:textId="77777777" w:rsidR="00415F7C" w:rsidRPr="00F230ED" w:rsidRDefault="00415F7C" w:rsidP="00415F7C">
      <w:pPr>
        <w:adjustRightInd w:val="0"/>
        <w:spacing w:after="240" w:line="360" w:lineRule="auto"/>
        <w:rPr>
          <w:sz w:val="24"/>
          <w:szCs w:val="24"/>
        </w:rPr>
      </w:pPr>
      <w:r w:rsidRPr="00F230ED">
        <w:rPr>
          <w:sz w:val="24"/>
          <w:szCs w:val="24"/>
        </w:rPr>
        <w:t xml:space="preserve">Anderson, V. (2015). Research Methods in Human Resource Management - Investigating a Business Issue. </w:t>
      </w:r>
      <w:r w:rsidRPr="00F230ED">
        <w:rPr>
          <w:i/>
          <w:iCs/>
          <w:sz w:val="24"/>
          <w:szCs w:val="24"/>
        </w:rPr>
        <w:t>NHRD Network Journal</w:t>
      </w:r>
      <w:r w:rsidRPr="00F230ED">
        <w:rPr>
          <w:sz w:val="24"/>
          <w:szCs w:val="24"/>
        </w:rPr>
        <w:t xml:space="preserve">, [online] 8(2), pp.135–137. </w:t>
      </w:r>
      <w:proofErr w:type="spellStart"/>
      <w:r w:rsidRPr="00F230ED">
        <w:rPr>
          <w:sz w:val="24"/>
          <w:szCs w:val="24"/>
        </w:rPr>
        <w:t>doi:</w:t>
      </w:r>
      <w:hyperlink r:id="rId13" w:history="1">
        <w:r w:rsidRPr="00F230ED">
          <w:rPr>
            <w:sz w:val="24"/>
            <w:szCs w:val="24"/>
          </w:rPr>
          <w:t>https</w:t>
        </w:r>
        <w:proofErr w:type="spellEnd"/>
        <w:r w:rsidRPr="00F230ED">
          <w:rPr>
            <w:sz w:val="24"/>
            <w:szCs w:val="24"/>
          </w:rPr>
          <w:t>://doi.org/10.1177/0974173920150224</w:t>
        </w:r>
      </w:hyperlink>
      <w:r w:rsidRPr="00F230ED">
        <w:rPr>
          <w:sz w:val="24"/>
          <w:szCs w:val="24"/>
        </w:rPr>
        <w:t xml:space="preserve"> (Accessed: 28 December 2025).</w:t>
      </w:r>
    </w:p>
    <w:p w14:paraId="4FB86832" w14:textId="77777777" w:rsidR="00415F7C" w:rsidRPr="00F230ED" w:rsidRDefault="00415F7C" w:rsidP="00415F7C">
      <w:pPr>
        <w:adjustRightInd w:val="0"/>
        <w:spacing w:after="240" w:line="360" w:lineRule="auto"/>
        <w:rPr>
          <w:sz w:val="24"/>
          <w:szCs w:val="24"/>
        </w:rPr>
      </w:pPr>
      <w:r w:rsidRPr="00F230ED">
        <w:rPr>
          <w:sz w:val="24"/>
          <w:szCs w:val="24"/>
        </w:rPr>
        <w:t xml:space="preserve">Anil, A., Breckenridge, A., Humma, C., Smith, F., Baily, T. and Gasiorek, M. (2025). </w:t>
      </w:r>
      <w:r w:rsidRPr="00F230ED">
        <w:rPr>
          <w:i/>
          <w:iCs/>
          <w:sz w:val="24"/>
          <w:szCs w:val="24"/>
        </w:rPr>
        <w:t xml:space="preserve">UK Trade Policy: </w:t>
      </w:r>
      <w:proofErr w:type="gramStart"/>
      <w:r w:rsidRPr="00F230ED">
        <w:rPr>
          <w:i/>
          <w:iCs/>
          <w:sz w:val="24"/>
          <w:szCs w:val="24"/>
        </w:rPr>
        <w:t>an</w:t>
      </w:r>
      <w:proofErr w:type="gramEnd"/>
      <w:r w:rsidRPr="00F230ED">
        <w:rPr>
          <w:i/>
          <w:iCs/>
          <w:sz w:val="24"/>
          <w:szCs w:val="24"/>
        </w:rPr>
        <w:t xml:space="preserve"> Independent Review</w:t>
      </w:r>
      <w:r w:rsidRPr="00F230ED">
        <w:rPr>
          <w:sz w:val="24"/>
          <w:szCs w:val="24"/>
        </w:rPr>
        <w:t xml:space="preserve">. Available at: </w:t>
      </w:r>
      <w:hyperlink r:id="rId14" w:history="1">
        <w:r w:rsidRPr="00F230ED">
          <w:rPr>
            <w:sz w:val="24"/>
            <w:szCs w:val="24"/>
          </w:rPr>
          <w:t>https://citp.ac.uk/asset/UK-Trade-Policy-An-Independent-Review.pdf</w:t>
        </w:r>
      </w:hyperlink>
      <w:r w:rsidRPr="00F230ED">
        <w:rPr>
          <w:sz w:val="24"/>
          <w:szCs w:val="24"/>
        </w:rPr>
        <w:t xml:space="preserve"> (Accessed: 31 December 2025).</w:t>
      </w:r>
    </w:p>
    <w:p w14:paraId="708225B2" w14:textId="77777777" w:rsidR="00415F7C" w:rsidRPr="00F230ED" w:rsidRDefault="00415F7C" w:rsidP="00415F7C">
      <w:pPr>
        <w:adjustRightInd w:val="0"/>
        <w:spacing w:after="240" w:line="360" w:lineRule="auto"/>
        <w:rPr>
          <w:sz w:val="24"/>
          <w:szCs w:val="24"/>
        </w:rPr>
      </w:pPr>
      <w:r w:rsidRPr="00F230ED">
        <w:rPr>
          <w:sz w:val="24"/>
          <w:szCs w:val="24"/>
        </w:rPr>
        <w:t xml:space="preserve">Armstrong, M. and Taylor, S. (2020). </w:t>
      </w:r>
      <w:r w:rsidRPr="00F230ED">
        <w:rPr>
          <w:i/>
          <w:iCs/>
          <w:sz w:val="24"/>
          <w:szCs w:val="24"/>
        </w:rPr>
        <w:t>Armstrong’s Handbook of Human Resource Management Practice</w:t>
      </w:r>
      <w:r w:rsidRPr="00F230ED">
        <w:rPr>
          <w:sz w:val="24"/>
          <w:szCs w:val="24"/>
        </w:rPr>
        <w:t>. 15th ed. London: Kogan Page.</w:t>
      </w:r>
    </w:p>
    <w:p w14:paraId="4BED0E35" w14:textId="77777777" w:rsidR="00415F7C" w:rsidRPr="00F230ED" w:rsidRDefault="00415F7C" w:rsidP="00415F7C">
      <w:pPr>
        <w:adjustRightInd w:val="0"/>
        <w:spacing w:after="240" w:line="360" w:lineRule="auto"/>
        <w:rPr>
          <w:sz w:val="24"/>
          <w:szCs w:val="24"/>
        </w:rPr>
      </w:pPr>
      <w:r w:rsidRPr="00F230ED">
        <w:rPr>
          <w:sz w:val="24"/>
          <w:szCs w:val="24"/>
        </w:rPr>
        <w:t xml:space="preserve">Armstrong, M. and Taylor, S. (2023). </w:t>
      </w:r>
      <w:r w:rsidRPr="00F230ED">
        <w:rPr>
          <w:i/>
          <w:iCs/>
          <w:sz w:val="24"/>
          <w:szCs w:val="24"/>
        </w:rPr>
        <w:t xml:space="preserve">Armstrong’s Handbook of Human Resource Management Practice: </w:t>
      </w:r>
      <w:proofErr w:type="gramStart"/>
      <w:r w:rsidRPr="00F230ED">
        <w:rPr>
          <w:i/>
          <w:iCs/>
          <w:sz w:val="24"/>
          <w:szCs w:val="24"/>
        </w:rPr>
        <w:t>a</w:t>
      </w:r>
      <w:proofErr w:type="gramEnd"/>
      <w:r w:rsidRPr="00F230ED">
        <w:rPr>
          <w:i/>
          <w:iCs/>
          <w:sz w:val="24"/>
          <w:szCs w:val="24"/>
        </w:rPr>
        <w:t xml:space="preserve"> Guide to the Theory and Practice of People Management</w:t>
      </w:r>
      <w:r w:rsidRPr="00F230ED">
        <w:rPr>
          <w:sz w:val="24"/>
          <w:szCs w:val="24"/>
        </w:rPr>
        <w:t>. 16th ed. London: Kogan Page.</w:t>
      </w:r>
    </w:p>
    <w:p w14:paraId="6046DA7F" w14:textId="77777777" w:rsidR="00415F7C" w:rsidRPr="00F230ED" w:rsidRDefault="00415F7C" w:rsidP="00415F7C">
      <w:pPr>
        <w:adjustRightInd w:val="0"/>
        <w:spacing w:after="240" w:line="360" w:lineRule="auto"/>
        <w:rPr>
          <w:sz w:val="24"/>
          <w:szCs w:val="24"/>
        </w:rPr>
      </w:pPr>
      <w:r w:rsidRPr="00F230ED">
        <w:rPr>
          <w:sz w:val="24"/>
          <w:szCs w:val="24"/>
        </w:rPr>
        <w:t xml:space="preserve">Barends, E., Briner, R. and Rousseau, D. (2014). </w:t>
      </w:r>
      <w:r w:rsidRPr="00F230ED">
        <w:rPr>
          <w:i/>
          <w:iCs/>
          <w:sz w:val="24"/>
          <w:szCs w:val="24"/>
        </w:rPr>
        <w:t xml:space="preserve">Evidence-Based Management: </w:t>
      </w:r>
      <w:proofErr w:type="gramStart"/>
      <w:r w:rsidRPr="00F230ED">
        <w:rPr>
          <w:i/>
          <w:iCs/>
          <w:sz w:val="24"/>
          <w:szCs w:val="24"/>
        </w:rPr>
        <w:t>the</w:t>
      </w:r>
      <w:proofErr w:type="gramEnd"/>
      <w:r w:rsidRPr="00F230ED">
        <w:rPr>
          <w:i/>
          <w:iCs/>
          <w:sz w:val="24"/>
          <w:szCs w:val="24"/>
        </w:rPr>
        <w:t xml:space="preserve"> Basic Principles</w:t>
      </w:r>
      <w:r w:rsidRPr="00F230ED">
        <w:rPr>
          <w:sz w:val="24"/>
          <w:szCs w:val="24"/>
        </w:rPr>
        <w:t xml:space="preserve">. [online] </w:t>
      </w:r>
      <w:proofErr w:type="spellStart"/>
      <w:r w:rsidRPr="00F230ED">
        <w:rPr>
          <w:sz w:val="24"/>
          <w:szCs w:val="24"/>
        </w:rPr>
        <w:t>CEBMa</w:t>
      </w:r>
      <w:proofErr w:type="spellEnd"/>
      <w:r w:rsidRPr="00F230ED">
        <w:rPr>
          <w:sz w:val="24"/>
          <w:szCs w:val="24"/>
        </w:rPr>
        <w:t xml:space="preserve">. Available at: </w:t>
      </w:r>
      <w:hyperlink r:id="rId15" w:history="1">
        <w:r w:rsidRPr="00F230ED">
          <w:rPr>
            <w:sz w:val="24"/>
            <w:szCs w:val="24"/>
          </w:rPr>
          <w:t>https://cebma.org/assets/Uploads/Evidence-Based-Practice-The-Basic-Principles.pdf</w:t>
        </w:r>
      </w:hyperlink>
      <w:r w:rsidRPr="00F230ED">
        <w:rPr>
          <w:sz w:val="24"/>
          <w:szCs w:val="24"/>
        </w:rPr>
        <w:t xml:space="preserve"> (Accessed: 12 January 2026).</w:t>
      </w:r>
    </w:p>
    <w:p w14:paraId="193932C6" w14:textId="77777777" w:rsidR="00415F7C" w:rsidRPr="00F230ED" w:rsidRDefault="00415F7C" w:rsidP="00415F7C">
      <w:pPr>
        <w:adjustRightInd w:val="0"/>
        <w:spacing w:after="240" w:line="360" w:lineRule="auto"/>
        <w:rPr>
          <w:sz w:val="24"/>
          <w:szCs w:val="24"/>
        </w:rPr>
      </w:pPr>
      <w:r w:rsidRPr="00F230ED">
        <w:rPr>
          <w:sz w:val="24"/>
          <w:szCs w:val="24"/>
        </w:rPr>
        <w:t xml:space="preserve">Barends, E. and Rousseau, D. (2018). </w:t>
      </w:r>
      <w:r w:rsidRPr="00F230ED">
        <w:rPr>
          <w:i/>
          <w:iCs/>
          <w:sz w:val="24"/>
          <w:szCs w:val="24"/>
        </w:rPr>
        <w:t>Evidence-based management: How to Use Evidence to Make Better Organizational Decisions</w:t>
      </w:r>
      <w:r w:rsidRPr="00F230ED">
        <w:rPr>
          <w:sz w:val="24"/>
          <w:szCs w:val="24"/>
        </w:rPr>
        <w:t>. New York: Kogan Page Ltd R3.</w:t>
      </w:r>
    </w:p>
    <w:p w14:paraId="425D9A57" w14:textId="77777777" w:rsidR="00415F7C" w:rsidRPr="00F230ED" w:rsidRDefault="00415F7C" w:rsidP="00415F7C">
      <w:pPr>
        <w:adjustRightInd w:val="0"/>
        <w:spacing w:after="240" w:line="360" w:lineRule="auto"/>
        <w:rPr>
          <w:sz w:val="24"/>
          <w:szCs w:val="24"/>
        </w:rPr>
      </w:pPr>
      <w:r w:rsidRPr="00F230ED">
        <w:rPr>
          <w:sz w:val="24"/>
          <w:szCs w:val="24"/>
        </w:rPr>
        <w:t xml:space="preserve">Beevers, K., Rea, A. and Hayden, D. (2020). </w:t>
      </w:r>
      <w:r w:rsidRPr="00F230ED">
        <w:rPr>
          <w:i/>
          <w:iCs/>
          <w:sz w:val="24"/>
          <w:szCs w:val="24"/>
        </w:rPr>
        <w:t>Learning and development practice in the workplace</w:t>
      </w:r>
      <w:r w:rsidRPr="00F230ED">
        <w:rPr>
          <w:sz w:val="24"/>
          <w:szCs w:val="24"/>
        </w:rPr>
        <w:t>. 4th ed. London, United Kingdom; New York, Ny: Kogan Page Inc.</w:t>
      </w:r>
    </w:p>
    <w:p w14:paraId="1BF6CF3A" w14:textId="77777777" w:rsidR="00415F7C" w:rsidRPr="00F230ED" w:rsidRDefault="00415F7C" w:rsidP="00415F7C">
      <w:pPr>
        <w:adjustRightInd w:val="0"/>
        <w:spacing w:after="240" w:line="360" w:lineRule="auto"/>
        <w:rPr>
          <w:sz w:val="24"/>
          <w:szCs w:val="24"/>
        </w:rPr>
      </w:pPr>
      <w:r w:rsidRPr="00F230ED">
        <w:rPr>
          <w:sz w:val="24"/>
          <w:szCs w:val="24"/>
        </w:rPr>
        <w:t xml:space="preserve">Buchanan, D. and Huczynski, A. (2019). </w:t>
      </w:r>
      <w:r w:rsidRPr="00F230ED">
        <w:rPr>
          <w:i/>
          <w:iCs/>
          <w:sz w:val="24"/>
          <w:szCs w:val="24"/>
        </w:rPr>
        <w:t>Organisational Behaviour</w:t>
      </w:r>
      <w:r w:rsidRPr="00F230ED">
        <w:rPr>
          <w:sz w:val="24"/>
          <w:szCs w:val="24"/>
        </w:rPr>
        <w:t>. 10th ed. Harlow, United Kingdom: Pearson Education Limited.</w:t>
      </w:r>
    </w:p>
    <w:p w14:paraId="6678B2D1" w14:textId="77777777" w:rsidR="00415F7C" w:rsidRPr="00F230ED" w:rsidRDefault="00415F7C" w:rsidP="00415F7C">
      <w:pPr>
        <w:adjustRightInd w:val="0"/>
        <w:spacing w:after="240" w:line="360" w:lineRule="auto"/>
        <w:rPr>
          <w:sz w:val="24"/>
          <w:szCs w:val="24"/>
        </w:rPr>
      </w:pPr>
      <w:r w:rsidRPr="00F230ED">
        <w:rPr>
          <w:sz w:val="24"/>
          <w:szCs w:val="24"/>
        </w:rPr>
        <w:t xml:space="preserve">CIPD (2014). </w:t>
      </w:r>
      <w:r w:rsidRPr="00F230ED">
        <w:rPr>
          <w:i/>
          <w:iCs/>
          <w:sz w:val="24"/>
          <w:szCs w:val="24"/>
        </w:rPr>
        <w:t>Neuroscience in Action Applying Insight to L&amp;D Practice</w:t>
      </w:r>
      <w:r w:rsidRPr="00F230ED">
        <w:rPr>
          <w:sz w:val="24"/>
          <w:szCs w:val="24"/>
        </w:rPr>
        <w:t xml:space="preserve">. [online] </w:t>
      </w:r>
      <w:r w:rsidRPr="00F230ED">
        <w:rPr>
          <w:sz w:val="24"/>
          <w:szCs w:val="24"/>
        </w:rPr>
        <w:lastRenderedPageBreak/>
        <w:t xml:space="preserve">Available at: </w:t>
      </w:r>
      <w:hyperlink r:id="rId16" w:history="1">
        <w:r w:rsidRPr="00F230ED">
          <w:rPr>
            <w:sz w:val="24"/>
            <w:szCs w:val="24"/>
          </w:rPr>
          <w:t>https://www.cipd.org/globalassets/media/knowledge/knowledge-hub/reports/neuroscience-action_2014-applying-insight-ld-practice_tcm18-9714.pdf</w:t>
        </w:r>
      </w:hyperlink>
      <w:r w:rsidRPr="00F230ED">
        <w:rPr>
          <w:sz w:val="24"/>
          <w:szCs w:val="24"/>
        </w:rPr>
        <w:t xml:space="preserve"> (Accessed: 31 January 2026).</w:t>
      </w:r>
    </w:p>
    <w:p w14:paraId="3F70F875" w14:textId="77777777" w:rsidR="00415F7C" w:rsidRPr="00F230ED" w:rsidRDefault="00415F7C" w:rsidP="00415F7C">
      <w:pPr>
        <w:adjustRightInd w:val="0"/>
        <w:spacing w:after="240" w:line="360" w:lineRule="auto"/>
        <w:rPr>
          <w:sz w:val="24"/>
          <w:szCs w:val="24"/>
        </w:rPr>
      </w:pPr>
      <w:r w:rsidRPr="00F230ED">
        <w:rPr>
          <w:sz w:val="24"/>
          <w:szCs w:val="24"/>
        </w:rPr>
        <w:t xml:space="preserve">CIPD (2015a). </w:t>
      </w:r>
      <w:r w:rsidRPr="00F230ED">
        <w:rPr>
          <w:i/>
          <w:iCs/>
          <w:sz w:val="24"/>
          <w:szCs w:val="24"/>
        </w:rPr>
        <w:t>CIPD | A head for hiring: the behavioural science of recruitment</w:t>
      </w:r>
      <w:r w:rsidRPr="00F230ED">
        <w:rPr>
          <w:sz w:val="24"/>
          <w:szCs w:val="24"/>
        </w:rPr>
        <w:t xml:space="preserve">. [online] CIPD. Available at: </w:t>
      </w:r>
      <w:hyperlink r:id="rId17" w:history="1">
        <w:r w:rsidRPr="00F230ED">
          <w:rPr>
            <w:sz w:val="24"/>
            <w:szCs w:val="24"/>
          </w:rPr>
          <w:t>https://www.cipd.org/uk/knowledge/evidence-reviews/recruitment-science/</w:t>
        </w:r>
      </w:hyperlink>
      <w:r w:rsidRPr="00F230ED">
        <w:rPr>
          <w:sz w:val="24"/>
          <w:szCs w:val="24"/>
        </w:rPr>
        <w:t xml:space="preserve"> (Accessed: 05 January 2026).</w:t>
      </w:r>
    </w:p>
    <w:p w14:paraId="6BF875FF" w14:textId="77777777" w:rsidR="00415F7C" w:rsidRPr="00F230ED" w:rsidRDefault="00415F7C" w:rsidP="00415F7C">
      <w:pPr>
        <w:adjustRightInd w:val="0"/>
        <w:spacing w:after="240" w:line="360" w:lineRule="auto"/>
        <w:rPr>
          <w:sz w:val="24"/>
          <w:szCs w:val="24"/>
        </w:rPr>
      </w:pPr>
      <w:r w:rsidRPr="00F230ED">
        <w:rPr>
          <w:sz w:val="24"/>
          <w:szCs w:val="24"/>
        </w:rPr>
        <w:t xml:space="preserve">CIPD (2015b). </w:t>
      </w:r>
      <w:r w:rsidRPr="00F230ED">
        <w:rPr>
          <w:i/>
          <w:iCs/>
          <w:sz w:val="24"/>
          <w:szCs w:val="24"/>
        </w:rPr>
        <w:t>Ethical decision-making: Eight Perspectives on Workplace Dilemmas</w:t>
      </w:r>
      <w:r w:rsidRPr="00F230ED">
        <w:rPr>
          <w:sz w:val="24"/>
          <w:szCs w:val="24"/>
        </w:rPr>
        <w:t xml:space="preserve">. [online] CIPD. Available at: </w:t>
      </w:r>
      <w:hyperlink r:id="rId18" w:history="1">
        <w:r w:rsidRPr="00F230ED">
          <w:rPr>
            <w:sz w:val="24"/>
            <w:szCs w:val="24"/>
          </w:rPr>
          <w:t>https://www.cipd.org/globalassets/media/comms/the-people-profession/profession-map-pdfs/ethical-decision-making-2015-eight-perspectives-on-workplace-dilemmas_tcm29-9564.pdf</w:t>
        </w:r>
      </w:hyperlink>
      <w:r w:rsidRPr="00F230ED">
        <w:rPr>
          <w:sz w:val="24"/>
          <w:szCs w:val="24"/>
        </w:rPr>
        <w:t xml:space="preserve"> (Accessed: 05 January 2026).</w:t>
      </w:r>
    </w:p>
    <w:p w14:paraId="35D39B24" w14:textId="77777777" w:rsidR="00415F7C" w:rsidRPr="00F230ED" w:rsidRDefault="00415F7C" w:rsidP="00415F7C">
      <w:pPr>
        <w:adjustRightInd w:val="0"/>
        <w:spacing w:after="240" w:line="360" w:lineRule="auto"/>
        <w:rPr>
          <w:sz w:val="24"/>
          <w:szCs w:val="24"/>
        </w:rPr>
      </w:pPr>
      <w:r w:rsidRPr="00F230ED">
        <w:rPr>
          <w:sz w:val="24"/>
          <w:szCs w:val="24"/>
        </w:rPr>
        <w:t xml:space="preserve">CIPD (2015c). </w:t>
      </w:r>
      <w:r w:rsidRPr="00F230ED">
        <w:rPr>
          <w:i/>
          <w:iCs/>
          <w:sz w:val="24"/>
          <w:szCs w:val="24"/>
        </w:rPr>
        <w:t>From best to good practice HR: Developing principles for the profession</w:t>
      </w:r>
      <w:r w:rsidRPr="00F230ED">
        <w:rPr>
          <w:sz w:val="24"/>
          <w:szCs w:val="24"/>
        </w:rPr>
        <w:t xml:space="preserve">. [online] CIPD. Available at: </w:t>
      </w:r>
      <w:hyperlink r:id="rId19" w:history="1">
        <w:r w:rsidRPr="00F230ED">
          <w:rPr>
            <w:sz w:val="24"/>
            <w:szCs w:val="24"/>
          </w:rPr>
          <w:t>https://www.cipd.org/globalassets/media/comms/the-people-profession/profession-map-pdfs/pff-report-update-pffmay20_tcm29-8731.pdf</w:t>
        </w:r>
      </w:hyperlink>
      <w:r w:rsidRPr="00F230ED">
        <w:rPr>
          <w:sz w:val="24"/>
          <w:szCs w:val="24"/>
        </w:rPr>
        <w:t xml:space="preserve"> (Accessed: 18 January 2026).</w:t>
      </w:r>
    </w:p>
    <w:p w14:paraId="11F39650" w14:textId="77777777" w:rsidR="00415F7C" w:rsidRPr="00F230ED" w:rsidRDefault="00415F7C" w:rsidP="00415F7C">
      <w:pPr>
        <w:adjustRightInd w:val="0"/>
        <w:spacing w:after="240" w:line="360" w:lineRule="auto"/>
        <w:rPr>
          <w:sz w:val="24"/>
          <w:szCs w:val="24"/>
        </w:rPr>
      </w:pPr>
      <w:r w:rsidRPr="00F230ED">
        <w:rPr>
          <w:sz w:val="24"/>
          <w:szCs w:val="24"/>
        </w:rPr>
        <w:t xml:space="preserve">CIPD (2019a). </w:t>
      </w:r>
      <w:r w:rsidRPr="00F230ED">
        <w:rPr>
          <w:i/>
          <w:iCs/>
          <w:sz w:val="24"/>
          <w:szCs w:val="24"/>
        </w:rPr>
        <w:t>CIPD | Creating Ethical Workplaces | Podcast</w:t>
      </w:r>
      <w:r w:rsidRPr="00F230ED">
        <w:rPr>
          <w:sz w:val="24"/>
          <w:szCs w:val="24"/>
        </w:rPr>
        <w:t xml:space="preserve">. [online] CIPD. Available at: </w:t>
      </w:r>
      <w:hyperlink r:id="rId20" w:history="1">
        <w:r w:rsidRPr="00F230ED">
          <w:rPr>
            <w:sz w:val="24"/>
            <w:szCs w:val="24"/>
          </w:rPr>
          <w:t>https://www.cipd.org/uk/knowledge/podcasts/ethical-workplaces/</w:t>
        </w:r>
      </w:hyperlink>
      <w:r w:rsidRPr="00F230ED">
        <w:rPr>
          <w:sz w:val="24"/>
          <w:szCs w:val="24"/>
        </w:rPr>
        <w:t xml:space="preserve"> (Accessed: 19 January 2026).</w:t>
      </w:r>
    </w:p>
    <w:p w14:paraId="48DA338F" w14:textId="77777777" w:rsidR="00415F7C" w:rsidRPr="00F230ED" w:rsidRDefault="00415F7C" w:rsidP="00415F7C">
      <w:pPr>
        <w:adjustRightInd w:val="0"/>
        <w:spacing w:after="240" w:line="360" w:lineRule="auto"/>
        <w:rPr>
          <w:sz w:val="24"/>
          <w:szCs w:val="24"/>
        </w:rPr>
      </w:pPr>
      <w:r w:rsidRPr="00F230ED">
        <w:rPr>
          <w:sz w:val="24"/>
          <w:szCs w:val="24"/>
        </w:rPr>
        <w:t xml:space="preserve">CIPD (2019b). </w:t>
      </w:r>
      <w:r w:rsidRPr="00F230ED">
        <w:rPr>
          <w:i/>
          <w:iCs/>
          <w:sz w:val="24"/>
          <w:szCs w:val="24"/>
        </w:rPr>
        <w:t>EXECUTIVE SUMMARY | Talking about voice: employees’ Experiences</w:t>
      </w:r>
      <w:r w:rsidRPr="00F230ED">
        <w:rPr>
          <w:sz w:val="24"/>
          <w:szCs w:val="24"/>
        </w:rPr>
        <w:t xml:space="preserve">. [online] Available at: </w:t>
      </w:r>
      <w:hyperlink r:id="rId21" w:history="1">
        <w:r w:rsidRPr="00F230ED">
          <w:rPr>
            <w:sz w:val="24"/>
            <w:szCs w:val="24"/>
          </w:rPr>
          <w:t>https://www.cipd.org/globalassets/media/knowledge/knowledge-hub/reports/talking-about-voice_employees-experiences-summary_tcm18-54481.pdf</w:t>
        </w:r>
      </w:hyperlink>
      <w:r w:rsidRPr="00F230ED">
        <w:rPr>
          <w:sz w:val="24"/>
          <w:szCs w:val="24"/>
        </w:rPr>
        <w:t xml:space="preserve"> (Accessed: 03 January 2026).</w:t>
      </w:r>
    </w:p>
    <w:p w14:paraId="75F8CD23" w14:textId="77777777" w:rsidR="00415F7C" w:rsidRPr="00F230ED" w:rsidRDefault="00415F7C" w:rsidP="00415F7C">
      <w:pPr>
        <w:adjustRightInd w:val="0"/>
        <w:spacing w:after="240" w:line="360" w:lineRule="auto"/>
        <w:rPr>
          <w:sz w:val="24"/>
          <w:szCs w:val="24"/>
        </w:rPr>
      </w:pPr>
      <w:r w:rsidRPr="00F230ED">
        <w:rPr>
          <w:sz w:val="24"/>
          <w:szCs w:val="24"/>
        </w:rPr>
        <w:t xml:space="preserve">CIPD (2021). </w:t>
      </w:r>
      <w:r w:rsidRPr="00F230ED">
        <w:rPr>
          <w:i/>
          <w:iCs/>
          <w:sz w:val="24"/>
          <w:szCs w:val="24"/>
        </w:rPr>
        <w:t>Learning and Skills at Work Survey 2021</w:t>
      </w:r>
      <w:r w:rsidRPr="00F230ED">
        <w:rPr>
          <w:sz w:val="24"/>
          <w:szCs w:val="24"/>
        </w:rPr>
        <w:t xml:space="preserve">. [online] Available at: </w:t>
      </w:r>
      <w:hyperlink r:id="rId22" w:history="1">
        <w:r w:rsidRPr="00F230ED">
          <w:rPr>
            <w:sz w:val="24"/>
            <w:szCs w:val="24"/>
          </w:rPr>
          <w:t>https://www.cipd.org/globalassets/media/comms/news/as2learning-skills-work-report-2021-1_tcm18-95433.pdf</w:t>
        </w:r>
      </w:hyperlink>
      <w:r w:rsidRPr="00F230ED">
        <w:rPr>
          <w:sz w:val="24"/>
          <w:szCs w:val="24"/>
        </w:rPr>
        <w:t xml:space="preserve"> (Accessed: 31 January 2026).</w:t>
      </w:r>
    </w:p>
    <w:p w14:paraId="64E2AFE6" w14:textId="77777777" w:rsidR="00415F7C" w:rsidRPr="00F230ED" w:rsidRDefault="00415F7C" w:rsidP="00415F7C">
      <w:pPr>
        <w:adjustRightInd w:val="0"/>
        <w:spacing w:after="240" w:line="360" w:lineRule="auto"/>
        <w:rPr>
          <w:sz w:val="24"/>
          <w:szCs w:val="24"/>
        </w:rPr>
      </w:pPr>
      <w:r w:rsidRPr="00F230ED">
        <w:rPr>
          <w:sz w:val="24"/>
          <w:szCs w:val="24"/>
        </w:rPr>
        <w:t xml:space="preserve">CIPD (2022a). </w:t>
      </w:r>
      <w:r w:rsidRPr="00F230ED">
        <w:rPr>
          <w:i/>
          <w:iCs/>
          <w:sz w:val="24"/>
          <w:szCs w:val="24"/>
        </w:rPr>
        <w:t>CIPD | What value does HR bring to today’s organisations? | Podcast</w:t>
      </w:r>
      <w:r w:rsidRPr="00F230ED">
        <w:rPr>
          <w:sz w:val="24"/>
          <w:szCs w:val="24"/>
        </w:rPr>
        <w:t xml:space="preserve">. [online] CIPD. Available at: </w:t>
      </w:r>
      <w:hyperlink r:id="rId23" w:history="1">
        <w:r w:rsidRPr="00F230ED">
          <w:rPr>
            <w:sz w:val="24"/>
            <w:szCs w:val="24"/>
          </w:rPr>
          <w:t>https://www.cipd.org/uk/knowledge/podcasts/purpose-and-value-of-hr/</w:t>
        </w:r>
      </w:hyperlink>
      <w:r w:rsidRPr="00F230ED">
        <w:rPr>
          <w:sz w:val="24"/>
          <w:szCs w:val="24"/>
        </w:rPr>
        <w:t xml:space="preserve"> (Accessed: 25 January 2026).</w:t>
      </w:r>
    </w:p>
    <w:p w14:paraId="6782F1E1" w14:textId="77777777" w:rsidR="00415F7C" w:rsidRPr="00F230ED" w:rsidRDefault="00415F7C" w:rsidP="00415F7C">
      <w:pPr>
        <w:adjustRightInd w:val="0"/>
        <w:spacing w:after="240" w:line="360" w:lineRule="auto"/>
        <w:rPr>
          <w:sz w:val="24"/>
          <w:szCs w:val="24"/>
        </w:rPr>
      </w:pPr>
      <w:r w:rsidRPr="00F230ED">
        <w:rPr>
          <w:sz w:val="24"/>
          <w:szCs w:val="24"/>
        </w:rPr>
        <w:lastRenderedPageBreak/>
        <w:t xml:space="preserve">CIPD (2022b). </w:t>
      </w:r>
      <w:r w:rsidRPr="00F230ED">
        <w:rPr>
          <w:i/>
          <w:iCs/>
          <w:sz w:val="24"/>
          <w:szCs w:val="24"/>
        </w:rPr>
        <w:t>Evidence-based L&amp;D: measuring learning transfer | Podcast</w:t>
      </w:r>
      <w:r w:rsidRPr="00F230ED">
        <w:rPr>
          <w:sz w:val="24"/>
          <w:szCs w:val="24"/>
        </w:rPr>
        <w:t xml:space="preserve">. [online] CIPD. Available at: </w:t>
      </w:r>
      <w:hyperlink r:id="rId24" w:history="1">
        <w:r w:rsidRPr="00F230ED">
          <w:rPr>
            <w:sz w:val="24"/>
            <w:szCs w:val="24"/>
          </w:rPr>
          <w:t>https://www.cipd.org/uk/knowledge/podcasts/transfer-of-learning/</w:t>
        </w:r>
      </w:hyperlink>
      <w:r w:rsidRPr="00F230ED">
        <w:rPr>
          <w:sz w:val="24"/>
          <w:szCs w:val="24"/>
        </w:rPr>
        <w:t xml:space="preserve"> (Accessed: 31 January 2026).</w:t>
      </w:r>
    </w:p>
    <w:p w14:paraId="25863116" w14:textId="77777777" w:rsidR="00415F7C" w:rsidRPr="00F230ED" w:rsidRDefault="00415F7C" w:rsidP="00415F7C">
      <w:pPr>
        <w:adjustRightInd w:val="0"/>
        <w:spacing w:after="240" w:line="360" w:lineRule="auto"/>
        <w:rPr>
          <w:sz w:val="24"/>
          <w:szCs w:val="24"/>
        </w:rPr>
      </w:pPr>
      <w:r w:rsidRPr="00F230ED">
        <w:rPr>
          <w:sz w:val="24"/>
          <w:szCs w:val="24"/>
        </w:rPr>
        <w:t xml:space="preserve">CIPD (2022c). </w:t>
      </w:r>
      <w:r w:rsidRPr="00F230ED">
        <w:rPr>
          <w:i/>
          <w:iCs/>
          <w:sz w:val="24"/>
          <w:szCs w:val="24"/>
        </w:rPr>
        <w:t>Organisational Climate: an Evidence Review</w:t>
      </w:r>
      <w:r w:rsidRPr="00F230ED">
        <w:rPr>
          <w:sz w:val="24"/>
          <w:szCs w:val="24"/>
        </w:rPr>
        <w:t xml:space="preserve">. [online] Available at: </w:t>
      </w:r>
      <w:hyperlink r:id="rId25" w:history="1">
        <w:r w:rsidRPr="00F230ED">
          <w:rPr>
            <w:sz w:val="24"/>
            <w:szCs w:val="24"/>
          </w:rPr>
          <w:t>https://www.cipd.org/globalassets/media/knowledge/knowledge-hub/evidence-reviews/2023-pdfs/8263-organisational-climate-scientific-summary.pdf</w:t>
        </w:r>
      </w:hyperlink>
      <w:r w:rsidRPr="00F230ED">
        <w:rPr>
          <w:sz w:val="24"/>
          <w:szCs w:val="24"/>
        </w:rPr>
        <w:t xml:space="preserve"> (Accessed: 02 January 2026).</w:t>
      </w:r>
    </w:p>
    <w:p w14:paraId="2815E57F" w14:textId="77777777" w:rsidR="00415F7C" w:rsidRPr="00F230ED" w:rsidRDefault="00415F7C" w:rsidP="00415F7C">
      <w:pPr>
        <w:adjustRightInd w:val="0"/>
        <w:spacing w:after="240" w:line="360" w:lineRule="auto"/>
        <w:rPr>
          <w:sz w:val="24"/>
          <w:szCs w:val="24"/>
        </w:rPr>
      </w:pPr>
      <w:r w:rsidRPr="00F230ED">
        <w:rPr>
          <w:sz w:val="24"/>
          <w:szCs w:val="24"/>
        </w:rPr>
        <w:t xml:space="preserve">CIPD (2023). </w:t>
      </w:r>
      <w:r w:rsidRPr="00F230ED">
        <w:rPr>
          <w:i/>
          <w:iCs/>
          <w:sz w:val="24"/>
          <w:szCs w:val="24"/>
        </w:rPr>
        <w:t>Building an evidence-based people profession</w:t>
      </w:r>
      <w:r w:rsidRPr="00F230ED">
        <w:rPr>
          <w:sz w:val="24"/>
          <w:szCs w:val="24"/>
        </w:rPr>
        <w:t xml:space="preserve">. [online] CIPD. Available at: </w:t>
      </w:r>
      <w:hyperlink r:id="rId26" w:history="1">
        <w:r w:rsidRPr="00F230ED">
          <w:rPr>
            <w:sz w:val="24"/>
            <w:szCs w:val="24"/>
          </w:rPr>
          <w:t>https://www.cipd.org/uk/views-and-insights/thought-leadership/insight/evidence-based-profession/</w:t>
        </w:r>
      </w:hyperlink>
      <w:r w:rsidRPr="00F230ED">
        <w:rPr>
          <w:sz w:val="24"/>
          <w:szCs w:val="24"/>
        </w:rPr>
        <w:t xml:space="preserve"> (Accessed: 20 January 2026).</w:t>
      </w:r>
    </w:p>
    <w:p w14:paraId="6B11FE12" w14:textId="77777777" w:rsidR="00415F7C" w:rsidRPr="00F230ED" w:rsidRDefault="00415F7C" w:rsidP="00415F7C">
      <w:pPr>
        <w:adjustRightInd w:val="0"/>
        <w:spacing w:after="240" w:line="360" w:lineRule="auto"/>
        <w:rPr>
          <w:sz w:val="24"/>
          <w:szCs w:val="24"/>
        </w:rPr>
      </w:pPr>
      <w:r w:rsidRPr="00F230ED">
        <w:rPr>
          <w:sz w:val="24"/>
          <w:szCs w:val="24"/>
        </w:rPr>
        <w:t xml:space="preserve">CIPD (2024a). </w:t>
      </w:r>
      <w:r w:rsidRPr="00F230ED">
        <w:rPr>
          <w:i/>
          <w:iCs/>
          <w:sz w:val="24"/>
          <w:szCs w:val="24"/>
        </w:rPr>
        <w:t>Ethics at work: an Employer’s Guide</w:t>
      </w:r>
      <w:r w:rsidRPr="00F230ED">
        <w:rPr>
          <w:sz w:val="24"/>
          <w:szCs w:val="24"/>
        </w:rPr>
        <w:t xml:space="preserve">. [online] CIPD. Available at: </w:t>
      </w:r>
      <w:hyperlink r:id="rId27" w:history="1">
        <w:r w:rsidRPr="00F230ED">
          <w:rPr>
            <w:sz w:val="24"/>
            <w:szCs w:val="24"/>
          </w:rPr>
          <w:t>https://www.cipd.org/uk/knowledge/guides/ethics-work-guide/</w:t>
        </w:r>
      </w:hyperlink>
      <w:r w:rsidRPr="00F230ED">
        <w:rPr>
          <w:sz w:val="24"/>
          <w:szCs w:val="24"/>
        </w:rPr>
        <w:t xml:space="preserve"> (Accessed: 21 January 2026).</w:t>
      </w:r>
    </w:p>
    <w:p w14:paraId="2C4CD693" w14:textId="77777777" w:rsidR="00415F7C" w:rsidRPr="00F230ED" w:rsidRDefault="00415F7C" w:rsidP="00415F7C">
      <w:pPr>
        <w:adjustRightInd w:val="0"/>
        <w:spacing w:after="240" w:line="360" w:lineRule="auto"/>
        <w:rPr>
          <w:sz w:val="24"/>
          <w:szCs w:val="24"/>
        </w:rPr>
      </w:pPr>
      <w:r w:rsidRPr="00F230ED">
        <w:rPr>
          <w:sz w:val="24"/>
          <w:szCs w:val="24"/>
        </w:rPr>
        <w:t xml:space="preserve">CIPD (2024b). </w:t>
      </w:r>
      <w:r w:rsidRPr="00F230ED">
        <w:rPr>
          <w:i/>
          <w:iCs/>
          <w:sz w:val="24"/>
          <w:szCs w:val="24"/>
        </w:rPr>
        <w:t>Getting Started with People Analytics</w:t>
      </w:r>
      <w:r w:rsidRPr="00F230ED">
        <w:rPr>
          <w:sz w:val="24"/>
          <w:szCs w:val="24"/>
        </w:rPr>
        <w:t xml:space="preserve">. [online] CIPD. Available at: </w:t>
      </w:r>
      <w:hyperlink r:id="rId28" w:history="1">
        <w:r w:rsidRPr="00F230ED">
          <w:rPr>
            <w:sz w:val="24"/>
            <w:szCs w:val="24"/>
          </w:rPr>
          <w:t>https://www.cipd.org/uk/knowledge/guides/analytics-practitioner-guide/</w:t>
        </w:r>
      </w:hyperlink>
      <w:r w:rsidRPr="00F230ED">
        <w:rPr>
          <w:sz w:val="24"/>
          <w:szCs w:val="24"/>
        </w:rPr>
        <w:t xml:space="preserve"> (Accessed: 31 January 2026).</w:t>
      </w:r>
    </w:p>
    <w:p w14:paraId="1AD09DBF" w14:textId="77777777" w:rsidR="00415F7C" w:rsidRPr="00F230ED" w:rsidRDefault="00415F7C" w:rsidP="00415F7C">
      <w:pPr>
        <w:adjustRightInd w:val="0"/>
        <w:spacing w:after="240" w:line="360" w:lineRule="auto"/>
        <w:rPr>
          <w:sz w:val="24"/>
          <w:szCs w:val="24"/>
        </w:rPr>
      </w:pPr>
      <w:r w:rsidRPr="00F230ED">
        <w:rPr>
          <w:sz w:val="24"/>
          <w:szCs w:val="24"/>
        </w:rPr>
        <w:t xml:space="preserve">CIPD (2024c). </w:t>
      </w:r>
      <w:r w:rsidRPr="00F230ED">
        <w:rPr>
          <w:i/>
          <w:iCs/>
          <w:sz w:val="24"/>
          <w:szCs w:val="24"/>
        </w:rPr>
        <w:t>Learning Needs Analysis</w:t>
      </w:r>
      <w:r w:rsidRPr="00F230ED">
        <w:rPr>
          <w:sz w:val="24"/>
          <w:szCs w:val="24"/>
        </w:rPr>
        <w:t xml:space="preserve">. [online] CIPD. Available at: </w:t>
      </w:r>
      <w:hyperlink r:id="rId29" w:history="1">
        <w:r w:rsidRPr="00F230ED">
          <w:rPr>
            <w:sz w:val="24"/>
            <w:szCs w:val="24"/>
          </w:rPr>
          <w:t>https://www.cipd.org/uk/knowledge/factsheets/learning-needs-factsheet/</w:t>
        </w:r>
      </w:hyperlink>
      <w:r w:rsidRPr="00F230ED">
        <w:rPr>
          <w:sz w:val="24"/>
          <w:szCs w:val="24"/>
        </w:rPr>
        <w:t xml:space="preserve"> (Accessed: 31 January 2026).</w:t>
      </w:r>
    </w:p>
    <w:p w14:paraId="504061C8" w14:textId="77777777" w:rsidR="00415F7C" w:rsidRPr="00F230ED" w:rsidRDefault="00415F7C" w:rsidP="00415F7C">
      <w:pPr>
        <w:adjustRightInd w:val="0"/>
        <w:spacing w:after="240" w:line="360" w:lineRule="auto"/>
        <w:rPr>
          <w:sz w:val="24"/>
          <w:szCs w:val="24"/>
        </w:rPr>
      </w:pPr>
      <w:r w:rsidRPr="00F230ED">
        <w:rPr>
          <w:sz w:val="24"/>
          <w:szCs w:val="24"/>
        </w:rPr>
        <w:t xml:space="preserve">CIPD (2024d). </w:t>
      </w:r>
      <w:r w:rsidRPr="00F230ED">
        <w:rPr>
          <w:i/>
          <w:iCs/>
          <w:sz w:val="24"/>
          <w:szCs w:val="24"/>
        </w:rPr>
        <w:t>Methods of delivering learning interventions</w:t>
      </w:r>
      <w:r w:rsidRPr="00F230ED">
        <w:rPr>
          <w:sz w:val="24"/>
          <w:szCs w:val="24"/>
        </w:rPr>
        <w:t xml:space="preserve">. [online] CIPD. Available at: </w:t>
      </w:r>
      <w:hyperlink r:id="rId30" w:history="1">
        <w:r w:rsidRPr="00F230ED">
          <w:rPr>
            <w:sz w:val="24"/>
            <w:szCs w:val="24"/>
          </w:rPr>
          <w:t>https://www.cipd.org/uk/knowledge/factsheets/learning-methods-factsheet/</w:t>
        </w:r>
      </w:hyperlink>
      <w:r w:rsidRPr="00F230ED">
        <w:rPr>
          <w:sz w:val="24"/>
          <w:szCs w:val="24"/>
        </w:rPr>
        <w:t xml:space="preserve"> (Accessed: 31 January 2026).</w:t>
      </w:r>
    </w:p>
    <w:p w14:paraId="50F414BD" w14:textId="77777777" w:rsidR="00415F7C" w:rsidRPr="00F230ED" w:rsidRDefault="00415F7C" w:rsidP="00415F7C">
      <w:pPr>
        <w:adjustRightInd w:val="0"/>
        <w:spacing w:after="240" w:line="360" w:lineRule="auto"/>
        <w:rPr>
          <w:sz w:val="24"/>
          <w:szCs w:val="24"/>
        </w:rPr>
      </w:pPr>
      <w:r w:rsidRPr="00F230ED">
        <w:rPr>
          <w:sz w:val="24"/>
          <w:szCs w:val="24"/>
        </w:rPr>
        <w:t xml:space="preserve">CIPD (2025a). </w:t>
      </w:r>
      <w:r w:rsidRPr="00F230ED">
        <w:rPr>
          <w:i/>
          <w:iCs/>
          <w:sz w:val="24"/>
          <w:szCs w:val="24"/>
        </w:rPr>
        <w:t>CIPD | Learning and Development for People Professionals</w:t>
      </w:r>
      <w:r w:rsidRPr="00F230ED">
        <w:rPr>
          <w:sz w:val="24"/>
          <w:szCs w:val="24"/>
        </w:rPr>
        <w:t xml:space="preserve">. [online] CIPD. Available at: </w:t>
      </w:r>
      <w:hyperlink r:id="rId31" w:history="1">
        <w:r w:rsidRPr="00F230ED">
          <w:rPr>
            <w:sz w:val="24"/>
            <w:szCs w:val="24"/>
          </w:rPr>
          <w:t>https://www.cipd.org/uk/knowledge/guides/learning-and-development/</w:t>
        </w:r>
      </w:hyperlink>
      <w:r w:rsidRPr="00F230ED">
        <w:rPr>
          <w:sz w:val="24"/>
          <w:szCs w:val="24"/>
        </w:rPr>
        <w:t xml:space="preserve"> (Accessed: 31 January 2026).</w:t>
      </w:r>
    </w:p>
    <w:p w14:paraId="3ECC83C2" w14:textId="77777777" w:rsidR="00415F7C" w:rsidRPr="00F230ED" w:rsidRDefault="00415F7C" w:rsidP="00415F7C">
      <w:pPr>
        <w:adjustRightInd w:val="0"/>
        <w:spacing w:after="240" w:line="360" w:lineRule="auto"/>
        <w:rPr>
          <w:sz w:val="24"/>
          <w:szCs w:val="24"/>
        </w:rPr>
      </w:pPr>
      <w:r w:rsidRPr="00F230ED">
        <w:rPr>
          <w:sz w:val="24"/>
          <w:szCs w:val="24"/>
        </w:rPr>
        <w:t xml:space="preserve">CIPD (2025b). </w:t>
      </w:r>
      <w:r w:rsidRPr="00F230ED">
        <w:rPr>
          <w:i/>
          <w:iCs/>
          <w:sz w:val="24"/>
          <w:szCs w:val="24"/>
        </w:rPr>
        <w:t>CIPD | Learning and development tools</w:t>
      </w:r>
      <w:r w:rsidRPr="00F230ED">
        <w:rPr>
          <w:sz w:val="24"/>
          <w:szCs w:val="24"/>
        </w:rPr>
        <w:t xml:space="preserve">. [online] CIPD. Available at: </w:t>
      </w:r>
      <w:hyperlink r:id="rId32" w:history="1">
        <w:r w:rsidRPr="00F230ED">
          <w:rPr>
            <w:sz w:val="24"/>
            <w:szCs w:val="24"/>
          </w:rPr>
          <w:t>https://www.cipd.org/uk/knowledge/tools/learning-and-development/</w:t>
        </w:r>
      </w:hyperlink>
      <w:r w:rsidRPr="00F230ED">
        <w:rPr>
          <w:sz w:val="24"/>
          <w:szCs w:val="24"/>
        </w:rPr>
        <w:t xml:space="preserve"> (Accessed: 31 </w:t>
      </w:r>
      <w:r w:rsidRPr="00F230ED">
        <w:rPr>
          <w:sz w:val="24"/>
          <w:szCs w:val="24"/>
        </w:rPr>
        <w:lastRenderedPageBreak/>
        <w:t>January 2026).</w:t>
      </w:r>
    </w:p>
    <w:p w14:paraId="46E76EEF" w14:textId="77777777" w:rsidR="00415F7C" w:rsidRPr="00F230ED" w:rsidRDefault="00415F7C" w:rsidP="00415F7C">
      <w:pPr>
        <w:adjustRightInd w:val="0"/>
        <w:spacing w:after="240" w:line="360" w:lineRule="auto"/>
        <w:rPr>
          <w:sz w:val="24"/>
          <w:szCs w:val="24"/>
        </w:rPr>
      </w:pPr>
      <w:r w:rsidRPr="00F230ED">
        <w:rPr>
          <w:sz w:val="24"/>
          <w:szCs w:val="24"/>
        </w:rPr>
        <w:t xml:space="preserve">CIPD (2025c). </w:t>
      </w:r>
      <w:r w:rsidRPr="00F230ED">
        <w:rPr>
          <w:i/>
          <w:iCs/>
          <w:sz w:val="24"/>
          <w:szCs w:val="24"/>
        </w:rPr>
        <w:t>CIPD | PESTLE Analysis</w:t>
      </w:r>
      <w:r w:rsidRPr="00F230ED">
        <w:rPr>
          <w:sz w:val="24"/>
          <w:szCs w:val="24"/>
        </w:rPr>
        <w:t xml:space="preserve">. [online] CIPD. Available at: </w:t>
      </w:r>
      <w:hyperlink r:id="rId33" w:anchor="what-is-a-pestle-analysis" w:history="1">
        <w:r w:rsidRPr="00F230ED">
          <w:rPr>
            <w:sz w:val="24"/>
            <w:szCs w:val="24"/>
          </w:rPr>
          <w:t>https://www.cipd.org/uk/knowledge/factsheets/pestle-analysis-factsheet/#what-is-a-pestle-analysis</w:t>
        </w:r>
      </w:hyperlink>
      <w:r w:rsidRPr="00F230ED">
        <w:rPr>
          <w:sz w:val="24"/>
          <w:szCs w:val="24"/>
        </w:rPr>
        <w:t xml:space="preserve"> (Accessed: 28 January 2026).</w:t>
      </w:r>
    </w:p>
    <w:p w14:paraId="3797AF46" w14:textId="77777777" w:rsidR="00415F7C" w:rsidRPr="00F230ED" w:rsidRDefault="00415F7C" w:rsidP="00415F7C">
      <w:pPr>
        <w:adjustRightInd w:val="0"/>
        <w:spacing w:after="240" w:line="360" w:lineRule="auto"/>
        <w:rPr>
          <w:sz w:val="24"/>
          <w:szCs w:val="24"/>
        </w:rPr>
      </w:pPr>
      <w:r w:rsidRPr="00F230ED">
        <w:rPr>
          <w:sz w:val="24"/>
          <w:szCs w:val="24"/>
        </w:rPr>
        <w:t xml:space="preserve">CIPD (2025d). </w:t>
      </w:r>
      <w:r w:rsidRPr="00F230ED">
        <w:rPr>
          <w:i/>
          <w:iCs/>
          <w:sz w:val="24"/>
          <w:szCs w:val="24"/>
        </w:rPr>
        <w:t>Ethical Practice and the role of people professionals</w:t>
      </w:r>
      <w:r w:rsidRPr="00F230ED">
        <w:rPr>
          <w:sz w:val="24"/>
          <w:szCs w:val="24"/>
        </w:rPr>
        <w:t xml:space="preserve">. [online] CIPD. Available at: </w:t>
      </w:r>
      <w:hyperlink r:id="rId34" w:anchor="what-is-ethical-practice-in-organisations" w:history="1">
        <w:r w:rsidRPr="00F230ED">
          <w:rPr>
            <w:sz w:val="24"/>
            <w:szCs w:val="24"/>
          </w:rPr>
          <w:t>https://www.cipd.org/uk/knowledge/factsheets/ethics-role-hr-factsheet/#what-is-ethical-practice-in-organisations</w:t>
        </w:r>
      </w:hyperlink>
      <w:r w:rsidRPr="00F230ED">
        <w:rPr>
          <w:sz w:val="24"/>
          <w:szCs w:val="24"/>
        </w:rPr>
        <w:t xml:space="preserve"> (Accessed: 28 January 2026).</w:t>
      </w:r>
    </w:p>
    <w:p w14:paraId="512BF236" w14:textId="77777777" w:rsidR="00415F7C" w:rsidRPr="00F230ED" w:rsidRDefault="00415F7C" w:rsidP="00415F7C">
      <w:pPr>
        <w:adjustRightInd w:val="0"/>
        <w:spacing w:after="240" w:line="360" w:lineRule="auto"/>
        <w:rPr>
          <w:sz w:val="24"/>
          <w:szCs w:val="24"/>
        </w:rPr>
      </w:pPr>
    </w:p>
    <w:p w14:paraId="1DF7DD08" w14:textId="77777777" w:rsidR="00415F7C" w:rsidRPr="00F230ED" w:rsidRDefault="00415F7C" w:rsidP="00415F7C">
      <w:pPr>
        <w:adjustRightInd w:val="0"/>
        <w:spacing w:after="240" w:line="360" w:lineRule="auto"/>
        <w:rPr>
          <w:sz w:val="24"/>
          <w:szCs w:val="24"/>
        </w:rPr>
      </w:pPr>
      <w:r w:rsidRPr="00F230ED">
        <w:rPr>
          <w:sz w:val="24"/>
          <w:szCs w:val="24"/>
        </w:rPr>
        <w:t xml:space="preserve">CIPD (2025e). </w:t>
      </w:r>
      <w:r w:rsidRPr="00F230ED">
        <w:rPr>
          <w:i/>
          <w:iCs/>
          <w:sz w:val="24"/>
          <w:szCs w:val="24"/>
        </w:rPr>
        <w:t>Evidence-based HR: Make better decisions and step up your influence</w:t>
      </w:r>
      <w:r w:rsidRPr="00F230ED">
        <w:rPr>
          <w:sz w:val="24"/>
          <w:szCs w:val="24"/>
        </w:rPr>
        <w:t xml:space="preserve">. [online] CIPD R4. Available at: </w:t>
      </w:r>
      <w:hyperlink r:id="rId35" w:history="1">
        <w:r w:rsidRPr="00F230ED">
          <w:rPr>
            <w:sz w:val="24"/>
            <w:szCs w:val="24"/>
          </w:rPr>
          <w:t>https://www.cipd.org/uk/knowledge/guides/evidence-based-profession/</w:t>
        </w:r>
      </w:hyperlink>
      <w:r w:rsidRPr="00F230ED">
        <w:rPr>
          <w:sz w:val="24"/>
          <w:szCs w:val="24"/>
        </w:rPr>
        <w:t xml:space="preserve"> (Accessed: 31 January 2026).</w:t>
      </w:r>
    </w:p>
    <w:p w14:paraId="48E74676" w14:textId="77777777" w:rsidR="00415F7C" w:rsidRPr="00F230ED" w:rsidRDefault="00415F7C" w:rsidP="00415F7C">
      <w:pPr>
        <w:adjustRightInd w:val="0"/>
        <w:spacing w:after="240" w:line="360" w:lineRule="auto"/>
        <w:rPr>
          <w:sz w:val="24"/>
          <w:szCs w:val="24"/>
        </w:rPr>
      </w:pPr>
      <w:r w:rsidRPr="00F230ED">
        <w:rPr>
          <w:sz w:val="24"/>
          <w:szCs w:val="24"/>
        </w:rPr>
        <w:t xml:space="preserve">CIPD (2025f). </w:t>
      </w:r>
      <w:r w:rsidRPr="00F230ED">
        <w:rPr>
          <w:i/>
          <w:iCs/>
          <w:sz w:val="24"/>
          <w:szCs w:val="24"/>
        </w:rPr>
        <w:t>Learning and development tools Checklist: Learning needs analysis</w:t>
      </w:r>
      <w:r w:rsidRPr="00F230ED">
        <w:rPr>
          <w:sz w:val="24"/>
          <w:szCs w:val="24"/>
        </w:rPr>
        <w:t xml:space="preserve">. [online] Available at: </w:t>
      </w:r>
      <w:hyperlink r:id="rId36" w:history="1">
        <w:r w:rsidRPr="00F230ED">
          <w:rPr>
            <w:sz w:val="24"/>
            <w:szCs w:val="24"/>
          </w:rPr>
          <w:t>https://www.cipd.org/globalassets/media/knowledge/knowledge-hub/tools/2025-pdfs/2025-checklist-learning-needs-analysis.pdf</w:t>
        </w:r>
      </w:hyperlink>
      <w:r w:rsidRPr="00F230ED">
        <w:rPr>
          <w:sz w:val="24"/>
          <w:szCs w:val="24"/>
        </w:rPr>
        <w:t xml:space="preserve"> (Accessed: 31 January 2026).</w:t>
      </w:r>
    </w:p>
    <w:p w14:paraId="6B86EC70" w14:textId="77777777" w:rsidR="00415F7C" w:rsidRPr="00F230ED" w:rsidRDefault="00415F7C" w:rsidP="00415F7C">
      <w:pPr>
        <w:adjustRightInd w:val="0"/>
        <w:spacing w:after="240" w:line="360" w:lineRule="auto"/>
        <w:rPr>
          <w:sz w:val="24"/>
          <w:szCs w:val="24"/>
        </w:rPr>
      </w:pPr>
      <w:r w:rsidRPr="00F230ED">
        <w:rPr>
          <w:sz w:val="24"/>
          <w:szCs w:val="24"/>
        </w:rPr>
        <w:t xml:space="preserve">CIPD (2025g). </w:t>
      </w:r>
      <w:r w:rsidRPr="00F230ED">
        <w:rPr>
          <w:i/>
          <w:iCs/>
          <w:sz w:val="24"/>
          <w:szCs w:val="24"/>
        </w:rPr>
        <w:t>People analytics</w:t>
      </w:r>
      <w:r w:rsidRPr="00F230ED">
        <w:rPr>
          <w:sz w:val="24"/>
          <w:szCs w:val="24"/>
        </w:rPr>
        <w:t xml:space="preserve">. [online] CIPD. Available at: </w:t>
      </w:r>
      <w:hyperlink r:id="rId37" w:anchor="_ga=2.170353952.1246059219.1635951255-1362614769.1635951255" w:history="1">
        <w:r w:rsidRPr="00F230ED">
          <w:rPr>
            <w:sz w:val="24"/>
            <w:szCs w:val="24"/>
          </w:rPr>
          <w:t>https://www.cipd.org/uk/knowledge/factsheets/analytics-factsheet/#_ga=2.170353952.1246059219.1635951255-1362614769.1635951255</w:t>
        </w:r>
      </w:hyperlink>
      <w:r w:rsidRPr="00F230ED">
        <w:rPr>
          <w:sz w:val="24"/>
          <w:szCs w:val="24"/>
        </w:rPr>
        <w:t xml:space="preserve"> (Accessed: 29 January 2026).</w:t>
      </w:r>
    </w:p>
    <w:p w14:paraId="32298125" w14:textId="77777777" w:rsidR="00415F7C" w:rsidRPr="00F230ED" w:rsidRDefault="00415F7C" w:rsidP="00415F7C">
      <w:pPr>
        <w:adjustRightInd w:val="0"/>
        <w:spacing w:after="240" w:line="360" w:lineRule="auto"/>
        <w:rPr>
          <w:sz w:val="24"/>
          <w:szCs w:val="24"/>
        </w:rPr>
      </w:pPr>
      <w:r w:rsidRPr="00F230ED">
        <w:rPr>
          <w:sz w:val="24"/>
          <w:szCs w:val="24"/>
        </w:rPr>
        <w:t xml:space="preserve">CIPD (2025). </w:t>
      </w:r>
      <w:r w:rsidRPr="00F230ED">
        <w:rPr>
          <w:i/>
          <w:iCs/>
          <w:sz w:val="24"/>
          <w:szCs w:val="24"/>
        </w:rPr>
        <w:t>CIPD | Evidence-based Practice for Effective decision-making | Factsheets</w:t>
      </w:r>
      <w:r w:rsidRPr="00F230ED">
        <w:rPr>
          <w:sz w:val="24"/>
          <w:szCs w:val="24"/>
        </w:rPr>
        <w:t xml:space="preserve">. [online] CIPD R5. Available at: </w:t>
      </w:r>
      <w:hyperlink r:id="rId38" w:history="1">
        <w:r w:rsidRPr="00F230ED">
          <w:rPr>
            <w:sz w:val="24"/>
            <w:szCs w:val="24"/>
          </w:rPr>
          <w:t>https://www.cipd.org/uk/knowledge/factsheets/evidence-based-practice-factsheet/</w:t>
        </w:r>
      </w:hyperlink>
      <w:r w:rsidRPr="00F230ED">
        <w:rPr>
          <w:sz w:val="24"/>
          <w:szCs w:val="24"/>
        </w:rPr>
        <w:t xml:space="preserve"> (Accessed: 31 January 2026).</w:t>
      </w:r>
    </w:p>
    <w:p w14:paraId="7D4C370A" w14:textId="77777777" w:rsidR="00415F7C" w:rsidRPr="00F230ED" w:rsidRDefault="00415F7C" w:rsidP="00415F7C">
      <w:pPr>
        <w:adjustRightInd w:val="0"/>
        <w:spacing w:after="240" w:line="360" w:lineRule="auto"/>
        <w:rPr>
          <w:sz w:val="24"/>
          <w:szCs w:val="24"/>
        </w:rPr>
      </w:pPr>
      <w:r w:rsidRPr="00F230ED">
        <w:rPr>
          <w:sz w:val="24"/>
          <w:szCs w:val="24"/>
        </w:rPr>
        <w:t xml:space="preserve">CMI (2015). </w:t>
      </w:r>
      <w:r w:rsidRPr="00F230ED">
        <w:rPr>
          <w:i/>
          <w:iCs/>
          <w:sz w:val="24"/>
          <w:szCs w:val="24"/>
        </w:rPr>
        <w:t>Developing Decision Making Skills: Checklist 277</w:t>
      </w:r>
      <w:r w:rsidRPr="00F230ED">
        <w:rPr>
          <w:sz w:val="24"/>
          <w:szCs w:val="24"/>
        </w:rPr>
        <w:t xml:space="preserve">. Available at: </w:t>
      </w:r>
      <w:hyperlink r:id="rId39" w:history="1">
        <w:r w:rsidRPr="00F230ED">
          <w:rPr>
            <w:sz w:val="24"/>
            <w:szCs w:val="24"/>
          </w:rPr>
          <w:t>https://www.managers.org.uk/wp-content/uploads/2020/03/CHK-277_Developing_decision_making_skills.pdf</w:t>
        </w:r>
      </w:hyperlink>
      <w:r w:rsidRPr="00F230ED">
        <w:rPr>
          <w:sz w:val="24"/>
          <w:szCs w:val="24"/>
        </w:rPr>
        <w:t xml:space="preserve"> (Accessed: 05 January 2026).</w:t>
      </w:r>
    </w:p>
    <w:p w14:paraId="6FE86939" w14:textId="77777777" w:rsidR="00415F7C" w:rsidRPr="00F230ED" w:rsidRDefault="00415F7C" w:rsidP="00415F7C">
      <w:pPr>
        <w:adjustRightInd w:val="0"/>
        <w:spacing w:after="240" w:line="360" w:lineRule="auto"/>
        <w:rPr>
          <w:sz w:val="24"/>
          <w:szCs w:val="24"/>
        </w:rPr>
      </w:pPr>
      <w:r w:rsidRPr="00F230ED">
        <w:rPr>
          <w:sz w:val="24"/>
          <w:szCs w:val="24"/>
        </w:rPr>
        <w:lastRenderedPageBreak/>
        <w:t xml:space="preserve">CMI (2020). </w:t>
      </w:r>
      <w:r w:rsidRPr="00F230ED">
        <w:rPr>
          <w:i/>
          <w:iCs/>
          <w:sz w:val="24"/>
          <w:szCs w:val="24"/>
        </w:rPr>
        <w:t>Decision Making</w:t>
      </w:r>
      <w:r w:rsidRPr="00F230ED">
        <w:rPr>
          <w:sz w:val="24"/>
          <w:szCs w:val="24"/>
        </w:rPr>
        <w:t xml:space="preserve">. [online] CMI. Available at: </w:t>
      </w:r>
      <w:hyperlink r:id="rId40" w:history="1">
        <w:r w:rsidRPr="00F230ED">
          <w:rPr>
            <w:sz w:val="24"/>
            <w:szCs w:val="24"/>
          </w:rPr>
          <w:t>https://www.managers.org.uk/knowledge-and-insights/resource/decision-making/</w:t>
        </w:r>
      </w:hyperlink>
      <w:r w:rsidRPr="00F230ED">
        <w:rPr>
          <w:sz w:val="24"/>
          <w:szCs w:val="24"/>
        </w:rPr>
        <w:t xml:space="preserve"> (Accessed: 05 January 2026).</w:t>
      </w:r>
    </w:p>
    <w:p w14:paraId="4219B3CE" w14:textId="77777777" w:rsidR="00415F7C" w:rsidRPr="00F230ED" w:rsidRDefault="00415F7C" w:rsidP="00415F7C">
      <w:pPr>
        <w:adjustRightInd w:val="0"/>
        <w:spacing w:after="240" w:line="360" w:lineRule="auto"/>
        <w:rPr>
          <w:sz w:val="24"/>
          <w:szCs w:val="24"/>
        </w:rPr>
      </w:pPr>
      <w:r w:rsidRPr="00F230ED">
        <w:rPr>
          <w:sz w:val="24"/>
          <w:szCs w:val="24"/>
        </w:rPr>
        <w:t xml:space="preserve">ECITB (2025). </w:t>
      </w:r>
      <w:r w:rsidRPr="00F230ED">
        <w:rPr>
          <w:i/>
          <w:iCs/>
          <w:sz w:val="24"/>
          <w:szCs w:val="24"/>
        </w:rPr>
        <w:t>The ECITB Industrial Training Levy</w:t>
      </w:r>
      <w:r w:rsidRPr="00F230ED">
        <w:rPr>
          <w:sz w:val="24"/>
          <w:szCs w:val="24"/>
        </w:rPr>
        <w:t xml:space="preserve">. [online] ECITB. Available at: </w:t>
      </w:r>
      <w:hyperlink r:id="rId41" w:history="1">
        <w:r w:rsidRPr="00F230ED">
          <w:rPr>
            <w:sz w:val="24"/>
            <w:szCs w:val="24"/>
          </w:rPr>
          <w:t>https://www.ecitb.org.uk/industrial-training-levy/</w:t>
        </w:r>
      </w:hyperlink>
      <w:r w:rsidRPr="00F230ED">
        <w:rPr>
          <w:sz w:val="24"/>
          <w:szCs w:val="24"/>
        </w:rPr>
        <w:t xml:space="preserve"> (Accessed: 29 January 2026).</w:t>
      </w:r>
    </w:p>
    <w:p w14:paraId="6F13C8AA" w14:textId="77777777" w:rsidR="00415F7C" w:rsidRPr="00F230ED" w:rsidRDefault="00415F7C" w:rsidP="00415F7C">
      <w:pPr>
        <w:adjustRightInd w:val="0"/>
        <w:spacing w:after="240" w:line="360" w:lineRule="auto"/>
        <w:rPr>
          <w:sz w:val="24"/>
          <w:szCs w:val="24"/>
        </w:rPr>
      </w:pPr>
      <w:r w:rsidRPr="00F230ED">
        <w:rPr>
          <w:sz w:val="24"/>
          <w:szCs w:val="24"/>
        </w:rPr>
        <w:t xml:space="preserve">Gibson, K. (2023). </w:t>
      </w:r>
      <w:r w:rsidRPr="00F230ED">
        <w:rPr>
          <w:i/>
          <w:iCs/>
          <w:sz w:val="24"/>
          <w:szCs w:val="24"/>
        </w:rPr>
        <w:t>How to Measure Your Business Performance | HBS Online</w:t>
      </w:r>
      <w:r w:rsidRPr="00F230ED">
        <w:rPr>
          <w:sz w:val="24"/>
          <w:szCs w:val="24"/>
        </w:rPr>
        <w:t xml:space="preserve">. [online] Business Insights Blog. Available at: </w:t>
      </w:r>
      <w:hyperlink r:id="rId42" w:history="1">
        <w:r w:rsidRPr="00F230ED">
          <w:rPr>
            <w:sz w:val="24"/>
            <w:szCs w:val="24"/>
          </w:rPr>
          <w:t>https://online.hbs.edu/blog/post/business-performance-measurement</w:t>
        </w:r>
      </w:hyperlink>
      <w:r w:rsidRPr="00F230ED">
        <w:rPr>
          <w:sz w:val="24"/>
          <w:szCs w:val="24"/>
        </w:rPr>
        <w:t>. (Accessed: 31 January 2026).</w:t>
      </w:r>
    </w:p>
    <w:p w14:paraId="65061200" w14:textId="77777777" w:rsidR="00415F7C" w:rsidRPr="00F230ED" w:rsidRDefault="00415F7C" w:rsidP="00415F7C">
      <w:pPr>
        <w:adjustRightInd w:val="0"/>
        <w:spacing w:after="240" w:line="360" w:lineRule="auto"/>
        <w:rPr>
          <w:sz w:val="24"/>
          <w:szCs w:val="24"/>
        </w:rPr>
      </w:pPr>
      <w:r w:rsidRPr="00F230ED">
        <w:rPr>
          <w:sz w:val="24"/>
          <w:szCs w:val="24"/>
        </w:rPr>
        <w:t xml:space="preserve">Green, M. (2020). </w:t>
      </w:r>
      <w:r w:rsidRPr="00F230ED">
        <w:rPr>
          <w:i/>
          <w:iCs/>
          <w:sz w:val="24"/>
          <w:szCs w:val="24"/>
        </w:rPr>
        <w:t>CIPD | The role of emotion in professional decision-making</w:t>
      </w:r>
      <w:r w:rsidRPr="00F230ED">
        <w:rPr>
          <w:sz w:val="24"/>
          <w:szCs w:val="24"/>
        </w:rPr>
        <w:t xml:space="preserve">. [online] CIPD. Available at: </w:t>
      </w:r>
      <w:hyperlink r:id="rId43" w:history="1">
        <w:r w:rsidRPr="00F230ED">
          <w:rPr>
            <w:sz w:val="24"/>
            <w:szCs w:val="24"/>
          </w:rPr>
          <w:t>https://www.cipd.org/uk/knowledge/bitesize-research/decision-making/</w:t>
        </w:r>
      </w:hyperlink>
      <w:r w:rsidRPr="00F230ED">
        <w:rPr>
          <w:sz w:val="24"/>
          <w:szCs w:val="24"/>
        </w:rPr>
        <w:t xml:space="preserve"> (Accessed: 31 January 2026).</w:t>
      </w:r>
    </w:p>
    <w:p w14:paraId="34ED67BC" w14:textId="77777777" w:rsidR="00415F7C" w:rsidRPr="00F230ED" w:rsidRDefault="00415F7C" w:rsidP="00415F7C">
      <w:pPr>
        <w:adjustRightInd w:val="0"/>
        <w:spacing w:after="240" w:line="360" w:lineRule="auto"/>
        <w:rPr>
          <w:sz w:val="24"/>
          <w:szCs w:val="24"/>
        </w:rPr>
      </w:pPr>
      <w:r w:rsidRPr="00F230ED">
        <w:rPr>
          <w:sz w:val="24"/>
          <w:szCs w:val="24"/>
        </w:rPr>
        <w:t xml:space="preserve">Henley Business School (2020). </w:t>
      </w:r>
      <w:r w:rsidRPr="00F230ED">
        <w:rPr>
          <w:i/>
          <w:iCs/>
          <w:sz w:val="24"/>
          <w:szCs w:val="24"/>
        </w:rPr>
        <w:t>Henley Business School | Professional Certificate in Executive</w:t>
      </w:r>
      <w:r w:rsidRPr="00F230ED">
        <w:rPr>
          <w:sz w:val="24"/>
          <w:szCs w:val="24"/>
        </w:rPr>
        <w:t xml:space="preserve"> [online] Henley Business School. Available at: </w:t>
      </w:r>
      <w:hyperlink r:id="rId44" w:history="1">
        <w:r w:rsidRPr="00F230ED">
          <w:rPr>
            <w:sz w:val="24"/>
            <w:szCs w:val="24"/>
          </w:rPr>
          <w:t>https://www.henley.ac.uk/study/corporate-development/professional-certificate-in-executive-coaching</w:t>
        </w:r>
      </w:hyperlink>
      <w:r w:rsidRPr="00F230ED">
        <w:rPr>
          <w:sz w:val="24"/>
          <w:szCs w:val="24"/>
        </w:rPr>
        <w:t xml:space="preserve"> (Accessed: 23 January 2026).</w:t>
      </w:r>
    </w:p>
    <w:p w14:paraId="12B17A0E" w14:textId="77777777" w:rsidR="00415F7C" w:rsidRPr="00F230ED" w:rsidRDefault="00415F7C" w:rsidP="00415F7C">
      <w:pPr>
        <w:adjustRightInd w:val="0"/>
        <w:spacing w:after="240" w:line="360" w:lineRule="auto"/>
        <w:rPr>
          <w:sz w:val="24"/>
          <w:szCs w:val="24"/>
        </w:rPr>
      </w:pPr>
      <w:r w:rsidRPr="00F230ED">
        <w:rPr>
          <w:sz w:val="24"/>
          <w:szCs w:val="24"/>
        </w:rPr>
        <w:t xml:space="preserve">Howlett, W. and Coburn, T. (2019). </w:t>
      </w:r>
      <w:r w:rsidRPr="00F230ED">
        <w:rPr>
          <w:i/>
          <w:iCs/>
          <w:sz w:val="24"/>
          <w:szCs w:val="24"/>
        </w:rPr>
        <w:t>CIPD | Critical thinking | Podcast</w:t>
      </w:r>
      <w:r w:rsidRPr="00F230ED">
        <w:rPr>
          <w:sz w:val="24"/>
          <w:szCs w:val="24"/>
        </w:rPr>
        <w:t xml:space="preserve">. [online] CIPD. Available at: </w:t>
      </w:r>
      <w:hyperlink r:id="rId45" w:history="1">
        <w:r w:rsidRPr="00F230ED">
          <w:rPr>
            <w:sz w:val="24"/>
            <w:szCs w:val="24"/>
          </w:rPr>
          <w:t>https://www.cipd.org/uk/knowledge/podcasts/critical-thinking/</w:t>
        </w:r>
      </w:hyperlink>
      <w:r w:rsidRPr="00F230ED">
        <w:rPr>
          <w:sz w:val="24"/>
          <w:szCs w:val="24"/>
        </w:rPr>
        <w:t xml:space="preserve"> (Accessed: 31 January 2026).</w:t>
      </w:r>
    </w:p>
    <w:p w14:paraId="3DA42DFF" w14:textId="77777777" w:rsidR="00415F7C" w:rsidRPr="00F230ED" w:rsidRDefault="00415F7C" w:rsidP="00415F7C">
      <w:pPr>
        <w:adjustRightInd w:val="0"/>
        <w:spacing w:after="240" w:line="360" w:lineRule="auto"/>
        <w:rPr>
          <w:sz w:val="24"/>
          <w:szCs w:val="24"/>
        </w:rPr>
      </w:pPr>
      <w:r w:rsidRPr="00F230ED">
        <w:rPr>
          <w:sz w:val="24"/>
          <w:szCs w:val="24"/>
        </w:rPr>
        <w:t xml:space="preserve">Indeed (2025). </w:t>
      </w:r>
      <w:r w:rsidRPr="00F230ED">
        <w:rPr>
          <w:i/>
          <w:iCs/>
          <w:sz w:val="24"/>
          <w:szCs w:val="24"/>
        </w:rPr>
        <w:t>Operations Manager Salary in United Kingdom</w:t>
      </w:r>
      <w:r w:rsidRPr="00F230ED">
        <w:rPr>
          <w:sz w:val="24"/>
          <w:szCs w:val="24"/>
        </w:rPr>
        <w:t xml:space="preserve">. [online] Indeed.com. Available at: </w:t>
      </w:r>
      <w:hyperlink r:id="rId46" w:history="1">
        <w:r w:rsidRPr="00F230ED">
          <w:rPr>
            <w:sz w:val="24"/>
            <w:szCs w:val="24"/>
          </w:rPr>
          <w:t>https://uk.indeed.com/career/operations-manager/salaries?from=top_sb</w:t>
        </w:r>
      </w:hyperlink>
      <w:r w:rsidRPr="00F230ED">
        <w:rPr>
          <w:sz w:val="24"/>
          <w:szCs w:val="24"/>
        </w:rPr>
        <w:t xml:space="preserve"> (Accessed: 31 January 2026).</w:t>
      </w:r>
    </w:p>
    <w:p w14:paraId="5E857157" w14:textId="77777777" w:rsidR="00415F7C" w:rsidRPr="00F230ED" w:rsidRDefault="00415F7C" w:rsidP="00415F7C">
      <w:pPr>
        <w:adjustRightInd w:val="0"/>
        <w:spacing w:after="240" w:line="360" w:lineRule="auto"/>
        <w:rPr>
          <w:sz w:val="24"/>
          <w:szCs w:val="24"/>
        </w:rPr>
      </w:pPr>
      <w:r w:rsidRPr="00F230ED">
        <w:rPr>
          <w:sz w:val="24"/>
          <w:szCs w:val="24"/>
        </w:rPr>
        <w:t xml:space="preserve">Johnson, B. (2017). </w:t>
      </w:r>
      <w:r w:rsidRPr="00F230ED">
        <w:rPr>
          <w:i/>
          <w:iCs/>
          <w:sz w:val="24"/>
          <w:szCs w:val="24"/>
        </w:rPr>
        <w:t>Learning Needs Analyses Often Feature Too Little Analysis</w:t>
      </w:r>
      <w:r w:rsidRPr="00F230ED">
        <w:rPr>
          <w:sz w:val="24"/>
          <w:szCs w:val="24"/>
        </w:rPr>
        <w:t xml:space="preserve">. [online] www.peoplemanagement.co.uk. Available at: </w:t>
      </w:r>
      <w:hyperlink r:id="rId47" w:history="1">
        <w:r w:rsidRPr="00F230ED">
          <w:rPr>
            <w:sz w:val="24"/>
            <w:szCs w:val="24"/>
          </w:rPr>
          <w:t>https://www.peoplemanagement.co.uk/article/1743752/learning-needs-analyses</w:t>
        </w:r>
      </w:hyperlink>
      <w:r w:rsidRPr="00F230ED">
        <w:rPr>
          <w:sz w:val="24"/>
          <w:szCs w:val="24"/>
        </w:rPr>
        <w:t xml:space="preserve"> (Accessed: 31 January 2026).</w:t>
      </w:r>
    </w:p>
    <w:p w14:paraId="405A116A" w14:textId="77777777" w:rsidR="00415F7C" w:rsidRPr="00F230ED" w:rsidRDefault="00415F7C" w:rsidP="00415F7C">
      <w:pPr>
        <w:adjustRightInd w:val="0"/>
        <w:spacing w:after="240" w:line="360" w:lineRule="auto"/>
        <w:rPr>
          <w:sz w:val="24"/>
          <w:szCs w:val="24"/>
        </w:rPr>
      </w:pPr>
      <w:r w:rsidRPr="00F230ED">
        <w:rPr>
          <w:sz w:val="24"/>
          <w:szCs w:val="24"/>
        </w:rPr>
        <w:t xml:space="preserve">KPMG (2026). </w:t>
      </w:r>
      <w:r w:rsidRPr="00F230ED">
        <w:rPr>
          <w:i/>
          <w:iCs/>
          <w:sz w:val="24"/>
          <w:szCs w:val="24"/>
        </w:rPr>
        <w:t>Audit</w:t>
      </w:r>
      <w:r w:rsidRPr="00F230ED">
        <w:rPr>
          <w:sz w:val="24"/>
          <w:szCs w:val="24"/>
        </w:rPr>
        <w:t xml:space="preserve">. [online] KPMG. Available at: </w:t>
      </w:r>
      <w:hyperlink r:id="rId48" w:history="1">
        <w:r w:rsidRPr="00F230ED">
          <w:rPr>
            <w:sz w:val="24"/>
            <w:szCs w:val="24"/>
          </w:rPr>
          <w:t>https://kpmg.com/uk/en/services/audit.html</w:t>
        </w:r>
      </w:hyperlink>
      <w:r w:rsidRPr="00F230ED">
        <w:rPr>
          <w:sz w:val="24"/>
          <w:szCs w:val="24"/>
        </w:rPr>
        <w:t xml:space="preserve"> (Accessed: 29 January 2026).</w:t>
      </w:r>
    </w:p>
    <w:p w14:paraId="5A5ADE2E" w14:textId="77777777" w:rsidR="00415F7C" w:rsidRPr="00F230ED" w:rsidRDefault="00415F7C" w:rsidP="00415F7C">
      <w:pPr>
        <w:adjustRightInd w:val="0"/>
        <w:spacing w:after="240" w:line="360" w:lineRule="auto"/>
        <w:rPr>
          <w:sz w:val="24"/>
          <w:szCs w:val="24"/>
        </w:rPr>
      </w:pPr>
      <w:r w:rsidRPr="00F230ED">
        <w:rPr>
          <w:sz w:val="24"/>
          <w:szCs w:val="24"/>
        </w:rPr>
        <w:lastRenderedPageBreak/>
        <w:t xml:space="preserve">Low Pay Commission (2025). </w:t>
      </w:r>
      <w:r w:rsidRPr="00F230ED">
        <w:rPr>
          <w:i/>
          <w:iCs/>
          <w:sz w:val="24"/>
          <w:szCs w:val="24"/>
        </w:rPr>
        <w:t xml:space="preserve">LPC advice to Government </w:t>
      </w:r>
      <w:proofErr w:type="gramStart"/>
      <w:r w:rsidRPr="00F230ED">
        <w:rPr>
          <w:i/>
          <w:iCs/>
          <w:sz w:val="24"/>
          <w:szCs w:val="24"/>
        </w:rPr>
        <w:t>on</w:t>
      </w:r>
      <w:proofErr w:type="gramEnd"/>
      <w:r w:rsidRPr="00F230ED">
        <w:rPr>
          <w:i/>
          <w:iCs/>
          <w:sz w:val="24"/>
          <w:szCs w:val="24"/>
        </w:rPr>
        <w:t xml:space="preserve"> 2026 minimum wage rates</w:t>
      </w:r>
      <w:r w:rsidRPr="00F230ED">
        <w:rPr>
          <w:sz w:val="24"/>
          <w:szCs w:val="24"/>
        </w:rPr>
        <w:t xml:space="preserve">. [online] GOV.UK. Available at: </w:t>
      </w:r>
      <w:hyperlink r:id="rId49" w:history="1">
        <w:r w:rsidRPr="00F230ED">
          <w:rPr>
            <w:sz w:val="24"/>
            <w:szCs w:val="24"/>
          </w:rPr>
          <w:t>https://www.gov.uk/government/publications/minimum-wage-rates-for-2026/lpc-advice-to-government-on-2026-minimum-wage-rates</w:t>
        </w:r>
      </w:hyperlink>
      <w:r w:rsidRPr="00F230ED">
        <w:rPr>
          <w:sz w:val="24"/>
          <w:szCs w:val="24"/>
        </w:rPr>
        <w:t xml:space="preserve"> (Accessed: 30 January 2026).</w:t>
      </w:r>
    </w:p>
    <w:p w14:paraId="6B0A8045" w14:textId="77777777" w:rsidR="00415F7C" w:rsidRPr="00F230ED" w:rsidRDefault="00415F7C" w:rsidP="00415F7C">
      <w:pPr>
        <w:adjustRightInd w:val="0"/>
        <w:spacing w:after="240" w:line="360" w:lineRule="auto"/>
        <w:rPr>
          <w:sz w:val="24"/>
          <w:szCs w:val="24"/>
        </w:rPr>
      </w:pPr>
      <w:r w:rsidRPr="00F230ED">
        <w:rPr>
          <w:sz w:val="24"/>
          <w:szCs w:val="24"/>
        </w:rPr>
        <w:t xml:space="preserve">Lucarz, P. (2022). </w:t>
      </w:r>
      <w:r w:rsidRPr="00F230ED">
        <w:rPr>
          <w:i/>
          <w:iCs/>
          <w:sz w:val="24"/>
          <w:szCs w:val="24"/>
        </w:rPr>
        <w:t>Five simple steps to workforce planning success</w:t>
      </w:r>
      <w:r w:rsidRPr="00F230ED">
        <w:rPr>
          <w:sz w:val="24"/>
          <w:szCs w:val="24"/>
        </w:rPr>
        <w:t xml:space="preserve">. [online] www.peoplemanagement.co.uk. Available at: </w:t>
      </w:r>
      <w:hyperlink r:id="rId50" w:history="1">
        <w:r w:rsidRPr="00F230ED">
          <w:rPr>
            <w:sz w:val="24"/>
            <w:szCs w:val="24"/>
          </w:rPr>
          <w:t>https://www.peoplemanagement.co.uk/article/1751678/five-simple-steps-workforce-planning-success</w:t>
        </w:r>
      </w:hyperlink>
      <w:r w:rsidRPr="00F230ED">
        <w:rPr>
          <w:sz w:val="24"/>
          <w:szCs w:val="24"/>
        </w:rPr>
        <w:t xml:space="preserve"> (Accessed: 27 January 2026).</w:t>
      </w:r>
    </w:p>
    <w:p w14:paraId="0CE7D70C" w14:textId="77777777" w:rsidR="00415F7C" w:rsidRPr="00F230ED" w:rsidRDefault="00415F7C" w:rsidP="00415F7C">
      <w:pPr>
        <w:adjustRightInd w:val="0"/>
        <w:spacing w:after="240" w:line="360" w:lineRule="auto"/>
        <w:rPr>
          <w:sz w:val="24"/>
          <w:szCs w:val="24"/>
        </w:rPr>
      </w:pPr>
      <w:r w:rsidRPr="00F230ED">
        <w:rPr>
          <w:sz w:val="24"/>
          <w:szCs w:val="24"/>
        </w:rPr>
        <w:t xml:space="preserve">Lunenburg, F. (2010). Power and Leadership: An Influence Process. </w:t>
      </w:r>
      <w:r w:rsidRPr="00F230ED">
        <w:rPr>
          <w:i/>
          <w:iCs/>
          <w:sz w:val="24"/>
          <w:szCs w:val="24"/>
        </w:rPr>
        <w:t>National Forum of Educational Administration and Supervision Journal</w:t>
      </w:r>
      <w:r w:rsidRPr="00F230ED">
        <w:rPr>
          <w:sz w:val="24"/>
          <w:szCs w:val="24"/>
        </w:rPr>
        <w:t xml:space="preserve">, [online] 27(4). Available at: </w:t>
      </w:r>
      <w:hyperlink r:id="rId51" w:history="1">
        <w:r w:rsidRPr="00F230ED">
          <w:rPr>
            <w:sz w:val="24"/>
            <w:szCs w:val="24"/>
          </w:rPr>
          <w:t>https://www.nationalforum.com/Electronic%20Journal%20Volumes/Lunenburg</w:t>
        </w:r>
      </w:hyperlink>
      <w:r w:rsidRPr="00F230ED">
        <w:rPr>
          <w:sz w:val="24"/>
          <w:szCs w:val="24"/>
        </w:rPr>
        <w:t xml:space="preserve"> (Accessed: 27 January 2026).</w:t>
      </w:r>
    </w:p>
    <w:p w14:paraId="3531A421" w14:textId="77777777" w:rsidR="00415F7C" w:rsidRPr="00F230ED" w:rsidRDefault="00415F7C" w:rsidP="00415F7C">
      <w:pPr>
        <w:adjustRightInd w:val="0"/>
        <w:spacing w:after="240" w:line="360" w:lineRule="auto"/>
        <w:rPr>
          <w:sz w:val="24"/>
          <w:szCs w:val="24"/>
        </w:rPr>
      </w:pPr>
      <w:r w:rsidRPr="00F230ED">
        <w:rPr>
          <w:sz w:val="24"/>
          <w:szCs w:val="24"/>
        </w:rPr>
        <w:t xml:space="preserve">Markovits, J. (2015). </w:t>
      </w:r>
      <w:r w:rsidRPr="00F230ED">
        <w:rPr>
          <w:i/>
          <w:iCs/>
          <w:sz w:val="24"/>
          <w:szCs w:val="24"/>
        </w:rPr>
        <w:t>PHILOSOPHY - Ethics: Utilitarianism, Part 3 [HD]</w:t>
      </w:r>
      <w:r w:rsidRPr="00F230ED">
        <w:rPr>
          <w:sz w:val="24"/>
          <w:szCs w:val="24"/>
        </w:rPr>
        <w:t xml:space="preserve">. </w:t>
      </w:r>
      <w:r w:rsidRPr="00F230ED">
        <w:rPr>
          <w:i/>
          <w:iCs/>
          <w:sz w:val="24"/>
          <w:szCs w:val="24"/>
        </w:rPr>
        <w:t>YouTube</w:t>
      </w:r>
      <w:r w:rsidRPr="00F230ED">
        <w:rPr>
          <w:sz w:val="24"/>
          <w:szCs w:val="24"/>
        </w:rPr>
        <w:t xml:space="preserve">. Available at: </w:t>
      </w:r>
      <w:hyperlink r:id="rId52" w:history="1">
        <w:r w:rsidRPr="00F230ED">
          <w:rPr>
            <w:sz w:val="24"/>
            <w:szCs w:val="24"/>
          </w:rPr>
          <w:t>https://www.youtube.com/watch?v=MoCuVa9UeR4</w:t>
        </w:r>
      </w:hyperlink>
      <w:r w:rsidRPr="00F230ED">
        <w:rPr>
          <w:sz w:val="24"/>
          <w:szCs w:val="24"/>
        </w:rPr>
        <w:t xml:space="preserve"> (Accessed: 26 January 2026).</w:t>
      </w:r>
    </w:p>
    <w:p w14:paraId="4C724561" w14:textId="77777777" w:rsidR="00415F7C" w:rsidRPr="00F230ED" w:rsidRDefault="00415F7C" w:rsidP="00415F7C">
      <w:pPr>
        <w:adjustRightInd w:val="0"/>
        <w:spacing w:after="240" w:line="360" w:lineRule="auto"/>
        <w:rPr>
          <w:sz w:val="24"/>
          <w:szCs w:val="24"/>
        </w:rPr>
      </w:pPr>
      <w:r w:rsidRPr="00F230ED">
        <w:rPr>
          <w:sz w:val="24"/>
          <w:szCs w:val="24"/>
        </w:rPr>
        <w:t xml:space="preserve">OECD (2019). </w:t>
      </w:r>
      <w:r w:rsidRPr="00F230ED">
        <w:rPr>
          <w:i/>
          <w:iCs/>
          <w:sz w:val="24"/>
          <w:szCs w:val="24"/>
        </w:rPr>
        <w:t>Employment outlook 2019: the future of work</w:t>
      </w:r>
      <w:r w:rsidRPr="00F230ED">
        <w:rPr>
          <w:sz w:val="24"/>
          <w:szCs w:val="24"/>
        </w:rPr>
        <w:t xml:space="preserve">. [online] OECD. Available at: </w:t>
      </w:r>
      <w:hyperlink r:id="rId53" w:history="1">
        <w:r w:rsidRPr="00F230ED">
          <w:rPr>
            <w:sz w:val="24"/>
            <w:szCs w:val="24"/>
          </w:rPr>
          <w:t>https://www.oecd.org/en/topics/future-of-work.html</w:t>
        </w:r>
      </w:hyperlink>
      <w:r w:rsidRPr="00F230ED">
        <w:rPr>
          <w:sz w:val="24"/>
          <w:szCs w:val="24"/>
        </w:rPr>
        <w:t xml:space="preserve"> (Accessed: 26 January 2026).</w:t>
      </w:r>
    </w:p>
    <w:p w14:paraId="56DC6757" w14:textId="77777777" w:rsidR="00415F7C" w:rsidRPr="00F230ED" w:rsidRDefault="00415F7C" w:rsidP="00415F7C">
      <w:pPr>
        <w:adjustRightInd w:val="0"/>
        <w:spacing w:after="240" w:line="360" w:lineRule="auto"/>
        <w:rPr>
          <w:sz w:val="24"/>
          <w:szCs w:val="24"/>
        </w:rPr>
      </w:pPr>
      <w:r w:rsidRPr="00F230ED">
        <w:rPr>
          <w:sz w:val="24"/>
          <w:szCs w:val="24"/>
        </w:rPr>
        <w:t xml:space="preserve">Reed (2025). </w:t>
      </w:r>
      <w:r w:rsidRPr="00F230ED">
        <w:rPr>
          <w:i/>
          <w:iCs/>
          <w:sz w:val="24"/>
          <w:szCs w:val="24"/>
        </w:rPr>
        <w:t>Leadership Coaching and Mentoring Courses &amp; Training | Reed.co.uk</w:t>
      </w:r>
      <w:r w:rsidRPr="00F230ED">
        <w:rPr>
          <w:sz w:val="24"/>
          <w:szCs w:val="24"/>
        </w:rPr>
        <w:t xml:space="preserve">. [online] Reed.co.uk. Available at: </w:t>
      </w:r>
      <w:hyperlink r:id="rId54" w:history="1">
        <w:r w:rsidRPr="00F230ED">
          <w:rPr>
            <w:sz w:val="24"/>
            <w:szCs w:val="24"/>
          </w:rPr>
          <w:t>https://www.reed.co.uk/courses/all?keywords=Leadership%20Coaching%20and%20Mentoring</w:t>
        </w:r>
      </w:hyperlink>
      <w:r w:rsidRPr="00F230ED">
        <w:rPr>
          <w:sz w:val="24"/>
          <w:szCs w:val="24"/>
        </w:rPr>
        <w:t xml:space="preserve"> (Accessed: 16 January 2026).</w:t>
      </w:r>
    </w:p>
    <w:p w14:paraId="60754AEC" w14:textId="77777777" w:rsidR="00415F7C" w:rsidRPr="00F230ED" w:rsidRDefault="00415F7C" w:rsidP="00415F7C">
      <w:pPr>
        <w:adjustRightInd w:val="0"/>
        <w:spacing w:after="240" w:line="360" w:lineRule="auto"/>
        <w:rPr>
          <w:sz w:val="24"/>
          <w:szCs w:val="24"/>
        </w:rPr>
      </w:pPr>
      <w:r w:rsidRPr="00F230ED">
        <w:rPr>
          <w:sz w:val="24"/>
          <w:szCs w:val="24"/>
        </w:rPr>
        <w:t xml:space="preserve">Reed (2026). </w:t>
      </w:r>
      <w:r w:rsidRPr="00F230ED">
        <w:rPr>
          <w:i/>
          <w:iCs/>
          <w:sz w:val="24"/>
          <w:szCs w:val="24"/>
        </w:rPr>
        <w:t>CBIT Advanced Diploma in Leadership Coaching and Mentoring - Level 7</w:t>
      </w:r>
      <w:r w:rsidRPr="00F230ED">
        <w:rPr>
          <w:sz w:val="24"/>
          <w:szCs w:val="24"/>
        </w:rPr>
        <w:t xml:space="preserve">. [online] Reed.co.uk. Available at: </w:t>
      </w:r>
      <w:hyperlink r:id="rId55" w:anchor="/courses/all?keywords=leadership%20and%20mentoring" w:history="1">
        <w:r w:rsidRPr="00F230ED">
          <w:rPr>
            <w:sz w:val="24"/>
            <w:szCs w:val="24"/>
          </w:rPr>
          <w:t>https://www.reed.co.uk/courses/cbit-advanced-diploma-in-leadership-coaching-and-mentoring-level-7/513581#/courses/all?keywords=leadership%20and%20mentoring</w:t>
        </w:r>
      </w:hyperlink>
      <w:r w:rsidRPr="00F230ED">
        <w:rPr>
          <w:sz w:val="24"/>
          <w:szCs w:val="24"/>
        </w:rPr>
        <w:t xml:space="preserve"> (Accessed: 16 January 2026).</w:t>
      </w:r>
    </w:p>
    <w:p w14:paraId="0EC8232B" w14:textId="77777777" w:rsidR="00415F7C" w:rsidRPr="00F230ED" w:rsidRDefault="00415F7C" w:rsidP="00415F7C">
      <w:pPr>
        <w:adjustRightInd w:val="0"/>
        <w:spacing w:after="240" w:line="360" w:lineRule="auto"/>
        <w:rPr>
          <w:sz w:val="24"/>
          <w:szCs w:val="24"/>
        </w:rPr>
      </w:pPr>
      <w:r w:rsidRPr="00F230ED">
        <w:rPr>
          <w:sz w:val="24"/>
          <w:szCs w:val="24"/>
        </w:rPr>
        <w:t xml:space="preserve">Schafer, J. (2025). </w:t>
      </w:r>
      <w:r w:rsidRPr="00F230ED">
        <w:rPr>
          <w:i/>
          <w:iCs/>
          <w:sz w:val="24"/>
          <w:szCs w:val="24"/>
        </w:rPr>
        <w:t>The Silent Erosion of Our Critical Thinking Skills</w:t>
      </w:r>
      <w:r w:rsidRPr="00F230ED">
        <w:rPr>
          <w:sz w:val="24"/>
          <w:szCs w:val="24"/>
        </w:rPr>
        <w:t xml:space="preserve">. [online] Psychology </w:t>
      </w:r>
      <w:r w:rsidRPr="00F230ED">
        <w:rPr>
          <w:sz w:val="24"/>
          <w:szCs w:val="24"/>
        </w:rPr>
        <w:lastRenderedPageBreak/>
        <w:t xml:space="preserve">Today. Available at: </w:t>
      </w:r>
      <w:hyperlink r:id="rId56" w:history="1">
        <w:r w:rsidRPr="00F230ED">
          <w:rPr>
            <w:sz w:val="24"/>
            <w:szCs w:val="24"/>
          </w:rPr>
          <w:t>https://www.psychologytoday.com/gb/blog/let-their-words-do-the-talking/202503/the-silent-erosion-of-our-critical-thinking-skills</w:t>
        </w:r>
      </w:hyperlink>
      <w:r w:rsidRPr="00F230ED">
        <w:rPr>
          <w:sz w:val="24"/>
          <w:szCs w:val="24"/>
        </w:rPr>
        <w:t xml:space="preserve"> (Accessed: 18 December 2025).</w:t>
      </w:r>
    </w:p>
    <w:p w14:paraId="2EF9DD86" w14:textId="77777777" w:rsidR="00415F7C" w:rsidRPr="00F230ED" w:rsidRDefault="00415F7C" w:rsidP="00415F7C">
      <w:pPr>
        <w:adjustRightInd w:val="0"/>
        <w:spacing w:after="240" w:line="360" w:lineRule="auto"/>
        <w:rPr>
          <w:sz w:val="24"/>
          <w:szCs w:val="24"/>
        </w:rPr>
      </w:pPr>
      <w:r w:rsidRPr="00F230ED">
        <w:rPr>
          <w:sz w:val="24"/>
          <w:szCs w:val="24"/>
        </w:rPr>
        <w:t xml:space="preserve">Stobierski, T. (2020a). </w:t>
      </w:r>
      <w:r w:rsidRPr="00F230ED">
        <w:rPr>
          <w:i/>
          <w:iCs/>
          <w:sz w:val="24"/>
          <w:szCs w:val="24"/>
        </w:rPr>
        <w:t>13 Financial Performance Measures Managers Should Monitor</w:t>
      </w:r>
      <w:r w:rsidRPr="00F230ED">
        <w:rPr>
          <w:sz w:val="24"/>
          <w:szCs w:val="24"/>
        </w:rPr>
        <w:t xml:space="preserve">. [online] Harvard Business School Online. Available at: </w:t>
      </w:r>
      <w:hyperlink r:id="rId57" w:history="1">
        <w:r w:rsidRPr="00F230ED">
          <w:rPr>
            <w:sz w:val="24"/>
            <w:szCs w:val="24"/>
          </w:rPr>
          <w:t>https://online.hbs.edu/blog/post/financial-performance-measures</w:t>
        </w:r>
      </w:hyperlink>
      <w:r w:rsidRPr="00F230ED">
        <w:rPr>
          <w:sz w:val="24"/>
          <w:szCs w:val="24"/>
        </w:rPr>
        <w:t xml:space="preserve"> (Accessed: 26 January 2026).</w:t>
      </w:r>
    </w:p>
    <w:p w14:paraId="42B41A4C" w14:textId="77777777" w:rsidR="00415F7C" w:rsidRPr="00F230ED" w:rsidRDefault="00415F7C" w:rsidP="00415F7C">
      <w:pPr>
        <w:adjustRightInd w:val="0"/>
        <w:spacing w:after="240" w:line="360" w:lineRule="auto"/>
        <w:rPr>
          <w:sz w:val="24"/>
          <w:szCs w:val="24"/>
        </w:rPr>
      </w:pPr>
      <w:r w:rsidRPr="00F230ED">
        <w:rPr>
          <w:sz w:val="24"/>
          <w:szCs w:val="24"/>
        </w:rPr>
        <w:t xml:space="preserve">Stobierski, T. (2020b). </w:t>
      </w:r>
      <w:r w:rsidRPr="00F230ED">
        <w:rPr>
          <w:i/>
          <w:iCs/>
          <w:sz w:val="24"/>
          <w:szCs w:val="24"/>
        </w:rPr>
        <w:t>How to Quickly &amp; Effectively Read an Annual Report | HBS Online</w:t>
      </w:r>
      <w:r w:rsidRPr="00F230ED">
        <w:rPr>
          <w:sz w:val="24"/>
          <w:szCs w:val="24"/>
        </w:rPr>
        <w:t xml:space="preserve">. [online] Business Insights - Blog. Available at: </w:t>
      </w:r>
      <w:hyperlink r:id="rId58" w:history="1">
        <w:r w:rsidRPr="00F230ED">
          <w:rPr>
            <w:sz w:val="24"/>
            <w:szCs w:val="24"/>
          </w:rPr>
          <w:t>https://online.hbs.edu/blog/post/how-to-read-an-annual-report</w:t>
        </w:r>
      </w:hyperlink>
      <w:r w:rsidRPr="00F230ED">
        <w:rPr>
          <w:sz w:val="24"/>
          <w:szCs w:val="24"/>
        </w:rPr>
        <w:t xml:space="preserve"> (Accessed: 26 January 2026).</w:t>
      </w:r>
    </w:p>
    <w:p w14:paraId="1261AD6E" w14:textId="77777777" w:rsidR="00415F7C" w:rsidRPr="00F230ED" w:rsidRDefault="00415F7C" w:rsidP="00415F7C">
      <w:pPr>
        <w:adjustRightInd w:val="0"/>
        <w:spacing w:after="240" w:line="360" w:lineRule="auto"/>
        <w:rPr>
          <w:sz w:val="24"/>
          <w:szCs w:val="24"/>
        </w:rPr>
      </w:pPr>
      <w:r w:rsidRPr="00F230ED">
        <w:rPr>
          <w:sz w:val="24"/>
          <w:szCs w:val="24"/>
        </w:rPr>
        <w:t xml:space="preserve">Stobierski, T. (2020c). </w:t>
      </w:r>
      <w:r w:rsidRPr="00F230ED">
        <w:rPr>
          <w:i/>
          <w:iCs/>
          <w:sz w:val="24"/>
          <w:szCs w:val="24"/>
        </w:rPr>
        <w:t>How to read &amp; understand a balance sheet</w:t>
      </w:r>
      <w:r w:rsidRPr="00F230ED">
        <w:rPr>
          <w:sz w:val="24"/>
          <w:szCs w:val="24"/>
        </w:rPr>
        <w:t xml:space="preserve">. [online] Business Insights - Blog. Available at: </w:t>
      </w:r>
      <w:hyperlink r:id="rId59" w:history="1">
        <w:r w:rsidRPr="00F230ED">
          <w:rPr>
            <w:sz w:val="24"/>
            <w:szCs w:val="24"/>
          </w:rPr>
          <w:t>https://online.hbs.edu/blog/post/how-to-read-a-balance-sheet</w:t>
        </w:r>
      </w:hyperlink>
      <w:r w:rsidRPr="00F230ED">
        <w:rPr>
          <w:sz w:val="24"/>
          <w:szCs w:val="24"/>
        </w:rPr>
        <w:t xml:space="preserve"> (Accessed: 30 January 2026).</w:t>
      </w:r>
    </w:p>
    <w:p w14:paraId="484703F1" w14:textId="77777777" w:rsidR="00415F7C" w:rsidRPr="00F230ED" w:rsidRDefault="00415F7C" w:rsidP="00415F7C">
      <w:pPr>
        <w:adjustRightInd w:val="0"/>
        <w:spacing w:after="240" w:line="360" w:lineRule="auto"/>
        <w:rPr>
          <w:sz w:val="24"/>
          <w:szCs w:val="24"/>
        </w:rPr>
      </w:pPr>
      <w:r w:rsidRPr="00F230ED">
        <w:rPr>
          <w:sz w:val="24"/>
          <w:szCs w:val="24"/>
        </w:rPr>
        <w:t xml:space="preserve">Stobierski, T. (2020d). </w:t>
      </w:r>
      <w:r w:rsidRPr="00F230ED">
        <w:rPr>
          <w:i/>
          <w:iCs/>
          <w:sz w:val="24"/>
          <w:szCs w:val="24"/>
        </w:rPr>
        <w:t>How to read &amp; understand a cash flow statement</w:t>
      </w:r>
      <w:r w:rsidRPr="00F230ED">
        <w:rPr>
          <w:sz w:val="24"/>
          <w:szCs w:val="24"/>
        </w:rPr>
        <w:t xml:space="preserve">. [online] Harvard Business School. Available at: </w:t>
      </w:r>
      <w:hyperlink r:id="rId60" w:history="1">
        <w:r w:rsidRPr="00F230ED">
          <w:rPr>
            <w:sz w:val="24"/>
            <w:szCs w:val="24"/>
          </w:rPr>
          <w:t>https://online.hbs.edu/blog/post/how-to-read-a-cash-flow-statement</w:t>
        </w:r>
      </w:hyperlink>
      <w:r w:rsidRPr="00F230ED">
        <w:rPr>
          <w:sz w:val="24"/>
          <w:szCs w:val="24"/>
        </w:rPr>
        <w:t xml:space="preserve"> (Accessed: 26 January 2026).</w:t>
      </w:r>
    </w:p>
    <w:p w14:paraId="676F0A1E" w14:textId="77777777" w:rsidR="00415F7C" w:rsidRPr="00F230ED" w:rsidRDefault="00415F7C" w:rsidP="00415F7C">
      <w:pPr>
        <w:adjustRightInd w:val="0"/>
        <w:spacing w:after="240" w:line="360" w:lineRule="auto"/>
        <w:rPr>
          <w:sz w:val="24"/>
          <w:szCs w:val="24"/>
        </w:rPr>
      </w:pPr>
      <w:r w:rsidRPr="00F230ED">
        <w:rPr>
          <w:sz w:val="24"/>
          <w:szCs w:val="24"/>
        </w:rPr>
        <w:t xml:space="preserve">Taylor, S. and Woodhams, C. (2022a). </w:t>
      </w:r>
      <w:r w:rsidRPr="00F230ED">
        <w:rPr>
          <w:i/>
          <w:iCs/>
          <w:sz w:val="24"/>
          <w:szCs w:val="24"/>
        </w:rPr>
        <w:t>Human resource management: people and organisations</w:t>
      </w:r>
      <w:r w:rsidRPr="00F230ED">
        <w:rPr>
          <w:sz w:val="24"/>
          <w:szCs w:val="24"/>
        </w:rPr>
        <w:t>. 3rd ed. New York, Ny: Kogan Page Inc.</w:t>
      </w:r>
    </w:p>
    <w:p w14:paraId="29E40B60" w14:textId="77777777" w:rsidR="00415F7C" w:rsidRPr="00F230ED" w:rsidRDefault="00415F7C" w:rsidP="00415F7C">
      <w:pPr>
        <w:adjustRightInd w:val="0"/>
        <w:spacing w:after="240" w:line="360" w:lineRule="auto"/>
        <w:rPr>
          <w:sz w:val="24"/>
          <w:szCs w:val="24"/>
        </w:rPr>
      </w:pPr>
      <w:r w:rsidRPr="00F230ED">
        <w:rPr>
          <w:sz w:val="24"/>
          <w:szCs w:val="24"/>
        </w:rPr>
        <w:t xml:space="preserve">Taylor, S. and Woodhams, C. (2022b). </w:t>
      </w:r>
      <w:r w:rsidRPr="00F230ED">
        <w:rPr>
          <w:i/>
          <w:iCs/>
          <w:sz w:val="24"/>
          <w:szCs w:val="24"/>
        </w:rPr>
        <w:t>Studying Human Resource Management a Guide to the Study, Context and Practice of HR</w:t>
      </w:r>
      <w:r w:rsidRPr="00F230ED">
        <w:rPr>
          <w:sz w:val="24"/>
          <w:szCs w:val="24"/>
        </w:rPr>
        <w:t>. 3rd ed. Kogan Page.</w:t>
      </w:r>
    </w:p>
    <w:p w14:paraId="2C9519A0" w14:textId="77777777" w:rsidR="00415F7C" w:rsidRPr="00F230ED" w:rsidRDefault="00415F7C" w:rsidP="00415F7C">
      <w:pPr>
        <w:adjustRightInd w:val="0"/>
        <w:spacing w:after="240" w:line="360" w:lineRule="auto"/>
        <w:rPr>
          <w:sz w:val="24"/>
          <w:szCs w:val="24"/>
        </w:rPr>
      </w:pPr>
      <w:r w:rsidRPr="00F230ED">
        <w:rPr>
          <w:sz w:val="24"/>
          <w:szCs w:val="24"/>
        </w:rPr>
        <w:t xml:space="preserve">UK Salary Calculator (2025). </w:t>
      </w:r>
      <w:r w:rsidRPr="00F230ED">
        <w:rPr>
          <w:i/>
          <w:iCs/>
          <w:sz w:val="24"/>
          <w:szCs w:val="24"/>
        </w:rPr>
        <w:t>UK Salary Calculator</w:t>
      </w:r>
      <w:r w:rsidRPr="00F230ED">
        <w:rPr>
          <w:sz w:val="24"/>
          <w:szCs w:val="24"/>
        </w:rPr>
        <w:t xml:space="preserve">. [online] Salary-calc.uk. Available at: </w:t>
      </w:r>
      <w:hyperlink r:id="rId61" w:history="1">
        <w:r w:rsidRPr="00F230ED">
          <w:rPr>
            <w:sz w:val="24"/>
            <w:szCs w:val="24"/>
          </w:rPr>
          <w:t>https://salary-calc.uk/calculators/salary-to-hourly/</w:t>
        </w:r>
      </w:hyperlink>
      <w:r w:rsidRPr="00F230ED">
        <w:rPr>
          <w:sz w:val="24"/>
          <w:szCs w:val="24"/>
        </w:rPr>
        <w:t xml:space="preserve"> (Accessed: 16 January 2026).</w:t>
      </w:r>
    </w:p>
    <w:p w14:paraId="28BB4133" w14:textId="6F04C7FE" w:rsidR="00415F7C" w:rsidRPr="00F230ED" w:rsidRDefault="00415F7C" w:rsidP="00415F7C">
      <w:pPr>
        <w:rPr>
          <w:sz w:val="24"/>
          <w:szCs w:val="24"/>
        </w:rPr>
      </w:pPr>
      <w:r w:rsidRPr="00F230ED">
        <w:rPr>
          <w:sz w:val="24"/>
          <w:szCs w:val="24"/>
        </w:rPr>
        <w:t xml:space="preserve">Waite, K., Beevers, K., Small, N., Tomlinson, K. and Hussain, S. (2021). </w:t>
      </w:r>
      <w:r w:rsidRPr="00F230ED">
        <w:rPr>
          <w:i/>
          <w:iCs/>
          <w:sz w:val="24"/>
          <w:szCs w:val="24"/>
        </w:rPr>
        <w:t>People practice: a complete guide</w:t>
      </w:r>
      <w:r w:rsidRPr="00F230ED">
        <w:rPr>
          <w:sz w:val="24"/>
          <w:szCs w:val="24"/>
        </w:rPr>
        <w:t>. London, United Kingdom: Kogan Page</w:t>
      </w:r>
    </w:p>
    <w:sectPr w:rsidR="00415F7C" w:rsidRPr="00F230ED">
      <w:pgSz w:w="12240" w:h="15840"/>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DengXian">
    <w:altName w:val="等线"/>
    <w:panose1 w:val="02010600030101010101"/>
    <w:charset w:val="86"/>
    <w:family w:val="auto"/>
    <w:pitch w:val="variable"/>
    <w:sig w:usb0="A00002BF" w:usb1="38CF7CFA" w:usb2="00000016" w:usb3="00000000" w:csb0="0004000F" w:csb1="00000000"/>
  </w:font>
  <w:font w:name="Arial">
    <w:panose1 w:val="020B0604020202020204"/>
    <w:charset w:val="00"/>
    <w:family w:val="swiss"/>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DengXian Light">
    <w:altName w:val="等线 Light"/>
    <w:panose1 w:val="02010600030101010101"/>
    <w:charset w:val="86"/>
    <w:family w:val="auto"/>
    <w:pitch w:val="variable"/>
    <w:sig w:usb0="A00002BF" w:usb1="38CF7CFA" w:usb2="00000016" w:usb3="00000000" w:csb0="0004000F" w:csb1="00000000"/>
  </w:font>
  <w:font w:name="Microsoft YaHei">
    <w:panose1 w:val="020B0503020204020204"/>
    <w:charset w:val="86"/>
    <w:family w:val="swiss"/>
    <w:pitch w:val="variable"/>
    <w:sig w:usb0="80000287" w:usb1="2ACF3C50" w:usb2="00000016" w:usb3="00000000" w:csb0="0004001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127F5085"/>
    <w:multiLevelType w:val="hybridMultilevel"/>
    <w:tmpl w:val="689CCA08"/>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 w15:restartNumberingAfterBreak="0">
    <w:nsid w:val="1BED1AD4"/>
    <w:multiLevelType w:val="hybridMultilevel"/>
    <w:tmpl w:val="DF961A7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4016511B"/>
    <w:multiLevelType w:val="hybridMultilevel"/>
    <w:tmpl w:val="7FDC8998"/>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3" w15:restartNumberingAfterBreak="0">
    <w:nsid w:val="484E0DBC"/>
    <w:multiLevelType w:val="hybridMultilevel"/>
    <w:tmpl w:val="52F4EACC"/>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4" w15:restartNumberingAfterBreak="0">
    <w:nsid w:val="5CE0582D"/>
    <w:multiLevelType w:val="hybridMultilevel"/>
    <w:tmpl w:val="5248FFE2"/>
    <w:lvl w:ilvl="0" w:tplc="0409000F">
      <w:start w:val="1"/>
      <w:numFmt w:val="decimal"/>
      <w:lvlText w:val="%1."/>
      <w:lvlJc w:val="left"/>
      <w:pPr>
        <w:ind w:left="360" w:hanging="360"/>
      </w:pPr>
      <w:rPr>
        <w:rFonts w:hint="default"/>
      </w:rPr>
    </w:lvl>
    <w:lvl w:ilvl="1" w:tplc="04090003" w:tentative="1">
      <w:start w:val="1"/>
      <w:numFmt w:val="bullet"/>
      <w:lvlText w:val="o"/>
      <w:lvlJc w:val="left"/>
      <w:pPr>
        <w:ind w:left="1080" w:hanging="360"/>
      </w:pPr>
      <w:rPr>
        <w:rFonts w:ascii="Courier New" w:hAnsi="Courier New" w:cs="Courier New" w:hint="default"/>
      </w:rPr>
    </w:lvl>
    <w:lvl w:ilvl="2" w:tplc="04090005" w:tentative="1">
      <w:start w:val="1"/>
      <w:numFmt w:val="bullet"/>
      <w:lvlText w:val=""/>
      <w:lvlJc w:val="left"/>
      <w:pPr>
        <w:ind w:left="1800" w:hanging="360"/>
      </w:pPr>
      <w:rPr>
        <w:rFonts w:ascii="Wingdings" w:hAnsi="Wingdings" w:hint="default"/>
      </w:rPr>
    </w:lvl>
    <w:lvl w:ilvl="3" w:tplc="04090001" w:tentative="1">
      <w:start w:val="1"/>
      <w:numFmt w:val="bullet"/>
      <w:lvlText w:val=""/>
      <w:lvlJc w:val="left"/>
      <w:pPr>
        <w:ind w:left="2520" w:hanging="360"/>
      </w:pPr>
      <w:rPr>
        <w:rFonts w:ascii="Symbol" w:hAnsi="Symbol" w:hint="default"/>
      </w:rPr>
    </w:lvl>
    <w:lvl w:ilvl="4" w:tplc="04090003" w:tentative="1">
      <w:start w:val="1"/>
      <w:numFmt w:val="bullet"/>
      <w:lvlText w:val="o"/>
      <w:lvlJc w:val="left"/>
      <w:pPr>
        <w:ind w:left="3240" w:hanging="360"/>
      </w:pPr>
      <w:rPr>
        <w:rFonts w:ascii="Courier New" w:hAnsi="Courier New" w:cs="Courier New" w:hint="default"/>
      </w:rPr>
    </w:lvl>
    <w:lvl w:ilvl="5" w:tplc="04090005" w:tentative="1">
      <w:start w:val="1"/>
      <w:numFmt w:val="bullet"/>
      <w:lvlText w:val=""/>
      <w:lvlJc w:val="left"/>
      <w:pPr>
        <w:ind w:left="3960" w:hanging="360"/>
      </w:pPr>
      <w:rPr>
        <w:rFonts w:ascii="Wingdings" w:hAnsi="Wingdings" w:hint="default"/>
      </w:rPr>
    </w:lvl>
    <w:lvl w:ilvl="6" w:tplc="04090001" w:tentative="1">
      <w:start w:val="1"/>
      <w:numFmt w:val="bullet"/>
      <w:lvlText w:val=""/>
      <w:lvlJc w:val="left"/>
      <w:pPr>
        <w:ind w:left="4680" w:hanging="360"/>
      </w:pPr>
      <w:rPr>
        <w:rFonts w:ascii="Symbol" w:hAnsi="Symbol" w:hint="default"/>
      </w:rPr>
    </w:lvl>
    <w:lvl w:ilvl="7" w:tplc="04090003" w:tentative="1">
      <w:start w:val="1"/>
      <w:numFmt w:val="bullet"/>
      <w:lvlText w:val="o"/>
      <w:lvlJc w:val="left"/>
      <w:pPr>
        <w:ind w:left="5400" w:hanging="360"/>
      </w:pPr>
      <w:rPr>
        <w:rFonts w:ascii="Courier New" w:hAnsi="Courier New" w:cs="Courier New" w:hint="default"/>
      </w:rPr>
    </w:lvl>
    <w:lvl w:ilvl="8" w:tplc="04090005" w:tentative="1">
      <w:start w:val="1"/>
      <w:numFmt w:val="bullet"/>
      <w:lvlText w:val=""/>
      <w:lvlJc w:val="left"/>
      <w:pPr>
        <w:ind w:left="6120" w:hanging="360"/>
      </w:pPr>
      <w:rPr>
        <w:rFonts w:ascii="Wingdings" w:hAnsi="Wingdings" w:hint="default"/>
      </w:rPr>
    </w:lvl>
  </w:abstractNum>
  <w:num w:numId="1" w16cid:durableId="831261997">
    <w:abstractNumId w:val="1"/>
  </w:num>
  <w:num w:numId="2" w16cid:durableId="18244127">
    <w:abstractNumId w:val="0"/>
  </w:num>
  <w:num w:numId="3" w16cid:durableId="1106777807">
    <w:abstractNumId w:val="2"/>
  </w:num>
  <w:num w:numId="4" w16cid:durableId="1323042337">
    <w:abstractNumId w:val="3"/>
  </w:num>
  <w:num w:numId="5" w16cid:durableId="1459228264">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80DB3"/>
    <w:rsid w:val="000128E6"/>
    <w:rsid w:val="0002014E"/>
    <w:rsid w:val="0002154D"/>
    <w:rsid w:val="0002226A"/>
    <w:rsid w:val="000230B3"/>
    <w:rsid w:val="000237F0"/>
    <w:rsid w:val="00030BD1"/>
    <w:rsid w:val="00043BA0"/>
    <w:rsid w:val="00043C26"/>
    <w:rsid w:val="00047754"/>
    <w:rsid w:val="00062DBB"/>
    <w:rsid w:val="00067158"/>
    <w:rsid w:val="00075162"/>
    <w:rsid w:val="0007543F"/>
    <w:rsid w:val="0007639D"/>
    <w:rsid w:val="00077BFF"/>
    <w:rsid w:val="00080104"/>
    <w:rsid w:val="00083AB4"/>
    <w:rsid w:val="00083BD5"/>
    <w:rsid w:val="00086774"/>
    <w:rsid w:val="000906E6"/>
    <w:rsid w:val="00091C87"/>
    <w:rsid w:val="00093B78"/>
    <w:rsid w:val="000A68B9"/>
    <w:rsid w:val="000B15A6"/>
    <w:rsid w:val="000B4897"/>
    <w:rsid w:val="000C52FB"/>
    <w:rsid w:val="000D6313"/>
    <w:rsid w:val="000D6F7B"/>
    <w:rsid w:val="000E1BB0"/>
    <w:rsid w:val="000E1E33"/>
    <w:rsid w:val="000E3415"/>
    <w:rsid w:val="000E47E6"/>
    <w:rsid w:val="000F47C7"/>
    <w:rsid w:val="000F49E7"/>
    <w:rsid w:val="00105DD2"/>
    <w:rsid w:val="00107659"/>
    <w:rsid w:val="001079B1"/>
    <w:rsid w:val="001102AF"/>
    <w:rsid w:val="00110DF0"/>
    <w:rsid w:val="00112230"/>
    <w:rsid w:val="00112255"/>
    <w:rsid w:val="001129CC"/>
    <w:rsid w:val="00116BA2"/>
    <w:rsid w:val="00117E7D"/>
    <w:rsid w:val="001229DA"/>
    <w:rsid w:val="00125C85"/>
    <w:rsid w:val="001311B7"/>
    <w:rsid w:val="00132334"/>
    <w:rsid w:val="00136FCF"/>
    <w:rsid w:val="00137BAC"/>
    <w:rsid w:val="00140D0E"/>
    <w:rsid w:val="001418CB"/>
    <w:rsid w:val="00141925"/>
    <w:rsid w:val="001428BB"/>
    <w:rsid w:val="00144C0D"/>
    <w:rsid w:val="00146FF6"/>
    <w:rsid w:val="00147A81"/>
    <w:rsid w:val="0015368C"/>
    <w:rsid w:val="001559DD"/>
    <w:rsid w:val="00155B4D"/>
    <w:rsid w:val="00156BC9"/>
    <w:rsid w:val="00161BC3"/>
    <w:rsid w:val="00161F73"/>
    <w:rsid w:val="00162EB8"/>
    <w:rsid w:val="0016474E"/>
    <w:rsid w:val="00174BBD"/>
    <w:rsid w:val="00175A11"/>
    <w:rsid w:val="0017755E"/>
    <w:rsid w:val="00177599"/>
    <w:rsid w:val="00186779"/>
    <w:rsid w:val="00190B40"/>
    <w:rsid w:val="00196BD5"/>
    <w:rsid w:val="00197C1C"/>
    <w:rsid w:val="001A0042"/>
    <w:rsid w:val="001A1CF8"/>
    <w:rsid w:val="001A3039"/>
    <w:rsid w:val="001A4865"/>
    <w:rsid w:val="001B274E"/>
    <w:rsid w:val="001B5F99"/>
    <w:rsid w:val="001B662E"/>
    <w:rsid w:val="001C3639"/>
    <w:rsid w:val="001C5E19"/>
    <w:rsid w:val="001C6288"/>
    <w:rsid w:val="001C68B3"/>
    <w:rsid w:val="001D19E1"/>
    <w:rsid w:val="001D36B8"/>
    <w:rsid w:val="001D491A"/>
    <w:rsid w:val="001D66F0"/>
    <w:rsid w:val="001D7A6D"/>
    <w:rsid w:val="001E04A5"/>
    <w:rsid w:val="001E18A4"/>
    <w:rsid w:val="001E2ABE"/>
    <w:rsid w:val="001E7550"/>
    <w:rsid w:val="001F00AA"/>
    <w:rsid w:val="001F049E"/>
    <w:rsid w:val="001F0A1B"/>
    <w:rsid w:val="001F1568"/>
    <w:rsid w:val="001F194B"/>
    <w:rsid w:val="001F2E64"/>
    <w:rsid w:val="001F4609"/>
    <w:rsid w:val="001F597A"/>
    <w:rsid w:val="00200966"/>
    <w:rsid w:val="0021055C"/>
    <w:rsid w:val="00210C68"/>
    <w:rsid w:val="00211182"/>
    <w:rsid w:val="00221A86"/>
    <w:rsid w:val="00222507"/>
    <w:rsid w:val="00225639"/>
    <w:rsid w:val="00225D66"/>
    <w:rsid w:val="002358BF"/>
    <w:rsid w:val="002366F5"/>
    <w:rsid w:val="00240E47"/>
    <w:rsid w:val="00241172"/>
    <w:rsid w:val="0024496A"/>
    <w:rsid w:val="002456FD"/>
    <w:rsid w:val="00251990"/>
    <w:rsid w:val="00252E30"/>
    <w:rsid w:val="00254D97"/>
    <w:rsid w:val="00256B8A"/>
    <w:rsid w:val="00264394"/>
    <w:rsid w:val="002802EE"/>
    <w:rsid w:val="0028050A"/>
    <w:rsid w:val="002805ED"/>
    <w:rsid w:val="00280DB3"/>
    <w:rsid w:val="002829A7"/>
    <w:rsid w:val="0028497A"/>
    <w:rsid w:val="00287D5B"/>
    <w:rsid w:val="002914C1"/>
    <w:rsid w:val="0029750C"/>
    <w:rsid w:val="002B109C"/>
    <w:rsid w:val="002B21B2"/>
    <w:rsid w:val="002B52E8"/>
    <w:rsid w:val="002B542E"/>
    <w:rsid w:val="002B73C8"/>
    <w:rsid w:val="002C1FAA"/>
    <w:rsid w:val="002C56B3"/>
    <w:rsid w:val="002C5CE1"/>
    <w:rsid w:val="002D54A9"/>
    <w:rsid w:val="002D5793"/>
    <w:rsid w:val="002D7AC7"/>
    <w:rsid w:val="002D7D92"/>
    <w:rsid w:val="002E3FE1"/>
    <w:rsid w:val="002E42D9"/>
    <w:rsid w:val="002F08F6"/>
    <w:rsid w:val="002F4697"/>
    <w:rsid w:val="002F5045"/>
    <w:rsid w:val="002F7B72"/>
    <w:rsid w:val="00303D78"/>
    <w:rsid w:val="00304F57"/>
    <w:rsid w:val="00316D0A"/>
    <w:rsid w:val="003177C7"/>
    <w:rsid w:val="003234FC"/>
    <w:rsid w:val="00324A15"/>
    <w:rsid w:val="003277FB"/>
    <w:rsid w:val="00327B23"/>
    <w:rsid w:val="003312BD"/>
    <w:rsid w:val="00331552"/>
    <w:rsid w:val="0033469D"/>
    <w:rsid w:val="003348B4"/>
    <w:rsid w:val="00334F5C"/>
    <w:rsid w:val="003365C8"/>
    <w:rsid w:val="003447F2"/>
    <w:rsid w:val="00351CB8"/>
    <w:rsid w:val="00354C6B"/>
    <w:rsid w:val="003649E7"/>
    <w:rsid w:val="00366DD0"/>
    <w:rsid w:val="00372987"/>
    <w:rsid w:val="003745EE"/>
    <w:rsid w:val="00374897"/>
    <w:rsid w:val="00382EFA"/>
    <w:rsid w:val="00385342"/>
    <w:rsid w:val="00387CCC"/>
    <w:rsid w:val="00390AA6"/>
    <w:rsid w:val="00394276"/>
    <w:rsid w:val="00394CFD"/>
    <w:rsid w:val="003963D3"/>
    <w:rsid w:val="003979BB"/>
    <w:rsid w:val="003A761E"/>
    <w:rsid w:val="003B117F"/>
    <w:rsid w:val="003B1A38"/>
    <w:rsid w:val="003B1C45"/>
    <w:rsid w:val="003C026A"/>
    <w:rsid w:val="003C1063"/>
    <w:rsid w:val="003C1452"/>
    <w:rsid w:val="003C182C"/>
    <w:rsid w:val="003C5006"/>
    <w:rsid w:val="003C55BF"/>
    <w:rsid w:val="003C73AE"/>
    <w:rsid w:val="003C76C4"/>
    <w:rsid w:val="003C7ACD"/>
    <w:rsid w:val="003D018D"/>
    <w:rsid w:val="003D4A23"/>
    <w:rsid w:val="003D5B8E"/>
    <w:rsid w:val="003D65B9"/>
    <w:rsid w:val="003E10BC"/>
    <w:rsid w:val="003E45F8"/>
    <w:rsid w:val="003F4A56"/>
    <w:rsid w:val="003F4BF0"/>
    <w:rsid w:val="003F58E2"/>
    <w:rsid w:val="003F6275"/>
    <w:rsid w:val="004021E5"/>
    <w:rsid w:val="00412FDB"/>
    <w:rsid w:val="00412FF4"/>
    <w:rsid w:val="004131B7"/>
    <w:rsid w:val="00415A31"/>
    <w:rsid w:val="00415C22"/>
    <w:rsid w:val="00415F7C"/>
    <w:rsid w:val="0042073A"/>
    <w:rsid w:val="00422CD2"/>
    <w:rsid w:val="00430CF6"/>
    <w:rsid w:val="004315DB"/>
    <w:rsid w:val="00435F9F"/>
    <w:rsid w:val="00437FBB"/>
    <w:rsid w:val="0044110B"/>
    <w:rsid w:val="004413BA"/>
    <w:rsid w:val="004423CC"/>
    <w:rsid w:val="00443432"/>
    <w:rsid w:val="004452B6"/>
    <w:rsid w:val="00446A27"/>
    <w:rsid w:val="004479E0"/>
    <w:rsid w:val="00452808"/>
    <w:rsid w:val="004561E5"/>
    <w:rsid w:val="00457C6A"/>
    <w:rsid w:val="0046147C"/>
    <w:rsid w:val="004653BC"/>
    <w:rsid w:val="00470599"/>
    <w:rsid w:val="0047184D"/>
    <w:rsid w:val="00475513"/>
    <w:rsid w:val="0047746C"/>
    <w:rsid w:val="00482A1D"/>
    <w:rsid w:val="00485047"/>
    <w:rsid w:val="00494D5D"/>
    <w:rsid w:val="004955E5"/>
    <w:rsid w:val="004A0FAA"/>
    <w:rsid w:val="004A0FEC"/>
    <w:rsid w:val="004A5579"/>
    <w:rsid w:val="004A7DA7"/>
    <w:rsid w:val="004B00D9"/>
    <w:rsid w:val="004B3FA5"/>
    <w:rsid w:val="004B4416"/>
    <w:rsid w:val="004C0041"/>
    <w:rsid w:val="004C304D"/>
    <w:rsid w:val="004C3F06"/>
    <w:rsid w:val="004D10C6"/>
    <w:rsid w:val="004D3F68"/>
    <w:rsid w:val="004D7A55"/>
    <w:rsid w:val="004E00F3"/>
    <w:rsid w:val="004E26CC"/>
    <w:rsid w:val="004E75C3"/>
    <w:rsid w:val="004F0CB0"/>
    <w:rsid w:val="004F204E"/>
    <w:rsid w:val="004F48A6"/>
    <w:rsid w:val="00503176"/>
    <w:rsid w:val="00505645"/>
    <w:rsid w:val="00514386"/>
    <w:rsid w:val="005209E5"/>
    <w:rsid w:val="00523067"/>
    <w:rsid w:val="00527250"/>
    <w:rsid w:val="00531C8A"/>
    <w:rsid w:val="00531CB1"/>
    <w:rsid w:val="005328A3"/>
    <w:rsid w:val="005419C8"/>
    <w:rsid w:val="00546889"/>
    <w:rsid w:val="0054703E"/>
    <w:rsid w:val="00552143"/>
    <w:rsid w:val="00552DC8"/>
    <w:rsid w:val="00553E16"/>
    <w:rsid w:val="0055450B"/>
    <w:rsid w:val="00557EE9"/>
    <w:rsid w:val="005625D7"/>
    <w:rsid w:val="005627DB"/>
    <w:rsid w:val="00562CAF"/>
    <w:rsid w:val="0056528B"/>
    <w:rsid w:val="0057081E"/>
    <w:rsid w:val="0057106B"/>
    <w:rsid w:val="00572B58"/>
    <w:rsid w:val="005749A4"/>
    <w:rsid w:val="0057596A"/>
    <w:rsid w:val="0057666E"/>
    <w:rsid w:val="00576CAB"/>
    <w:rsid w:val="00584270"/>
    <w:rsid w:val="00592D5F"/>
    <w:rsid w:val="00595813"/>
    <w:rsid w:val="005A306D"/>
    <w:rsid w:val="005A754C"/>
    <w:rsid w:val="005A7B5A"/>
    <w:rsid w:val="005B17B5"/>
    <w:rsid w:val="005B181B"/>
    <w:rsid w:val="005C20BC"/>
    <w:rsid w:val="005C4B9D"/>
    <w:rsid w:val="005C56B2"/>
    <w:rsid w:val="005C5DEE"/>
    <w:rsid w:val="005C6E65"/>
    <w:rsid w:val="005D0B69"/>
    <w:rsid w:val="005D1ACE"/>
    <w:rsid w:val="005D3457"/>
    <w:rsid w:val="005D403C"/>
    <w:rsid w:val="005D7D28"/>
    <w:rsid w:val="005E3486"/>
    <w:rsid w:val="005E52EA"/>
    <w:rsid w:val="005F12BD"/>
    <w:rsid w:val="005F23A8"/>
    <w:rsid w:val="005F5C1C"/>
    <w:rsid w:val="005F7783"/>
    <w:rsid w:val="005F7887"/>
    <w:rsid w:val="006016C8"/>
    <w:rsid w:val="0060596A"/>
    <w:rsid w:val="0060663E"/>
    <w:rsid w:val="00606E33"/>
    <w:rsid w:val="00607180"/>
    <w:rsid w:val="00612C49"/>
    <w:rsid w:val="006151D4"/>
    <w:rsid w:val="00616C65"/>
    <w:rsid w:val="00622C51"/>
    <w:rsid w:val="0062730A"/>
    <w:rsid w:val="006276B4"/>
    <w:rsid w:val="00633E30"/>
    <w:rsid w:val="006366DB"/>
    <w:rsid w:val="00637939"/>
    <w:rsid w:val="00642F05"/>
    <w:rsid w:val="006448C6"/>
    <w:rsid w:val="006521B8"/>
    <w:rsid w:val="00652DFB"/>
    <w:rsid w:val="0065338E"/>
    <w:rsid w:val="00655579"/>
    <w:rsid w:val="00663889"/>
    <w:rsid w:val="0066395C"/>
    <w:rsid w:val="0066551D"/>
    <w:rsid w:val="00666E9E"/>
    <w:rsid w:val="0066767A"/>
    <w:rsid w:val="00670AFD"/>
    <w:rsid w:val="00670EF9"/>
    <w:rsid w:val="0067118A"/>
    <w:rsid w:val="00671906"/>
    <w:rsid w:val="00682388"/>
    <w:rsid w:val="00687C96"/>
    <w:rsid w:val="00692375"/>
    <w:rsid w:val="006927BF"/>
    <w:rsid w:val="00693213"/>
    <w:rsid w:val="00693401"/>
    <w:rsid w:val="006934EC"/>
    <w:rsid w:val="006B1AF3"/>
    <w:rsid w:val="006B216F"/>
    <w:rsid w:val="006C1BD5"/>
    <w:rsid w:val="006C4713"/>
    <w:rsid w:val="006D147B"/>
    <w:rsid w:val="006D2117"/>
    <w:rsid w:val="006D2507"/>
    <w:rsid w:val="006D6FB6"/>
    <w:rsid w:val="006E000D"/>
    <w:rsid w:val="006E0608"/>
    <w:rsid w:val="006E28BB"/>
    <w:rsid w:val="006E4F31"/>
    <w:rsid w:val="006F0BBE"/>
    <w:rsid w:val="006F4272"/>
    <w:rsid w:val="006F4778"/>
    <w:rsid w:val="00700207"/>
    <w:rsid w:val="007016B2"/>
    <w:rsid w:val="00703AEC"/>
    <w:rsid w:val="0070472E"/>
    <w:rsid w:val="007163D2"/>
    <w:rsid w:val="00717029"/>
    <w:rsid w:val="007232D0"/>
    <w:rsid w:val="0072342D"/>
    <w:rsid w:val="00727489"/>
    <w:rsid w:val="007275D2"/>
    <w:rsid w:val="00727AD3"/>
    <w:rsid w:val="0073129B"/>
    <w:rsid w:val="00731BBD"/>
    <w:rsid w:val="00737157"/>
    <w:rsid w:val="0074041C"/>
    <w:rsid w:val="0075243B"/>
    <w:rsid w:val="00752EC8"/>
    <w:rsid w:val="00756CF8"/>
    <w:rsid w:val="007574F5"/>
    <w:rsid w:val="007608FE"/>
    <w:rsid w:val="0076267B"/>
    <w:rsid w:val="00765CB8"/>
    <w:rsid w:val="00767D8E"/>
    <w:rsid w:val="00773DD1"/>
    <w:rsid w:val="007754A0"/>
    <w:rsid w:val="00775C82"/>
    <w:rsid w:val="007763A2"/>
    <w:rsid w:val="0077667F"/>
    <w:rsid w:val="007768F0"/>
    <w:rsid w:val="0078321A"/>
    <w:rsid w:val="00785D93"/>
    <w:rsid w:val="0078611C"/>
    <w:rsid w:val="007926DA"/>
    <w:rsid w:val="0079644C"/>
    <w:rsid w:val="007A372C"/>
    <w:rsid w:val="007A3DCE"/>
    <w:rsid w:val="007A58C0"/>
    <w:rsid w:val="007B11CF"/>
    <w:rsid w:val="007B5BDA"/>
    <w:rsid w:val="007B727D"/>
    <w:rsid w:val="007C09DC"/>
    <w:rsid w:val="007C2931"/>
    <w:rsid w:val="007C4C3F"/>
    <w:rsid w:val="007D0382"/>
    <w:rsid w:val="007D1AED"/>
    <w:rsid w:val="007D27C8"/>
    <w:rsid w:val="007D41A8"/>
    <w:rsid w:val="007E1601"/>
    <w:rsid w:val="007F0E7F"/>
    <w:rsid w:val="007F59FA"/>
    <w:rsid w:val="007F5D8C"/>
    <w:rsid w:val="007F779A"/>
    <w:rsid w:val="00800793"/>
    <w:rsid w:val="00802351"/>
    <w:rsid w:val="0080571F"/>
    <w:rsid w:val="008153C9"/>
    <w:rsid w:val="00823CE1"/>
    <w:rsid w:val="0082500D"/>
    <w:rsid w:val="00825CCE"/>
    <w:rsid w:val="00826DE7"/>
    <w:rsid w:val="008307C5"/>
    <w:rsid w:val="00830C46"/>
    <w:rsid w:val="00830DA0"/>
    <w:rsid w:val="008328FE"/>
    <w:rsid w:val="00836579"/>
    <w:rsid w:val="00843FD7"/>
    <w:rsid w:val="008553BF"/>
    <w:rsid w:val="00855562"/>
    <w:rsid w:val="00861B9E"/>
    <w:rsid w:val="008621F3"/>
    <w:rsid w:val="00867153"/>
    <w:rsid w:val="00882B47"/>
    <w:rsid w:val="00884986"/>
    <w:rsid w:val="008900FA"/>
    <w:rsid w:val="008A4B65"/>
    <w:rsid w:val="008A6E3A"/>
    <w:rsid w:val="008B6287"/>
    <w:rsid w:val="008B6B9A"/>
    <w:rsid w:val="008B76D0"/>
    <w:rsid w:val="008C2D25"/>
    <w:rsid w:val="008C42E8"/>
    <w:rsid w:val="008D3213"/>
    <w:rsid w:val="008E05C1"/>
    <w:rsid w:val="008E1A51"/>
    <w:rsid w:val="008E32EE"/>
    <w:rsid w:val="008E6DE6"/>
    <w:rsid w:val="008F0466"/>
    <w:rsid w:val="008F1F50"/>
    <w:rsid w:val="008F2024"/>
    <w:rsid w:val="009017AE"/>
    <w:rsid w:val="009035EF"/>
    <w:rsid w:val="0091133D"/>
    <w:rsid w:val="00912A21"/>
    <w:rsid w:val="00913612"/>
    <w:rsid w:val="00917319"/>
    <w:rsid w:val="0092269D"/>
    <w:rsid w:val="00922727"/>
    <w:rsid w:val="00927C43"/>
    <w:rsid w:val="009303D3"/>
    <w:rsid w:val="009331DF"/>
    <w:rsid w:val="009432D9"/>
    <w:rsid w:val="0094352C"/>
    <w:rsid w:val="00954F9A"/>
    <w:rsid w:val="00957E8D"/>
    <w:rsid w:val="00960427"/>
    <w:rsid w:val="00976913"/>
    <w:rsid w:val="00977091"/>
    <w:rsid w:val="00980916"/>
    <w:rsid w:val="00980962"/>
    <w:rsid w:val="00981806"/>
    <w:rsid w:val="0098205B"/>
    <w:rsid w:val="00985768"/>
    <w:rsid w:val="00991FA2"/>
    <w:rsid w:val="009927C0"/>
    <w:rsid w:val="00992F66"/>
    <w:rsid w:val="009A4835"/>
    <w:rsid w:val="009A535E"/>
    <w:rsid w:val="009A5681"/>
    <w:rsid w:val="009A7F57"/>
    <w:rsid w:val="009B42FF"/>
    <w:rsid w:val="009C0680"/>
    <w:rsid w:val="009C5ABE"/>
    <w:rsid w:val="009C5BB8"/>
    <w:rsid w:val="009C7FB6"/>
    <w:rsid w:val="009D074C"/>
    <w:rsid w:val="009D105B"/>
    <w:rsid w:val="009D17A2"/>
    <w:rsid w:val="009D3E50"/>
    <w:rsid w:val="009D4EB5"/>
    <w:rsid w:val="009D5C63"/>
    <w:rsid w:val="009D5F2E"/>
    <w:rsid w:val="009E4F9B"/>
    <w:rsid w:val="009F25D3"/>
    <w:rsid w:val="009F2756"/>
    <w:rsid w:val="00A02CD0"/>
    <w:rsid w:val="00A1508B"/>
    <w:rsid w:val="00A15BBC"/>
    <w:rsid w:val="00A16A90"/>
    <w:rsid w:val="00A262BE"/>
    <w:rsid w:val="00A27BED"/>
    <w:rsid w:val="00A303E7"/>
    <w:rsid w:val="00A3353F"/>
    <w:rsid w:val="00A35EE1"/>
    <w:rsid w:val="00A37C81"/>
    <w:rsid w:val="00A412F2"/>
    <w:rsid w:val="00A44BE9"/>
    <w:rsid w:val="00A45620"/>
    <w:rsid w:val="00A46328"/>
    <w:rsid w:val="00A51336"/>
    <w:rsid w:val="00A51C6E"/>
    <w:rsid w:val="00A51D46"/>
    <w:rsid w:val="00A539C6"/>
    <w:rsid w:val="00A6101D"/>
    <w:rsid w:val="00A61730"/>
    <w:rsid w:val="00A6387B"/>
    <w:rsid w:val="00A84BFB"/>
    <w:rsid w:val="00A857FE"/>
    <w:rsid w:val="00A85874"/>
    <w:rsid w:val="00A8634D"/>
    <w:rsid w:val="00A87501"/>
    <w:rsid w:val="00A9142C"/>
    <w:rsid w:val="00A937A6"/>
    <w:rsid w:val="00AA0A24"/>
    <w:rsid w:val="00AA1526"/>
    <w:rsid w:val="00AA4B8E"/>
    <w:rsid w:val="00AA5B2E"/>
    <w:rsid w:val="00AB097E"/>
    <w:rsid w:val="00AB11F1"/>
    <w:rsid w:val="00AB4155"/>
    <w:rsid w:val="00AB509F"/>
    <w:rsid w:val="00AB69B2"/>
    <w:rsid w:val="00AB78DF"/>
    <w:rsid w:val="00AC1C9B"/>
    <w:rsid w:val="00AC3029"/>
    <w:rsid w:val="00AC7CC2"/>
    <w:rsid w:val="00AD1DB0"/>
    <w:rsid w:val="00AD545C"/>
    <w:rsid w:val="00AD73F6"/>
    <w:rsid w:val="00AF0920"/>
    <w:rsid w:val="00AF34C6"/>
    <w:rsid w:val="00AF5A3C"/>
    <w:rsid w:val="00AF6415"/>
    <w:rsid w:val="00AF6E64"/>
    <w:rsid w:val="00AF72A4"/>
    <w:rsid w:val="00AF7C0E"/>
    <w:rsid w:val="00B06492"/>
    <w:rsid w:val="00B06BE0"/>
    <w:rsid w:val="00B10F57"/>
    <w:rsid w:val="00B13D9F"/>
    <w:rsid w:val="00B13E5A"/>
    <w:rsid w:val="00B15127"/>
    <w:rsid w:val="00B15D4C"/>
    <w:rsid w:val="00B21F94"/>
    <w:rsid w:val="00B24928"/>
    <w:rsid w:val="00B3611C"/>
    <w:rsid w:val="00B46BD2"/>
    <w:rsid w:val="00B51214"/>
    <w:rsid w:val="00B5209C"/>
    <w:rsid w:val="00B5242A"/>
    <w:rsid w:val="00B53577"/>
    <w:rsid w:val="00B60FCA"/>
    <w:rsid w:val="00B61877"/>
    <w:rsid w:val="00B62CE3"/>
    <w:rsid w:val="00B67AE2"/>
    <w:rsid w:val="00B724AF"/>
    <w:rsid w:val="00B733FB"/>
    <w:rsid w:val="00B736DC"/>
    <w:rsid w:val="00B736F2"/>
    <w:rsid w:val="00B778A8"/>
    <w:rsid w:val="00B80E51"/>
    <w:rsid w:val="00B900F8"/>
    <w:rsid w:val="00B95032"/>
    <w:rsid w:val="00BA278E"/>
    <w:rsid w:val="00BA66E3"/>
    <w:rsid w:val="00BA6B66"/>
    <w:rsid w:val="00BB026B"/>
    <w:rsid w:val="00BB1D59"/>
    <w:rsid w:val="00BB2935"/>
    <w:rsid w:val="00BB30A9"/>
    <w:rsid w:val="00BB36E8"/>
    <w:rsid w:val="00BB65DB"/>
    <w:rsid w:val="00BB70AF"/>
    <w:rsid w:val="00BC0C2D"/>
    <w:rsid w:val="00BC20EE"/>
    <w:rsid w:val="00BC2F18"/>
    <w:rsid w:val="00BC4122"/>
    <w:rsid w:val="00BD3A49"/>
    <w:rsid w:val="00BD5D1C"/>
    <w:rsid w:val="00BE0BBB"/>
    <w:rsid w:val="00BE4CC7"/>
    <w:rsid w:val="00BE6B6D"/>
    <w:rsid w:val="00BF3D1F"/>
    <w:rsid w:val="00C02909"/>
    <w:rsid w:val="00C04694"/>
    <w:rsid w:val="00C143C0"/>
    <w:rsid w:val="00C14C74"/>
    <w:rsid w:val="00C22D5A"/>
    <w:rsid w:val="00C2450E"/>
    <w:rsid w:val="00C265CE"/>
    <w:rsid w:val="00C336C1"/>
    <w:rsid w:val="00C37937"/>
    <w:rsid w:val="00C429D7"/>
    <w:rsid w:val="00C45BF6"/>
    <w:rsid w:val="00C4735A"/>
    <w:rsid w:val="00C53E8B"/>
    <w:rsid w:val="00C548E9"/>
    <w:rsid w:val="00C55E86"/>
    <w:rsid w:val="00C56044"/>
    <w:rsid w:val="00C60078"/>
    <w:rsid w:val="00C67262"/>
    <w:rsid w:val="00C71EE7"/>
    <w:rsid w:val="00C735FF"/>
    <w:rsid w:val="00C73BF5"/>
    <w:rsid w:val="00C75EAE"/>
    <w:rsid w:val="00C76190"/>
    <w:rsid w:val="00C767F1"/>
    <w:rsid w:val="00C77A76"/>
    <w:rsid w:val="00C83657"/>
    <w:rsid w:val="00C85182"/>
    <w:rsid w:val="00C879C7"/>
    <w:rsid w:val="00C9613A"/>
    <w:rsid w:val="00CA0CAF"/>
    <w:rsid w:val="00CA177A"/>
    <w:rsid w:val="00CA36F1"/>
    <w:rsid w:val="00CA479A"/>
    <w:rsid w:val="00CB1936"/>
    <w:rsid w:val="00CB1EE0"/>
    <w:rsid w:val="00CB1FC8"/>
    <w:rsid w:val="00CB2BFA"/>
    <w:rsid w:val="00CB5B6B"/>
    <w:rsid w:val="00CB6951"/>
    <w:rsid w:val="00CB798E"/>
    <w:rsid w:val="00CC0578"/>
    <w:rsid w:val="00CC3330"/>
    <w:rsid w:val="00CC71AD"/>
    <w:rsid w:val="00CC7CE4"/>
    <w:rsid w:val="00CD4A62"/>
    <w:rsid w:val="00CD572E"/>
    <w:rsid w:val="00CD67A4"/>
    <w:rsid w:val="00CE0903"/>
    <w:rsid w:val="00CE22C1"/>
    <w:rsid w:val="00CE32C2"/>
    <w:rsid w:val="00CF0EB4"/>
    <w:rsid w:val="00CF1E81"/>
    <w:rsid w:val="00D02B53"/>
    <w:rsid w:val="00D03D96"/>
    <w:rsid w:val="00D045C8"/>
    <w:rsid w:val="00D04DBA"/>
    <w:rsid w:val="00D06E28"/>
    <w:rsid w:val="00D16D87"/>
    <w:rsid w:val="00D21D12"/>
    <w:rsid w:val="00D25E78"/>
    <w:rsid w:val="00D264C5"/>
    <w:rsid w:val="00D31286"/>
    <w:rsid w:val="00D33ED7"/>
    <w:rsid w:val="00D37B00"/>
    <w:rsid w:val="00D37CAC"/>
    <w:rsid w:val="00D4028D"/>
    <w:rsid w:val="00D405F4"/>
    <w:rsid w:val="00D45A7B"/>
    <w:rsid w:val="00D4791F"/>
    <w:rsid w:val="00D513E3"/>
    <w:rsid w:val="00D51939"/>
    <w:rsid w:val="00D52F4B"/>
    <w:rsid w:val="00D5543E"/>
    <w:rsid w:val="00D6383F"/>
    <w:rsid w:val="00D73726"/>
    <w:rsid w:val="00D7641D"/>
    <w:rsid w:val="00D9296F"/>
    <w:rsid w:val="00DA0498"/>
    <w:rsid w:val="00DA15EB"/>
    <w:rsid w:val="00DA532E"/>
    <w:rsid w:val="00DA6023"/>
    <w:rsid w:val="00DB0318"/>
    <w:rsid w:val="00DB1593"/>
    <w:rsid w:val="00DB2336"/>
    <w:rsid w:val="00DC197A"/>
    <w:rsid w:val="00DC238C"/>
    <w:rsid w:val="00DC2DF9"/>
    <w:rsid w:val="00DD2AF9"/>
    <w:rsid w:val="00DD2EDA"/>
    <w:rsid w:val="00DD2F37"/>
    <w:rsid w:val="00DE74C8"/>
    <w:rsid w:val="00DF02FB"/>
    <w:rsid w:val="00DF316A"/>
    <w:rsid w:val="00E04566"/>
    <w:rsid w:val="00E07A81"/>
    <w:rsid w:val="00E124FE"/>
    <w:rsid w:val="00E20A2A"/>
    <w:rsid w:val="00E276FC"/>
    <w:rsid w:val="00E30A04"/>
    <w:rsid w:val="00E31154"/>
    <w:rsid w:val="00E311C3"/>
    <w:rsid w:val="00E4204A"/>
    <w:rsid w:val="00E46FA6"/>
    <w:rsid w:val="00E470A8"/>
    <w:rsid w:val="00E53A9A"/>
    <w:rsid w:val="00E55DBF"/>
    <w:rsid w:val="00E60CAF"/>
    <w:rsid w:val="00E62FC4"/>
    <w:rsid w:val="00E636FD"/>
    <w:rsid w:val="00E65733"/>
    <w:rsid w:val="00E70A96"/>
    <w:rsid w:val="00E72A1B"/>
    <w:rsid w:val="00E8285E"/>
    <w:rsid w:val="00E91677"/>
    <w:rsid w:val="00E94E81"/>
    <w:rsid w:val="00EA0AE6"/>
    <w:rsid w:val="00EA0E4E"/>
    <w:rsid w:val="00EA11A2"/>
    <w:rsid w:val="00EA60AF"/>
    <w:rsid w:val="00EA7A87"/>
    <w:rsid w:val="00EB33DD"/>
    <w:rsid w:val="00EB7EE9"/>
    <w:rsid w:val="00EC0366"/>
    <w:rsid w:val="00ED0C38"/>
    <w:rsid w:val="00ED167A"/>
    <w:rsid w:val="00ED2696"/>
    <w:rsid w:val="00ED4E4A"/>
    <w:rsid w:val="00ED555D"/>
    <w:rsid w:val="00ED67E4"/>
    <w:rsid w:val="00ED77F2"/>
    <w:rsid w:val="00EE01B5"/>
    <w:rsid w:val="00EE0BF7"/>
    <w:rsid w:val="00EE7283"/>
    <w:rsid w:val="00EE79DC"/>
    <w:rsid w:val="00EE7C83"/>
    <w:rsid w:val="00EF3DB9"/>
    <w:rsid w:val="00EF67AC"/>
    <w:rsid w:val="00F00C5C"/>
    <w:rsid w:val="00F11181"/>
    <w:rsid w:val="00F1332E"/>
    <w:rsid w:val="00F14F52"/>
    <w:rsid w:val="00F179DC"/>
    <w:rsid w:val="00F230ED"/>
    <w:rsid w:val="00F23112"/>
    <w:rsid w:val="00F27F96"/>
    <w:rsid w:val="00F3007A"/>
    <w:rsid w:val="00F31B40"/>
    <w:rsid w:val="00F3222A"/>
    <w:rsid w:val="00F43CC3"/>
    <w:rsid w:val="00F44A17"/>
    <w:rsid w:val="00F6140C"/>
    <w:rsid w:val="00F61E40"/>
    <w:rsid w:val="00F626AC"/>
    <w:rsid w:val="00F6517C"/>
    <w:rsid w:val="00F7029A"/>
    <w:rsid w:val="00F71E97"/>
    <w:rsid w:val="00F760F9"/>
    <w:rsid w:val="00F76A4D"/>
    <w:rsid w:val="00F815FA"/>
    <w:rsid w:val="00F827B7"/>
    <w:rsid w:val="00F86BD1"/>
    <w:rsid w:val="00F91E97"/>
    <w:rsid w:val="00F929FF"/>
    <w:rsid w:val="00F942FB"/>
    <w:rsid w:val="00F94531"/>
    <w:rsid w:val="00F95736"/>
    <w:rsid w:val="00F97407"/>
    <w:rsid w:val="00FA032D"/>
    <w:rsid w:val="00FA17DA"/>
    <w:rsid w:val="00FA18A5"/>
    <w:rsid w:val="00FA270E"/>
    <w:rsid w:val="00FA2B61"/>
    <w:rsid w:val="00FA56AF"/>
    <w:rsid w:val="00FA666B"/>
    <w:rsid w:val="00FA67B8"/>
    <w:rsid w:val="00FB512F"/>
    <w:rsid w:val="00FB7919"/>
    <w:rsid w:val="00FC2A41"/>
    <w:rsid w:val="00FC2C81"/>
    <w:rsid w:val="00FC72CE"/>
    <w:rsid w:val="00FD020E"/>
    <w:rsid w:val="00FD2C62"/>
    <w:rsid w:val="00FD3A8B"/>
    <w:rsid w:val="00FD4311"/>
    <w:rsid w:val="00FE4D8A"/>
    <w:rsid w:val="00FE5D44"/>
    <w:rsid w:val="00FE702E"/>
    <w:rsid w:val="00FF125C"/>
    <w:rsid w:val="00FF1C22"/>
    <w:rsid w:val="00FF1E65"/>
    <w:rsid w:val="00FF39F8"/>
  </w:rsids>
  <m:mathPr>
    <m:mathFont m:val="Cambria Math"/>
    <m:brkBin m:val="before"/>
    <m:brkBinSub m:val="--"/>
    <m:smallFrac m:val="0"/>
    <m:dispDef/>
    <m:lMargin m:val="0"/>
    <m:rMargin m:val="0"/>
    <m:defJc m:val="centerGroup"/>
    <m:wrapIndent m:val="1440"/>
    <m:intLim m:val="subSup"/>
    <m:naryLim m:val="undOvr"/>
  </m:mathPr>
  <w:themeFontLang w:val="en-US"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FD32C37"/>
  <w15:chartTrackingRefBased/>
  <w15:docId w15:val="{1E44D8D0-2900-4F10-B7CF-BEDAFE32E45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4"/>
        <w:szCs w:val="24"/>
        <w:lang w:val="en-US" w:eastAsia="zh-CN"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iPriority="1" w:unhideWhenUsed="1" w:qFormat="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280DB3"/>
    <w:pPr>
      <w:widowControl w:val="0"/>
      <w:autoSpaceDE w:val="0"/>
      <w:autoSpaceDN w:val="0"/>
      <w:spacing w:after="0" w:line="240" w:lineRule="auto"/>
    </w:pPr>
    <w:rPr>
      <w:rFonts w:ascii="Arial" w:eastAsia="Arial" w:hAnsi="Arial" w:cs="Arial"/>
      <w:kern w:val="0"/>
      <w:sz w:val="22"/>
      <w:szCs w:val="22"/>
      <w:lang w:val="en-GB" w:eastAsia="en-US"/>
      <w14:ligatures w14:val="none"/>
    </w:rPr>
  </w:style>
  <w:style w:type="paragraph" w:styleId="Heading1">
    <w:name w:val="heading 1"/>
    <w:basedOn w:val="Normal"/>
    <w:next w:val="Normal"/>
    <w:link w:val="Heading1Char"/>
    <w:uiPriority w:val="9"/>
    <w:qFormat/>
    <w:rsid w:val="00280DB3"/>
    <w:pPr>
      <w:keepNext/>
      <w:keepLines/>
      <w:spacing w:before="360" w:after="80"/>
      <w:outlineLvl w:val="0"/>
    </w:pPr>
    <w:rPr>
      <w:rFonts w:asciiTheme="majorHAnsi" w:eastAsiaTheme="majorEastAsia" w:hAnsiTheme="majorHAnsi" w:cstheme="majorBidi"/>
      <w:color w:val="374C80" w:themeColor="accent1" w:themeShade="BF"/>
      <w:sz w:val="40"/>
      <w:szCs w:val="40"/>
    </w:rPr>
  </w:style>
  <w:style w:type="paragraph" w:styleId="Heading2">
    <w:name w:val="heading 2"/>
    <w:basedOn w:val="Normal"/>
    <w:next w:val="Normal"/>
    <w:link w:val="Heading2Char"/>
    <w:uiPriority w:val="9"/>
    <w:semiHidden/>
    <w:unhideWhenUsed/>
    <w:qFormat/>
    <w:rsid w:val="00280DB3"/>
    <w:pPr>
      <w:keepNext/>
      <w:keepLines/>
      <w:spacing w:before="160" w:after="80"/>
      <w:outlineLvl w:val="1"/>
    </w:pPr>
    <w:rPr>
      <w:rFonts w:asciiTheme="majorHAnsi" w:eastAsiaTheme="majorEastAsia" w:hAnsiTheme="majorHAnsi" w:cstheme="majorBidi"/>
      <w:color w:val="374C80" w:themeColor="accent1" w:themeShade="BF"/>
      <w:sz w:val="32"/>
      <w:szCs w:val="32"/>
    </w:rPr>
  </w:style>
  <w:style w:type="paragraph" w:styleId="Heading3">
    <w:name w:val="heading 3"/>
    <w:basedOn w:val="Normal"/>
    <w:next w:val="Normal"/>
    <w:link w:val="Heading3Char"/>
    <w:uiPriority w:val="9"/>
    <w:semiHidden/>
    <w:unhideWhenUsed/>
    <w:qFormat/>
    <w:rsid w:val="00280DB3"/>
    <w:pPr>
      <w:keepNext/>
      <w:keepLines/>
      <w:spacing w:before="160" w:after="80"/>
      <w:outlineLvl w:val="2"/>
    </w:pPr>
    <w:rPr>
      <w:rFonts w:eastAsiaTheme="majorEastAsia" w:cstheme="majorBidi"/>
      <w:color w:val="374C80" w:themeColor="accent1" w:themeShade="BF"/>
      <w:sz w:val="28"/>
      <w:szCs w:val="28"/>
    </w:rPr>
  </w:style>
  <w:style w:type="paragraph" w:styleId="Heading4">
    <w:name w:val="heading 4"/>
    <w:basedOn w:val="Normal"/>
    <w:next w:val="Normal"/>
    <w:link w:val="Heading4Char"/>
    <w:uiPriority w:val="9"/>
    <w:semiHidden/>
    <w:unhideWhenUsed/>
    <w:qFormat/>
    <w:rsid w:val="00280DB3"/>
    <w:pPr>
      <w:keepNext/>
      <w:keepLines/>
      <w:spacing w:before="80" w:after="40"/>
      <w:outlineLvl w:val="3"/>
    </w:pPr>
    <w:rPr>
      <w:rFonts w:eastAsiaTheme="majorEastAsia" w:cstheme="majorBidi"/>
      <w:i/>
      <w:iCs/>
      <w:color w:val="374C80" w:themeColor="accent1" w:themeShade="BF"/>
    </w:rPr>
  </w:style>
  <w:style w:type="paragraph" w:styleId="Heading5">
    <w:name w:val="heading 5"/>
    <w:basedOn w:val="Normal"/>
    <w:next w:val="Normal"/>
    <w:link w:val="Heading5Char"/>
    <w:uiPriority w:val="9"/>
    <w:semiHidden/>
    <w:unhideWhenUsed/>
    <w:qFormat/>
    <w:rsid w:val="00280DB3"/>
    <w:pPr>
      <w:keepNext/>
      <w:keepLines/>
      <w:spacing w:before="80" w:after="40"/>
      <w:outlineLvl w:val="4"/>
    </w:pPr>
    <w:rPr>
      <w:rFonts w:eastAsiaTheme="majorEastAsia" w:cstheme="majorBidi"/>
      <w:color w:val="374C80" w:themeColor="accent1" w:themeShade="BF"/>
    </w:rPr>
  </w:style>
  <w:style w:type="paragraph" w:styleId="Heading6">
    <w:name w:val="heading 6"/>
    <w:basedOn w:val="Normal"/>
    <w:next w:val="Normal"/>
    <w:link w:val="Heading6Char"/>
    <w:uiPriority w:val="9"/>
    <w:semiHidden/>
    <w:unhideWhenUsed/>
    <w:qFormat/>
    <w:rsid w:val="00280DB3"/>
    <w:pPr>
      <w:keepNext/>
      <w:keepLines/>
      <w:spacing w:before="4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280DB3"/>
    <w:pPr>
      <w:keepNext/>
      <w:keepLines/>
      <w:spacing w:before="4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280DB3"/>
    <w:pPr>
      <w:keepNext/>
      <w:keepLines/>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280DB3"/>
    <w:pPr>
      <w:keepNext/>
      <w:keepLines/>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280DB3"/>
    <w:rPr>
      <w:rFonts w:asciiTheme="majorHAnsi" w:eastAsiaTheme="majorEastAsia" w:hAnsiTheme="majorHAnsi" w:cstheme="majorBidi"/>
      <w:color w:val="374C80" w:themeColor="accent1" w:themeShade="BF"/>
      <w:sz w:val="40"/>
      <w:szCs w:val="40"/>
    </w:rPr>
  </w:style>
  <w:style w:type="character" w:customStyle="1" w:styleId="Heading2Char">
    <w:name w:val="Heading 2 Char"/>
    <w:basedOn w:val="DefaultParagraphFont"/>
    <w:link w:val="Heading2"/>
    <w:uiPriority w:val="9"/>
    <w:semiHidden/>
    <w:rsid w:val="00280DB3"/>
    <w:rPr>
      <w:rFonts w:asciiTheme="majorHAnsi" w:eastAsiaTheme="majorEastAsia" w:hAnsiTheme="majorHAnsi" w:cstheme="majorBidi"/>
      <w:color w:val="374C80" w:themeColor="accent1" w:themeShade="BF"/>
      <w:sz w:val="32"/>
      <w:szCs w:val="32"/>
    </w:rPr>
  </w:style>
  <w:style w:type="character" w:customStyle="1" w:styleId="Heading3Char">
    <w:name w:val="Heading 3 Char"/>
    <w:basedOn w:val="DefaultParagraphFont"/>
    <w:link w:val="Heading3"/>
    <w:uiPriority w:val="9"/>
    <w:semiHidden/>
    <w:rsid w:val="00280DB3"/>
    <w:rPr>
      <w:rFonts w:eastAsiaTheme="majorEastAsia" w:cstheme="majorBidi"/>
      <w:color w:val="374C80" w:themeColor="accent1" w:themeShade="BF"/>
      <w:sz w:val="28"/>
      <w:szCs w:val="28"/>
    </w:rPr>
  </w:style>
  <w:style w:type="character" w:customStyle="1" w:styleId="Heading4Char">
    <w:name w:val="Heading 4 Char"/>
    <w:basedOn w:val="DefaultParagraphFont"/>
    <w:link w:val="Heading4"/>
    <w:uiPriority w:val="9"/>
    <w:semiHidden/>
    <w:rsid w:val="00280DB3"/>
    <w:rPr>
      <w:rFonts w:eastAsiaTheme="majorEastAsia" w:cstheme="majorBidi"/>
      <w:i/>
      <w:iCs/>
      <w:color w:val="374C80" w:themeColor="accent1" w:themeShade="BF"/>
    </w:rPr>
  </w:style>
  <w:style w:type="character" w:customStyle="1" w:styleId="Heading5Char">
    <w:name w:val="Heading 5 Char"/>
    <w:basedOn w:val="DefaultParagraphFont"/>
    <w:link w:val="Heading5"/>
    <w:uiPriority w:val="9"/>
    <w:semiHidden/>
    <w:rsid w:val="00280DB3"/>
    <w:rPr>
      <w:rFonts w:eastAsiaTheme="majorEastAsia" w:cstheme="majorBidi"/>
      <w:color w:val="374C80" w:themeColor="accent1" w:themeShade="BF"/>
    </w:rPr>
  </w:style>
  <w:style w:type="character" w:customStyle="1" w:styleId="Heading6Char">
    <w:name w:val="Heading 6 Char"/>
    <w:basedOn w:val="DefaultParagraphFont"/>
    <w:link w:val="Heading6"/>
    <w:uiPriority w:val="9"/>
    <w:semiHidden/>
    <w:rsid w:val="00280DB3"/>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280DB3"/>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280DB3"/>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280DB3"/>
    <w:rPr>
      <w:rFonts w:eastAsiaTheme="majorEastAsia" w:cstheme="majorBidi"/>
      <w:color w:val="272727" w:themeColor="text1" w:themeTint="D8"/>
    </w:rPr>
  </w:style>
  <w:style w:type="paragraph" w:styleId="Title">
    <w:name w:val="Title"/>
    <w:basedOn w:val="Normal"/>
    <w:next w:val="Normal"/>
    <w:link w:val="TitleChar"/>
    <w:uiPriority w:val="10"/>
    <w:qFormat/>
    <w:rsid w:val="00280DB3"/>
    <w:pPr>
      <w:spacing w:after="80"/>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280DB3"/>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280DB3"/>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280DB3"/>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280DB3"/>
    <w:pPr>
      <w:spacing w:before="160"/>
      <w:jc w:val="center"/>
    </w:pPr>
    <w:rPr>
      <w:i/>
      <w:iCs/>
      <w:color w:val="404040" w:themeColor="text1" w:themeTint="BF"/>
    </w:rPr>
  </w:style>
  <w:style w:type="character" w:customStyle="1" w:styleId="QuoteChar">
    <w:name w:val="Quote Char"/>
    <w:basedOn w:val="DefaultParagraphFont"/>
    <w:link w:val="Quote"/>
    <w:uiPriority w:val="29"/>
    <w:rsid w:val="00280DB3"/>
    <w:rPr>
      <w:i/>
      <w:iCs/>
      <w:color w:val="404040" w:themeColor="text1" w:themeTint="BF"/>
    </w:rPr>
  </w:style>
  <w:style w:type="paragraph" w:styleId="ListParagraph">
    <w:name w:val="List Paragraph"/>
    <w:basedOn w:val="Normal"/>
    <w:uiPriority w:val="34"/>
    <w:qFormat/>
    <w:rsid w:val="00280DB3"/>
    <w:pPr>
      <w:ind w:left="720"/>
      <w:contextualSpacing/>
    </w:pPr>
  </w:style>
  <w:style w:type="character" w:styleId="IntenseEmphasis">
    <w:name w:val="Intense Emphasis"/>
    <w:basedOn w:val="DefaultParagraphFont"/>
    <w:uiPriority w:val="21"/>
    <w:qFormat/>
    <w:rsid w:val="00280DB3"/>
    <w:rPr>
      <w:i/>
      <w:iCs/>
      <w:color w:val="374C80" w:themeColor="accent1" w:themeShade="BF"/>
    </w:rPr>
  </w:style>
  <w:style w:type="paragraph" w:styleId="IntenseQuote">
    <w:name w:val="Intense Quote"/>
    <w:basedOn w:val="Normal"/>
    <w:next w:val="Normal"/>
    <w:link w:val="IntenseQuoteChar"/>
    <w:uiPriority w:val="30"/>
    <w:qFormat/>
    <w:rsid w:val="00280DB3"/>
    <w:pPr>
      <w:pBdr>
        <w:top w:val="single" w:sz="4" w:space="10" w:color="374C80" w:themeColor="accent1" w:themeShade="BF"/>
        <w:bottom w:val="single" w:sz="4" w:space="10" w:color="374C80" w:themeColor="accent1" w:themeShade="BF"/>
      </w:pBdr>
      <w:spacing w:before="360" w:after="360"/>
      <w:ind w:left="864" w:right="864"/>
      <w:jc w:val="center"/>
    </w:pPr>
    <w:rPr>
      <w:i/>
      <w:iCs/>
      <w:color w:val="374C80" w:themeColor="accent1" w:themeShade="BF"/>
    </w:rPr>
  </w:style>
  <w:style w:type="character" w:customStyle="1" w:styleId="IntenseQuoteChar">
    <w:name w:val="Intense Quote Char"/>
    <w:basedOn w:val="DefaultParagraphFont"/>
    <w:link w:val="IntenseQuote"/>
    <w:uiPriority w:val="30"/>
    <w:rsid w:val="00280DB3"/>
    <w:rPr>
      <w:i/>
      <w:iCs/>
      <w:color w:val="374C80" w:themeColor="accent1" w:themeShade="BF"/>
    </w:rPr>
  </w:style>
  <w:style w:type="character" w:styleId="IntenseReference">
    <w:name w:val="Intense Reference"/>
    <w:basedOn w:val="DefaultParagraphFont"/>
    <w:uiPriority w:val="32"/>
    <w:qFormat/>
    <w:rsid w:val="00280DB3"/>
    <w:rPr>
      <w:b/>
      <w:bCs/>
      <w:smallCaps/>
      <w:color w:val="374C80" w:themeColor="accent1" w:themeShade="BF"/>
      <w:spacing w:val="5"/>
    </w:rPr>
  </w:style>
  <w:style w:type="character" w:styleId="Hyperlink">
    <w:name w:val="Hyperlink"/>
    <w:basedOn w:val="DefaultParagraphFont"/>
    <w:uiPriority w:val="99"/>
    <w:unhideWhenUsed/>
    <w:rsid w:val="005A7B5A"/>
    <w:rPr>
      <w:color w:val="9454C3" w:themeColor="hyperlink"/>
      <w:u w:val="single"/>
    </w:rPr>
  </w:style>
  <w:style w:type="character" w:styleId="UnresolvedMention">
    <w:name w:val="Unresolved Mention"/>
    <w:basedOn w:val="DefaultParagraphFont"/>
    <w:uiPriority w:val="99"/>
    <w:semiHidden/>
    <w:unhideWhenUsed/>
    <w:rsid w:val="005A7B5A"/>
    <w:rPr>
      <w:color w:val="605E5C"/>
      <w:shd w:val="clear" w:color="auto" w:fill="E1DFDD"/>
    </w:rPr>
  </w:style>
  <w:style w:type="paragraph" w:styleId="Revision">
    <w:name w:val="Revision"/>
    <w:hidden/>
    <w:uiPriority w:val="99"/>
    <w:semiHidden/>
    <w:rsid w:val="001C3639"/>
    <w:pPr>
      <w:spacing w:after="0" w:line="240" w:lineRule="auto"/>
    </w:pPr>
    <w:rPr>
      <w:rFonts w:ascii="Arial" w:eastAsia="Arial" w:hAnsi="Arial" w:cs="Arial"/>
      <w:kern w:val="0"/>
      <w:sz w:val="22"/>
      <w:szCs w:val="22"/>
      <w:lang w:val="en-GB" w:eastAsia="en-US"/>
      <w14:ligatures w14:val="none"/>
    </w:rPr>
  </w:style>
  <w:style w:type="character" w:styleId="CommentReference">
    <w:name w:val="annotation reference"/>
    <w:basedOn w:val="DefaultParagraphFont"/>
    <w:uiPriority w:val="99"/>
    <w:semiHidden/>
    <w:unhideWhenUsed/>
    <w:rsid w:val="006366DB"/>
    <w:rPr>
      <w:sz w:val="16"/>
      <w:szCs w:val="16"/>
    </w:rPr>
  </w:style>
  <w:style w:type="paragraph" w:styleId="CommentText">
    <w:name w:val="annotation text"/>
    <w:basedOn w:val="Normal"/>
    <w:link w:val="CommentTextChar"/>
    <w:uiPriority w:val="99"/>
    <w:unhideWhenUsed/>
    <w:rsid w:val="006366DB"/>
    <w:rPr>
      <w:sz w:val="20"/>
      <w:szCs w:val="20"/>
    </w:rPr>
  </w:style>
  <w:style w:type="character" w:customStyle="1" w:styleId="CommentTextChar">
    <w:name w:val="Comment Text Char"/>
    <w:basedOn w:val="DefaultParagraphFont"/>
    <w:link w:val="CommentText"/>
    <w:uiPriority w:val="99"/>
    <w:rsid w:val="006366DB"/>
    <w:rPr>
      <w:rFonts w:ascii="Arial" w:eastAsia="Arial" w:hAnsi="Arial" w:cs="Arial"/>
      <w:kern w:val="0"/>
      <w:sz w:val="20"/>
      <w:szCs w:val="20"/>
      <w:lang w:val="en-GB" w:eastAsia="en-US"/>
      <w14:ligatures w14:val="none"/>
    </w:rPr>
  </w:style>
  <w:style w:type="paragraph" w:styleId="CommentSubject">
    <w:name w:val="annotation subject"/>
    <w:basedOn w:val="CommentText"/>
    <w:next w:val="CommentText"/>
    <w:link w:val="CommentSubjectChar"/>
    <w:uiPriority w:val="99"/>
    <w:semiHidden/>
    <w:unhideWhenUsed/>
    <w:rsid w:val="006366DB"/>
    <w:rPr>
      <w:b/>
      <w:bCs/>
    </w:rPr>
  </w:style>
  <w:style w:type="character" w:customStyle="1" w:styleId="CommentSubjectChar">
    <w:name w:val="Comment Subject Char"/>
    <w:basedOn w:val="CommentTextChar"/>
    <w:link w:val="CommentSubject"/>
    <w:uiPriority w:val="99"/>
    <w:semiHidden/>
    <w:rsid w:val="006366DB"/>
    <w:rPr>
      <w:rFonts w:ascii="Arial" w:eastAsia="Arial" w:hAnsi="Arial" w:cs="Arial"/>
      <w:b/>
      <w:bCs/>
      <w:kern w:val="0"/>
      <w:sz w:val="20"/>
      <w:szCs w:val="20"/>
      <w:lang w:val="en-GB" w:eastAsia="en-US"/>
      <w14:ligatures w14:val="none"/>
    </w:rPr>
  </w:style>
  <w:style w:type="paragraph" w:styleId="BodyText">
    <w:name w:val="Body Text"/>
    <w:basedOn w:val="Normal"/>
    <w:link w:val="BodyTextChar"/>
    <w:uiPriority w:val="1"/>
    <w:qFormat/>
    <w:rsid w:val="00A539C6"/>
  </w:style>
  <w:style w:type="character" w:customStyle="1" w:styleId="BodyTextChar">
    <w:name w:val="Body Text Char"/>
    <w:basedOn w:val="DefaultParagraphFont"/>
    <w:link w:val="BodyText"/>
    <w:uiPriority w:val="1"/>
    <w:rsid w:val="00A539C6"/>
    <w:rPr>
      <w:rFonts w:ascii="Arial" w:eastAsia="Arial" w:hAnsi="Arial" w:cs="Arial"/>
      <w:kern w:val="0"/>
      <w:sz w:val="22"/>
      <w:szCs w:val="22"/>
      <w:lang w:val="en-GB" w:eastAsia="en-US"/>
      <w14:ligatures w14:val="non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https://doi.org/10.1177/0974173920150224" TargetMode="External"/><Relationship Id="rId18" Type="http://schemas.openxmlformats.org/officeDocument/2006/relationships/hyperlink" Target="https://www.cipd.org/globalassets/media/comms/the-people-profession/profession-map-pdfs/ethical-decision-making-2015-eight-perspectives-on-workplace-dilemmas_tcm29-9564.pdf" TargetMode="External"/><Relationship Id="rId26" Type="http://schemas.openxmlformats.org/officeDocument/2006/relationships/hyperlink" Target="https://www.cipd.org/uk/views-and-insights/thought-leadership/insight/evidence-based-profession/" TargetMode="External"/><Relationship Id="rId39" Type="http://schemas.openxmlformats.org/officeDocument/2006/relationships/hyperlink" Target="https://www.managers.org.uk/wp-content/uploads/2020/03/CHK-277_Developing_decision_making_skills.pdf" TargetMode="External"/><Relationship Id="rId21" Type="http://schemas.openxmlformats.org/officeDocument/2006/relationships/hyperlink" Target="https://www.cipd.org/globalassets/media/knowledge/knowledge-hub/reports/talking-about-voice_employees-experiences-summary_tcm18-54481.pdf" TargetMode="External"/><Relationship Id="rId34" Type="http://schemas.openxmlformats.org/officeDocument/2006/relationships/hyperlink" Target="https://www.cipd.org/uk/knowledge/factsheets/ethics-role-hr-factsheet/" TargetMode="External"/><Relationship Id="rId42" Type="http://schemas.openxmlformats.org/officeDocument/2006/relationships/hyperlink" Target="https://online.hbs.edu/blog/post/business-performance-measurement" TargetMode="External"/><Relationship Id="rId47" Type="http://schemas.openxmlformats.org/officeDocument/2006/relationships/hyperlink" Target="https://www.peoplemanagement.co.uk/article/1743752/learning-needs-analyses" TargetMode="External"/><Relationship Id="rId50" Type="http://schemas.openxmlformats.org/officeDocument/2006/relationships/hyperlink" Target="https://www.peoplemanagement.co.uk/article/1751678/five-simple-steps-workforce-planning-success" TargetMode="External"/><Relationship Id="rId55" Type="http://schemas.openxmlformats.org/officeDocument/2006/relationships/hyperlink" Target="https://www.reed.co.uk/courses/cbit-advanced-diploma-in-leadership-coaching-and-mentoring-level-7/513581" TargetMode="External"/><Relationship Id="rId63" Type="http://schemas.openxmlformats.org/officeDocument/2006/relationships/theme" Target="theme/theme1.xml"/><Relationship Id="rId7" Type="http://schemas.openxmlformats.org/officeDocument/2006/relationships/image" Target="media/image2.emf"/><Relationship Id="rId2" Type="http://schemas.openxmlformats.org/officeDocument/2006/relationships/numbering" Target="numbering.xml"/><Relationship Id="rId16" Type="http://schemas.openxmlformats.org/officeDocument/2006/relationships/hyperlink" Target="https://www.cipd.org/globalassets/media/knowledge/knowledge-hub/reports/neuroscience-action_2014-applying-insight-ld-practice_tcm18-9714.pdf" TargetMode="External"/><Relationship Id="rId29" Type="http://schemas.openxmlformats.org/officeDocument/2006/relationships/hyperlink" Target="https://www.cipd.org/uk/knowledge/factsheets/learning-needs-factsheet/" TargetMode="External"/><Relationship Id="rId11" Type="http://schemas.openxmlformats.org/officeDocument/2006/relationships/chart" Target="charts/chart2.xml"/><Relationship Id="rId24" Type="http://schemas.openxmlformats.org/officeDocument/2006/relationships/hyperlink" Target="https://www.cipd.org/uk/knowledge/podcasts/transfer-of-learning/" TargetMode="External"/><Relationship Id="rId32" Type="http://schemas.openxmlformats.org/officeDocument/2006/relationships/hyperlink" Target="https://www.cipd.org/uk/knowledge/tools/learning-and-development/" TargetMode="External"/><Relationship Id="rId37" Type="http://schemas.openxmlformats.org/officeDocument/2006/relationships/hyperlink" Target="https://www.cipd.org/uk/knowledge/factsheets/analytics-factsheet/" TargetMode="External"/><Relationship Id="rId40" Type="http://schemas.openxmlformats.org/officeDocument/2006/relationships/hyperlink" Target="https://www.managers.org.uk/knowledge-and-insights/resource/decision-making/" TargetMode="External"/><Relationship Id="rId45" Type="http://schemas.openxmlformats.org/officeDocument/2006/relationships/hyperlink" Target="https://www.cipd.org/uk/knowledge/podcasts/critical-thinking/" TargetMode="External"/><Relationship Id="rId53" Type="http://schemas.openxmlformats.org/officeDocument/2006/relationships/hyperlink" Target="https://www.oecd.org/en/topics/future-of-work.html" TargetMode="External"/><Relationship Id="rId58" Type="http://schemas.openxmlformats.org/officeDocument/2006/relationships/hyperlink" Target="https://online.hbs.edu/blog/post/how-to-read-an-annual-report" TargetMode="External"/><Relationship Id="rId5" Type="http://schemas.openxmlformats.org/officeDocument/2006/relationships/webSettings" Target="webSettings.xml"/><Relationship Id="rId61" Type="http://schemas.openxmlformats.org/officeDocument/2006/relationships/hyperlink" Target="https://salary-calc.uk/calculators/salary-to-hourly/" TargetMode="External"/><Relationship Id="rId19" Type="http://schemas.openxmlformats.org/officeDocument/2006/relationships/hyperlink" Target="https://www.cipd.org/globalassets/media/comms/the-people-profession/profession-map-pdfs/pff-report-update-pffmay20_tcm29-8731.pdf" TargetMode="External"/><Relationship Id="rId14" Type="http://schemas.openxmlformats.org/officeDocument/2006/relationships/hyperlink" Target="https://citp.ac.uk/asset/UK-Trade-Policy-An-Independent-Review.pdf" TargetMode="External"/><Relationship Id="rId22" Type="http://schemas.openxmlformats.org/officeDocument/2006/relationships/hyperlink" Target="https://www.cipd.org/globalassets/media/comms/news/as2learning-skills-work-report-2021-1_tcm18-95433.pdf" TargetMode="External"/><Relationship Id="rId27" Type="http://schemas.openxmlformats.org/officeDocument/2006/relationships/hyperlink" Target="https://www.cipd.org/uk/knowledge/guides/ethics-work-guide/" TargetMode="External"/><Relationship Id="rId30" Type="http://schemas.openxmlformats.org/officeDocument/2006/relationships/hyperlink" Target="https://www.cipd.org/uk/knowledge/factsheets/learning-methods-factsheet/" TargetMode="External"/><Relationship Id="rId35" Type="http://schemas.openxmlformats.org/officeDocument/2006/relationships/hyperlink" Target="https://www.cipd.org/uk/knowledge/guides/evidence-based-profession/" TargetMode="External"/><Relationship Id="rId43" Type="http://schemas.openxmlformats.org/officeDocument/2006/relationships/hyperlink" Target="https://www.cipd.org/uk/knowledge/bitesize-research/decision-making/" TargetMode="External"/><Relationship Id="rId48" Type="http://schemas.openxmlformats.org/officeDocument/2006/relationships/hyperlink" Target="https://kpmg.com/uk/en/services/audit.html" TargetMode="External"/><Relationship Id="rId56" Type="http://schemas.openxmlformats.org/officeDocument/2006/relationships/hyperlink" Target="https://www.psychologytoday.com/gb/blog/let-their-words-do-the-talking/202503/the-silent-erosion-of-our-critical-thinking-skills" TargetMode="External"/><Relationship Id="rId8" Type="http://schemas.openxmlformats.org/officeDocument/2006/relationships/package" Target="embeddings/Microsoft_Excel_Worksheet.xlsx"/><Relationship Id="rId51" Type="http://schemas.openxmlformats.org/officeDocument/2006/relationships/hyperlink" Target="https://www.nationalforum.com/Electronic%20Journal%20Volumes/Lunenburg" TargetMode="External"/><Relationship Id="rId3" Type="http://schemas.openxmlformats.org/officeDocument/2006/relationships/styles" Target="styles.xml"/><Relationship Id="rId12" Type="http://schemas.openxmlformats.org/officeDocument/2006/relationships/chart" Target="charts/chart3.xml"/><Relationship Id="rId17" Type="http://schemas.openxmlformats.org/officeDocument/2006/relationships/hyperlink" Target="https://www.cipd.org/uk/knowledge/evidence-reviews/recruitment-science/" TargetMode="External"/><Relationship Id="rId25" Type="http://schemas.openxmlformats.org/officeDocument/2006/relationships/hyperlink" Target="https://www.cipd.org/globalassets/media/knowledge/knowledge-hub/evidence-reviews/2023-pdfs/8263-organisational-climate-scientific-summary.pdf" TargetMode="External"/><Relationship Id="rId33" Type="http://schemas.openxmlformats.org/officeDocument/2006/relationships/hyperlink" Target="https://www.cipd.org/uk/knowledge/factsheets/pestle-analysis-factsheet/" TargetMode="External"/><Relationship Id="rId38" Type="http://schemas.openxmlformats.org/officeDocument/2006/relationships/hyperlink" Target="https://www.cipd.org/uk/knowledge/factsheets/evidence-based-practice-factsheet/" TargetMode="External"/><Relationship Id="rId46" Type="http://schemas.openxmlformats.org/officeDocument/2006/relationships/hyperlink" Target="https://uk.indeed.com/career/operations-manager/salaries?from=top_sb" TargetMode="External"/><Relationship Id="rId59" Type="http://schemas.openxmlformats.org/officeDocument/2006/relationships/hyperlink" Target="https://online.hbs.edu/blog/post/how-to-read-a-balance-sheet" TargetMode="External"/><Relationship Id="rId20" Type="http://schemas.openxmlformats.org/officeDocument/2006/relationships/hyperlink" Target="https://www.cipd.org/uk/knowledge/podcasts/ethical-workplaces/" TargetMode="External"/><Relationship Id="rId41" Type="http://schemas.openxmlformats.org/officeDocument/2006/relationships/hyperlink" Target="https://www.ecitb.org.uk/industrial-training-levy/" TargetMode="External"/><Relationship Id="rId54" Type="http://schemas.openxmlformats.org/officeDocument/2006/relationships/hyperlink" Target="https://www.reed.co.uk/courses/all?keywords=Leadership%20Coaching%20and%20Mentoring" TargetMode="External"/><Relationship Id="rId62"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image" Target="media/image1.png"/><Relationship Id="rId15" Type="http://schemas.openxmlformats.org/officeDocument/2006/relationships/hyperlink" Target="https://cebma.org/assets/Uploads/Evidence-Based-Practice-The-Basic-Principles.pdf" TargetMode="External"/><Relationship Id="rId23" Type="http://schemas.openxmlformats.org/officeDocument/2006/relationships/hyperlink" Target="https://www.cipd.org/uk/knowledge/podcasts/purpose-and-value-of-hr/" TargetMode="External"/><Relationship Id="rId28" Type="http://schemas.openxmlformats.org/officeDocument/2006/relationships/hyperlink" Target="https://www.cipd.org/uk/knowledge/guides/analytics-practitioner-guide/" TargetMode="External"/><Relationship Id="rId36" Type="http://schemas.openxmlformats.org/officeDocument/2006/relationships/hyperlink" Target="https://www.cipd.org/globalassets/media/knowledge/knowledge-hub/tools/2025-pdfs/2025-checklist-learning-needs-analysis.pdf" TargetMode="External"/><Relationship Id="rId49" Type="http://schemas.openxmlformats.org/officeDocument/2006/relationships/hyperlink" Target="https://www.gov.uk/government/publications/minimum-wage-rates-for-2026/lpc-advice-to-government-on-2026-minimum-wage-rates" TargetMode="External"/><Relationship Id="rId57" Type="http://schemas.openxmlformats.org/officeDocument/2006/relationships/hyperlink" Target="https://online.hbs.edu/blog/post/financial-performance-measures" TargetMode="External"/><Relationship Id="rId10" Type="http://schemas.openxmlformats.org/officeDocument/2006/relationships/chart" Target="charts/chart1.xml"/><Relationship Id="rId31" Type="http://schemas.openxmlformats.org/officeDocument/2006/relationships/hyperlink" Target="https://www.cipd.org/uk/knowledge/guides/learning-and-development/" TargetMode="External"/><Relationship Id="rId44" Type="http://schemas.openxmlformats.org/officeDocument/2006/relationships/hyperlink" Target="https://www.henley.ac.uk/study/corporate-development/professional-certificate-in-executive-coaching" TargetMode="External"/><Relationship Id="rId52" Type="http://schemas.openxmlformats.org/officeDocument/2006/relationships/hyperlink" Target="https://www.youtube.com/watch?v=MoCuVa9UeR4" TargetMode="External"/><Relationship Id="rId60" Type="http://schemas.openxmlformats.org/officeDocument/2006/relationships/hyperlink" Target="https://online.hbs.edu/blog/post/how-to-read-a-cash-flow-statement" TargetMode="External"/><Relationship Id="rId4" Type="http://schemas.openxmlformats.org/officeDocument/2006/relationships/settings" Target="settings.xml"/><Relationship Id="rId9" Type="http://schemas.openxmlformats.org/officeDocument/2006/relationships/image" Target="media/image3.emf"/></Relationships>
</file>

<file path=word/charts/_rels/chart1.xml.rels><?xml version="1.0" encoding="UTF-8" standalone="yes"?>
<Relationships xmlns="http://schemas.openxmlformats.org/package/2006/relationships"><Relationship Id="rId3" Type="http://schemas.openxmlformats.org/officeDocument/2006/relationships/oleObject" Target="https://d.docs.live.net/24c05524892ff931/&#25991;&#26723;/CIPD/BMPD%205017/Questions/Q9%20Yan%20Gao.xlsx" TargetMode="External"/><Relationship Id="rId2" Type="http://schemas.microsoft.com/office/2011/relationships/chartColorStyle" Target="colors1.xml"/><Relationship Id="rId1" Type="http://schemas.microsoft.com/office/2011/relationships/chartStyle" Target="style1.xml"/></Relationships>
</file>

<file path=word/charts/_rels/chart2.xml.rels><?xml version="1.0" encoding="UTF-8" standalone="yes"?>
<Relationships xmlns="http://schemas.openxmlformats.org/package/2006/relationships"><Relationship Id="rId3" Type="http://schemas.openxmlformats.org/officeDocument/2006/relationships/oleObject" Target="https://d.docs.live.net/24c05524892ff931/&#25991;&#26723;/CIPD/BMPD%205017/Questions/Q9%20Yan%20Gao.xlsx" TargetMode="External"/><Relationship Id="rId2" Type="http://schemas.microsoft.com/office/2011/relationships/chartColorStyle" Target="colors2.xml"/><Relationship Id="rId1" Type="http://schemas.microsoft.com/office/2011/relationships/chartStyle" Target="style2.xml"/></Relationships>
</file>

<file path=word/charts/_rels/chart3.xml.rels><?xml version="1.0" encoding="UTF-8" standalone="yes"?>
<Relationships xmlns="http://schemas.openxmlformats.org/package/2006/relationships"><Relationship Id="rId3" Type="http://schemas.openxmlformats.org/officeDocument/2006/relationships/oleObject" Target="https://d.docs.live.net/24c05524892ff931/&#25991;&#26723;/CIPD/BMPD%205017/Questions/Q9%20Yan%20Gao.xlsx" TargetMode="External"/><Relationship Id="rId2" Type="http://schemas.microsoft.com/office/2011/relationships/chartColorStyle" Target="colors3.xml"/><Relationship Id="rId1" Type="http://schemas.microsoft.com/office/2011/relationships/chartStyle" Target="style3.xml"/></Relationships>
</file>

<file path=word/charts/chart1.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GB"/>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100" b="0" i="0" u="none" strike="noStrike" kern="1200" spc="0" baseline="0">
                <a:solidFill>
                  <a:schemeClr val="tx1">
                    <a:lumMod val="65000"/>
                    <a:lumOff val="35000"/>
                  </a:schemeClr>
                </a:solidFill>
                <a:latin typeface="+mn-lt"/>
                <a:ea typeface="+mn-ea"/>
                <a:cs typeface="+mn-cs"/>
              </a:defRPr>
            </a:pPr>
            <a:r>
              <a:rPr lang="en-US" sz="1100"/>
              <a:t>Turnover and recruitment take up for Technivara 2024 </a:t>
            </a:r>
          </a:p>
        </c:rich>
      </c:tx>
      <c:overlay val="0"/>
      <c:spPr>
        <a:noFill/>
        <a:ln>
          <a:noFill/>
        </a:ln>
        <a:effectLst/>
      </c:spPr>
      <c:txPr>
        <a:bodyPr rot="0" spcFirstLastPara="1" vertOverflow="ellipsis" vert="horz" wrap="square" anchor="ctr" anchorCtr="1"/>
        <a:lstStyle/>
        <a:p>
          <a:pPr>
            <a:defRPr sz="11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barChart>
        <c:barDir val="col"/>
        <c:grouping val="clustered"/>
        <c:varyColors val="0"/>
        <c:ser>
          <c:idx val="2"/>
          <c:order val="2"/>
          <c:tx>
            <c:strRef>
              <c:f>'Clustered Column'!$D$3</c:f>
              <c:strCache>
                <c:ptCount val="1"/>
                <c:pt idx="0">
                  <c:v>Leavers as a % against total in each Department</c:v>
                </c:pt>
              </c:strCache>
            </c:strRef>
          </c:tx>
          <c:spPr>
            <a:solidFill>
              <a:schemeClr val="accent5"/>
            </a:solidFill>
            <a:ln>
              <a:noFill/>
            </a:ln>
            <a:effectLst/>
          </c:spPr>
          <c:invertIfNegative val="0"/>
          <c:cat>
            <c:strRef>
              <c:f>'Clustered Column'!$A$4:$A$22</c:f>
              <c:strCache>
                <c:ptCount val="19"/>
                <c:pt idx="0">
                  <c:v>Audio technical Department</c:v>
                </c:pt>
                <c:pt idx="2">
                  <c:v>Offices and Administration</c:v>
                </c:pt>
                <c:pt idx="4">
                  <c:v>Research and Development</c:v>
                </c:pt>
                <c:pt idx="6">
                  <c:v>Quality control</c:v>
                </c:pt>
                <c:pt idx="8">
                  <c:v>Dispatch </c:v>
                </c:pt>
                <c:pt idx="10">
                  <c:v>Engineering </c:v>
                </c:pt>
                <c:pt idx="12">
                  <c:v>Casting Department </c:v>
                </c:pt>
                <c:pt idx="14">
                  <c:v>Sales &amp; Marketing </c:v>
                </c:pt>
                <c:pt idx="16">
                  <c:v>Human Resources </c:v>
                </c:pt>
                <c:pt idx="18">
                  <c:v>Design </c:v>
                </c:pt>
              </c:strCache>
            </c:strRef>
          </c:cat>
          <c:val>
            <c:numRef>
              <c:f>'Clustered Column'!$D$4:$D$22</c:f>
              <c:numCache>
                <c:formatCode>General</c:formatCode>
                <c:ptCount val="19"/>
                <c:pt idx="0" formatCode="0%">
                  <c:v>0.23076923076923078</c:v>
                </c:pt>
                <c:pt idx="2" formatCode="0%">
                  <c:v>0.26666666666666666</c:v>
                </c:pt>
                <c:pt idx="4" formatCode="0%">
                  <c:v>0.125</c:v>
                </c:pt>
                <c:pt idx="6" formatCode="0%">
                  <c:v>0.5</c:v>
                </c:pt>
                <c:pt idx="8" formatCode="0%">
                  <c:v>0.26666666666666666</c:v>
                </c:pt>
                <c:pt idx="10" formatCode="0%">
                  <c:v>0.22857142857142856</c:v>
                </c:pt>
                <c:pt idx="12" formatCode="0%">
                  <c:v>0.5</c:v>
                </c:pt>
                <c:pt idx="14" formatCode="0%">
                  <c:v>0.33333333333333331</c:v>
                </c:pt>
                <c:pt idx="16" formatCode="0%">
                  <c:v>0.25</c:v>
                </c:pt>
                <c:pt idx="18" formatCode="0%">
                  <c:v>0.25</c:v>
                </c:pt>
              </c:numCache>
            </c:numRef>
          </c:val>
          <c:extLst>
            <c:ext xmlns:c16="http://schemas.microsoft.com/office/drawing/2014/chart" uri="{C3380CC4-5D6E-409C-BE32-E72D297353CC}">
              <c16:uniqueId val="{00000000-E2A1-4A07-AEF9-86C6DEE2090F}"/>
            </c:ext>
          </c:extLst>
        </c:ser>
        <c:ser>
          <c:idx val="4"/>
          <c:order val="4"/>
          <c:tx>
            <c:strRef>
              <c:f>'Clustered Column'!$F$3</c:f>
              <c:strCache>
                <c:ptCount val="1"/>
                <c:pt idx="0">
                  <c:v>Vacancies as a % against total in each Department</c:v>
                </c:pt>
              </c:strCache>
            </c:strRef>
          </c:tx>
          <c:spPr>
            <a:solidFill>
              <a:schemeClr val="accent3">
                <a:lumMod val="60000"/>
              </a:schemeClr>
            </a:solidFill>
            <a:ln>
              <a:noFill/>
            </a:ln>
            <a:effectLst/>
          </c:spPr>
          <c:invertIfNegative val="0"/>
          <c:cat>
            <c:strRef>
              <c:f>'Clustered Column'!$A$4:$A$22</c:f>
              <c:strCache>
                <c:ptCount val="19"/>
                <c:pt idx="0">
                  <c:v>Audio technical Department</c:v>
                </c:pt>
                <c:pt idx="2">
                  <c:v>Offices and Administration</c:v>
                </c:pt>
                <c:pt idx="4">
                  <c:v>Research and Development</c:v>
                </c:pt>
                <c:pt idx="6">
                  <c:v>Quality control</c:v>
                </c:pt>
                <c:pt idx="8">
                  <c:v>Dispatch </c:v>
                </c:pt>
                <c:pt idx="10">
                  <c:v>Engineering </c:v>
                </c:pt>
                <c:pt idx="12">
                  <c:v>Casting Department </c:v>
                </c:pt>
                <c:pt idx="14">
                  <c:v>Sales &amp; Marketing </c:v>
                </c:pt>
                <c:pt idx="16">
                  <c:v>Human Resources </c:v>
                </c:pt>
                <c:pt idx="18">
                  <c:v>Design </c:v>
                </c:pt>
              </c:strCache>
            </c:strRef>
          </c:cat>
          <c:val>
            <c:numRef>
              <c:f>'Clustered Column'!$F$4:$F$22</c:f>
              <c:numCache>
                <c:formatCode>General</c:formatCode>
                <c:ptCount val="19"/>
                <c:pt idx="0" formatCode="0%">
                  <c:v>0.30769230769230771</c:v>
                </c:pt>
                <c:pt idx="2" formatCode="0%">
                  <c:v>0.33333333333333331</c:v>
                </c:pt>
                <c:pt idx="4" formatCode="0%">
                  <c:v>0.5</c:v>
                </c:pt>
                <c:pt idx="6" formatCode="0%">
                  <c:v>0.75</c:v>
                </c:pt>
                <c:pt idx="8" formatCode="0%">
                  <c:v>0.4</c:v>
                </c:pt>
                <c:pt idx="10" formatCode="0%">
                  <c:v>0.22857142857142856</c:v>
                </c:pt>
                <c:pt idx="12" formatCode="0%">
                  <c:v>0.83333333333333337</c:v>
                </c:pt>
                <c:pt idx="14" formatCode="0%">
                  <c:v>0.25</c:v>
                </c:pt>
                <c:pt idx="16" formatCode="0%">
                  <c:v>0.25</c:v>
                </c:pt>
                <c:pt idx="18" formatCode="0%">
                  <c:v>0.41666666666666669</c:v>
                </c:pt>
              </c:numCache>
            </c:numRef>
          </c:val>
          <c:extLst>
            <c:ext xmlns:c16="http://schemas.microsoft.com/office/drawing/2014/chart" uri="{C3380CC4-5D6E-409C-BE32-E72D297353CC}">
              <c16:uniqueId val="{00000001-E2A1-4A07-AEF9-86C6DEE2090F}"/>
            </c:ext>
          </c:extLst>
        </c:ser>
        <c:ser>
          <c:idx val="6"/>
          <c:order val="6"/>
          <c:tx>
            <c:strRef>
              <c:f>'Clustered Column'!$H$3</c:f>
              <c:strCache>
                <c:ptCount val="1"/>
                <c:pt idx="0">
                  <c:v>Positions filled as a % of total in each Department</c:v>
                </c:pt>
              </c:strCache>
            </c:strRef>
          </c:tx>
          <c:spPr>
            <a:solidFill>
              <a:schemeClr val="accent1">
                <a:lumMod val="80000"/>
                <a:lumOff val="20000"/>
              </a:schemeClr>
            </a:solidFill>
            <a:ln>
              <a:noFill/>
            </a:ln>
            <a:effectLst/>
          </c:spPr>
          <c:invertIfNegative val="0"/>
          <c:cat>
            <c:strRef>
              <c:f>'Clustered Column'!$A$4:$A$22</c:f>
              <c:strCache>
                <c:ptCount val="19"/>
                <c:pt idx="0">
                  <c:v>Audio technical Department</c:v>
                </c:pt>
                <c:pt idx="2">
                  <c:v>Offices and Administration</c:v>
                </c:pt>
                <c:pt idx="4">
                  <c:v>Research and Development</c:v>
                </c:pt>
                <c:pt idx="6">
                  <c:v>Quality control</c:v>
                </c:pt>
                <c:pt idx="8">
                  <c:v>Dispatch </c:v>
                </c:pt>
                <c:pt idx="10">
                  <c:v>Engineering </c:v>
                </c:pt>
                <c:pt idx="12">
                  <c:v>Casting Department </c:v>
                </c:pt>
                <c:pt idx="14">
                  <c:v>Sales &amp; Marketing </c:v>
                </c:pt>
                <c:pt idx="16">
                  <c:v>Human Resources </c:v>
                </c:pt>
                <c:pt idx="18">
                  <c:v>Design </c:v>
                </c:pt>
              </c:strCache>
            </c:strRef>
          </c:cat>
          <c:val>
            <c:numRef>
              <c:f>'Clustered Column'!$H$4:$H$22</c:f>
              <c:numCache>
                <c:formatCode>General</c:formatCode>
                <c:ptCount val="19"/>
                <c:pt idx="0" formatCode="0%">
                  <c:v>0.11538461538461539</c:v>
                </c:pt>
                <c:pt idx="2" formatCode="0%">
                  <c:v>0.33333333333333331</c:v>
                </c:pt>
                <c:pt idx="4" formatCode="0%">
                  <c:v>0.5</c:v>
                </c:pt>
                <c:pt idx="6" formatCode="0%">
                  <c:v>0.75</c:v>
                </c:pt>
                <c:pt idx="8" formatCode="0%">
                  <c:v>0.4</c:v>
                </c:pt>
                <c:pt idx="10" formatCode="0%">
                  <c:v>8.5714285714285715E-2</c:v>
                </c:pt>
                <c:pt idx="12" formatCode="0%">
                  <c:v>0.33333333333333331</c:v>
                </c:pt>
                <c:pt idx="14" formatCode="0%">
                  <c:v>0.25</c:v>
                </c:pt>
                <c:pt idx="16" formatCode="0%">
                  <c:v>0.25</c:v>
                </c:pt>
                <c:pt idx="18" formatCode="0%">
                  <c:v>0.16666666666666666</c:v>
                </c:pt>
              </c:numCache>
            </c:numRef>
          </c:val>
          <c:extLst>
            <c:ext xmlns:c16="http://schemas.microsoft.com/office/drawing/2014/chart" uri="{C3380CC4-5D6E-409C-BE32-E72D297353CC}">
              <c16:uniqueId val="{00000002-E2A1-4A07-AEF9-86C6DEE2090F}"/>
            </c:ext>
          </c:extLst>
        </c:ser>
        <c:dLbls>
          <c:showLegendKey val="0"/>
          <c:showVal val="0"/>
          <c:showCatName val="0"/>
          <c:showSerName val="0"/>
          <c:showPercent val="0"/>
          <c:showBubbleSize val="0"/>
        </c:dLbls>
        <c:gapWidth val="219"/>
        <c:overlap val="-27"/>
        <c:axId val="210855311"/>
        <c:axId val="210851471"/>
        <c:extLst>
          <c:ext xmlns:c15="http://schemas.microsoft.com/office/drawing/2012/chart" uri="{02D57815-91ED-43cb-92C2-25804820EDAC}">
            <c15:filteredBarSeries>
              <c15:ser>
                <c:idx val="0"/>
                <c:order val="0"/>
                <c:tx>
                  <c:strRef>
                    <c:extLst>
                      <c:ext uri="{02D57815-91ED-43cb-92C2-25804820EDAC}">
                        <c15:formulaRef>
                          <c15:sqref>'Clustered Column'!$B$3</c15:sqref>
                        </c15:formulaRef>
                      </c:ext>
                    </c:extLst>
                    <c:strCache>
                      <c:ptCount val="1"/>
                      <c:pt idx="0">
                        <c:v>Total in Department 2024</c:v>
                      </c:pt>
                    </c:strCache>
                  </c:strRef>
                </c:tx>
                <c:spPr>
                  <a:solidFill>
                    <a:schemeClr val="accent1"/>
                  </a:solidFill>
                  <a:ln>
                    <a:noFill/>
                  </a:ln>
                  <a:effectLst/>
                </c:spPr>
                <c:invertIfNegative val="0"/>
                <c:cat>
                  <c:strRef>
                    <c:extLst>
                      <c:ext uri="{02D57815-91ED-43cb-92C2-25804820EDAC}">
                        <c15:formulaRef>
                          <c15:sqref>'Clustered Column'!$A$4:$A$22</c15:sqref>
                        </c15:formulaRef>
                      </c:ext>
                    </c:extLst>
                    <c:strCache>
                      <c:ptCount val="19"/>
                      <c:pt idx="0">
                        <c:v>Audio technical Department</c:v>
                      </c:pt>
                      <c:pt idx="2">
                        <c:v>Offices and Administration</c:v>
                      </c:pt>
                      <c:pt idx="4">
                        <c:v>Research and Development</c:v>
                      </c:pt>
                      <c:pt idx="6">
                        <c:v>Quality control</c:v>
                      </c:pt>
                      <c:pt idx="8">
                        <c:v>Dispatch </c:v>
                      </c:pt>
                      <c:pt idx="10">
                        <c:v>Engineering </c:v>
                      </c:pt>
                      <c:pt idx="12">
                        <c:v>Casting Department </c:v>
                      </c:pt>
                      <c:pt idx="14">
                        <c:v>Sales &amp; Marketing </c:v>
                      </c:pt>
                      <c:pt idx="16">
                        <c:v>Human Resources </c:v>
                      </c:pt>
                      <c:pt idx="18">
                        <c:v>Design </c:v>
                      </c:pt>
                    </c:strCache>
                  </c:strRef>
                </c:cat>
                <c:val>
                  <c:numRef>
                    <c:extLst>
                      <c:ext uri="{02D57815-91ED-43cb-92C2-25804820EDAC}">
                        <c15:formulaRef>
                          <c15:sqref>'Clustered Column'!$B$4:$B$22</c15:sqref>
                        </c15:formulaRef>
                      </c:ext>
                    </c:extLst>
                    <c:numCache>
                      <c:formatCode>General</c:formatCode>
                      <c:ptCount val="19"/>
                      <c:pt idx="0">
                        <c:v>26</c:v>
                      </c:pt>
                      <c:pt idx="2">
                        <c:v>15</c:v>
                      </c:pt>
                      <c:pt idx="4">
                        <c:v>8</c:v>
                      </c:pt>
                      <c:pt idx="6">
                        <c:v>4</c:v>
                      </c:pt>
                      <c:pt idx="8">
                        <c:v>15</c:v>
                      </c:pt>
                      <c:pt idx="10">
                        <c:v>35</c:v>
                      </c:pt>
                      <c:pt idx="12">
                        <c:v>6</c:v>
                      </c:pt>
                      <c:pt idx="14">
                        <c:v>12</c:v>
                      </c:pt>
                      <c:pt idx="16">
                        <c:v>4</c:v>
                      </c:pt>
                      <c:pt idx="18">
                        <c:v>12</c:v>
                      </c:pt>
                    </c:numCache>
                  </c:numRef>
                </c:val>
                <c:extLst>
                  <c:ext xmlns:c16="http://schemas.microsoft.com/office/drawing/2014/chart" uri="{C3380CC4-5D6E-409C-BE32-E72D297353CC}">
                    <c16:uniqueId val="{00000003-E2A1-4A07-AEF9-86C6DEE2090F}"/>
                  </c:ext>
                </c:extLst>
              </c15:ser>
            </c15:filteredBarSeries>
            <c15:filteredBarSeries>
              <c15:ser>
                <c:idx val="1"/>
                <c:order val="1"/>
                <c:tx>
                  <c:strRef>
                    <c:extLst xmlns:c15="http://schemas.microsoft.com/office/drawing/2012/chart">
                      <c:ext xmlns:c15="http://schemas.microsoft.com/office/drawing/2012/chart" uri="{02D57815-91ED-43cb-92C2-25804820EDAC}">
                        <c15:formulaRef>
                          <c15:sqref>'Clustered Column'!$C$3</c15:sqref>
                        </c15:formulaRef>
                      </c:ext>
                    </c:extLst>
                    <c:strCache>
                      <c:ptCount val="1"/>
                      <c:pt idx="0">
                        <c:v>Leavers for 2024</c:v>
                      </c:pt>
                    </c:strCache>
                  </c:strRef>
                </c:tx>
                <c:spPr>
                  <a:solidFill>
                    <a:schemeClr val="accent3"/>
                  </a:solidFill>
                  <a:ln>
                    <a:noFill/>
                  </a:ln>
                  <a:effectLst/>
                </c:spPr>
                <c:invertIfNegative val="0"/>
                <c:cat>
                  <c:strRef>
                    <c:extLst xmlns:c15="http://schemas.microsoft.com/office/drawing/2012/chart">
                      <c:ext xmlns:c15="http://schemas.microsoft.com/office/drawing/2012/chart" uri="{02D57815-91ED-43cb-92C2-25804820EDAC}">
                        <c15:formulaRef>
                          <c15:sqref>'Clustered Column'!$A$4:$A$22</c15:sqref>
                        </c15:formulaRef>
                      </c:ext>
                    </c:extLst>
                    <c:strCache>
                      <c:ptCount val="19"/>
                      <c:pt idx="0">
                        <c:v>Audio technical Department</c:v>
                      </c:pt>
                      <c:pt idx="2">
                        <c:v>Offices and Administration</c:v>
                      </c:pt>
                      <c:pt idx="4">
                        <c:v>Research and Development</c:v>
                      </c:pt>
                      <c:pt idx="6">
                        <c:v>Quality control</c:v>
                      </c:pt>
                      <c:pt idx="8">
                        <c:v>Dispatch </c:v>
                      </c:pt>
                      <c:pt idx="10">
                        <c:v>Engineering </c:v>
                      </c:pt>
                      <c:pt idx="12">
                        <c:v>Casting Department </c:v>
                      </c:pt>
                      <c:pt idx="14">
                        <c:v>Sales &amp; Marketing </c:v>
                      </c:pt>
                      <c:pt idx="16">
                        <c:v>Human Resources </c:v>
                      </c:pt>
                      <c:pt idx="18">
                        <c:v>Design </c:v>
                      </c:pt>
                    </c:strCache>
                  </c:strRef>
                </c:cat>
                <c:val>
                  <c:numRef>
                    <c:extLst xmlns:c15="http://schemas.microsoft.com/office/drawing/2012/chart">
                      <c:ext xmlns:c15="http://schemas.microsoft.com/office/drawing/2012/chart" uri="{02D57815-91ED-43cb-92C2-25804820EDAC}">
                        <c15:formulaRef>
                          <c15:sqref>'Clustered Column'!$C$4:$C$22</c15:sqref>
                        </c15:formulaRef>
                      </c:ext>
                    </c:extLst>
                    <c:numCache>
                      <c:formatCode>General</c:formatCode>
                      <c:ptCount val="19"/>
                      <c:pt idx="0">
                        <c:v>6</c:v>
                      </c:pt>
                      <c:pt idx="2">
                        <c:v>4</c:v>
                      </c:pt>
                      <c:pt idx="4">
                        <c:v>1</c:v>
                      </c:pt>
                      <c:pt idx="6">
                        <c:v>2</c:v>
                      </c:pt>
                      <c:pt idx="8">
                        <c:v>4</c:v>
                      </c:pt>
                      <c:pt idx="10">
                        <c:v>8</c:v>
                      </c:pt>
                      <c:pt idx="12">
                        <c:v>3</c:v>
                      </c:pt>
                      <c:pt idx="14">
                        <c:v>4</c:v>
                      </c:pt>
                      <c:pt idx="16">
                        <c:v>1</c:v>
                      </c:pt>
                      <c:pt idx="18">
                        <c:v>3</c:v>
                      </c:pt>
                    </c:numCache>
                  </c:numRef>
                </c:val>
                <c:extLst xmlns:c15="http://schemas.microsoft.com/office/drawing/2012/chart">
                  <c:ext xmlns:c16="http://schemas.microsoft.com/office/drawing/2014/chart" uri="{C3380CC4-5D6E-409C-BE32-E72D297353CC}">
                    <c16:uniqueId val="{00000004-E2A1-4A07-AEF9-86C6DEE2090F}"/>
                  </c:ext>
                </c:extLst>
              </c15:ser>
            </c15:filteredBarSeries>
            <c15:filteredBarSeries>
              <c15:ser>
                <c:idx val="3"/>
                <c:order val="3"/>
                <c:tx>
                  <c:strRef>
                    <c:extLst xmlns:c15="http://schemas.microsoft.com/office/drawing/2012/chart">
                      <c:ext xmlns:c15="http://schemas.microsoft.com/office/drawing/2012/chart" uri="{02D57815-91ED-43cb-92C2-25804820EDAC}">
                        <c15:formulaRef>
                          <c15:sqref>'Clustered Column'!$E$3</c15:sqref>
                        </c15:formulaRef>
                      </c:ext>
                    </c:extLst>
                    <c:strCache>
                      <c:ptCount val="1"/>
                      <c:pt idx="0">
                        <c:v>Positions vacant </c:v>
                      </c:pt>
                    </c:strCache>
                  </c:strRef>
                </c:tx>
                <c:spPr>
                  <a:solidFill>
                    <a:schemeClr val="accent1">
                      <a:lumMod val="60000"/>
                    </a:schemeClr>
                  </a:solidFill>
                  <a:ln>
                    <a:noFill/>
                  </a:ln>
                  <a:effectLst/>
                </c:spPr>
                <c:invertIfNegative val="0"/>
                <c:cat>
                  <c:strRef>
                    <c:extLst xmlns:c15="http://schemas.microsoft.com/office/drawing/2012/chart">
                      <c:ext xmlns:c15="http://schemas.microsoft.com/office/drawing/2012/chart" uri="{02D57815-91ED-43cb-92C2-25804820EDAC}">
                        <c15:formulaRef>
                          <c15:sqref>'Clustered Column'!$A$4:$A$22</c15:sqref>
                        </c15:formulaRef>
                      </c:ext>
                    </c:extLst>
                    <c:strCache>
                      <c:ptCount val="19"/>
                      <c:pt idx="0">
                        <c:v>Audio technical Department</c:v>
                      </c:pt>
                      <c:pt idx="2">
                        <c:v>Offices and Administration</c:v>
                      </c:pt>
                      <c:pt idx="4">
                        <c:v>Research and Development</c:v>
                      </c:pt>
                      <c:pt idx="6">
                        <c:v>Quality control</c:v>
                      </c:pt>
                      <c:pt idx="8">
                        <c:v>Dispatch </c:v>
                      </c:pt>
                      <c:pt idx="10">
                        <c:v>Engineering </c:v>
                      </c:pt>
                      <c:pt idx="12">
                        <c:v>Casting Department </c:v>
                      </c:pt>
                      <c:pt idx="14">
                        <c:v>Sales &amp; Marketing </c:v>
                      </c:pt>
                      <c:pt idx="16">
                        <c:v>Human Resources </c:v>
                      </c:pt>
                      <c:pt idx="18">
                        <c:v>Design </c:v>
                      </c:pt>
                    </c:strCache>
                  </c:strRef>
                </c:cat>
                <c:val>
                  <c:numRef>
                    <c:extLst xmlns:c15="http://schemas.microsoft.com/office/drawing/2012/chart">
                      <c:ext xmlns:c15="http://schemas.microsoft.com/office/drawing/2012/chart" uri="{02D57815-91ED-43cb-92C2-25804820EDAC}">
                        <c15:formulaRef>
                          <c15:sqref>'Clustered Column'!$E$4:$E$22</c15:sqref>
                        </c15:formulaRef>
                      </c:ext>
                    </c:extLst>
                    <c:numCache>
                      <c:formatCode>General</c:formatCode>
                      <c:ptCount val="19"/>
                      <c:pt idx="0">
                        <c:v>8</c:v>
                      </c:pt>
                      <c:pt idx="2">
                        <c:v>5</c:v>
                      </c:pt>
                      <c:pt idx="4">
                        <c:v>4</c:v>
                      </c:pt>
                      <c:pt idx="6">
                        <c:v>3</c:v>
                      </c:pt>
                      <c:pt idx="8">
                        <c:v>6</c:v>
                      </c:pt>
                      <c:pt idx="10">
                        <c:v>8</c:v>
                      </c:pt>
                      <c:pt idx="12">
                        <c:v>5</c:v>
                      </c:pt>
                      <c:pt idx="14">
                        <c:v>3</c:v>
                      </c:pt>
                      <c:pt idx="16">
                        <c:v>1</c:v>
                      </c:pt>
                      <c:pt idx="18">
                        <c:v>5</c:v>
                      </c:pt>
                    </c:numCache>
                  </c:numRef>
                </c:val>
                <c:extLst xmlns:c15="http://schemas.microsoft.com/office/drawing/2012/chart">
                  <c:ext xmlns:c16="http://schemas.microsoft.com/office/drawing/2014/chart" uri="{C3380CC4-5D6E-409C-BE32-E72D297353CC}">
                    <c16:uniqueId val="{00000005-E2A1-4A07-AEF9-86C6DEE2090F}"/>
                  </c:ext>
                </c:extLst>
              </c15:ser>
            </c15:filteredBarSeries>
            <c15:filteredBarSeries>
              <c15:ser>
                <c:idx val="5"/>
                <c:order val="5"/>
                <c:tx>
                  <c:strRef>
                    <c:extLst xmlns:c15="http://schemas.microsoft.com/office/drawing/2012/chart">
                      <c:ext xmlns:c15="http://schemas.microsoft.com/office/drawing/2012/chart" uri="{02D57815-91ED-43cb-92C2-25804820EDAC}">
                        <c15:formulaRef>
                          <c15:sqref>'Clustered Column'!$G$3</c15:sqref>
                        </c15:formulaRef>
                      </c:ext>
                    </c:extLst>
                    <c:strCache>
                      <c:ptCount val="1"/>
                      <c:pt idx="0">
                        <c:v>Positions filled </c:v>
                      </c:pt>
                    </c:strCache>
                  </c:strRef>
                </c:tx>
                <c:spPr>
                  <a:solidFill>
                    <a:schemeClr val="accent5">
                      <a:lumMod val="60000"/>
                    </a:schemeClr>
                  </a:solidFill>
                  <a:ln>
                    <a:noFill/>
                  </a:ln>
                  <a:effectLst/>
                </c:spPr>
                <c:invertIfNegative val="0"/>
                <c:cat>
                  <c:strRef>
                    <c:extLst xmlns:c15="http://schemas.microsoft.com/office/drawing/2012/chart">
                      <c:ext xmlns:c15="http://schemas.microsoft.com/office/drawing/2012/chart" uri="{02D57815-91ED-43cb-92C2-25804820EDAC}">
                        <c15:formulaRef>
                          <c15:sqref>'Clustered Column'!$A$4:$A$22</c15:sqref>
                        </c15:formulaRef>
                      </c:ext>
                    </c:extLst>
                    <c:strCache>
                      <c:ptCount val="19"/>
                      <c:pt idx="0">
                        <c:v>Audio technical Department</c:v>
                      </c:pt>
                      <c:pt idx="2">
                        <c:v>Offices and Administration</c:v>
                      </c:pt>
                      <c:pt idx="4">
                        <c:v>Research and Development</c:v>
                      </c:pt>
                      <c:pt idx="6">
                        <c:v>Quality control</c:v>
                      </c:pt>
                      <c:pt idx="8">
                        <c:v>Dispatch </c:v>
                      </c:pt>
                      <c:pt idx="10">
                        <c:v>Engineering </c:v>
                      </c:pt>
                      <c:pt idx="12">
                        <c:v>Casting Department </c:v>
                      </c:pt>
                      <c:pt idx="14">
                        <c:v>Sales &amp; Marketing </c:v>
                      </c:pt>
                      <c:pt idx="16">
                        <c:v>Human Resources </c:v>
                      </c:pt>
                      <c:pt idx="18">
                        <c:v>Design </c:v>
                      </c:pt>
                    </c:strCache>
                  </c:strRef>
                </c:cat>
                <c:val>
                  <c:numRef>
                    <c:extLst xmlns:c15="http://schemas.microsoft.com/office/drawing/2012/chart">
                      <c:ext xmlns:c15="http://schemas.microsoft.com/office/drawing/2012/chart" uri="{02D57815-91ED-43cb-92C2-25804820EDAC}">
                        <c15:formulaRef>
                          <c15:sqref>'Clustered Column'!$G$4:$G$22</c15:sqref>
                        </c15:formulaRef>
                      </c:ext>
                    </c:extLst>
                    <c:numCache>
                      <c:formatCode>General</c:formatCode>
                      <c:ptCount val="19"/>
                      <c:pt idx="0">
                        <c:v>3</c:v>
                      </c:pt>
                      <c:pt idx="2">
                        <c:v>5</c:v>
                      </c:pt>
                      <c:pt idx="4">
                        <c:v>4</c:v>
                      </c:pt>
                      <c:pt idx="6">
                        <c:v>3</c:v>
                      </c:pt>
                      <c:pt idx="8">
                        <c:v>6</c:v>
                      </c:pt>
                      <c:pt idx="10">
                        <c:v>3</c:v>
                      </c:pt>
                      <c:pt idx="12">
                        <c:v>2</c:v>
                      </c:pt>
                      <c:pt idx="14">
                        <c:v>3</c:v>
                      </c:pt>
                      <c:pt idx="16">
                        <c:v>1</c:v>
                      </c:pt>
                      <c:pt idx="18">
                        <c:v>2</c:v>
                      </c:pt>
                    </c:numCache>
                  </c:numRef>
                </c:val>
                <c:extLst xmlns:c15="http://schemas.microsoft.com/office/drawing/2012/chart">
                  <c:ext xmlns:c16="http://schemas.microsoft.com/office/drawing/2014/chart" uri="{C3380CC4-5D6E-409C-BE32-E72D297353CC}">
                    <c16:uniqueId val="{00000006-E2A1-4A07-AEF9-86C6DEE2090F}"/>
                  </c:ext>
                </c:extLst>
              </c15:ser>
            </c15:filteredBarSeries>
          </c:ext>
        </c:extLst>
      </c:barChart>
      <c:catAx>
        <c:axId val="210855311"/>
        <c:scaling>
          <c:orientation val="minMax"/>
        </c:scaling>
        <c:delete val="0"/>
        <c:axPos val="b"/>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800" b="0" i="0" u="none" strike="noStrike" kern="1200" baseline="0">
                <a:solidFill>
                  <a:schemeClr val="tx1">
                    <a:lumMod val="65000"/>
                    <a:lumOff val="35000"/>
                  </a:schemeClr>
                </a:solidFill>
                <a:latin typeface="+mn-lt"/>
                <a:ea typeface="+mn-ea"/>
                <a:cs typeface="+mn-cs"/>
              </a:defRPr>
            </a:pPr>
            <a:endParaRPr lang="en-US"/>
          </a:p>
        </c:txPr>
        <c:crossAx val="210851471"/>
        <c:crosses val="autoZero"/>
        <c:auto val="1"/>
        <c:lblAlgn val="ctr"/>
        <c:lblOffset val="100"/>
        <c:noMultiLvlLbl val="0"/>
      </c:catAx>
      <c:valAx>
        <c:axId val="210851471"/>
        <c:scaling>
          <c:orientation val="minMax"/>
        </c:scaling>
        <c:delete val="0"/>
        <c:axPos val="l"/>
        <c:majorGridlines>
          <c:spPr>
            <a:ln w="9525" cap="flat" cmpd="sng" algn="ctr">
              <a:solidFill>
                <a:schemeClr val="tx1">
                  <a:lumMod val="15000"/>
                  <a:lumOff val="85000"/>
                </a:schemeClr>
              </a:solidFill>
              <a:round/>
            </a:ln>
            <a:effectLst/>
          </c:spPr>
        </c:majorGridlines>
        <c:numFmt formatCode="0%" sourceLinked="1"/>
        <c:majorTickMark val="none"/>
        <c:minorTickMark val="none"/>
        <c:tickLblPos val="nextTo"/>
        <c:spPr>
          <a:noFill/>
          <a:ln>
            <a:noFill/>
          </a:ln>
          <a:effectLst/>
        </c:spPr>
        <c:txPr>
          <a:bodyPr rot="-60000000" spcFirstLastPara="1" vertOverflow="ellipsis" vert="horz" wrap="square" anchor="ctr" anchorCtr="1"/>
          <a:lstStyle/>
          <a:p>
            <a:pPr>
              <a:defRPr sz="800" b="0" i="0" u="none" strike="noStrike" kern="1200" baseline="0">
                <a:solidFill>
                  <a:schemeClr val="tx1">
                    <a:lumMod val="65000"/>
                    <a:lumOff val="35000"/>
                  </a:schemeClr>
                </a:solidFill>
                <a:latin typeface="+mn-lt"/>
                <a:ea typeface="+mn-ea"/>
                <a:cs typeface="+mn-cs"/>
              </a:defRPr>
            </a:pPr>
            <a:endParaRPr lang="en-US"/>
          </a:p>
        </c:txPr>
        <c:crossAx val="210855311"/>
        <c:crosses val="autoZero"/>
        <c:crossBetween val="between"/>
      </c:valAx>
      <c:spPr>
        <a:noFill/>
        <a:ln>
          <a:noFill/>
        </a:ln>
        <a:effectLst/>
      </c:spPr>
    </c:plotArea>
    <c:legend>
      <c:legendPos val="b"/>
      <c:overlay val="0"/>
      <c:spPr>
        <a:noFill/>
        <a:ln>
          <a:noFill/>
        </a:ln>
        <a:effectLst/>
      </c:spPr>
      <c:txPr>
        <a:bodyPr rot="0" spcFirstLastPara="1" vertOverflow="ellipsis" vert="horz" wrap="square" anchor="ctr" anchorCtr="1"/>
        <a:lstStyle/>
        <a:p>
          <a:pPr>
            <a:defRPr sz="800" b="0" i="0" u="none" strike="noStrike" kern="1200" baseline="0">
              <a:solidFill>
                <a:schemeClr val="tx1">
                  <a:lumMod val="65000"/>
                  <a:lumOff val="35000"/>
                </a:schemeClr>
              </a:solidFill>
              <a:latin typeface="+mn-lt"/>
              <a:ea typeface="+mn-ea"/>
              <a:cs typeface="+mn-cs"/>
            </a:defRPr>
          </a:pPr>
          <a:endParaRPr lang="en-US"/>
        </a:p>
      </c:txPr>
    </c:legend>
    <c:plotVisOnly val="1"/>
    <c:dispBlanksAs val="gap"/>
    <c:showDLblsOverMax val="0"/>
    <c:extLst>
      <c:ext xmlns:c16r3="http://schemas.microsoft.com/office/drawing/2017/03/chart" uri="{56B9EC1D-385E-4148-901F-78D8002777C0}">
        <c16r3:dataDisplayOptions16>
          <c16r3:dispNaAsBlank val="1"/>
        </c16r3:dataDisplayOptions16>
      </c:ext>
    </c:extLst>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2.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GB"/>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US"/>
              <a:t>Turnover and recruitment take up for Technivara 2024 </a:t>
            </a:r>
          </a:p>
        </c:rich>
      </c:tx>
      <c:layout>
        <c:manualLayout>
          <c:xMode val="edge"/>
          <c:yMode val="edge"/>
          <c:x val="0.12167479366284036"/>
          <c:y val="3.012311164687476E-2"/>
        </c:manualLayout>
      </c:layout>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barChart>
        <c:barDir val="bar"/>
        <c:grouping val="stacked"/>
        <c:varyColors val="0"/>
        <c:ser>
          <c:idx val="2"/>
          <c:order val="2"/>
          <c:tx>
            <c:strRef>
              <c:f>'Stacked Bar'!$D$3</c:f>
              <c:strCache>
                <c:ptCount val="1"/>
                <c:pt idx="0">
                  <c:v>Leavers as a % against total in each Department</c:v>
                </c:pt>
              </c:strCache>
            </c:strRef>
          </c:tx>
          <c:spPr>
            <a:solidFill>
              <a:schemeClr val="accent3"/>
            </a:solidFill>
            <a:ln>
              <a:noFill/>
            </a:ln>
            <a:effectLst/>
          </c:spPr>
          <c:invertIfNegative val="0"/>
          <c:dLbls>
            <c:spPr>
              <a:noFill/>
              <a:ln>
                <a:noFill/>
              </a:ln>
              <a:effectLst/>
            </c:spPr>
            <c:txPr>
              <a:bodyPr rot="0" spcFirstLastPara="1" vertOverflow="ellipsis" vert="horz" wrap="square" lIns="38100" tIns="19050" rIns="38100" bIns="19050" anchor="ctr" anchorCtr="1">
                <a:spAutoFit/>
              </a:bodyPr>
              <a:lstStyle/>
              <a:p>
                <a:pPr>
                  <a:defRPr sz="600" b="0" i="0" u="none" strike="noStrike" kern="1200" baseline="0">
                    <a:solidFill>
                      <a:schemeClr val="bg1"/>
                    </a:solidFill>
                    <a:latin typeface="+mn-lt"/>
                    <a:ea typeface="+mn-ea"/>
                    <a:cs typeface="+mn-cs"/>
                  </a:defRPr>
                </a:pPr>
                <a:endParaRPr lang="en-US"/>
              </a:p>
            </c:txPr>
            <c:dLblPos val="ctr"/>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cap="flat" cmpd="sng" algn="ctr">
                      <a:solidFill>
                        <a:schemeClr val="tx1">
                          <a:lumMod val="35000"/>
                          <a:lumOff val="65000"/>
                        </a:schemeClr>
                      </a:solidFill>
                      <a:round/>
                    </a:ln>
                    <a:effectLst/>
                  </c:spPr>
                </c15:leaderLines>
              </c:ext>
            </c:extLst>
          </c:dLbls>
          <c:cat>
            <c:strRef>
              <c:f>('Stacked Bar'!$A$4,'Stacked Bar'!$A$6,'Stacked Bar'!$A$8,'Stacked Bar'!$A$10,'Stacked Bar'!$A$12,'Stacked Bar'!$A$14,'Stacked Bar'!$A$16,'Stacked Bar'!$A$18,'Stacked Bar'!$A$20,'Stacked Bar'!$A$22)</c:f>
              <c:strCache>
                <c:ptCount val="10"/>
                <c:pt idx="0">
                  <c:v>Audio technical Department</c:v>
                </c:pt>
                <c:pt idx="1">
                  <c:v>Offices and Administration</c:v>
                </c:pt>
                <c:pt idx="2">
                  <c:v>Research and Development</c:v>
                </c:pt>
                <c:pt idx="3">
                  <c:v>Quality control</c:v>
                </c:pt>
                <c:pt idx="4">
                  <c:v>Dispatch </c:v>
                </c:pt>
                <c:pt idx="5">
                  <c:v>Engineering </c:v>
                </c:pt>
                <c:pt idx="6">
                  <c:v>Casting Department </c:v>
                </c:pt>
                <c:pt idx="7">
                  <c:v>Sales &amp; Marketing </c:v>
                </c:pt>
                <c:pt idx="8">
                  <c:v>Human Resources </c:v>
                </c:pt>
                <c:pt idx="9">
                  <c:v>Design </c:v>
                </c:pt>
              </c:strCache>
              <c:extLst/>
            </c:strRef>
          </c:cat>
          <c:val>
            <c:numRef>
              <c:f>('Stacked Bar'!$D$4,'Stacked Bar'!$D$6,'Stacked Bar'!$D$8,'Stacked Bar'!$D$10,'Stacked Bar'!$D$12,'Stacked Bar'!$D$14,'Stacked Bar'!$D$16,'Stacked Bar'!$D$18,'Stacked Bar'!$D$20,'Stacked Bar'!$D$22)</c:f>
              <c:numCache>
                <c:formatCode>0%</c:formatCode>
                <c:ptCount val="10"/>
                <c:pt idx="0">
                  <c:v>0.23076923076923078</c:v>
                </c:pt>
                <c:pt idx="1">
                  <c:v>0.26666666666666666</c:v>
                </c:pt>
                <c:pt idx="2">
                  <c:v>0.125</c:v>
                </c:pt>
                <c:pt idx="3">
                  <c:v>0.5</c:v>
                </c:pt>
                <c:pt idx="4">
                  <c:v>0.26666666666666666</c:v>
                </c:pt>
                <c:pt idx="5">
                  <c:v>0.22857142857142856</c:v>
                </c:pt>
                <c:pt idx="6">
                  <c:v>0.5</c:v>
                </c:pt>
                <c:pt idx="7">
                  <c:v>0.33333333333333331</c:v>
                </c:pt>
                <c:pt idx="8">
                  <c:v>0.25</c:v>
                </c:pt>
                <c:pt idx="9">
                  <c:v>0.25</c:v>
                </c:pt>
              </c:numCache>
              <c:extLst/>
            </c:numRef>
          </c:val>
          <c:extLst>
            <c:ext xmlns:c16="http://schemas.microsoft.com/office/drawing/2014/chart" uri="{C3380CC4-5D6E-409C-BE32-E72D297353CC}">
              <c16:uniqueId val="{00000000-DD44-4175-A6CD-3FED829362D7}"/>
            </c:ext>
          </c:extLst>
        </c:ser>
        <c:ser>
          <c:idx val="4"/>
          <c:order val="4"/>
          <c:tx>
            <c:strRef>
              <c:f>'Stacked Bar'!$F$3</c:f>
              <c:strCache>
                <c:ptCount val="1"/>
                <c:pt idx="0">
                  <c:v>Vacancies as a % against total in each Department</c:v>
                </c:pt>
              </c:strCache>
            </c:strRef>
          </c:tx>
          <c:spPr>
            <a:solidFill>
              <a:schemeClr val="accent5"/>
            </a:solidFill>
            <a:ln>
              <a:noFill/>
            </a:ln>
            <a:effectLst/>
          </c:spPr>
          <c:invertIfNegative val="0"/>
          <c:dLbls>
            <c:spPr>
              <a:noFill/>
              <a:ln>
                <a:noFill/>
              </a:ln>
              <a:effectLst/>
            </c:spPr>
            <c:txPr>
              <a:bodyPr rot="0" spcFirstLastPara="1" vertOverflow="ellipsis" vert="horz" wrap="square" lIns="38100" tIns="19050" rIns="38100" bIns="19050" anchor="ctr" anchorCtr="1">
                <a:spAutoFit/>
              </a:bodyPr>
              <a:lstStyle/>
              <a:p>
                <a:pPr>
                  <a:defRPr sz="600" b="0" i="0" u="none" strike="noStrike" kern="1200" normalizeH="0" baseline="0">
                    <a:solidFill>
                      <a:schemeClr val="bg1"/>
                    </a:solidFill>
                    <a:latin typeface="+mn-lt"/>
                    <a:ea typeface="+mn-ea"/>
                    <a:cs typeface="+mn-cs"/>
                  </a:defRPr>
                </a:pPr>
                <a:endParaRPr lang="en-US"/>
              </a:p>
            </c:txPr>
            <c:dLblPos val="ctr"/>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cap="flat" cmpd="sng" algn="ctr">
                      <a:solidFill>
                        <a:schemeClr val="tx1">
                          <a:lumMod val="35000"/>
                          <a:lumOff val="65000"/>
                        </a:schemeClr>
                      </a:solidFill>
                      <a:round/>
                    </a:ln>
                    <a:effectLst/>
                  </c:spPr>
                </c15:leaderLines>
              </c:ext>
            </c:extLst>
          </c:dLbls>
          <c:cat>
            <c:strRef>
              <c:f>('Stacked Bar'!$A$4,'Stacked Bar'!$A$6,'Stacked Bar'!$A$8,'Stacked Bar'!$A$10,'Stacked Bar'!$A$12,'Stacked Bar'!$A$14,'Stacked Bar'!$A$16,'Stacked Bar'!$A$18,'Stacked Bar'!$A$20,'Stacked Bar'!$A$22)</c:f>
              <c:strCache>
                <c:ptCount val="10"/>
                <c:pt idx="0">
                  <c:v>Audio technical Department</c:v>
                </c:pt>
                <c:pt idx="1">
                  <c:v>Offices and Administration</c:v>
                </c:pt>
                <c:pt idx="2">
                  <c:v>Research and Development</c:v>
                </c:pt>
                <c:pt idx="3">
                  <c:v>Quality control</c:v>
                </c:pt>
                <c:pt idx="4">
                  <c:v>Dispatch </c:v>
                </c:pt>
                <c:pt idx="5">
                  <c:v>Engineering </c:v>
                </c:pt>
                <c:pt idx="6">
                  <c:v>Casting Department </c:v>
                </c:pt>
                <c:pt idx="7">
                  <c:v>Sales &amp; Marketing </c:v>
                </c:pt>
                <c:pt idx="8">
                  <c:v>Human Resources </c:v>
                </c:pt>
                <c:pt idx="9">
                  <c:v>Design </c:v>
                </c:pt>
              </c:strCache>
              <c:extLst/>
            </c:strRef>
          </c:cat>
          <c:val>
            <c:numRef>
              <c:f>('Stacked Bar'!$F$4,'Stacked Bar'!$F$6,'Stacked Bar'!$F$8,'Stacked Bar'!$F$10,'Stacked Bar'!$F$12,'Stacked Bar'!$F$14,'Stacked Bar'!$F$16,'Stacked Bar'!$F$18,'Stacked Bar'!$F$20,'Stacked Bar'!$F$22)</c:f>
              <c:numCache>
                <c:formatCode>0%</c:formatCode>
                <c:ptCount val="10"/>
                <c:pt idx="0">
                  <c:v>0.30769230769230771</c:v>
                </c:pt>
                <c:pt idx="1">
                  <c:v>0.33333333333333331</c:v>
                </c:pt>
                <c:pt idx="2">
                  <c:v>0.5</c:v>
                </c:pt>
                <c:pt idx="3">
                  <c:v>0.75</c:v>
                </c:pt>
                <c:pt idx="4">
                  <c:v>0.4</c:v>
                </c:pt>
                <c:pt idx="5">
                  <c:v>0.22857142857142856</c:v>
                </c:pt>
                <c:pt idx="6">
                  <c:v>0.83333333333333337</c:v>
                </c:pt>
                <c:pt idx="7">
                  <c:v>0.25</c:v>
                </c:pt>
                <c:pt idx="8">
                  <c:v>0.25</c:v>
                </c:pt>
                <c:pt idx="9">
                  <c:v>0.41666666666666669</c:v>
                </c:pt>
              </c:numCache>
              <c:extLst/>
            </c:numRef>
          </c:val>
          <c:extLst>
            <c:ext xmlns:c16="http://schemas.microsoft.com/office/drawing/2014/chart" uri="{C3380CC4-5D6E-409C-BE32-E72D297353CC}">
              <c16:uniqueId val="{00000001-DD44-4175-A6CD-3FED829362D7}"/>
            </c:ext>
          </c:extLst>
        </c:ser>
        <c:ser>
          <c:idx val="6"/>
          <c:order val="6"/>
          <c:tx>
            <c:strRef>
              <c:f>'Stacked Bar'!$H$3</c:f>
              <c:strCache>
                <c:ptCount val="1"/>
                <c:pt idx="0">
                  <c:v>Positions filled as a % of total in each Department</c:v>
                </c:pt>
              </c:strCache>
            </c:strRef>
          </c:tx>
          <c:spPr>
            <a:solidFill>
              <a:schemeClr val="accent1">
                <a:lumMod val="60000"/>
              </a:schemeClr>
            </a:solidFill>
            <a:ln>
              <a:noFill/>
            </a:ln>
            <a:effectLst/>
          </c:spPr>
          <c:invertIfNegative val="0"/>
          <c:dLbls>
            <c:dLbl>
              <c:idx val="5"/>
              <c:spPr>
                <a:noFill/>
                <a:ln>
                  <a:noFill/>
                </a:ln>
                <a:effectLst/>
              </c:spPr>
              <c:txPr>
                <a:bodyPr rot="0" spcFirstLastPara="1" vertOverflow="ellipsis" vert="horz" wrap="square" lIns="38100" tIns="19050" rIns="38100" bIns="19050" anchor="ctr" anchorCtr="0">
                  <a:spAutoFit/>
                </a:bodyPr>
                <a:lstStyle/>
                <a:p>
                  <a:pPr algn="l">
                    <a:defRPr sz="600" b="0" i="0" u="none" strike="noStrike" kern="1200" baseline="0">
                      <a:solidFill>
                        <a:schemeClr val="bg1"/>
                      </a:solidFill>
                      <a:latin typeface="+mn-lt"/>
                      <a:ea typeface="+mn-ea"/>
                      <a:cs typeface="+mn-cs"/>
                    </a:defRPr>
                  </a:pPr>
                  <a:endParaRPr lang="en-US"/>
                </a:p>
              </c:txPr>
              <c:dLblPos val="ctr"/>
              <c:showLegendKey val="0"/>
              <c:showVal val="1"/>
              <c:showCatName val="0"/>
              <c:showSerName val="0"/>
              <c:showPercent val="0"/>
              <c:showBubbleSize val="0"/>
              <c:extLst>
                <c:ext xmlns:c16="http://schemas.microsoft.com/office/drawing/2014/chart" uri="{C3380CC4-5D6E-409C-BE32-E72D297353CC}">
                  <c16:uniqueId val="{00000007-DD44-4175-A6CD-3FED829362D7}"/>
                </c:ext>
              </c:extLst>
            </c:dLbl>
            <c:spPr>
              <a:noFill/>
              <a:ln>
                <a:noFill/>
              </a:ln>
              <a:effectLst/>
            </c:spPr>
            <c:txPr>
              <a:bodyPr rot="0" spcFirstLastPara="1" vertOverflow="ellipsis" vert="horz" wrap="square" lIns="38100" tIns="19050" rIns="38100" bIns="19050" anchor="ctr" anchorCtr="1">
                <a:spAutoFit/>
              </a:bodyPr>
              <a:lstStyle/>
              <a:p>
                <a:pPr>
                  <a:defRPr sz="600" b="0" i="0" u="none" strike="noStrike" kern="1200" baseline="0">
                    <a:solidFill>
                      <a:schemeClr val="bg1"/>
                    </a:solidFill>
                    <a:latin typeface="+mn-lt"/>
                    <a:ea typeface="+mn-ea"/>
                    <a:cs typeface="+mn-cs"/>
                  </a:defRPr>
                </a:pPr>
                <a:endParaRPr lang="en-US"/>
              </a:p>
            </c:txPr>
            <c:dLblPos val="ctr"/>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cap="flat" cmpd="sng" algn="ctr">
                      <a:solidFill>
                        <a:schemeClr val="tx1">
                          <a:lumMod val="35000"/>
                          <a:lumOff val="65000"/>
                        </a:schemeClr>
                      </a:solidFill>
                      <a:round/>
                    </a:ln>
                    <a:effectLst/>
                  </c:spPr>
                </c15:leaderLines>
              </c:ext>
            </c:extLst>
          </c:dLbls>
          <c:cat>
            <c:strRef>
              <c:f>('Stacked Bar'!$A$4,'Stacked Bar'!$A$6,'Stacked Bar'!$A$8,'Stacked Bar'!$A$10,'Stacked Bar'!$A$12,'Stacked Bar'!$A$14,'Stacked Bar'!$A$16,'Stacked Bar'!$A$18,'Stacked Bar'!$A$20,'Stacked Bar'!$A$22)</c:f>
              <c:strCache>
                <c:ptCount val="10"/>
                <c:pt idx="0">
                  <c:v>Audio technical Department</c:v>
                </c:pt>
                <c:pt idx="1">
                  <c:v>Offices and Administration</c:v>
                </c:pt>
                <c:pt idx="2">
                  <c:v>Research and Development</c:v>
                </c:pt>
                <c:pt idx="3">
                  <c:v>Quality control</c:v>
                </c:pt>
                <c:pt idx="4">
                  <c:v>Dispatch </c:v>
                </c:pt>
                <c:pt idx="5">
                  <c:v>Engineering </c:v>
                </c:pt>
                <c:pt idx="6">
                  <c:v>Casting Department </c:v>
                </c:pt>
                <c:pt idx="7">
                  <c:v>Sales &amp; Marketing </c:v>
                </c:pt>
                <c:pt idx="8">
                  <c:v>Human Resources </c:v>
                </c:pt>
                <c:pt idx="9">
                  <c:v>Design </c:v>
                </c:pt>
              </c:strCache>
              <c:extLst/>
            </c:strRef>
          </c:cat>
          <c:val>
            <c:numRef>
              <c:f>('Stacked Bar'!$H$4,'Stacked Bar'!$H$6,'Stacked Bar'!$H$8,'Stacked Bar'!$H$10,'Stacked Bar'!$H$12,'Stacked Bar'!$H$14,'Stacked Bar'!$H$16,'Stacked Bar'!$H$18,'Stacked Bar'!$H$20,'Stacked Bar'!$H$22)</c:f>
              <c:numCache>
                <c:formatCode>0%</c:formatCode>
                <c:ptCount val="10"/>
                <c:pt idx="0">
                  <c:v>0.11538461538461539</c:v>
                </c:pt>
                <c:pt idx="1">
                  <c:v>0.33333333333333331</c:v>
                </c:pt>
                <c:pt idx="2">
                  <c:v>0.5</c:v>
                </c:pt>
                <c:pt idx="3">
                  <c:v>0.75</c:v>
                </c:pt>
                <c:pt idx="4">
                  <c:v>0.4</c:v>
                </c:pt>
                <c:pt idx="5">
                  <c:v>8.5714285714285715E-2</c:v>
                </c:pt>
                <c:pt idx="6">
                  <c:v>0.33333333333333331</c:v>
                </c:pt>
                <c:pt idx="7">
                  <c:v>0.25</c:v>
                </c:pt>
                <c:pt idx="8">
                  <c:v>0.25</c:v>
                </c:pt>
                <c:pt idx="9">
                  <c:v>0.16666666666666666</c:v>
                </c:pt>
              </c:numCache>
              <c:extLst/>
            </c:numRef>
          </c:val>
          <c:extLst>
            <c:ext xmlns:c16="http://schemas.microsoft.com/office/drawing/2014/chart" uri="{C3380CC4-5D6E-409C-BE32-E72D297353CC}">
              <c16:uniqueId val="{00000002-DD44-4175-A6CD-3FED829362D7}"/>
            </c:ext>
          </c:extLst>
        </c:ser>
        <c:dLbls>
          <c:dLblPos val="ctr"/>
          <c:showLegendKey val="0"/>
          <c:showVal val="1"/>
          <c:showCatName val="0"/>
          <c:showSerName val="0"/>
          <c:showPercent val="0"/>
          <c:showBubbleSize val="0"/>
        </c:dLbls>
        <c:gapWidth val="182"/>
        <c:overlap val="100"/>
        <c:axId val="1078352320"/>
        <c:axId val="1078351360"/>
        <c:extLst>
          <c:ext xmlns:c15="http://schemas.microsoft.com/office/drawing/2012/chart" uri="{02D57815-91ED-43cb-92C2-25804820EDAC}">
            <c15:filteredBarSeries>
              <c15:ser>
                <c:idx val="0"/>
                <c:order val="0"/>
                <c:tx>
                  <c:strRef>
                    <c:extLst>
                      <c:ext uri="{02D57815-91ED-43cb-92C2-25804820EDAC}">
                        <c15:formulaRef>
                          <c15:sqref>'Stacked Bar'!$B$3</c15:sqref>
                        </c15:formulaRef>
                      </c:ext>
                    </c:extLst>
                    <c:strCache>
                      <c:ptCount val="1"/>
                      <c:pt idx="0">
                        <c:v>Total in Department 2024</c:v>
                      </c:pt>
                    </c:strCache>
                  </c:strRef>
                </c:tx>
                <c:spPr>
                  <a:solidFill>
                    <a:schemeClr val="accent1"/>
                  </a:solidFill>
                  <a:ln>
                    <a:noFill/>
                  </a:ln>
                  <a:effectLst/>
                </c:spPr>
                <c:invertIfNegative val="0"/>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dLblPos val="ctr"/>
                  <c:showLegendKey val="0"/>
                  <c:showVal val="1"/>
                  <c:showCatName val="0"/>
                  <c:showSerName val="0"/>
                  <c:showPercent val="0"/>
                  <c:showBubbleSize val="0"/>
                  <c:showLeaderLines val="0"/>
                  <c:extLst>
                    <c:ext uri="{CE6537A1-D6FC-4f65-9D91-7224C49458BB}">
                      <c15:showLeaderLines val="1"/>
                      <c15:leaderLines>
                        <c:spPr>
                          <a:ln w="9525" cap="flat" cmpd="sng" algn="ctr">
                            <a:solidFill>
                              <a:schemeClr val="tx1">
                                <a:lumMod val="35000"/>
                                <a:lumOff val="65000"/>
                              </a:schemeClr>
                            </a:solidFill>
                            <a:round/>
                          </a:ln>
                          <a:effectLst/>
                        </c:spPr>
                      </c15:leaderLines>
                    </c:ext>
                  </c:extLst>
                </c:dLbls>
                <c:cat>
                  <c:strRef>
                    <c:extLst>
                      <c:ext uri="{02D57815-91ED-43cb-92C2-25804820EDAC}">
                        <c15:formulaRef>
                          <c15:sqref>('Stacked Bar'!$A$4,'Stacked Bar'!$A$6,'Stacked Bar'!$A$8,'Stacked Bar'!$A$10,'Stacked Bar'!$A$12,'Stacked Bar'!$A$14,'Stacked Bar'!$A$16,'Stacked Bar'!$A$18,'Stacked Bar'!$A$20,'Stacked Bar'!$A$22)</c15:sqref>
                        </c15:formulaRef>
                      </c:ext>
                    </c:extLst>
                    <c:strCache>
                      <c:ptCount val="10"/>
                      <c:pt idx="0">
                        <c:v>Audio technical Department</c:v>
                      </c:pt>
                      <c:pt idx="1">
                        <c:v>Offices and Administration</c:v>
                      </c:pt>
                      <c:pt idx="2">
                        <c:v>Research and Development</c:v>
                      </c:pt>
                      <c:pt idx="3">
                        <c:v>Quality control</c:v>
                      </c:pt>
                      <c:pt idx="4">
                        <c:v>Dispatch </c:v>
                      </c:pt>
                      <c:pt idx="5">
                        <c:v>Engineering </c:v>
                      </c:pt>
                      <c:pt idx="6">
                        <c:v>Casting Department </c:v>
                      </c:pt>
                      <c:pt idx="7">
                        <c:v>Sales &amp; Marketing </c:v>
                      </c:pt>
                      <c:pt idx="8">
                        <c:v>Human Resources </c:v>
                      </c:pt>
                      <c:pt idx="9">
                        <c:v>Design </c:v>
                      </c:pt>
                    </c:strCache>
                  </c:strRef>
                </c:cat>
                <c:val>
                  <c:numRef>
                    <c:extLst>
                      <c:ext uri="{02D57815-91ED-43cb-92C2-25804820EDAC}">
                        <c15:formulaRef>
                          <c15:sqref>('Stacked Bar'!$B$4,'Stacked Bar'!$B$6,'Stacked Bar'!$B$8,'Stacked Bar'!$B$10,'Stacked Bar'!$B$12,'Stacked Bar'!$B$14,'Stacked Bar'!$B$16,'Stacked Bar'!$B$18,'Stacked Bar'!$B$20,'Stacked Bar'!$B$22)</c15:sqref>
                        </c15:formulaRef>
                      </c:ext>
                    </c:extLst>
                    <c:numCache>
                      <c:formatCode>General</c:formatCode>
                      <c:ptCount val="10"/>
                      <c:pt idx="0">
                        <c:v>26</c:v>
                      </c:pt>
                      <c:pt idx="1">
                        <c:v>15</c:v>
                      </c:pt>
                      <c:pt idx="2">
                        <c:v>8</c:v>
                      </c:pt>
                      <c:pt idx="3">
                        <c:v>4</c:v>
                      </c:pt>
                      <c:pt idx="4">
                        <c:v>15</c:v>
                      </c:pt>
                      <c:pt idx="5">
                        <c:v>35</c:v>
                      </c:pt>
                      <c:pt idx="6">
                        <c:v>6</c:v>
                      </c:pt>
                      <c:pt idx="7">
                        <c:v>12</c:v>
                      </c:pt>
                      <c:pt idx="8">
                        <c:v>4</c:v>
                      </c:pt>
                      <c:pt idx="9">
                        <c:v>12</c:v>
                      </c:pt>
                    </c:numCache>
                  </c:numRef>
                </c:val>
                <c:extLst>
                  <c:ext xmlns:c16="http://schemas.microsoft.com/office/drawing/2014/chart" uri="{C3380CC4-5D6E-409C-BE32-E72D297353CC}">
                    <c16:uniqueId val="{00000003-DD44-4175-A6CD-3FED829362D7}"/>
                  </c:ext>
                </c:extLst>
              </c15:ser>
            </c15:filteredBarSeries>
            <c15:filteredBarSeries>
              <c15:ser>
                <c:idx val="1"/>
                <c:order val="1"/>
                <c:tx>
                  <c:strRef>
                    <c:extLst xmlns:c15="http://schemas.microsoft.com/office/drawing/2012/chart">
                      <c:ext xmlns:c15="http://schemas.microsoft.com/office/drawing/2012/chart" uri="{02D57815-91ED-43cb-92C2-25804820EDAC}">
                        <c15:formulaRef>
                          <c15:sqref>'Stacked Bar'!$C$3</c15:sqref>
                        </c15:formulaRef>
                      </c:ext>
                    </c:extLst>
                    <c:strCache>
                      <c:ptCount val="1"/>
                      <c:pt idx="0">
                        <c:v>Leavers for 2024</c:v>
                      </c:pt>
                    </c:strCache>
                  </c:strRef>
                </c:tx>
                <c:spPr>
                  <a:solidFill>
                    <a:schemeClr val="accent2"/>
                  </a:solidFill>
                  <a:ln>
                    <a:noFill/>
                  </a:ln>
                  <a:effectLst/>
                </c:spPr>
                <c:invertIfNegative val="0"/>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dLblPos val="ctr"/>
                  <c:showLegendKey val="0"/>
                  <c:showVal val="1"/>
                  <c:showCatName val="0"/>
                  <c:showSerName val="0"/>
                  <c:showPercent val="0"/>
                  <c:showBubbleSize val="0"/>
                  <c:showLeaderLines val="0"/>
                  <c:extLst xmlns:c15="http://schemas.microsoft.com/office/drawing/2012/chart">
                    <c:ext xmlns:c15="http://schemas.microsoft.com/office/drawing/2012/chart" uri="{CE6537A1-D6FC-4f65-9D91-7224C49458BB}">
                      <c15:showLeaderLines val="1"/>
                      <c15:leaderLines>
                        <c:spPr>
                          <a:ln w="9525" cap="flat" cmpd="sng" algn="ctr">
                            <a:solidFill>
                              <a:schemeClr val="tx1">
                                <a:lumMod val="35000"/>
                                <a:lumOff val="65000"/>
                              </a:schemeClr>
                            </a:solidFill>
                            <a:round/>
                          </a:ln>
                          <a:effectLst/>
                        </c:spPr>
                      </c15:leaderLines>
                    </c:ext>
                  </c:extLst>
                </c:dLbls>
                <c:cat>
                  <c:strRef>
                    <c:extLst xmlns:c15="http://schemas.microsoft.com/office/drawing/2012/chart">
                      <c:ext xmlns:c15="http://schemas.microsoft.com/office/drawing/2012/chart" uri="{02D57815-91ED-43cb-92C2-25804820EDAC}">
                        <c15:formulaRef>
                          <c15:sqref>('Stacked Bar'!$A$4,'Stacked Bar'!$A$6,'Stacked Bar'!$A$8,'Stacked Bar'!$A$10,'Stacked Bar'!$A$12,'Stacked Bar'!$A$14,'Stacked Bar'!$A$16,'Stacked Bar'!$A$18,'Stacked Bar'!$A$20,'Stacked Bar'!$A$22)</c15:sqref>
                        </c15:formulaRef>
                      </c:ext>
                    </c:extLst>
                    <c:strCache>
                      <c:ptCount val="10"/>
                      <c:pt idx="0">
                        <c:v>Audio technical Department</c:v>
                      </c:pt>
                      <c:pt idx="1">
                        <c:v>Offices and Administration</c:v>
                      </c:pt>
                      <c:pt idx="2">
                        <c:v>Research and Development</c:v>
                      </c:pt>
                      <c:pt idx="3">
                        <c:v>Quality control</c:v>
                      </c:pt>
                      <c:pt idx="4">
                        <c:v>Dispatch </c:v>
                      </c:pt>
                      <c:pt idx="5">
                        <c:v>Engineering </c:v>
                      </c:pt>
                      <c:pt idx="6">
                        <c:v>Casting Department </c:v>
                      </c:pt>
                      <c:pt idx="7">
                        <c:v>Sales &amp; Marketing </c:v>
                      </c:pt>
                      <c:pt idx="8">
                        <c:v>Human Resources </c:v>
                      </c:pt>
                      <c:pt idx="9">
                        <c:v>Design </c:v>
                      </c:pt>
                    </c:strCache>
                  </c:strRef>
                </c:cat>
                <c:val>
                  <c:numRef>
                    <c:extLst xmlns:c15="http://schemas.microsoft.com/office/drawing/2012/chart">
                      <c:ext xmlns:c15="http://schemas.microsoft.com/office/drawing/2012/chart" uri="{02D57815-91ED-43cb-92C2-25804820EDAC}">
                        <c15:formulaRef>
                          <c15:sqref>('Stacked Bar'!$C$4,'Stacked Bar'!$C$6,'Stacked Bar'!$C$8,'Stacked Bar'!$C$10,'Stacked Bar'!$C$12,'Stacked Bar'!$C$14,'Stacked Bar'!$C$16,'Stacked Bar'!$C$18,'Stacked Bar'!$C$20,'Stacked Bar'!$C$22)</c15:sqref>
                        </c15:formulaRef>
                      </c:ext>
                    </c:extLst>
                    <c:numCache>
                      <c:formatCode>General</c:formatCode>
                      <c:ptCount val="10"/>
                      <c:pt idx="0">
                        <c:v>6</c:v>
                      </c:pt>
                      <c:pt idx="1">
                        <c:v>4</c:v>
                      </c:pt>
                      <c:pt idx="2">
                        <c:v>1</c:v>
                      </c:pt>
                      <c:pt idx="3">
                        <c:v>2</c:v>
                      </c:pt>
                      <c:pt idx="4">
                        <c:v>4</c:v>
                      </c:pt>
                      <c:pt idx="5">
                        <c:v>8</c:v>
                      </c:pt>
                      <c:pt idx="6">
                        <c:v>3</c:v>
                      </c:pt>
                      <c:pt idx="7">
                        <c:v>4</c:v>
                      </c:pt>
                      <c:pt idx="8">
                        <c:v>1</c:v>
                      </c:pt>
                      <c:pt idx="9">
                        <c:v>3</c:v>
                      </c:pt>
                    </c:numCache>
                  </c:numRef>
                </c:val>
                <c:extLst xmlns:c15="http://schemas.microsoft.com/office/drawing/2012/chart">
                  <c:ext xmlns:c16="http://schemas.microsoft.com/office/drawing/2014/chart" uri="{C3380CC4-5D6E-409C-BE32-E72D297353CC}">
                    <c16:uniqueId val="{00000004-DD44-4175-A6CD-3FED829362D7}"/>
                  </c:ext>
                </c:extLst>
              </c15:ser>
            </c15:filteredBarSeries>
            <c15:filteredBarSeries>
              <c15:ser>
                <c:idx val="3"/>
                <c:order val="3"/>
                <c:tx>
                  <c:strRef>
                    <c:extLst xmlns:c15="http://schemas.microsoft.com/office/drawing/2012/chart">
                      <c:ext xmlns:c15="http://schemas.microsoft.com/office/drawing/2012/chart" uri="{02D57815-91ED-43cb-92C2-25804820EDAC}">
                        <c15:formulaRef>
                          <c15:sqref>'Stacked Bar'!$E$3</c15:sqref>
                        </c15:formulaRef>
                      </c:ext>
                    </c:extLst>
                    <c:strCache>
                      <c:ptCount val="1"/>
                      <c:pt idx="0">
                        <c:v>Positions vacant </c:v>
                      </c:pt>
                    </c:strCache>
                  </c:strRef>
                </c:tx>
                <c:spPr>
                  <a:solidFill>
                    <a:schemeClr val="accent4"/>
                  </a:solidFill>
                  <a:ln>
                    <a:noFill/>
                  </a:ln>
                  <a:effectLst/>
                </c:spPr>
                <c:invertIfNegative val="0"/>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dLblPos val="ctr"/>
                  <c:showLegendKey val="0"/>
                  <c:showVal val="1"/>
                  <c:showCatName val="0"/>
                  <c:showSerName val="0"/>
                  <c:showPercent val="0"/>
                  <c:showBubbleSize val="0"/>
                  <c:showLeaderLines val="0"/>
                  <c:extLst xmlns:c15="http://schemas.microsoft.com/office/drawing/2012/chart">
                    <c:ext xmlns:c15="http://schemas.microsoft.com/office/drawing/2012/chart" uri="{CE6537A1-D6FC-4f65-9D91-7224C49458BB}">
                      <c15:showLeaderLines val="1"/>
                      <c15:leaderLines>
                        <c:spPr>
                          <a:ln w="9525" cap="flat" cmpd="sng" algn="ctr">
                            <a:solidFill>
                              <a:schemeClr val="tx1">
                                <a:lumMod val="35000"/>
                                <a:lumOff val="65000"/>
                              </a:schemeClr>
                            </a:solidFill>
                            <a:round/>
                          </a:ln>
                          <a:effectLst/>
                        </c:spPr>
                      </c15:leaderLines>
                    </c:ext>
                  </c:extLst>
                </c:dLbls>
                <c:cat>
                  <c:strRef>
                    <c:extLst xmlns:c15="http://schemas.microsoft.com/office/drawing/2012/chart">
                      <c:ext xmlns:c15="http://schemas.microsoft.com/office/drawing/2012/chart" uri="{02D57815-91ED-43cb-92C2-25804820EDAC}">
                        <c15:formulaRef>
                          <c15:sqref>('Stacked Bar'!$A$4,'Stacked Bar'!$A$6,'Stacked Bar'!$A$8,'Stacked Bar'!$A$10,'Stacked Bar'!$A$12,'Stacked Bar'!$A$14,'Stacked Bar'!$A$16,'Stacked Bar'!$A$18,'Stacked Bar'!$A$20,'Stacked Bar'!$A$22)</c15:sqref>
                        </c15:formulaRef>
                      </c:ext>
                    </c:extLst>
                    <c:strCache>
                      <c:ptCount val="10"/>
                      <c:pt idx="0">
                        <c:v>Audio technical Department</c:v>
                      </c:pt>
                      <c:pt idx="1">
                        <c:v>Offices and Administration</c:v>
                      </c:pt>
                      <c:pt idx="2">
                        <c:v>Research and Development</c:v>
                      </c:pt>
                      <c:pt idx="3">
                        <c:v>Quality control</c:v>
                      </c:pt>
                      <c:pt idx="4">
                        <c:v>Dispatch </c:v>
                      </c:pt>
                      <c:pt idx="5">
                        <c:v>Engineering </c:v>
                      </c:pt>
                      <c:pt idx="6">
                        <c:v>Casting Department </c:v>
                      </c:pt>
                      <c:pt idx="7">
                        <c:v>Sales &amp; Marketing </c:v>
                      </c:pt>
                      <c:pt idx="8">
                        <c:v>Human Resources </c:v>
                      </c:pt>
                      <c:pt idx="9">
                        <c:v>Design </c:v>
                      </c:pt>
                    </c:strCache>
                  </c:strRef>
                </c:cat>
                <c:val>
                  <c:numRef>
                    <c:extLst xmlns:c15="http://schemas.microsoft.com/office/drawing/2012/chart">
                      <c:ext xmlns:c15="http://schemas.microsoft.com/office/drawing/2012/chart" uri="{02D57815-91ED-43cb-92C2-25804820EDAC}">
                        <c15:formulaRef>
                          <c15:sqref>('Stacked Bar'!$E$4,'Stacked Bar'!$E$6,'Stacked Bar'!$E$8,'Stacked Bar'!$E$10,'Stacked Bar'!$E$12,'Stacked Bar'!$E$14,'Stacked Bar'!$E$16,'Stacked Bar'!$E$18,'Stacked Bar'!$E$20,'Stacked Bar'!$E$22)</c15:sqref>
                        </c15:formulaRef>
                      </c:ext>
                    </c:extLst>
                    <c:numCache>
                      <c:formatCode>General</c:formatCode>
                      <c:ptCount val="10"/>
                      <c:pt idx="0">
                        <c:v>8</c:v>
                      </c:pt>
                      <c:pt idx="1">
                        <c:v>5</c:v>
                      </c:pt>
                      <c:pt idx="2">
                        <c:v>4</c:v>
                      </c:pt>
                      <c:pt idx="3">
                        <c:v>3</c:v>
                      </c:pt>
                      <c:pt idx="4">
                        <c:v>6</c:v>
                      </c:pt>
                      <c:pt idx="5">
                        <c:v>8</c:v>
                      </c:pt>
                      <c:pt idx="6">
                        <c:v>5</c:v>
                      </c:pt>
                      <c:pt idx="7">
                        <c:v>3</c:v>
                      </c:pt>
                      <c:pt idx="8">
                        <c:v>1</c:v>
                      </c:pt>
                      <c:pt idx="9">
                        <c:v>5</c:v>
                      </c:pt>
                    </c:numCache>
                  </c:numRef>
                </c:val>
                <c:extLst xmlns:c15="http://schemas.microsoft.com/office/drawing/2012/chart">
                  <c:ext xmlns:c16="http://schemas.microsoft.com/office/drawing/2014/chart" uri="{C3380CC4-5D6E-409C-BE32-E72D297353CC}">
                    <c16:uniqueId val="{00000005-DD44-4175-A6CD-3FED829362D7}"/>
                  </c:ext>
                </c:extLst>
              </c15:ser>
            </c15:filteredBarSeries>
            <c15:filteredBarSeries>
              <c15:ser>
                <c:idx val="5"/>
                <c:order val="5"/>
                <c:tx>
                  <c:strRef>
                    <c:extLst xmlns:c15="http://schemas.microsoft.com/office/drawing/2012/chart">
                      <c:ext xmlns:c15="http://schemas.microsoft.com/office/drawing/2012/chart" uri="{02D57815-91ED-43cb-92C2-25804820EDAC}">
                        <c15:formulaRef>
                          <c15:sqref>'Stacked Bar'!$G$3</c15:sqref>
                        </c15:formulaRef>
                      </c:ext>
                    </c:extLst>
                    <c:strCache>
                      <c:ptCount val="1"/>
                      <c:pt idx="0">
                        <c:v>Positions filled </c:v>
                      </c:pt>
                    </c:strCache>
                  </c:strRef>
                </c:tx>
                <c:spPr>
                  <a:solidFill>
                    <a:schemeClr val="accent6"/>
                  </a:solidFill>
                  <a:ln>
                    <a:noFill/>
                  </a:ln>
                  <a:effectLst/>
                </c:spPr>
                <c:invertIfNegative val="0"/>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dLblPos val="ctr"/>
                  <c:showLegendKey val="0"/>
                  <c:showVal val="1"/>
                  <c:showCatName val="0"/>
                  <c:showSerName val="0"/>
                  <c:showPercent val="0"/>
                  <c:showBubbleSize val="0"/>
                  <c:showLeaderLines val="0"/>
                  <c:extLst xmlns:c15="http://schemas.microsoft.com/office/drawing/2012/chart">
                    <c:ext xmlns:c15="http://schemas.microsoft.com/office/drawing/2012/chart" uri="{CE6537A1-D6FC-4f65-9D91-7224C49458BB}">
                      <c15:showLeaderLines val="1"/>
                      <c15:leaderLines>
                        <c:spPr>
                          <a:ln w="9525" cap="flat" cmpd="sng" algn="ctr">
                            <a:solidFill>
                              <a:schemeClr val="tx1">
                                <a:lumMod val="35000"/>
                                <a:lumOff val="65000"/>
                              </a:schemeClr>
                            </a:solidFill>
                            <a:round/>
                          </a:ln>
                          <a:effectLst/>
                        </c:spPr>
                      </c15:leaderLines>
                    </c:ext>
                  </c:extLst>
                </c:dLbls>
                <c:cat>
                  <c:strRef>
                    <c:extLst xmlns:c15="http://schemas.microsoft.com/office/drawing/2012/chart">
                      <c:ext xmlns:c15="http://schemas.microsoft.com/office/drawing/2012/chart" uri="{02D57815-91ED-43cb-92C2-25804820EDAC}">
                        <c15:formulaRef>
                          <c15:sqref>('Stacked Bar'!$A$4,'Stacked Bar'!$A$6,'Stacked Bar'!$A$8,'Stacked Bar'!$A$10,'Stacked Bar'!$A$12,'Stacked Bar'!$A$14,'Stacked Bar'!$A$16,'Stacked Bar'!$A$18,'Stacked Bar'!$A$20,'Stacked Bar'!$A$22)</c15:sqref>
                        </c15:formulaRef>
                      </c:ext>
                    </c:extLst>
                    <c:strCache>
                      <c:ptCount val="10"/>
                      <c:pt idx="0">
                        <c:v>Audio technical Department</c:v>
                      </c:pt>
                      <c:pt idx="1">
                        <c:v>Offices and Administration</c:v>
                      </c:pt>
                      <c:pt idx="2">
                        <c:v>Research and Development</c:v>
                      </c:pt>
                      <c:pt idx="3">
                        <c:v>Quality control</c:v>
                      </c:pt>
                      <c:pt idx="4">
                        <c:v>Dispatch </c:v>
                      </c:pt>
                      <c:pt idx="5">
                        <c:v>Engineering </c:v>
                      </c:pt>
                      <c:pt idx="6">
                        <c:v>Casting Department </c:v>
                      </c:pt>
                      <c:pt idx="7">
                        <c:v>Sales &amp; Marketing </c:v>
                      </c:pt>
                      <c:pt idx="8">
                        <c:v>Human Resources </c:v>
                      </c:pt>
                      <c:pt idx="9">
                        <c:v>Design </c:v>
                      </c:pt>
                    </c:strCache>
                  </c:strRef>
                </c:cat>
                <c:val>
                  <c:numRef>
                    <c:extLst xmlns:c15="http://schemas.microsoft.com/office/drawing/2012/chart">
                      <c:ext xmlns:c15="http://schemas.microsoft.com/office/drawing/2012/chart" uri="{02D57815-91ED-43cb-92C2-25804820EDAC}">
                        <c15:formulaRef>
                          <c15:sqref>('Stacked Bar'!$G$4,'Stacked Bar'!$G$6,'Stacked Bar'!$G$8,'Stacked Bar'!$G$10,'Stacked Bar'!$G$12,'Stacked Bar'!$G$14,'Stacked Bar'!$G$16,'Stacked Bar'!$G$18,'Stacked Bar'!$G$20,'Stacked Bar'!$G$22)</c15:sqref>
                        </c15:formulaRef>
                      </c:ext>
                    </c:extLst>
                    <c:numCache>
                      <c:formatCode>General</c:formatCode>
                      <c:ptCount val="10"/>
                      <c:pt idx="0">
                        <c:v>3</c:v>
                      </c:pt>
                      <c:pt idx="1">
                        <c:v>5</c:v>
                      </c:pt>
                      <c:pt idx="2">
                        <c:v>4</c:v>
                      </c:pt>
                      <c:pt idx="3">
                        <c:v>3</c:v>
                      </c:pt>
                      <c:pt idx="4">
                        <c:v>6</c:v>
                      </c:pt>
                      <c:pt idx="5">
                        <c:v>3</c:v>
                      </c:pt>
                      <c:pt idx="6">
                        <c:v>2</c:v>
                      </c:pt>
                      <c:pt idx="7">
                        <c:v>3</c:v>
                      </c:pt>
                      <c:pt idx="8">
                        <c:v>1</c:v>
                      </c:pt>
                      <c:pt idx="9">
                        <c:v>2</c:v>
                      </c:pt>
                    </c:numCache>
                  </c:numRef>
                </c:val>
                <c:extLst xmlns:c15="http://schemas.microsoft.com/office/drawing/2012/chart">
                  <c:ext xmlns:c16="http://schemas.microsoft.com/office/drawing/2014/chart" uri="{C3380CC4-5D6E-409C-BE32-E72D297353CC}">
                    <c16:uniqueId val="{00000006-DD44-4175-A6CD-3FED829362D7}"/>
                  </c:ext>
                </c:extLst>
              </c15:ser>
            </c15:filteredBarSeries>
          </c:ext>
        </c:extLst>
      </c:barChart>
      <c:catAx>
        <c:axId val="1078352320"/>
        <c:scaling>
          <c:orientation val="minMax"/>
        </c:scaling>
        <c:delete val="0"/>
        <c:axPos val="l"/>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078351360"/>
        <c:crossesAt val="0"/>
        <c:auto val="1"/>
        <c:lblAlgn val="ctr"/>
        <c:lblOffset val="100"/>
        <c:noMultiLvlLbl val="0"/>
      </c:catAx>
      <c:valAx>
        <c:axId val="1078351360"/>
        <c:scaling>
          <c:orientation val="minMax"/>
        </c:scaling>
        <c:delete val="1"/>
        <c:axPos val="b"/>
        <c:majorGridlines>
          <c:spPr>
            <a:ln w="9525" cap="flat" cmpd="sng" algn="ctr">
              <a:solidFill>
                <a:schemeClr val="tx1">
                  <a:lumMod val="15000"/>
                  <a:lumOff val="85000"/>
                </a:schemeClr>
              </a:solidFill>
              <a:round/>
            </a:ln>
            <a:effectLst/>
          </c:spPr>
        </c:majorGridlines>
        <c:numFmt formatCode="0%" sourceLinked="1"/>
        <c:majorTickMark val="none"/>
        <c:minorTickMark val="none"/>
        <c:tickLblPos val="nextTo"/>
        <c:crossAx val="1078352320"/>
        <c:crosses val="autoZero"/>
        <c:crossBetween val="between"/>
      </c:valAx>
      <c:spPr>
        <a:noFill/>
        <a:ln>
          <a:noFill/>
        </a:ln>
        <a:effectLst/>
      </c:spPr>
    </c:plotArea>
    <c:legend>
      <c:legendPos val="b"/>
      <c:layout>
        <c:manualLayout>
          <c:xMode val="edge"/>
          <c:yMode val="edge"/>
          <c:x val="7.7871549188881506E-2"/>
          <c:y val="0.8565041421939521"/>
          <c:w val="0.84907599421359459"/>
          <c:h val="0.11417980961335056"/>
        </c:manualLayout>
      </c:layout>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3.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GB"/>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US"/>
              <a:t>Turnover and recruitment take up for Technivara 2024 </a:t>
            </a:r>
          </a:p>
        </c:rich>
      </c:tx>
      <c:layout>
        <c:manualLayout>
          <c:xMode val="edge"/>
          <c:yMode val="edge"/>
          <c:x val="0.15261592300962379"/>
          <c:y val="3.0692778209590755E-2"/>
        </c:manualLayout>
      </c:layout>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lineChart>
        <c:grouping val="standard"/>
        <c:varyColors val="0"/>
        <c:ser>
          <c:idx val="2"/>
          <c:order val="2"/>
          <c:tx>
            <c:strRef>
              <c:f>'Line Graph'!$D$3</c:f>
              <c:strCache>
                <c:ptCount val="1"/>
                <c:pt idx="0">
                  <c:v>Leavers as a % against total in each Department</c:v>
                </c:pt>
              </c:strCache>
            </c:strRef>
          </c:tx>
          <c:spPr>
            <a:ln w="28575" cap="rnd">
              <a:solidFill>
                <a:schemeClr val="accent3"/>
              </a:solidFill>
              <a:round/>
            </a:ln>
            <a:effectLst/>
          </c:spPr>
          <c:marker>
            <c:symbol val="circle"/>
            <c:size val="5"/>
            <c:spPr>
              <a:solidFill>
                <a:schemeClr val="accent3"/>
              </a:solidFill>
              <a:ln w="9525">
                <a:solidFill>
                  <a:schemeClr val="accent3"/>
                </a:solidFill>
              </a:ln>
              <a:effectLst/>
            </c:spPr>
          </c:marker>
          <c:cat>
            <c:strRef>
              <c:f>('Line Graph'!$A$4,'Line Graph'!$A$6,'Line Graph'!$A$8,'Line Graph'!$A$10,'Line Graph'!$A$12,'Line Graph'!$A$14,'Line Graph'!$A$16,'Line Graph'!$A$18,'Line Graph'!$A$20,'Line Graph'!$A$22)</c:f>
              <c:strCache>
                <c:ptCount val="10"/>
                <c:pt idx="0">
                  <c:v>Audio technical Department</c:v>
                </c:pt>
                <c:pt idx="1">
                  <c:v>Offices and Administration</c:v>
                </c:pt>
                <c:pt idx="2">
                  <c:v>Research and Development</c:v>
                </c:pt>
                <c:pt idx="3">
                  <c:v>Quality control</c:v>
                </c:pt>
                <c:pt idx="4">
                  <c:v>Dispatch </c:v>
                </c:pt>
                <c:pt idx="5">
                  <c:v>Engineering </c:v>
                </c:pt>
                <c:pt idx="6">
                  <c:v>Casting Department </c:v>
                </c:pt>
                <c:pt idx="7">
                  <c:v>Sales &amp; Marketing </c:v>
                </c:pt>
                <c:pt idx="8">
                  <c:v>Human Resources </c:v>
                </c:pt>
                <c:pt idx="9">
                  <c:v>Design </c:v>
                </c:pt>
              </c:strCache>
              <c:extLst/>
            </c:strRef>
          </c:cat>
          <c:val>
            <c:numRef>
              <c:f>('Line Graph'!$D$4,'Line Graph'!$D$6,'Line Graph'!$D$8,'Line Graph'!$D$10,'Line Graph'!$D$12,'Line Graph'!$D$14,'Line Graph'!$D$16,'Line Graph'!$D$18,'Line Graph'!$D$20,'Line Graph'!$D$22)</c:f>
              <c:numCache>
                <c:formatCode>0%</c:formatCode>
                <c:ptCount val="10"/>
                <c:pt idx="0">
                  <c:v>0.23076923076923078</c:v>
                </c:pt>
                <c:pt idx="1">
                  <c:v>0.26666666666666666</c:v>
                </c:pt>
                <c:pt idx="2">
                  <c:v>0.125</c:v>
                </c:pt>
                <c:pt idx="3">
                  <c:v>0.5</c:v>
                </c:pt>
                <c:pt idx="4">
                  <c:v>0.26666666666666666</c:v>
                </c:pt>
                <c:pt idx="5">
                  <c:v>0.22857142857142856</c:v>
                </c:pt>
                <c:pt idx="6">
                  <c:v>0.5</c:v>
                </c:pt>
                <c:pt idx="7">
                  <c:v>0.33333333333333331</c:v>
                </c:pt>
                <c:pt idx="8">
                  <c:v>0.25</c:v>
                </c:pt>
                <c:pt idx="9">
                  <c:v>0.25</c:v>
                </c:pt>
              </c:numCache>
              <c:extLst/>
            </c:numRef>
          </c:val>
          <c:smooth val="0"/>
          <c:extLst>
            <c:ext xmlns:c16="http://schemas.microsoft.com/office/drawing/2014/chart" uri="{C3380CC4-5D6E-409C-BE32-E72D297353CC}">
              <c16:uniqueId val="{00000000-44A0-4975-8BE5-3319A6B06FD0}"/>
            </c:ext>
          </c:extLst>
        </c:ser>
        <c:ser>
          <c:idx val="4"/>
          <c:order val="4"/>
          <c:tx>
            <c:strRef>
              <c:f>'Line Graph'!$F$3</c:f>
              <c:strCache>
                <c:ptCount val="1"/>
                <c:pt idx="0">
                  <c:v>Vacancies as a % against total in each Department</c:v>
                </c:pt>
              </c:strCache>
            </c:strRef>
          </c:tx>
          <c:spPr>
            <a:ln w="28575" cap="rnd">
              <a:solidFill>
                <a:schemeClr val="accent5"/>
              </a:solidFill>
              <a:round/>
            </a:ln>
            <a:effectLst/>
          </c:spPr>
          <c:marker>
            <c:symbol val="circle"/>
            <c:size val="5"/>
            <c:spPr>
              <a:solidFill>
                <a:schemeClr val="accent5"/>
              </a:solidFill>
              <a:ln w="9525">
                <a:solidFill>
                  <a:schemeClr val="accent5"/>
                </a:solidFill>
              </a:ln>
              <a:effectLst/>
            </c:spPr>
          </c:marker>
          <c:cat>
            <c:strRef>
              <c:f>('Line Graph'!$A$4,'Line Graph'!$A$6,'Line Graph'!$A$8,'Line Graph'!$A$10,'Line Graph'!$A$12,'Line Graph'!$A$14,'Line Graph'!$A$16,'Line Graph'!$A$18,'Line Graph'!$A$20,'Line Graph'!$A$22)</c:f>
              <c:strCache>
                <c:ptCount val="10"/>
                <c:pt idx="0">
                  <c:v>Audio technical Department</c:v>
                </c:pt>
                <c:pt idx="1">
                  <c:v>Offices and Administration</c:v>
                </c:pt>
                <c:pt idx="2">
                  <c:v>Research and Development</c:v>
                </c:pt>
                <c:pt idx="3">
                  <c:v>Quality control</c:v>
                </c:pt>
                <c:pt idx="4">
                  <c:v>Dispatch </c:v>
                </c:pt>
                <c:pt idx="5">
                  <c:v>Engineering </c:v>
                </c:pt>
                <c:pt idx="6">
                  <c:v>Casting Department </c:v>
                </c:pt>
                <c:pt idx="7">
                  <c:v>Sales &amp; Marketing </c:v>
                </c:pt>
                <c:pt idx="8">
                  <c:v>Human Resources </c:v>
                </c:pt>
                <c:pt idx="9">
                  <c:v>Design </c:v>
                </c:pt>
              </c:strCache>
              <c:extLst/>
            </c:strRef>
          </c:cat>
          <c:val>
            <c:numRef>
              <c:f>('Line Graph'!$F$4,'Line Graph'!$F$6,'Line Graph'!$F$8,'Line Graph'!$F$10,'Line Graph'!$F$12,'Line Graph'!$F$14,'Line Graph'!$F$16,'Line Graph'!$F$18,'Line Graph'!$F$20,'Line Graph'!$F$22)</c:f>
              <c:numCache>
                <c:formatCode>0%</c:formatCode>
                <c:ptCount val="10"/>
                <c:pt idx="0">
                  <c:v>0.30769230769230771</c:v>
                </c:pt>
                <c:pt idx="1">
                  <c:v>0.33333333333333331</c:v>
                </c:pt>
                <c:pt idx="2">
                  <c:v>0.5</c:v>
                </c:pt>
                <c:pt idx="3">
                  <c:v>0.75</c:v>
                </c:pt>
                <c:pt idx="4">
                  <c:v>0.4</c:v>
                </c:pt>
                <c:pt idx="5">
                  <c:v>0.22857142857142856</c:v>
                </c:pt>
                <c:pt idx="6">
                  <c:v>0.83333333333333337</c:v>
                </c:pt>
                <c:pt idx="7">
                  <c:v>0.25</c:v>
                </c:pt>
                <c:pt idx="8">
                  <c:v>0.25</c:v>
                </c:pt>
                <c:pt idx="9">
                  <c:v>0.41666666666666669</c:v>
                </c:pt>
              </c:numCache>
              <c:extLst/>
            </c:numRef>
          </c:val>
          <c:smooth val="0"/>
          <c:extLst>
            <c:ext xmlns:c16="http://schemas.microsoft.com/office/drawing/2014/chart" uri="{C3380CC4-5D6E-409C-BE32-E72D297353CC}">
              <c16:uniqueId val="{00000001-44A0-4975-8BE5-3319A6B06FD0}"/>
            </c:ext>
          </c:extLst>
        </c:ser>
        <c:ser>
          <c:idx val="6"/>
          <c:order val="6"/>
          <c:tx>
            <c:strRef>
              <c:f>'Line Graph'!$H$3</c:f>
              <c:strCache>
                <c:ptCount val="1"/>
                <c:pt idx="0">
                  <c:v>Positions filled as a % of total in each Department</c:v>
                </c:pt>
              </c:strCache>
            </c:strRef>
          </c:tx>
          <c:spPr>
            <a:ln w="28575" cap="rnd">
              <a:solidFill>
                <a:schemeClr val="accent1">
                  <a:lumMod val="60000"/>
                </a:schemeClr>
              </a:solidFill>
              <a:round/>
            </a:ln>
            <a:effectLst/>
          </c:spPr>
          <c:marker>
            <c:symbol val="circle"/>
            <c:size val="5"/>
            <c:spPr>
              <a:solidFill>
                <a:schemeClr val="accent1">
                  <a:lumMod val="60000"/>
                </a:schemeClr>
              </a:solidFill>
              <a:ln w="9525">
                <a:solidFill>
                  <a:schemeClr val="accent1">
                    <a:lumMod val="60000"/>
                  </a:schemeClr>
                </a:solidFill>
              </a:ln>
              <a:effectLst/>
            </c:spPr>
          </c:marker>
          <c:cat>
            <c:strRef>
              <c:f>('Line Graph'!$A$4,'Line Graph'!$A$6,'Line Graph'!$A$8,'Line Graph'!$A$10,'Line Graph'!$A$12,'Line Graph'!$A$14,'Line Graph'!$A$16,'Line Graph'!$A$18,'Line Graph'!$A$20,'Line Graph'!$A$22)</c:f>
              <c:strCache>
                <c:ptCount val="10"/>
                <c:pt idx="0">
                  <c:v>Audio technical Department</c:v>
                </c:pt>
                <c:pt idx="1">
                  <c:v>Offices and Administration</c:v>
                </c:pt>
                <c:pt idx="2">
                  <c:v>Research and Development</c:v>
                </c:pt>
                <c:pt idx="3">
                  <c:v>Quality control</c:v>
                </c:pt>
                <c:pt idx="4">
                  <c:v>Dispatch </c:v>
                </c:pt>
                <c:pt idx="5">
                  <c:v>Engineering </c:v>
                </c:pt>
                <c:pt idx="6">
                  <c:v>Casting Department </c:v>
                </c:pt>
                <c:pt idx="7">
                  <c:v>Sales &amp; Marketing </c:v>
                </c:pt>
                <c:pt idx="8">
                  <c:v>Human Resources </c:v>
                </c:pt>
                <c:pt idx="9">
                  <c:v>Design </c:v>
                </c:pt>
              </c:strCache>
              <c:extLst/>
            </c:strRef>
          </c:cat>
          <c:val>
            <c:numRef>
              <c:f>('Line Graph'!$H$4,'Line Graph'!$H$6,'Line Graph'!$H$8,'Line Graph'!$H$10,'Line Graph'!$H$12,'Line Graph'!$H$14,'Line Graph'!$H$16,'Line Graph'!$H$18,'Line Graph'!$H$20,'Line Graph'!$H$22)</c:f>
              <c:numCache>
                <c:formatCode>0%</c:formatCode>
                <c:ptCount val="10"/>
                <c:pt idx="0">
                  <c:v>0.11538461538461539</c:v>
                </c:pt>
                <c:pt idx="1">
                  <c:v>0.33333333333333331</c:v>
                </c:pt>
                <c:pt idx="2">
                  <c:v>0.5</c:v>
                </c:pt>
                <c:pt idx="3">
                  <c:v>0.75</c:v>
                </c:pt>
                <c:pt idx="4">
                  <c:v>0.4</c:v>
                </c:pt>
                <c:pt idx="5">
                  <c:v>8.5714285714285715E-2</c:v>
                </c:pt>
                <c:pt idx="6">
                  <c:v>0.33333333333333331</c:v>
                </c:pt>
                <c:pt idx="7">
                  <c:v>0.25</c:v>
                </c:pt>
                <c:pt idx="8">
                  <c:v>0.25</c:v>
                </c:pt>
                <c:pt idx="9">
                  <c:v>0.16666666666666666</c:v>
                </c:pt>
              </c:numCache>
              <c:extLst/>
            </c:numRef>
          </c:val>
          <c:smooth val="0"/>
          <c:extLst>
            <c:ext xmlns:c16="http://schemas.microsoft.com/office/drawing/2014/chart" uri="{C3380CC4-5D6E-409C-BE32-E72D297353CC}">
              <c16:uniqueId val="{00000002-44A0-4975-8BE5-3319A6B06FD0}"/>
            </c:ext>
          </c:extLst>
        </c:ser>
        <c:dLbls>
          <c:showLegendKey val="0"/>
          <c:showVal val="0"/>
          <c:showCatName val="0"/>
          <c:showSerName val="0"/>
          <c:showPercent val="0"/>
          <c:showBubbleSize val="0"/>
        </c:dLbls>
        <c:marker val="1"/>
        <c:smooth val="0"/>
        <c:axId val="1471283567"/>
        <c:axId val="1471284047"/>
        <c:extLst>
          <c:ext xmlns:c15="http://schemas.microsoft.com/office/drawing/2012/chart" uri="{02D57815-91ED-43cb-92C2-25804820EDAC}">
            <c15:filteredLineSeries>
              <c15:ser>
                <c:idx val="0"/>
                <c:order val="0"/>
                <c:tx>
                  <c:strRef>
                    <c:extLst>
                      <c:ext uri="{02D57815-91ED-43cb-92C2-25804820EDAC}">
                        <c15:formulaRef>
                          <c15:sqref>'Line Graph'!$B$3</c15:sqref>
                        </c15:formulaRef>
                      </c:ext>
                    </c:extLst>
                    <c:strCache>
                      <c:ptCount val="1"/>
                      <c:pt idx="0">
                        <c:v>Total in Department 2024</c:v>
                      </c:pt>
                    </c:strCache>
                  </c:strRef>
                </c:tx>
                <c:spPr>
                  <a:ln w="28575" cap="rnd">
                    <a:solidFill>
                      <a:schemeClr val="accent1"/>
                    </a:solidFill>
                    <a:round/>
                  </a:ln>
                  <a:effectLst/>
                </c:spPr>
                <c:marker>
                  <c:symbol val="circle"/>
                  <c:size val="5"/>
                  <c:spPr>
                    <a:solidFill>
                      <a:schemeClr val="accent1"/>
                    </a:solidFill>
                    <a:ln w="9525">
                      <a:solidFill>
                        <a:schemeClr val="accent1"/>
                      </a:solidFill>
                    </a:ln>
                    <a:effectLst/>
                  </c:spPr>
                </c:marker>
                <c:cat>
                  <c:strRef>
                    <c:extLst>
                      <c:ext uri="{02D57815-91ED-43cb-92C2-25804820EDAC}">
                        <c15:formulaRef>
                          <c15:sqref>('Line Graph'!$A$4,'Line Graph'!$A$6,'Line Graph'!$A$8,'Line Graph'!$A$10,'Line Graph'!$A$12,'Line Graph'!$A$14,'Line Graph'!$A$16,'Line Graph'!$A$18,'Line Graph'!$A$20,'Line Graph'!$A$22)</c15:sqref>
                        </c15:formulaRef>
                      </c:ext>
                    </c:extLst>
                    <c:strCache>
                      <c:ptCount val="10"/>
                      <c:pt idx="0">
                        <c:v>Audio technical Department</c:v>
                      </c:pt>
                      <c:pt idx="1">
                        <c:v>Offices and Administration</c:v>
                      </c:pt>
                      <c:pt idx="2">
                        <c:v>Research and Development</c:v>
                      </c:pt>
                      <c:pt idx="3">
                        <c:v>Quality control</c:v>
                      </c:pt>
                      <c:pt idx="4">
                        <c:v>Dispatch </c:v>
                      </c:pt>
                      <c:pt idx="5">
                        <c:v>Engineering </c:v>
                      </c:pt>
                      <c:pt idx="6">
                        <c:v>Casting Department </c:v>
                      </c:pt>
                      <c:pt idx="7">
                        <c:v>Sales &amp; Marketing </c:v>
                      </c:pt>
                      <c:pt idx="8">
                        <c:v>Human Resources </c:v>
                      </c:pt>
                      <c:pt idx="9">
                        <c:v>Design </c:v>
                      </c:pt>
                    </c:strCache>
                  </c:strRef>
                </c:cat>
                <c:val>
                  <c:numRef>
                    <c:extLst>
                      <c:ext uri="{02D57815-91ED-43cb-92C2-25804820EDAC}">
                        <c15:formulaRef>
                          <c15:sqref>('Line Graph'!$B$4,'Line Graph'!$B$6,'Line Graph'!$B$8,'Line Graph'!$B$10,'Line Graph'!$B$12,'Line Graph'!$B$14,'Line Graph'!$B$16,'Line Graph'!$B$18,'Line Graph'!$B$20,'Line Graph'!$B$22)</c15:sqref>
                        </c15:formulaRef>
                      </c:ext>
                    </c:extLst>
                    <c:numCache>
                      <c:formatCode>General</c:formatCode>
                      <c:ptCount val="10"/>
                      <c:pt idx="0">
                        <c:v>26</c:v>
                      </c:pt>
                      <c:pt idx="1">
                        <c:v>15</c:v>
                      </c:pt>
                      <c:pt idx="2">
                        <c:v>8</c:v>
                      </c:pt>
                      <c:pt idx="3">
                        <c:v>4</c:v>
                      </c:pt>
                      <c:pt idx="4">
                        <c:v>15</c:v>
                      </c:pt>
                      <c:pt idx="5">
                        <c:v>35</c:v>
                      </c:pt>
                      <c:pt idx="6">
                        <c:v>6</c:v>
                      </c:pt>
                      <c:pt idx="7">
                        <c:v>12</c:v>
                      </c:pt>
                      <c:pt idx="8">
                        <c:v>4</c:v>
                      </c:pt>
                      <c:pt idx="9">
                        <c:v>12</c:v>
                      </c:pt>
                    </c:numCache>
                  </c:numRef>
                </c:val>
                <c:smooth val="0"/>
                <c:extLst>
                  <c:ext xmlns:c16="http://schemas.microsoft.com/office/drawing/2014/chart" uri="{C3380CC4-5D6E-409C-BE32-E72D297353CC}">
                    <c16:uniqueId val="{00000003-44A0-4975-8BE5-3319A6B06FD0}"/>
                  </c:ext>
                </c:extLst>
              </c15:ser>
            </c15:filteredLineSeries>
            <c15:filteredLineSeries>
              <c15:ser>
                <c:idx val="1"/>
                <c:order val="1"/>
                <c:tx>
                  <c:strRef>
                    <c:extLst xmlns:c15="http://schemas.microsoft.com/office/drawing/2012/chart">
                      <c:ext xmlns:c15="http://schemas.microsoft.com/office/drawing/2012/chart" uri="{02D57815-91ED-43cb-92C2-25804820EDAC}">
                        <c15:formulaRef>
                          <c15:sqref>'Line Graph'!$C$3</c15:sqref>
                        </c15:formulaRef>
                      </c:ext>
                    </c:extLst>
                    <c:strCache>
                      <c:ptCount val="1"/>
                      <c:pt idx="0">
                        <c:v>Leavers for 2024</c:v>
                      </c:pt>
                    </c:strCache>
                  </c:strRef>
                </c:tx>
                <c:spPr>
                  <a:ln w="28575" cap="rnd">
                    <a:solidFill>
                      <a:schemeClr val="accent2"/>
                    </a:solidFill>
                    <a:round/>
                  </a:ln>
                  <a:effectLst/>
                </c:spPr>
                <c:marker>
                  <c:symbol val="circle"/>
                  <c:size val="5"/>
                  <c:spPr>
                    <a:solidFill>
                      <a:schemeClr val="accent2"/>
                    </a:solidFill>
                    <a:ln w="9525">
                      <a:solidFill>
                        <a:schemeClr val="accent2"/>
                      </a:solidFill>
                    </a:ln>
                    <a:effectLst/>
                  </c:spPr>
                </c:marker>
                <c:cat>
                  <c:strRef>
                    <c:extLst xmlns:c15="http://schemas.microsoft.com/office/drawing/2012/chart">
                      <c:ext xmlns:c15="http://schemas.microsoft.com/office/drawing/2012/chart" uri="{02D57815-91ED-43cb-92C2-25804820EDAC}">
                        <c15:formulaRef>
                          <c15:sqref>('Line Graph'!$A$4,'Line Graph'!$A$6,'Line Graph'!$A$8,'Line Graph'!$A$10,'Line Graph'!$A$12,'Line Graph'!$A$14,'Line Graph'!$A$16,'Line Graph'!$A$18,'Line Graph'!$A$20,'Line Graph'!$A$22)</c15:sqref>
                        </c15:formulaRef>
                      </c:ext>
                    </c:extLst>
                    <c:strCache>
                      <c:ptCount val="10"/>
                      <c:pt idx="0">
                        <c:v>Audio technical Department</c:v>
                      </c:pt>
                      <c:pt idx="1">
                        <c:v>Offices and Administration</c:v>
                      </c:pt>
                      <c:pt idx="2">
                        <c:v>Research and Development</c:v>
                      </c:pt>
                      <c:pt idx="3">
                        <c:v>Quality control</c:v>
                      </c:pt>
                      <c:pt idx="4">
                        <c:v>Dispatch </c:v>
                      </c:pt>
                      <c:pt idx="5">
                        <c:v>Engineering </c:v>
                      </c:pt>
                      <c:pt idx="6">
                        <c:v>Casting Department </c:v>
                      </c:pt>
                      <c:pt idx="7">
                        <c:v>Sales &amp; Marketing </c:v>
                      </c:pt>
                      <c:pt idx="8">
                        <c:v>Human Resources </c:v>
                      </c:pt>
                      <c:pt idx="9">
                        <c:v>Design </c:v>
                      </c:pt>
                    </c:strCache>
                  </c:strRef>
                </c:cat>
                <c:val>
                  <c:numRef>
                    <c:extLst xmlns:c15="http://schemas.microsoft.com/office/drawing/2012/chart">
                      <c:ext xmlns:c15="http://schemas.microsoft.com/office/drawing/2012/chart" uri="{02D57815-91ED-43cb-92C2-25804820EDAC}">
                        <c15:formulaRef>
                          <c15:sqref>('Line Graph'!$C$4,'Line Graph'!$C$6,'Line Graph'!$C$8,'Line Graph'!$C$10,'Line Graph'!$C$12,'Line Graph'!$C$14,'Line Graph'!$C$16,'Line Graph'!$C$18,'Line Graph'!$C$20,'Line Graph'!$C$22)</c15:sqref>
                        </c15:formulaRef>
                      </c:ext>
                    </c:extLst>
                    <c:numCache>
                      <c:formatCode>General</c:formatCode>
                      <c:ptCount val="10"/>
                      <c:pt idx="0">
                        <c:v>6</c:v>
                      </c:pt>
                      <c:pt idx="1">
                        <c:v>4</c:v>
                      </c:pt>
                      <c:pt idx="2">
                        <c:v>1</c:v>
                      </c:pt>
                      <c:pt idx="3">
                        <c:v>2</c:v>
                      </c:pt>
                      <c:pt idx="4">
                        <c:v>4</c:v>
                      </c:pt>
                      <c:pt idx="5">
                        <c:v>8</c:v>
                      </c:pt>
                      <c:pt idx="6">
                        <c:v>3</c:v>
                      </c:pt>
                      <c:pt idx="7">
                        <c:v>4</c:v>
                      </c:pt>
                      <c:pt idx="8">
                        <c:v>1</c:v>
                      </c:pt>
                      <c:pt idx="9">
                        <c:v>3</c:v>
                      </c:pt>
                    </c:numCache>
                  </c:numRef>
                </c:val>
                <c:smooth val="0"/>
                <c:extLst xmlns:c15="http://schemas.microsoft.com/office/drawing/2012/chart">
                  <c:ext xmlns:c16="http://schemas.microsoft.com/office/drawing/2014/chart" uri="{C3380CC4-5D6E-409C-BE32-E72D297353CC}">
                    <c16:uniqueId val="{00000004-44A0-4975-8BE5-3319A6B06FD0}"/>
                  </c:ext>
                </c:extLst>
              </c15:ser>
            </c15:filteredLineSeries>
            <c15:filteredLineSeries>
              <c15:ser>
                <c:idx val="3"/>
                <c:order val="3"/>
                <c:tx>
                  <c:strRef>
                    <c:extLst xmlns:c15="http://schemas.microsoft.com/office/drawing/2012/chart">
                      <c:ext xmlns:c15="http://schemas.microsoft.com/office/drawing/2012/chart" uri="{02D57815-91ED-43cb-92C2-25804820EDAC}">
                        <c15:formulaRef>
                          <c15:sqref>'Line Graph'!$E$3</c15:sqref>
                        </c15:formulaRef>
                      </c:ext>
                    </c:extLst>
                    <c:strCache>
                      <c:ptCount val="1"/>
                      <c:pt idx="0">
                        <c:v>Positions vacant </c:v>
                      </c:pt>
                    </c:strCache>
                  </c:strRef>
                </c:tx>
                <c:spPr>
                  <a:ln w="28575" cap="rnd">
                    <a:solidFill>
                      <a:schemeClr val="accent4"/>
                    </a:solidFill>
                    <a:round/>
                  </a:ln>
                  <a:effectLst/>
                </c:spPr>
                <c:marker>
                  <c:symbol val="circle"/>
                  <c:size val="5"/>
                  <c:spPr>
                    <a:solidFill>
                      <a:schemeClr val="accent4"/>
                    </a:solidFill>
                    <a:ln w="9525">
                      <a:solidFill>
                        <a:schemeClr val="accent4"/>
                      </a:solidFill>
                    </a:ln>
                    <a:effectLst/>
                  </c:spPr>
                </c:marker>
                <c:cat>
                  <c:strRef>
                    <c:extLst xmlns:c15="http://schemas.microsoft.com/office/drawing/2012/chart">
                      <c:ext xmlns:c15="http://schemas.microsoft.com/office/drawing/2012/chart" uri="{02D57815-91ED-43cb-92C2-25804820EDAC}">
                        <c15:formulaRef>
                          <c15:sqref>('Line Graph'!$A$4,'Line Graph'!$A$6,'Line Graph'!$A$8,'Line Graph'!$A$10,'Line Graph'!$A$12,'Line Graph'!$A$14,'Line Graph'!$A$16,'Line Graph'!$A$18,'Line Graph'!$A$20,'Line Graph'!$A$22)</c15:sqref>
                        </c15:formulaRef>
                      </c:ext>
                    </c:extLst>
                    <c:strCache>
                      <c:ptCount val="10"/>
                      <c:pt idx="0">
                        <c:v>Audio technical Department</c:v>
                      </c:pt>
                      <c:pt idx="1">
                        <c:v>Offices and Administration</c:v>
                      </c:pt>
                      <c:pt idx="2">
                        <c:v>Research and Development</c:v>
                      </c:pt>
                      <c:pt idx="3">
                        <c:v>Quality control</c:v>
                      </c:pt>
                      <c:pt idx="4">
                        <c:v>Dispatch </c:v>
                      </c:pt>
                      <c:pt idx="5">
                        <c:v>Engineering </c:v>
                      </c:pt>
                      <c:pt idx="6">
                        <c:v>Casting Department </c:v>
                      </c:pt>
                      <c:pt idx="7">
                        <c:v>Sales &amp; Marketing </c:v>
                      </c:pt>
                      <c:pt idx="8">
                        <c:v>Human Resources </c:v>
                      </c:pt>
                      <c:pt idx="9">
                        <c:v>Design </c:v>
                      </c:pt>
                    </c:strCache>
                  </c:strRef>
                </c:cat>
                <c:val>
                  <c:numRef>
                    <c:extLst xmlns:c15="http://schemas.microsoft.com/office/drawing/2012/chart">
                      <c:ext xmlns:c15="http://schemas.microsoft.com/office/drawing/2012/chart" uri="{02D57815-91ED-43cb-92C2-25804820EDAC}">
                        <c15:formulaRef>
                          <c15:sqref>('Line Graph'!$E$4,'Line Graph'!$E$6,'Line Graph'!$E$8,'Line Graph'!$E$10,'Line Graph'!$E$12,'Line Graph'!$E$14,'Line Graph'!$E$16,'Line Graph'!$E$18,'Line Graph'!$E$20,'Line Graph'!$E$22)</c15:sqref>
                        </c15:formulaRef>
                      </c:ext>
                    </c:extLst>
                    <c:numCache>
                      <c:formatCode>General</c:formatCode>
                      <c:ptCount val="10"/>
                      <c:pt idx="0">
                        <c:v>8</c:v>
                      </c:pt>
                      <c:pt idx="1">
                        <c:v>5</c:v>
                      </c:pt>
                      <c:pt idx="2">
                        <c:v>4</c:v>
                      </c:pt>
                      <c:pt idx="3">
                        <c:v>3</c:v>
                      </c:pt>
                      <c:pt idx="4">
                        <c:v>6</c:v>
                      </c:pt>
                      <c:pt idx="5">
                        <c:v>8</c:v>
                      </c:pt>
                      <c:pt idx="6">
                        <c:v>5</c:v>
                      </c:pt>
                      <c:pt idx="7">
                        <c:v>3</c:v>
                      </c:pt>
                      <c:pt idx="8">
                        <c:v>1</c:v>
                      </c:pt>
                      <c:pt idx="9">
                        <c:v>5</c:v>
                      </c:pt>
                    </c:numCache>
                  </c:numRef>
                </c:val>
                <c:smooth val="0"/>
                <c:extLst xmlns:c15="http://schemas.microsoft.com/office/drawing/2012/chart">
                  <c:ext xmlns:c16="http://schemas.microsoft.com/office/drawing/2014/chart" uri="{C3380CC4-5D6E-409C-BE32-E72D297353CC}">
                    <c16:uniqueId val="{00000005-44A0-4975-8BE5-3319A6B06FD0}"/>
                  </c:ext>
                </c:extLst>
              </c15:ser>
            </c15:filteredLineSeries>
            <c15:filteredLineSeries>
              <c15:ser>
                <c:idx val="5"/>
                <c:order val="5"/>
                <c:tx>
                  <c:strRef>
                    <c:extLst xmlns:c15="http://schemas.microsoft.com/office/drawing/2012/chart">
                      <c:ext xmlns:c15="http://schemas.microsoft.com/office/drawing/2012/chart" uri="{02D57815-91ED-43cb-92C2-25804820EDAC}">
                        <c15:formulaRef>
                          <c15:sqref>'Line Graph'!$G$3</c15:sqref>
                        </c15:formulaRef>
                      </c:ext>
                    </c:extLst>
                    <c:strCache>
                      <c:ptCount val="1"/>
                      <c:pt idx="0">
                        <c:v>Positions filled </c:v>
                      </c:pt>
                    </c:strCache>
                  </c:strRef>
                </c:tx>
                <c:spPr>
                  <a:ln w="28575" cap="rnd">
                    <a:solidFill>
                      <a:schemeClr val="accent6"/>
                    </a:solidFill>
                    <a:round/>
                  </a:ln>
                  <a:effectLst/>
                </c:spPr>
                <c:marker>
                  <c:symbol val="circle"/>
                  <c:size val="5"/>
                  <c:spPr>
                    <a:solidFill>
                      <a:schemeClr val="accent6"/>
                    </a:solidFill>
                    <a:ln w="9525">
                      <a:solidFill>
                        <a:schemeClr val="accent6"/>
                      </a:solidFill>
                    </a:ln>
                    <a:effectLst/>
                  </c:spPr>
                </c:marker>
                <c:cat>
                  <c:strRef>
                    <c:extLst xmlns:c15="http://schemas.microsoft.com/office/drawing/2012/chart">
                      <c:ext xmlns:c15="http://schemas.microsoft.com/office/drawing/2012/chart" uri="{02D57815-91ED-43cb-92C2-25804820EDAC}">
                        <c15:formulaRef>
                          <c15:sqref>('Line Graph'!$A$4,'Line Graph'!$A$6,'Line Graph'!$A$8,'Line Graph'!$A$10,'Line Graph'!$A$12,'Line Graph'!$A$14,'Line Graph'!$A$16,'Line Graph'!$A$18,'Line Graph'!$A$20,'Line Graph'!$A$22)</c15:sqref>
                        </c15:formulaRef>
                      </c:ext>
                    </c:extLst>
                    <c:strCache>
                      <c:ptCount val="10"/>
                      <c:pt idx="0">
                        <c:v>Audio technical Department</c:v>
                      </c:pt>
                      <c:pt idx="1">
                        <c:v>Offices and Administration</c:v>
                      </c:pt>
                      <c:pt idx="2">
                        <c:v>Research and Development</c:v>
                      </c:pt>
                      <c:pt idx="3">
                        <c:v>Quality control</c:v>
                      </c:pt>
                      <c:pt idx="4">
                        <c:v>Dispatch </c:v>
                      </c:pt>
                      <c:pt idx="5">
                        <c:v>Engineering </c:v>
                      </c:pt>
                      <c:pt idx="6">
                        <c:v>Casting Department </c:v>
                      </c:pt>
                      <c:pt idx="7">
                        <c:v>Sales &amp; Marketing </c:v>
                      </c:pt>
                      <c:pt idx="8">
                        <c:v>Human Resources </c:v>
                      </c:pt>
                      <c:pt idx="9">
                        <c:v>Design </c:v>
                      </c:pt>
                    </c:strCache>
                  </c:strRef>
                </c:cat>
                <c:val>
                  <c:numRef>
                    <c:extLst xmlns:c15="http://schemas.microsoft.com/office/drawing/2012/chart">
                      <c:ext xmlns:c15="http://schemas.microsoft.com/office/drawing/2012/chart" uri="{02D57815-91ED-43cb-92C2-25804820EDAC}">
                        <c15:formulaRef>
                          <c15:sqref>('Line Graph'!$G$4,'Line Graph'!$G$6,'Line Graph'!$G$8,'Line Graph'!$G$10,'Line Graph'!$G$12,'Line Graph'!$G$14,'Line Graph'!$G$16,'Line Graph'!$G$18,'Line Graph'!$G$20,'Line Graph'!$G$22)</c15:sqref>
                        </c15:formulaRef>
                      </c:ext>
                    </c:extLst>
                    <c:numCache>
                      <c:formatCode>General</c:formatCode>
                      <c:ptCount val="10"/>
                      <c:pt idx="0">
                        <c:v>3</c:v>
                      </c:pt>
                      <c:pt idx="1">
                        <c:v>5</c:v>
                      </c:pt>
                      <c:pt idx="2">
                        <c:v>4</c:v>
                      </c:pt>
                      <c:pt idx="3">
                        <c:v>3</c:v>
                      </c:pt>
                      <c:pt idx="4">
                        <c:v>6</c:v>
                      </c:pt>
                      <c:pt idx="5">
                        <c:v>3</c:v>
                      </c:pt>
                      <c:pt idx="6">
                        <c:v>2</c:v>
                      </c:pt>
                      <c:pt idx="7">
                        <c:v>3</c:v>
                      </c:pt>
                      <c:pt idx="8">
                        <c:v>1</c:v>
                      </c:pt>
                      <c:pt idx="9">
                        <c:v>2</c:v>
                      </c:pt>
                    </c:numCache>
                  </c:numRef>
                </c:val>
                <c:smooth val="0"/>
                <c:extLst xmlns:c15="http://schemas.microsoft.com/office/drawing/2012/chart">
                  <c:ext xmlns:c16="http://schemas.microsoft.com/office/drawing/2014/chart" uri="{C3380CC4-5D6E-409C-BE32-E72D297353CC}">
                    <c16:uniqueId val="{00000006-44A0-4975-8BE5-3319A6B06FD0}"/>
                  </c:ext>
                </c:extLst>
              </c15:ser>
            </c15:filteredLineSeries>
          </c:ext>
        </c:extLst>
      </c:lineChart>
      <c:catAx>
        <c:axId val="1471283567"/>
        <c:scaling>
          <c:orientation val="minMax"/>
        </c:scaling>
        <c:delete val="0"/>
        <c:axPos val="b"/>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471284047"/>
        <c:crosses val="autoZero"/>
        <c:auto val="1"/>
        <c:lblAlgn val="ctr"/>
        <c:lblOffset val="100"/>
        <c:noMultiLvlLbl val="0"/>
      </c:catAx>
      <c:valAx>
        <c:axId val="1471284047"/>
        <c:scaling>
          <c:orientation val="minMax"/>
        </c:scaling>
        <c:delete val="0"/>
        <c:axPos val="l"/>
        <c:majorGridlines>
          <c:spPr>
            <a:ln w="9525" cap="flat" cmpd="sng" algn="ctr">
              <a:solidFill>
                <a:schemeClr val="tx1">
                  <a:lumMod val="15000"/>
                  <a:lumOff val="85000"/>
                </a:schemeClr>
              </a:solidFill>
              <a:round/>
            </a:ln>
            <a:effectLst/>
          </c:spPr>
        </c:majorGridlines>
        <c:numFmt formatCode="0%"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471283567"/>
        <c:crosses val="autoZero"/>
        <c:crossBetween val="between"/>
      </c:valAx>
      <c:spPr>
        <a:noFill/>
        <a:ln>
          <a:noFill/>
        </a:ln>
        <a:effectLst/>
      </c:spPr>
    </c:plotArea>
    <c:legend>
      <c:legendPos val="r"/>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showDLblsOverMax val="0"/>
    <c:extLst>
      <c:ext xmlns:c16r3="http://schemas.microsoft.com/office/drawing/2017/03/chart" uri="{56B9EC1D-385E-4148-901F-78D8002777C0}">
        <c16r3:dataDisplayOptions16>
          <c16r3:dispNaAsBlank val="1"/>
        </c16r3:dataDisplayOptions16>
      </c:ext>
    </c:extLst>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olors1.xml><?xml version="1.0" encoding="utf-8"?>
<cs:colorStyle xmlns:cs="http://schemas.microsoft.com/office/drawing/2012/chartStyle" xmlns:a="http://schemas.openxmlformats.org/drawingml/2006/main" meth="cycle" id="11">
  <a:schemeClr val="accent1"/>
  <a:schemeClr val="accent3"/>
  <a:schemeClr val="accent5"/>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2.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3.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style1.xml><?xml version="1.0" encoding="utf-8"?>
<cs:chartStyle xmlns:cs="http://schemas.microsoft.com/office/drawing/2012/chartStyle" xmlns:a="http://schemas.openxmlformats.org/drawingml/2006/main" id="20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2.xml><?xml version="1.0" encoding="utf-8"?>
<cs:chartStyle xmlns:cs="http://schemas.microsoft.com/office/drawing/2012/chartStyle" xmlns:a="http://schemas.openxmlformats.org/drawingml/2006/main" id="216">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3.xml><?xml version="1.0" encoding="utf-8"?>
<cs:chartStyle xmlns:cs="http://schemas.microsoft.com/office/drawing/2012/chartStyle" xmlns:a="http://schemas.openxmlformats.org/drawingml/2006/main" id="332">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theme/theme1.xml><?xml version="1.0" encoding="utf-8"?>
<a:theme xmlns:a="http://schemas.openxmlformats.org/drawingml/2006/main" name="Office Theme">
  <a:themeElements>
    <a:clrScheme name="Blue Warm">
      <a:dk1>
        <a:sysClr val="windowText" lastClr="000000"/>
      </a:dk1>
      <a:lt1>
        <a:sysClr val="window" lastClr="FFFFFF"/>
      </a:lt1>
      <a:dk2>
        <a:srgbClr val="242852"/>
      </a:dk2>
      <a:lt2>
        <a:srgbClr val="ACCBF9"/>
      </a:lt2>
      <a:accent1>
        <a:srgbClr val="4A66AC"/>
      </a:accent1>
      <a:accent2>
        <a:srgbClr val="629DD1"/>
      </a:accent2>
      <a:accent3>
        <a:srgbClr val="297FD5"/>
      </a:accent3>
      <a:accent4>
        <a:srgbClr val="7F8FA9"/>
      </a:accent4>
      <a:accent5>
        <a:srgbClr val="5AA2AE"/>
      </a:accent5>
      <a:accent6>
        <a:srgbClr val="9D90A0"/>
      </a:accent6>
      <a:hlink>
        <a:srgbClr val="9454C3"/>
      </a:hlink>
      <a:folHlink>
        <a:srgbClr val="3EBBF0"/>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BCF9F3D8-C788-474C-9FA3-D0EF72353EA8}">
  <ds:schemaRefs>
    <ds:schemaRef ds:uri="http://schemas.openxmlformats.org/officeDocument/2006/bibliography"/>
  </ds:schemaRefs>
</ds:datastoreItem>
</file>

<file path=docMetadata/LabelInfo.xml><?xml version="1.0" encoding="utf-8"?>
<clbl:labelList xmlns:clbl="http://schemas.microsoft.com/office/2020/mipLabelMetadata">
  <clbl:label id="{bad6f6f2-a951-4904-b531-92e1207fc7a5}" enabled="1" method="Standard" siteId="{b7be7686-6f97-4db7-9081-a23cf09a96b5}" removed="0"/>
</clbl:labelList>
</file>

<file path=docProps/app.xml><?xml version="1.0" encoding="utf-8"?>
<Properties xmlns="http://schemas.openxmlformats.org/officeDocument/2006/extended-properties" xmlns:vt="http://schemas.openxmlformats.org/officeDocument/2006/docPropsVTypes">
  <Template>Normal</Template>
  <TotalTime>12</TotalTime>
  <Pages>19</Pages>
  <Words>6519</Words>
  <Characters>37159</Characters>
  <Application>Microsoft Office Word</Application>
  <DocSecurity>0</DocSecurity>
  <Lines>309</Lines>
  <Paragraphs>87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43591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Yan Gao</dc:creator>
  <cp:keywords/>
  <dc:description/>
  <cp:lastModifiedBy>Yan Gao</cp:lastModifiedBy>
  <cp:revision>5</cp:revision>
  <dcterms:created xsi:type="dcterms:W3CDTF">2026-01-31T15:06:00Z</dcterms:created>
  <dcterms:modified xsi:type="dcterms:W3CDTF">2026-01-31T15:19:00Z</dcterms:modified>
</cp:coreProperties>
</file>