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Photo"/>
      </w:pPr>
    </w:p>
    <w:p>
      <w:pPr>
        <w:pStyle w:val="Title"/>
      </w:pPr>
      <w:r>
        <w:rPr>
          <w:rtl w:val="0"/>
          <w:lang w:val="en-US"/>
        </w:rPr>
        <w:t>Sian Cooper</w:t>
      </w:r>
    </w:p>
    <w:p>
      <w:pPr>
        <w:pStyle w:val="Title"/>
      </w:pPr>
      <w:r>
        <w:rPr>
          <w:rtl w:val="0"/>
          <w:lang w:val="en-US"/>
        </w:rPr>
        <w:t>Employment Law Assignment</w:t>
      </w:r>
    </w:p>
    <w:p>
      <w:pPr>
        <w:pStyle w:val="Subtitle"/>
      </w:pPr>
      <w:r>
        <w:rPr>
          <w:rtl w:val="0"/>
          <w:lang w:val="en-US"/>
        </w:rPr>
        <w:t>1907658</w:t>
      </w:r>
    </w:p>
    <w:p>
      <w:pPr>
        <w:pStyle w:val="Subtitle"/>
      </w:pPr>
      <w:r>
        <w:rPr>
          <w:rtl w:val="0"/>
          <w:lang w:val="en-US"/>
        </w:rPr>
        <w:t>word count- 4,947 without headers</w:t>
      </w:r>
    </w:p>
    <w:p>
      <w:pPr>
        <w:pStyle w:val="Contact Info"/>
        <w:jc w:val="left"/>
      </w:pPr>
      <w:r>
        <w:br w:type="page"/>
      </w:r>
    </w:p>
    <w:p>
      <w:pPr>
        <w:pStyle w:val="Body A"/>
        <w:rPr>
          <w:rFonts w:ascii="Arial" w:cs="Arial" w:hAnsi="Arial" w:eastAsia="Arial"/>
          <w:b w:val="1"/>
          <w:bCs w:val="1"/>
          <w:sz w:val="24"/>
          <w:szCs w:val="24"/>
        </w:rPr>
      </w:pPr>
      <w:r>
        <w:rPr>
          <w:rFonts w:ascii="Arial" w:hAnsi="Arial"/>
          <w:b w:val="1"/>
          <w:bCs w:val="1"/>
          <w:sz w:val="24"/>
          <w:szCs w:val="24"/>
          <w:rtl w:val="0"/>
          <w:lang w:val="fr-FR"/>
        </w:rPr>
        <w:t>Section A</w:t>
      </w:r>
    </w:p>
    <w:p>
      <w:pPr>
        <w:pStyle w:val="Body A"/>
        <w:rPr>
          <w:rFonts w:ascii="Arial" w:cs="Arial" w:hAnsi="Arial" w:eastAsia="Arial"/>
          <w:b w:val="1"/>
          <w:bCs w:val="1"/>
          <w:sz w:val="24"/>
          <w:szCs w:val="24"/>
          <w:lang w:val="it-IT"/>
        </w:rPr>
      </w:pPr>
      <w:r>
        <w:rPr>
          <w:rFonts w:ascii="Arial" w:hAnsi="Arial"/>
          <w:b w:val="1"/>
          <w:bCs w:val="1"/>
          <w:sz w:val="24"/>
          <w:szCs w:val="24"/>
          <w:rtl w:val="0"/>
          <w:lang w:val="it-IT"/>
        </w:rPr>
        <w:t>Question One</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lang w:val="en-US"/>
        </w:rPr>
      </w:pPr>
      <w:r>
        <w:rPr>
          <w:rFonts w:ascii="Arial" w:hAnsi="Arial"/>
          <w:b w:val="1"/>
          <w:bCs w:val="1"/>
          <w:sz w:val="24"/>
          <w:szCs w:val="24"/>
          <w:rtl w:val="0"/>
          <w:lang w:val="en-US"/>
        </w:rPr>
        <w:t>------------------------------------------------------------------------------------------------------------</w:t>
      </w:r>
    </w:p>
    <w:p>
      <w:pPr>
        <w:pStyle w:val="Body A"/>
        <w:pBdr>
          <w:top w:val="nil"/>
          <w:left w:val="nil"/>
          <w:bottom w:val="single" w:color="000000" w:sz="6" w:space="0" w:shadow="0" w:frame="0"/>
          <w:right w:val="nil"/>
        </w:pBdr>
        <w:rPr>
          <w:rFonts w:ascii="Arial" w:cs="Arial" w:hAnsi="Arial" w:eastAsia="Arial"/>
          <w:b w:val="1"/>
          <w:bCs w:val="1"/>
          <w:sz w:val="24"/>
          <w:szCs w:val="24"/>
        </w:rPr>
      </w:pPr>
      <w:r>
        <w:rPr>
          <w:rFonts w:ascii="Arial" w:hAnsi="Arial"/>
          <w:b w:val="1"/>
          <w:bCs w:val="1"/>
          <w:sz w:val="24"/>
          <w:szCs w:val="24"/>
          <w:rtl w:val="0"/>
          <w:lang w:val="fr-FR"/>
        </w:rPr>
        <w:t xml:space="preserve">                                                 MEMORANDUM</w:t>
      </w:r>
    </w:p>
    <w:p>
      <w:pPr>
        <w:pStyle w:val="Body A"/>
        <w:rPr>
          <w:rFonts w:ascii="Arial" w:cs="Arial" w:hAnsi="Arial" w:eastAsia="Arial"/>
          <w:b w:val="1"/>
          <w:bCs w:val="1"/>
          <w:sz w:val="24"/>
          <w:szCs w:val="24"/>
          <w:lang w:val="de-DE"/>
        </w:rPr>
      </w:pPr>
      <w:r>
        <w:rPr>
          <w:rFonts w:ascii="Arial" w:hAnsi="Arial"/>
          <w:b w:val="1"/>
          <w:bCs w:val="1"/>
          <w:sz w:val="24"/>
          <w:szCs w:val="24"/>
          <w:rtl w:val="0"/>
          <w:lang w:val="de-DE"/>
        </w:rPr>
        <w:t>To: DAVID THOMAS</w:t>
      </w:r>
    </w:p>
    <w:p>
      <w:pPr>
        <w:pStyle w:val="Body A"/>
        <w:rPr>
          <w:rFonts w:ascii="Arial" w:cs="Arial" w:hAnsi="Arial" w:eastAsia="Arial"/>
          <w:b w:val="1"/>
          <w:bCs w:val="1"/>
          <w:sz w:val="24"/>
          <w:szCs w:val="24"/>
          <w:lang w:val="de-DE"/>
        </w:rPr>
      </w:pPr>
      <w:r>
        <w:rPr>
          <w:rFonts w:ascii="Arial" w:hAnsi="Arial"/>
          <w:b w:val="1"/>
          <w:bCs w:val="1"/>
          <w:sz w:val="24"/>
          <w:szCs w:val="24"/>
          <w:rtl w:val="0"/>
          <w:lang w:val="de-DE"/>
        </w:rPr>
        <w:t>From: SIAN COOPER</w:t>
      </w:r>
    </w:p>
    <w:p>
      <w:pPr>
        <w:pStyle w:val="Body A"/>
        <w:rPr>
          <w:rFonts w:ascii="Arial" w:cs="Arial" w:hAnsi="Arial" w:eastAsia="Arial"/>
          <w:b w:val="1"/>
          <w:bCs w:val="1"/>
          <w:sz w:val="24"/>
          <w:szCs w:val="24"/>
          <w:lang w:val="de-DE"/>
        </w:rPr>
      </w:pPr>
      <w:r>
        <w:rPr>
          <w:rFonts w:ascii="Arial" w:hAnsi="Arial"/>
          <w:b w:val="1"/>
          <w:bCs w:val="1"/>
          <w:sz w:val="24"/>
          <w:szCs w:val="24"/>
          <w:rtl w:val="0"/>
          <w:lang w:val="de-DE"/>
        </w:rPr>
        <w:t>SUBJECT: GETHIN REES</w:t>
      </w:r>
    </w:p>
    <w:p>
      <w:pPr>
        <w:pStyle w:val="Body A"/>
        <w:rPr>
          <w:rFonts w:ascii="Arial" w:cs="Arial" w:hAnsi="Arial" w:eastAsia="Arial"/>
          <w:b w:val="1"/>
          <w:bCs w:val="1"/>
          <w:sz w:val="24"/>
          <w:szCs w:val="24"/>
          <w:lang w:val="en-US"/>
        </w:rPr>
      </w:pPr>
      <w:r>
        <w:rPr>
          <w:rFonts w:ascii="Arial" w:hAnsi="Arial"/>
          <w:b w:val="1"/>
          <w:bCs w:val="1"/>
          <w:sz w:val="24"/>
          <w:szCs w:val="24"/>
          <w:rtl w:val="0"/>
          <w:lang w:val="en-US"/>
        </w:rPr>
        <w:t>DATE: 11/07/2021</w:t>
      </w:r>
    </w:p>
    <w:p>
      <w:pPr>
        <w:pStyle w:val="Body A"/>
        <w:rPr>
          <w:rFonts w:ascii="Arial" w:cs="Arial" w:hAnsi="Arial" w:eastAsia="Arial"/>
          <w:b w:val="1"/>
          <w:bCs w:val="1"/>
          <w:sz w:val="24"/>
          <w:szCs w:val="24"/>
        </w:rPr>
      </w:pPr>
    </w:p>
    <w:p>
      <w:pPr>
        <w:pStyle w:val="Body A"/>
        <w:rPr>
          <w:rFonts w:ascii="Arial" w:cs="Arial" w:hAnsi="Arial" w:eastAsia="Arial"/>
          <w:sz w:val="24"/>
          <w:szCs w:val="24"/>
          <w:lang w:val="en-US"/>
        </w:rPr>
      </w:pPr>
      <w:r>
        <w:rPr>
          <w:rFonts w:ascii="Arial" w:hAnsi="Arial"/>
          <w:sz w:val="24"/>
          <w:szCs w:val="24"/>
          <w:rtl w:val="0"/>
          <w:lang w:val="en-US"/>
        </w:rPr>
        <w:t>Good Morning,</w:t>
      </w:r>
    </w:p>
    <w:p>
      <w:pPr>
        <w:pStyle w:val="Body A"/>
        <w:rPr>
          <w:rFonts w:ascii="Arial" w:cs="Arial" w:hAnsi="Arial" w:eastAsia="Arial"/>
          <w:sz w:val="24"/>
          <w:szCs w:val="24"/>
          <w:lang w:val="en-US"/>
        </w:rPr>
      </w:pPr>
      <w:r>
        <w:rPr>
          <w:rFonts w:ascii="Arial" w:hAnsi="Arial"/>
          <w:sz w:val="24"/>
          <w:szCs w:val="24"/>
          <w:rtl w:val="0"/>
          <w:lang w:val="en-US"/>
        </w:rPr>
        <w:t>Upon receiving your communication, I have presented you with a synopsis of timeframes and processes for responding to the ET1. Together with:</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 xml:space="preserve">potential claims </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defen</w:t>
      </w:r>
      <w:r>
        <w:rPr>
          <w:rFonts w:ascii="Arial" w:hAnsi="Arial"/>
          <w:sz w:val="24"/>
          <w:szCs w:val="24"/>
          <w:rtl w:val="0"/>
          <w:lang w:val="fr-FR"/>
        </w:rPr>
        <w:t>ces</w:t>
      </w:r>
      <w:r>
        <w:rPr>
          <w:rFonts w:ascii="Arial" w:hAnsi="Arial"/>
          <w:sz w:val="24"/>
          <w:szCs w:val="24"/>
          <w:rtl w:val="0"/>
          <w:lang w:val="en-US"/>
        </w:rPr>
        <w:t xml:space="preserve"> </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 xml:space="preserve">legal principles </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 xml:space="preserve">positives and negatives of the claims </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 xml:space="preserve">possible financial award, coupled with any components that could affect the award   </w:t>
      </w:r>
    </w:p>
    <w:p>
      <w:pPr>
        <w:pStyle w:val="Body A"/>
        <w:numPr>
          <w:ilvl w:val="0"/>
          <w:numId w:val="2"/>
        </w:numPr>
        <w:bidi w:val="0"/>
        <w:ind w:right="0"/>
        <w:jc w:val="left"/>
        <w:rPr>
          <w:rFonts w:ascii="Arial" w:hAnsi="Arial"/>
          <w:sz w:val="24"/>
          <w:szCs w:val="24"/>
          <w:rtl w:val="0"/>
          <w:lang w:val="en-US"/>
        </w:rPr>
      </w:pPr>
      <w:r>
        <w:rPr>
          <w:rFonts w:ascii="Arial" w:hAnsi="Arial"/>
          <w:sz w:val="24"/>
          <w:szCs w:val="24"/>
          <w:rtl w:val="0"/>
          <w:lang w:val="en-US"/>
        </w:rPr>
        <w:t xml:space="preserve">recommendations based on the factual information set out in this document </w:t>
      </w:r>
    </w:p>
    <w:p>
      <w:pPr>
        <w:pStyle w:val="Body A"/>
        <w:rPr>
          <w:rFonts w:ascii="Arial" w:cs="Arial" w:hAnsi="Arial" w:eastAsia="Arial"/>
          <w:b w:val="1"/>
          <w:bCs w:val="1"/>
          <w:sz w:val="24"/>
          <w:szCs w:val="24"/>
          <w:lang w:val="en-US"/>
        </w:rPr>
      </w:pPr>
      <w:r>
        <w:rPr>
          <w:rFonts w:ascii="Arial" w:hAnsi="Arial"/>
          <w:b w:val="1"/>
          <w:bCs w:val="1"/>
          <w:sz w:val="24"/>
          <w:szCs w:val="24"/>
          <w:rtl w:val="0"/>
          <w:lang w:val="en-US"/>
        </w:rPr>
        <w:t>The Timescales and Process</w:t>
      </w:r>
    </w:p>
    <w:p>
      <w:pPr>
        <w:pStyle w:val="Body A A"/>
        <w:rPr>
          <w:rFonts w:ascii="Arial" w:cs="Arial" w:hAnsi="Arial" w:eastAsia="Arial"/>
          <w:sz w:val="24"/>
          <w:szCs w:val="24"/>
        </w:rPr>
      </w:pPr>
      <w:r>
        <w:rPr>
          <w:rFonts w:ascii="Arial" w:hAnsi="Arial"/>
          <w:sz w:val="24"/>
          <w:szCs w:val="24"/>
          <w:rtl w:val="0"/>
          <w:lang w:val="en-US"/>
        </w:rPr>
        <w:t>The ET1 claim needs to be treated as a priority. You have 28 days in which to respond to the ET1 form.  In this case, the letter was dated 6th December 2020. Therefore, you need to respond to it by the 3</w:t>
      </w:r>
      <w:r>
        <w:rPr>
          <w:rFonts w:ascii="Arial" w:hAnsi="Arial"/>
          <w:sz w:val="24"/>
          <w:szCs w:val="24"/>
          <w:vertAlign w:val="superscript"/>
          <w:rtl w:val="0"/>
          <w:lang w:val="en-US"/>
        </w:rPr>
        <w:t>rd</w:t>
      </w:r>
      <w:r>
        <w:rPr>
          <w:rFonts w:ascii="Arial" w:hAnsi="Arial"/>
          <w:sz w:val="24"/>
          <w:szCs w:val="24"/>
          <w:rtl w:val="0"/>
          <w:lang w:val="en-US"/>
        </w:rPr>
        <w:t xml:space="preserve"> of January 2021 (CAB, 2021).  </w:t>
      </w:r>
    </w:p>
    <w:p>
      <w:pPr>
        <w:pStyle w:val="Body A A"/>
        <w:rPr>
          <w:rFonts w:ascii="Arial" w:cs="Arial" w:hAnsi="Arial" w:eastAsia="Arial"/>
          <w:b w:val="1"/>
          <w:bCs w:val="1"/>
          <w:sz w:val="24"/>
          <w:szCs w:val="24"/>
        </w:rPr>
      </w:pPr>
      <w:r>
        <w:rPr>
          <w:rFonts w:ascii="Arial" w:hAnsi="Arial"/>
          <w:sz w:val="24"/>
          <w:szCs w:val="24"/>
          <w:rtl w:val="0"/>
          <w:lang w:val="en-US"/>
        </w:rPr>
        <w:t>You can respond to the ET1 via post, or by e-mail. I advise that you respond by e-mail, as you will receive an acknowledgement e-mail from the Employment Tribunal</w:t>
      </w:r>
      <w:r>
        <w:rPr>
          <w:rFonts w:ascii="Arial" w:hAnsi="Arial"/>
          <w:b w:val="1"/>
          <w:bCs w:val="1"/>
          <w:sz w:val="24"/>
          <w:szCs w:val="24"/>
          <w:rtl w:val="0"/>
          <w:lang w:val="en-US"/>
        </w:rPr>
        <w:t>.</w:t>
      </w:r>
    </w:p>
    <w:p>
      <w:pPr>
        <w:pStyle w:val="Body A A"/>
        <w:rPr>
          <w:rFonts w:ascii="Arial" w:cs="Arial" w:hAnsi="Arial" w:eastAsia="Arial"/>
          <w:sz w:val="24"/>
          <w:szCs w:val="24"/>
        </w:rPr>
      </w:pPr>
      <w:r>
        <w:rPr>
          <w:rFonts w:ascii="Arial" w:hAnsi="Arial"/>
          <w:sz w:val="24"/>
          <w:szCs w:val="24"/>
          <w:rtl w:val="0"/>
          <w:lang w:val="en-US"/>
        </w:rPr>
        <w:t xml:space="preserve">You must state your response on an ET3 form, including your name and address, which can be downloaded from Gov.uk, (2021). You will need to explain why you are defending the claim if you chose to do so. This can be included in the ET3 form itself or a supplement form called </w:t>
      </w:r>
      <w:r>
        <w:rPr>
          <w:rFonts w:ascii="Arial" w:hAnsi="Arial" w:hint="default"/>
          <w:sz w:val="24"/>
          <w:szCs w:val="24"/>
          <w:rtl w:val="0"/>
          <w:lang w:val="en-US"/>
        </w:rPr>
        <w:t>“</w:t>
      </w:r>
      <w:r>
        <w:rPr>
          <w:rFonts w:ascii="Arial" w:hAnsi="Arial"/>
          <w:sz w:val="24"/>
          <w:szCs w:val="24"/>
          <w:rtl w:val="0"/>
          <w:lang w:val="en-US"/>
        </w:rPr>
        <w:t>grounds of resistance</w:t>
      </w:r>
      <w:r>
        <w:rPr>
          <w:rFonts w:ascii="Arial" w:hAnsi="Arial" w:hint="default"/>
          <w:sz w:val="24"/>
          <w:szCs w:val="24"/>
          <w:rtl w:val="0"/>
          <w:lang w:val="en-US"/>
        </w:rPr>
        <w:t>”</w:t>
      </w:r>
      <w:r>
        <w:rPr>
          <w:rFonts w:ascii="Arial" w:hAnsi="Arial"/>
          <w:sz w:val="24"/>
          <w:szCs w:val="24"/>
          <w:rtl w:val="0"/>
          <w:lang w:val="en-US"/>
        </w:rPr>
        <w:t xml:space="preserve">. </w:t>
      </w:r>
    </w:p>
    <w:p>
      <w:pPr>
        <w:pStyle w:val="Body A A"/>
        <w:rPr>
          <w:rFonts w:ascii="Arial" w:cs="Arial" w:hAnsi="Arial" w:eastAsia="Arial"/>
          <w:sz w:val="24"/>
          <w:szCs w:val="24"/>
        </w:rPr>
      </w:pPr>
      <w:r>
        <w:rPr>
          <w:rFonts w:ascii="Arial" w:hAnsi="Arial"/>
          <w:sz w:val="24"/>
          <w:szCs w:val="24"/>
          <w:rtl w:val="0"/>
          <w:lang w:val="en-US"/>
        </w:rPr>
        <w:t>You need to ensure the grounds of resistance form responds to all of Gethin</w:t>
      </w:r>
      <w:r>
        <w:rPr>
          <w:rFonts w:ascii="Arial" w:hAnsi="Arial" w:hint="default"/>
          <w:sz w:val="24"/>
          <w:szCs w:val="24"/>
          <w:rtl w:val="0"/>
          <w:lang w:val="en-US"/>
        </w:rPr>
        <w:t>’</w:t>
      </w:r>
      <w:r>
        <w:rPr>
          <w:rFonts w:ascii="Arial" w:hAnsi="Arial"/>
          <w:sz w:val="24"/>
          <w:szCs w:val="24"/>
          <w:rtl w:val="0"/>
          <w:lang w:val="en-US"/>
        </w:rPr>
        <w:t>s claims and accurately reflects his version of events.  Also, your response should include a summary of your case and why the claims do not have the prospect of success or are outside the tribunal</w:t>
      </w:r>
      <w:r>
        <w:rPr>
          <w:rFonts w:ascii="Arial" w:hAnsi="Arial" w:hint="default"/>
          <w:sz w:val="24"/>
          <w:szCs w:val="24"/>
          <w:rtl w:val="0"/>
          <w:lang w:val="en-US"/>
        </w:rPr>
        <w:t>’</w:t>
      </w:r>
      <w:r>
        <w:rPr>
          <w:rFonts w:ascii="Arial" w:hAnsi="Arial"/>
          <w:sz w:val="24"/>
          <w:szCs w:val="24"/>
          <w:rtl w:val="0"/>
          <w:lang w:val="en-US"/>
        </w:rPr>
        <w:t xml:space="preserve">s jurisdiction. The answer should be comprehensive and include all relevant information and dates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&gt;&lt;Author&gt;CIPD&lt;/Author&gt;&lt;Year&gt;2021&lt;/Year&gt;&lt;Prefix&gt;&lt;/Prefix&gt;&lt;Suffix&gt;&lt;/Suffix&gt;&lt;Pages&gt;&lt;/Pages&gt;&lt;DisplayText&gt;(CIPD, 2021)&lt;/DisplayText&gt;&lt;record&gt;&lt;ref-type name="Web Page"&gt;12&lt;/ref-type&gt;&lt;contributors&gt;&lt;authors&gt;&lt;author&gt;CIPD&lt;/author&gt;&lt;/authors&gt;&lt;/contributors&gt;&lt;titles/&gt;&lt;title&gt;Employment Tribunal Factsheets&lt;/title&gt;&lt;periodical/&gt;&lt;dates&gt;&lt;year&gt;2021&lt;/year&gt;&lt;pub-dates/&gt;&lt;/dates&gt;&lt;/record&gt;&lt;/Cite&gt;&lt;/EndNote&gt;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(CIPD, 2021)</w:t>
      </w:r>
      <w:r>
        <w:rPr>
          <w:rFonts w:ascii="Arial" w:cs="Arial" w:hAnsi="Arial" w:eastAsia="Arial"/>
          <w:sz w:val="24"/>
          <w:szCs w:val="24"/>
        </w:rPr>
        <w:fldChar w:fldCharType="end" w:fldLock="0"/>
      </w:r>
      <w:r>
        <w:rPr>
          <w:rFonts w:ascii="Arial" w:hAnsi="Arial"/>
          <w:sz w:val="24"/>
          <w:szCs w:val="24"/>
          <w:rtl w:val="0"/>
          <w:lang w:val="en-US"/>
        </w:rPr>
        <w:t xml:space="preserve">. </w:t>
      </w:r>
    </w:p>
    <w:p>
      <w:pPr>
        <w:pStyle w:val="Body A A"/>
        <w:rPr>
          <w:rFonts w:ascii="Arial" w:cs="Arial" w:hAnsi="Arial" w:eastAsia="Arial"/>
          <w:sz w:val="24"/>
          <w:szCs w:val="24"/>
        </w:rPr>
      </w:pPr>
      <w:r>
        <w:rPr>
          <w:rFonts w:ascii="Arial" w:hAnsi="Arial"/>
          <w:sz w:val="24"/>
          <w:szCs w:val="24"/>
          <w:rtl w:val="0"/>
          <w:lang w:val="en-US"/>
        </w:rPr>
        <w:t>If you do not respond via the ET3, Employment Tribunal will likely make a judgement in favour of Gethin, which is called a default judgement</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ExcludeAuth="1" ExcludeYear="1"&gt;&lt;Author&gt;&lt;/Author&gt;&lt;Year&gt;&lt;/Year&gt;&lt;Prefix&gt;&lt;/Prefix&gt;&lt;Suffix&gt;&lt;/Suffix&gt;&lt;Pages&gt;&lt;/Pages&gt;&lt;DisplayText&gt; (Gov.uk, 2004)&lt;/DisplayText&gt;&lt;record&gt;&lt;contributors&gt;&lt;authors/&gt;&lt;/contributors&gt;&lt;titles/&gt;&lt;periodical/&gt;&lt;dates&gt;&lt;year/&gt;&lt;pub-dates/&gt;&lt;/dates&gt;&lt;/record&gt;&lt;/Cite&gt;&lt;/EndNote&gt;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(Gov.uk, 2004)</w:t>
      </w:r>
      <w:r>
        <w:rPr>
          <w:rFonts w:ascii="Arial" w:cs="Arial" w:hAnsi="Arial" w:eastAsia="Arial"/>
          <w:sz w:val="24"/>
          <w:szCs w:val="24"/>
        </w:rPr>
        <w:fldChar w:fldCharType="end" w:fldLock="0"/>
      </w:r>
      <w:r>
        <w:rPr>
          <w:rFonts w:ascii="Arial" w:hAnsi="Arial"/>
          <w:sz w:val="24"/>
          <w:szCs w:val="24"/>
          <w:rtl w:val="0"/>
          <w:lang w:val="en-US"/>
        </w:rPr>
        <w:t>.</w:t>
      </w:r>
    </w:p>
    <w:p>
      <w:pPr>
        <w:pStyle w:val="Body A A"/>
        <w:rPr>
          <w:rFonts w:ascii="Arial" w:cs="Arial" w:hAnsi="Arial" w:eastAsia="Arial"/>
          <w:sz w:val="24"/>
          <w:szCs w:val="24"/>
        </w:rPr>
      </w:pPr>
      <w:r>
        <w:rPr>
          <w:rFonts w:ascii="Arial" w:hAnsi="Arial"/>
          <w:sz w:val="24"/>
          <w:szCs w:val="24"/>
          <w:rtl w:val="0"/>
          <w:lang w:val="en-US"/>
        </w:rPr>
        <w:t>You can request an extension of time to respond, but this must be placed before the 28-day deadline has expired. The application must include the following information.</w:t>
      </w:r>
    </w:p>
    <w:p>
      <w:pPr>
        <w:pStyle w:val="List Paragraph"/>
        <w:numPr>
          <w:ilvl w:val="0"/>
          <w:numId w:val="4"/>
        </w:numPr>
        <w:bidi w:val="0"/>
        <w:ind w:right="0"/>
        <w:jc w:val="left"/>
        <w:rPr>
          <w:rFonts w:ascii="Arial" w:hAnsi="Arial"/>
          <w:sz w:val="24"/>
          <w:szCs w:val="24"/>
          <w:rtl w:val="0"/>
          <w:lang w:val="en-US"/>
        </w:rPr>
      </w:pPr>
      <w:r>
        <w:rPr>
          <w:rFonts w:ascii="Arial" w:hAnsi="Arial"/>
          <w:sz w:val="24"/>
          <w:szCs w:val="24"/>
          <w:rtl w:val="0"/>
          <w:lang w:val="en-US"/>
        </w:rPr>
        <w:t>In writing</w:t>
      </w:r>
    </w:p>
    <w:p>
      <w:pPr>
        <w:pStyle w:val="List Paragraph"/>
        <w:numPr>
          <w:ilvl w:val="0"/>
          <w:numId w:val="4"/>
        </w:numPr>
        <w:bidi w:val="0"/>
        <w:ind w:right="0"/>
        <w:jc w:val="left"/>
        <w:rPr>
          <w:rFonts w:ascii="Arial" w:hAnsi="Arial"/>
          <w:sz w:val="24"/>
          <w:szCs w:val="24"/>
          <w:rtl w:val="0"/>
          <w:lang w:val="en-US"/>
        </w:rPr>
      </w:pPr>
      <w:r>
        <w:rPr>
          <w:rFonts w:ascii="Arial" w:hAnsi="Arial"/>
          <w:sz w:val="24"/>
          <w:szCs w:val="24"/>
          <w:rtl w:val="0"/>
          <w:lang w:val="en-US"/>
        </w:rPr>
        <w:t>A copy provided to Gethin</w:t>
      </w:r>
    </w:p>
    <w:p>
      <w:pPr>
        <w:pStyle w:val="List Paragraph"/>
        <w:numPr>
          <w:ilvl w:val="0"/>
          <w:numId w:val="4"/>
        </w:numPr>
        <w:bidi w:val="0"/>
        <w:ind w:right="0"/>
        <w:jc w:val="left"/>
        <w:rPr>
          <w:rFonts w:ascii="Arial" w:hAnsi="Arial"/>
          <w:sz w:val="24"/>
          <w:szCs w:val="24"/>
          <w:rtl w:val="0"/>
          <w:lang w:val="en-US"/>
        </w:rPr>
      </w:pPr>
      <w:r>
        <w:rPr>
          <w:rFonts w:ascii="Arial" w:hAnsi="Arial"/>
          <w:sz w:val="24"/>
          <w:szCs w:val="24"/>
          <w:rtl w:val="0"/>
          <w:lang w:val="en-US"/>
        </w:rPr>
        <w:t>The rationale for why the extension has been asked for</w:t>
      </w:r>
    </w:p>
    <w:p>
      <w:pPr>
        <w:pStyle w:val="List Paragraph"/>
        <w:numPr>
          <w:ilvl w:val="0"/>
          <w:numId w:val="4"/>
        </w:numPr>
        <w:bidi w:val="0"/>
        <w:ind w:right="0"/>
        <w:jc w:val="left"/>
        <w:rPr>
          <w:rFonts w:ascii="Arial" w:hAnsi="Arial"/>
          <w:sz w:val="24"/>
          <w:szCs w:val="24"/>
          <w:rtl w:val="0"/>
          <w:lang w:val="en-US"/>
        </w:rPr>
      </w:pPr>
      <w:r>
        <w:rPr>
          <w:rFonts w:ascii="Arial" w:hAnsi="Arial"/>
          <w:sz w:val="24"/>
          <w:szCs w:val="24"/>
          <w:rtl w:val="0"/>
          <w:lang w:val="en-US"/>
        </w:rPr>
        <w:t>Clearly state whether you request a hearing to deal with the extension request.</w:t>
      </w:r>
    </w:p>
    <w:p>
      <w:pPr>
        <w:pStyle w:val="Body A A"/>
        <w:rPr>
          <w:rFonts w:ascii="Arial" w:cs="Arial" w:hAnsi="Arial" w:eastAsia="Arial"/>
          <w:sz w:val="24"/>
          <w:szCs w:val="24"/>
        </w:rPr>
      </w:pPr>
      <w:r>
        <w:rPr>
          <w:rFonts w:ascii="Arial" w:hAnsi="Arial"/>
          <w:sz w:val="24"/>
          <w:szCs w:val="24"/>
          <w:rtl w:val="0"/>
          <w:lang w:val="en-US"/>
        </w:rPr>
        <w:t xml:space="preserve">You can attempt to settle the case at any time by suggesting a compensation payment is made to Gethin, which is known as a settlement agreement. Moreover, it is advisable to get legal advice or call the employment tribunal customer Centre on 0330 123 1024 (England and Wales) for guidance (Gov.UK, 2021). </w:t>
      </w: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Details of any potential claims</w:t>
      </w:r>
    </w:p>
    <w:p>
      <w:pPr>
        <w:pStyle w:val="Body A A"/>
        <w:rPr>
          <w:rFonts w:ascii="Arial" w:cs="Arial" w:hAnsi="Arial" w:eastAsia="Arial"/>
          <w:b w:val="1"/>
          <w:bCs w:val="1"/>
          <w:sz w:val="24"/>
          <w:szCs w:val="24"/>
        </w:rPr>
      </w:pPr>
      <w:r>
        <w:rPr>
          <w:rFonts w:ascii="Arial" w:hAnsi="Arial"/>
          <w:b w:val="1"/>
          <w:bCs w:val="1"/>
          <w:sz w:val="24"/>
          <w:szCs w:val="24"/>
          <w:rtl w:val="0"/>
          <w:lang w:val="en-US"/>
        </w:rPr>
        <w:t xml:space="preserve">Ordinary Unfair Dismissal </w:t>
      </w:r>
    </w:p>
    <w:p>
      <w:pPr>
        <w:pStyle w:val="Body A A"/>
        <w:rPr>
          <w:rFonts w:ascii="Arial" w:cs="Arial" w:hAnsi="Arial" w:eastAsia="Arial"/>
          <w:sz w:val="24"/>
          <w:szCs w:val="24"/>
        </w:rPr>
      </w:pPr>
      <w:r>
        <w:rPr>
          <w:rFonts w:ascii="Arial" w:hAnsi="Arial"/>
          <w:sz w:val="24"/>
          <w:szCs w:val="24"/>
          <w:rtl w:val="0"/>
          <w:lang w:val="en-US"/>
        </w:rPr>
        <w:t>According to section 94 of the</w:t>
      </w:r>
      <w:r>
        <w:rPr>
          <w:rFonts w:ascii="Arial" w:hAnsi="Arial"/>
          <w:b w:val="1"/>
          <w:bCs w:val="1"/>
          <w:sz w:val="24"/>
          <w:szCs w:val="24"/>
          <w:rtl w:val="0"/>
          <w:lang w:val="en-US"/>
        </w:rPr>
        <w:t xml:space="preserve"> (</w:t>
      </w:r>
      <w:r>
        <w:rPr>
          <w:rFonts w:ascii="Arial" w:hAnsi="Arial"/>
          <w:i w:val="1"/>
          <w:iCs w:val="1"/>
          <w:sz w:val="24"/>
          <w:szCs w:val="24"/>
          <w:rtl w:val="0"/>
          <w:lang w:val="en-US"/>
        </w:rPr>
        <w:t>Employment Rights Act 1996</w:t>
      </w:r>
      <w:r>
        <w:rPr>
          <w:rFonts w:ascii="Arial" w:hAnsi="Arial"/>
          <w:b w:val="1"/>
          <w:bCs w:val="1"/>
          <w:sz w:val="24"/>
          <w:szCs w:val="24"/>
          <w:rtl w:val="0"/>
          <w:lang w:val="en-US"/>
        </w:rPr>
        <w:t xml:space="preserve">), </w:t>
      </w:r>
      <w:r>
        <w:rPr>
          <w:rFonts w:ascii="Arial" w:hAnsi="Arial"/>
          <w:sz w:val="24"/>
          <w:szCs w:val="24"/>
          <w:rtl w:val="0"/>
          <w:lang w:val="en-US"/>
        </w:rPr>
        <w:t>Gethin has the legal right not to be unfairly dismissed. Gethin has met the eligibility criteria of the claim, as he has been employed longer than 2 years</w:t>
      </w:r>
      <w:r>
        <w:rPr>
          <w:rFonts w:ascii="Arial" w:hAnsi="Arial"/>
          <w:b w:val="1"/>
          <w:bCs w:val="1"/>
          <w:sz w:val="24"/>
          <w:szCs w:val="24"/>
          <w:rtl w:val="0"/>
          <w:lang w:val="en-US"/>
        </w:rPr>
        <w:t xml:space="preserve">. </w:t>
      </w:r>
      <w:r>
        <w:rPr>
          <w:rFonts w:ascii="Arial" w:hAnsi="Arial"/>
          <w:sz w:val="24"/>
          <w:szCs w:val="24"/>
          <w:rtl w:val="0"/>
          <w:lang w:val="en-US"/>
        </w:rPr>
        <w:t>However, as Gethin</w:t>
      </w:r>
      <w:r>
        <w:rPr>
          <w:rFonts w:ascii="Arial" w:hAnsi="Arial" w:hint="default"/>
          <w:sz w:val="24"/>
          <w:szCs w:val="24"/>
          <w:rtl w:val="0"/>
          <w:lang w:val="en-US"/>
        </w:rPr>
        <w:t>’</w:t>
      </w:r>
      <w:r>
        <w:rPr>
          <w:rFonts w:ascii="Arial" w:hAnsi="Arial"/>
          <w:sz w:val="24"/>
          <w:szCs w:val="24"/>
          <w:rtl w:val="0"/>
          <w:lang w:val="en-US"/>
        </w:rPr>
        <w:t>s contract has been terminated for gross misconduct, the court will take into account how Big Buses came to that decision, according to the relevant principles outlined in the case of (</w:t>
      </w:r>
      <w:r>
        <w:rPr>
          <w:rFonts w:ascii="Arial" w:hAnsi="Arial" w:hint="default"/>
          <w:sz w:val="24"/>
          <w:szCs w:val="24"/>
          <w:rtl w:val="0"/>
          <w:lang w:val="en-US"/>
        </w:rPr>
        <w:t>‘</w:t>
      </w:r>
      <w:r>
        <w:rPr>
          <w:rFonts w:ascii="Arial" w:hAnsi="Arial"/>
          <w:sz w:val="24"/>
          <w:szCs w:val="24"/>
          <w:rtl w:val="0"/>
          <w:lang w:val="en-US"/>
        </w:rPr>
        <w:t>British Homes Stores v Burchell</w:t>
      </w:r>
      <w:r>
        <w:rPr>
          <w:rFonts w:ascii="Arial" w:hAnsi="Arial" w:hint="default"/>
          <w:sz w:val="24"/>
          <w:szCs w:val="24"/>
          <w:rtl w:val="0"/>
          <w:lang w:val="en-US"/>
        </w:rPr>
        <w:t xml:space="preserve">’ </w:t>
      </w:r>
      <w:r>
        <w:rPr>
          <w:rFonts w:ascii="Arial" w:hAnsi="Arial"/>
          <w:sz w:val="24"/>
          <w:szCs w:val="24"/>
          <w:rtl w:val="0"/>
          <w:lang w:val="en-US"/>
        </w:rPr>
        <w:t>1977). These principles highlight that to dismiss an employee for misconduct, the burden of proof is on the employer to demonstrate that they have dismissed the individual on genuine belief, reasonable grounds, following a reasonable investigation.</w:t>
      </w:r>
    </w:p>
    <w:p>
      <w:pPr>
        <w:pStyle w:val="Body A A"/>
        <w:rPr>
          <w:rFonts w:ascii="Arial" w:cs="Arial" w:hAnsi="Arial" w:eastAsia="Arial"/>
          <w:sz w:val="24"/>
          <w:szCs w:val="24"/>
        </w:rPr>
      </w:pPr>
      <w:r>
        <w:rPr>
          <w:rFonts w:ascii="Arial" w:hAnsi="Arial"/>
          <w:sz w:val="24"/>
          <w:szCs w:val="24"/>
          <w:rtl w:val="0"/>
          <w:lang w:val="en-US"/>
        </w:rPr>
        <w:t>In Gethin</w:t>
      </w:r>
      <w:r>
        <w:rPr>
          <w:rFonts w:ascii="Arial" w:hAnsi="Arial" w:hint="default"/>
          <w:sz w:val="24"/>
          <w:szCs w:val="24"/>
          <w:rtl w:val="0"/>
          <w:lang w:val="en-US"/>
        </w:rPr>
        <w:t>’</w:t>
      </w:r>
      <w:r>
        <w:rPr>
          <w:rFonts w:ascii="Arial" w:hAnsi="Arial"/>
          <w:sz w:val="24"/>
          <w:szCs w:val="24"/>
          <w:rtl w:val="0"/>
          <w:lang w:val="en-US"/>
        </w:rPr>
        <w:t>s case, Big Buses has not adhered to the three principles of the Burchell case above.   An investigation took place out when Gethin was on annual leave, providing Gethin with no chance to comment, explain or defend himself.  Gethin could potentially argue that an unfair investigation has taken place, as outlined in section 98 of the (</w:t>
      </w:r>
      <w:r>
        <w:rPr>
          <w:rFonts w:ascii="Arial" w:hAnsi="Arial"/>
          <w:i w:val="1"/>
          <w:iCs w:val="1"/>
          <w:sz w:val="24"/>
          <w:szCs w:val="24"/>
          <w:rtl w:val="0"/>
          <w:lang w:val="en-US"/>
        </w:rPr>
        <w:t>Employment Rights Act 1996</w:t>
      </w:r>
      <w:r>
        <w:rPr>
          <w:rFonts w:ascii="Arial" w:hAnsi="Arial"/>
          <w:sz w:val="24"/>
          <w:szCs w:val="24"/>
          <w:rtl w:val="0"/>
          <w:lang w:val="en-US"/>
        </w:rPr>
        <w:t xml:space="preserve">). </w:t>
      </w:r>
    </w:p>
    <w:p>
      <w:pPr>
        <w:pStyle w:val="Body A A"/>
        <w:rPr>
          <w:rFonts w:ascii="Arial" w:cs="Arial" w:hAnsi="Arial" w:eastAsia="Arial"/>
          <w:b w:val="1"/>
          <w:bCs w:val="1"/>
          <w:sz w:val="24"/>
          <w:szCs w:val="24"/>
        </w:rPr>
      </w:pPr>
      <w:r>
        <w:rPr>
          <w:rFonts w:ascii="Arial" w:hAnsi="Arial"/>
          <w:b w:val="1"/>
          <w:bCs w:val="1"/>
          <w:sz w:val="24"/>
          <w:szCs w:val="24"/>
          <w:rtl w:val="0"/>
          <w:lang w:val="en-US"/>
        </w:rPr>
        <w:t>Defence</w:t>
      </w:r>
    </w:p>
    <w:p>
      <w:pPr>
        <w:pStyle w:val="Body A A"/>
        <w:rPr>
          <w:rFonts w:ascii="Arial" w:cs="Arial" w:hAnsi="Arial" w:eastAsia="Arial"/>
          <w:b w:val="1"/>
          <w:bCs w:val="1"/>
          <w:sz w:val="24"/>
          <w:szCs w:val="24"/>
        </w:rPr>
      </w:pPr>
      <w:r>
        <w:rPr>
          <w:rFonts w:ascii="Arial" w:hAnsi="Arial"/>
          <w:b w:val="1"/>
          <w:bCs w:val="1"/>
          <w:sz w:val="24"/>
          <w:szCs w:val="24"/>
          <w:rtl w:val="0"/>
          <w:lang w:val="en-US"/>
        </w:rPr>
        <w:t>Lack of eye witness and Gethin</w:t>
      </w:r>
      <w:r>
        <w:rPr>
          <w:rFonts w:ascii="Arial" w:hAnsi="Arial" w:hint="default"/>
          <w:b w:val="1"/>
          <w:bCs w:val="1"/>
          <w:sz w:val="24"/>
          <w:szCs w:val="24"/>
          <w:rtl w:val="0"/>
          <w:lang w:val="en-US"/>
        </w:rPr>
        <w:t>’</w:t>
      </w:r>
      <w:r>
        <w:rPr>
          <w:rFonts w:ascii="Arial" w:hAnsi="Arial"/>
          <w:b w:val="1"/>
          <w:bCs w:val="1"/>
          <w:sz w:val="24"/>
          <w:szCs w:val="24"/>
          <w:rtl w:val="0"/>
          <w:lang w:val="en-US"/>
        </w:rPr>
        <w:t>s jovial behaviour</w:t>
      </w:r>
    </w:p>
    <w:p>
      <w:pPr>
        <w:pStyle w:val="Body A A"/>
        <w:rPr>
          <w:rFonts w:ascii="Arial" w:cs="Arial" w:hAnsi="Arial" w:eastAsia="Arial"/>
          <w:sz w:val="24"/>
          <w:szCs w:val="24"/>
        </w:rPr>
      </w:pPr>
      <w:r>
        <w:rPr>
          <w:rFonts w:ascii="Arial" w:hAnsi="Arial"/>
          <w:sz w:val="24"/>
          <w:szCs w:val="24"/>
          <w:rtl w:val="0"/>
          <w:lang w:val="en-US"/>
        </w:rPr>
        <w:t>When considering Big Buses</w:t>
      </w:r>
      <w:r>
        <w:rPr>
          <w:rFonts w:ascii="Arial" w:hAnsi="Arial" w:hint="default"/>
          <w:sz w:val="24"/>
          <w:szCs w:val="24"/>
          <w:rtl w:val="0"/>
          <w:lang w:val="en-US"/>
        </w:rPr>
        <w:t xml:space="preserve">’ </w:t>
      </w:r>
      <w:r>
        <w:rPr>
          <w:rFonts w:ascii="Arial" w:hAnsi="Arial"/>
          <w:sz w:val="24"/>
          <w:szCs w:val="24"/>
          <w:rtl w:val="0"/>
          <w:lang w:val="en-US"/>
        </w:rPr>
        <w:t>defence to ordinary unfair dismissal, you could challenge that despite Gethin claims to have been antagonised by Robert, who coughed in his face, which caused Gethin to push Robert to the floor. There were no eyewitnesses to prove this took place. Also, Gethin had been laughing with his colleagues immediately before the incident taking place, therefore it could be considered as Gethin continuing to act in a jovial way.</w:t>
      </w:r>
    </w:p>
    <w:p>
      <w:pPr>
        <w:pStyle w:val="Body A A"/>
        <w:rPr>
          <w:rFonts w:ascii="Arial" w:cs="Arial" w:hAnsi="Arial" w:eastAsia="Arial"/>
          <w:b w:val="1"/>
          <w:bCs w:val="1"/>
          <w:sz w:val="24"/>
          <w:szCs w:val="24"/>
        </w:rPr>
      </w:pPr>
      <w:r>
        <w:rPr>
          <w:rFonts w:ascii="Arial" w:hAnsi="Arial"/>
          <w:b w:val="1"/>
          <w:bCs w:val="1"/>
          <w:sz w:val="24"/>
          <w:szCs w:val="24"/>
          <w:rtl w:val="0"/>
          <w:lang w:val="en-US"/>
        </w:rPr>
        <w:t>COVID-19 Face masks</w:t>
      </w:r>
    </w:p>
    <w:p>
      <w:pPr>
        <w:pStyle w:val="Body A A"/>
        <w:rPr>
          <w:rFonts w:ascii="Arial" w:cs="Arial" w:hAnsi="Arial" w:eastAsia="Arial"/>
          <w:b w:val="1"/>
          <w:bCs w:val="1"/>
          <w:sz w:val="24"/>
          <w:szCs w:val="24"/>
        </w:rPr>
      </w:pPr>
      <w:r>
        <w:rPr>
          <w:rFonts w:ascii="Arial" w:hAnsi="Arial"/>
          <w:sz w:val="24"/>
          <w:szCs w:val="24"/>
          <w:rtl w:val="0"/>
          <w:lang w:val="en-US"/>
        </w:rPr>
        <w:t>Gethin has stated to Steve that he is not happy that his colleagues do not wear face masks, in line with the (</w:t>
      </w:r>
      <w:r>
        <w:rPr>
          <w:rFonts w:ascii="Arial" w:hAnsi="Arial"/>
          <w:i w:val="1"/>
          <w:iCs w:val="1"/>
          <w:sz w:val="24"/>
          <w:szCs w:val="24"/>
          <w:rtl w:val="0"/>
          <w:lang w:val="en-US"/>
        </w:rPr>
        <w:t>Welsh Health Protection Regulations, 2020</w:t>
      </w:r>
      <w:r>
        <w:rPr>
          <w:rFonts w:ascii="Arial" w:hAnsi="Arial"/>
          <w:b w:val="1"/>
          <w:bCs w:val="1"/>
          <w:i w:val="1"/>
          <w:iCs w:val="1"/>
          <w:sz w:val="24"/>
          <w:szCs w:val="24"/>
          <w:rtl w:val="0"/>
          <w:lang w:val="en-US"/>
        </w:rPr>
        <w:t>).</w:t>
      </w:r>
      <w:r>
        <w:rPr>
          <w:rFonts w:ascii="Arial" w:hAnsi="Arial"/>
          <w:b w:val="1"/>
          <w:bCs w:val="1"/>
          <w:sz w:val="24"/>
          <w:szCs w:val="24"/>
          <w:rtl w:val="0"/>
          <w:lang w:val="en-US"/>
        </w:rPr>
        <w:t xml:space="preserve"> </w:t>
      </w:r>
      <w:r>
        <w:rPr>
          <w:rFonts w:ascii="Arial" w:hAnsi="Arial"/>
          <w:sz w:val="24"/>
          <w:szCs w:val="24"/>
          <w:rtl w:val="0"/>
          <w:lang w:val="en-US"/>
        </w:rPr>
        <w:t>Nevertheless, Gethin himself was not wearing a mask immediately following the incident</w:t>
      </w:r>
      <w:r>
        <w:rPr>
          <w:rFonts w:ascii="Arial" w:hAnsi="Arial"/>
          <w:b w:val="1"/>
          <w:bCs w:val="1"/>
          <w:sz w:val="24"/>
          <w:szCs w:val="24"/>
          <w:rtl w:val="0"/>
          <w:lang w:val="en-US"/>
        </w:rPr>
        <w:t>.</w:t>
      </w:r>
    </w:p>
    <w:p>
      <w:pPr>
        <w:pStyle w:val="Body A A"/>
        <w:rPr>
          <w:rFonts w:ascii="Arial" w:cs="Arial" w:hAnsi="Arial" w:eastAsia="Arial"/>
          <w:b w:val="1"/>
          <w:bCs w:val="1"/>
          <w:sz w:val="24"/>
          <w:szCs w:val="24"/>
        </w:rPr>
      </w:pPr>
      <w:r>
        <w:rPr>
          <w:rFonts w:ascii="Arial" w:hAnsi="Arial"/>
          <w:b w:val="1"/>
          <w:bCs w:val="1"/>
          <w:sz w:val="24"/>
          <w:szCs w:val="24"/>
          <w:rtl w:val="0"/>
          <w:lang w:val="en-US"/>
        </w:rPr>
        <w:t>Witness statements</w:t>
      </w:r>
    </w:p>
    <w:p>
      <w:pPr>
        <w:pStyle w:val="Body A A"/>
        <w:rPr>
          <w:rFonts w:ascii="Arial" w:cs="Arial" w:hAnsi="Arial" w:eastAsia="Arial"/>
          <w:sz w:val="24"/>
          <w:szCs w:val="24"/>
        </w:rPr>
      </w:pPr>
      <w:r>
        <w:rPr>
          <w:rFonts w:ascii="Arial" w:hAnsi="Arial"/>
          <w:sz w:val="24"/>
          <w:szCs w:val="24"/>
          <w:rtl w:val="0"/>
          <w:lang w:val="en-US"/>
        </w:rPr>
        <w:t>Following the incident, Steve collected some witness statements, which illuminated that Gethin was the one that has initiated an altercation with Robert, with no proof that Gethin was provoked.</w:t>
      </w:r>
    </w:p>
    <w:p>
      <w:pPr>
        <w:pStyle w:val="Body A A"/>
        <w:rPr>
          <w:rFonts w:ascii="Arial" w:cs="Arial" w:hAnsi="Arial" w:eastAsia="Arial"/>
          <w:b w:val="1"/>
          <w:bCs w:val="1"/>
          <w:sz w:val="24"/>
          <w:szCs w:val="24"/>
        </w:rPr>
      </w:pPr>
      <w:r>
        <w:rPr>
          <w:rFonts w:ascii="Arial" w:hAnsi="Arial"/>
          <w:b w:val="1"/>
          <w:bCs w:val="1"/>
          <w:sz w:val="24"/>
          <w:szCs w:val="24"/>
          <w:rtl w:val="0"/>
          <w:lang w:val="en-US"/>
        </w:rPr>
        <w:t>Unacceptable Employee Behavio</w:t>
      </w:r>
      <w:r>
        <w:rPr>
          <w:rFonts w:ascii="Arial" w:hAnsi="Arial"/>
          <w:b w:val="1"/>
          <w:bCs w:val="1"/>
          <w:sz w:val="24"/>
          <w:szCs w:val="24"/>
          <w:rtl w:val="0"/>
        </w:rPr>
        <w:t>ur</w:t>
      </w:r>
    </w:p>
    <w:p>
      <w:pPr>
        <w:pStyle w:val="Body A A"/>
        <w:rPr>
          <w:rFonts w:ascii="Arial" w:cs="Arial" w:hAnsi="Arial" w:eastAsia="Arial"/>
          <w:sz w:val="24"/>
          <w:szCs w:val="24"/>
        </w:rPr>
      </w:pPr>
      <w:r>
        <w:rPr>
          <w:rFonts w:ascii="Arial" w:hAnsi="Arial"/>
          <w:sz w:val="24"/>
          <w:szCs w:val="24"/>
          <w:rtl w:val="0"/>
          <w:lang w:val="en-US"/>
        </w:rPr>
        <w:t>The fact that Gethin pushed Robert to the floor is unacceptable and aggressive behaviour in the workplace, particularly because he could have hurt employees, damaged equipment and presented a health and safety hazard</w:t>
      </w:r>
      <w:r>
        <w:rPr>
          <w:rFonts w:ascii="Arial" w:hAnsi="Arial"/>
          <w:b w:val="1"/>
          <w:bCs w:val="1"/>
          <w:sz w:val="24"/>
          <w:szCs w:val="24"/>
          <w:rtl w:val="0"/>
          <w:lang w:val="en-US"/>
        </w:rPr>
        <w:t xml:space="preserve"> (</w:t>
      </w:r>
      <w:r>
        <w:rPr>
          <w:rFonts w:ascii="Arial" w:hAnsi="Arial"/>
          <w:i w:val="1"/>
          <w:iCs w:val="1"/>
          <w:sz w:val="24"/>
          <w:szCs w:val="24"/>
          <w:rtl w:val="0"/>
          <w:lang w:val="en-US"/>
        </w:rPr>
        <w:t>Health and Safety at Work Act 1974)</w:t>
      </w:r>
      <w:r>
        <w:rPr>
          <w:rFonts w:ascii="Arial" w:hAnsi="Arial"/>
          <w:b w:val="1"/>
          <w:bCs w:val="1"/>
          <w:sz w:val="24"/>
          <w:szCs w:val="24"/>
          <w:rtl w:val="0"/>
          <w:lang w:val="en-US"/>
        </w:rPr>
        <w:t xml:space="preserve">. </w:t>
      </w:r>
      <w:r>
        <w:rPr>
          <w:rFonts w:ascii="Arial" w:hAnsi="Arial"/>
          <w:sz w:val="24"/>
          <w:szCs w:val="24"/>
          <w:rtl w:val="0"/>
          <w:lang w:val="en-US"/>
        </w:rPr>
        <w:t xml:space="preserve">Immediately following the incident, Gethin was unable to explain why he has behaved in that way towards Robert and in fact, did not deny that he had pushed Robert. </w:t>
      </w:r>
    </w:p>
    <w:p>
      <w:pPr>
        <w:pStyle w:val="Body A A"/>
        <w:rPr>
          <w:rFonts w:ascii="Arial" w:cs="Arial" w:hAnsi="Arial" w:eastAsia="Arial"/>
          <w:sz w:val="24"/>
          <w:szCs w:val="24"/>
        </w:rPr>
      </w:pP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Potential Difficulties in Defence from Big Buses</w:t>
      </w:r>
      <w:r>
        <w:rPr>
          <w:rFonts w:ascii="Arial" w:hAnsi="Arial" w:hint="default"/>
          <w:b w:val="1"/>
          <w:bCs w:val="1"/>
          <w:sz w:val="24"/>
          <w:szCs w:val="24"/>
          <w:rtl w:val="0"/>
          <w:lang w:val="en-US"/>
        </w:rPr>
        <w:t xml:space="preserve">’ </w:t>
      </w:r>
      <w:r>
        <w:rPr>
          <w:rFonts w:ascii="Arial" w:hAnsi="Arial"/>
          <w:b w:val="1"/>
          <w:bCs w:val="1"/>
          <w:sz w:val="24"/>
          <w:szCs w:val="24"/>
          <w:rtl w:val="0"/>
          <w:lang w:val="en-US"/>
        </w:rPr>
        <w:t>Perspective</w:t>
      </w:r>
    </w:p>
    <w:p>
      <w:pPr>
        <w:pStyle w:val="Body A A"/>
        <w:rPr>
          <w:rFonts w:ascii="Arial" w:cs="Arial" w:hAnsi="Arial" w:eastAsia="Arial"/>
          <w:b w:val="1"/>
          <w:bCs w:val="1"/>
          <w:sz w:val="24"/>
          <w:szCs w:val="24"/>
        </w:rPr>
      </w:pPr>
      <w:r>
        <w:rPr>
          <w:rFonts w:ascii="Arial" w:hAnsi="Arial"/>
          <w:b w:val="1"/>
          <w:bCs w:val="1"/>
          <w:sz w:val="24"/>
          <w:szCs w:val="24"/>
          <w:rtl w:val="0"/>
          <w:lang w:val="en-US"/>
        </w:rPr>
        <w:t>Lack of consistency of treatment of employees</w:t>
      </w:r>
    </w:p>
    <w:p>
      <w:pPr>
        <w:pStyle w:val="Body A A"/>
        <w:rPr>
          <w:rFonts w:ascii="Arial" w:cs="Arial" w:hAnsi="Arial" w:eastAsia="Arial"/>
          <w:sz w:val="24"/>
          <w:szCs w:val="24"/>
        </w:rPr>
      </w:pPr>
      <w:r>
        <w:rPr>
          <w:rFonts w:ascii="Arial" w:hAnsi="Arial"/>
          <w:sz w:val="24"/>
          <w:szCs w:val="24"/>
          <w:rtl w:val="0"/>
          <w:lang w:val="en-US"/>
        </w:rPr>
        <w:t xml:space="preserve">There has been inconstant treatment to the employees involved in the incident, by Steve. Gethin was instantly dismissed, without being provided with an opportunity to comment and no disciplinary action was taken on Robert. Arguably, Steve could have developed a belief that Gethin had made an unjustified attack on Robert, leading him to dismiss him for gross misconduct. </w:t>
      </w:r>
    </w:p>
    <w:p>
      <w:pPr>
        <w:pStyle w:val="Body A A"/>
        <w:rPr>
          <w:rFonts w:ascii="Arial" w:cs="Arial" w:hAnsi="Arial" w:eastAsia="Arial"/>
          <w:sz w:val="24"/>
          <w:szCs w:val="24"/>
        </w:rPr>
      </w:pPr>
      <w:r>
        <w:rPr>
          <w:rFonts w:ascii="Arial" w:hAnsi="Arial"/>
          <w:sz w:val="24"/>
          <w:szCs w:val="24"/>
          <w:rtl w:val="0"/>
          <w:lang w:val="en-US"/>
        </w:rPr>
        <w:t>An example of a law case where the defence was weak due to inconsistent treatment to employees, is that of (</w:t>
      </w:r>
      <w:r>
        <w:rPr>
          <w:rFonts w:ascii="Arial" w:hAnsi="Arial" w:hint="default"/>
          <w:sz w:val="24"/>
          <w:szCs w:val="24"/>
          <w:rtl w:val="0"/>
          <w:lang w:val="en-US"/>
        </w:rPr>
        <w:t>‘</w:t>
      </w:r>
      <w:r>
        <w:rPr>
          <w:rFonts w:ascii="Arial" w:hAnsi="Arial"/>
          <w:sz w:val="24"/>
          <w:szCs w:val="24"/>
          <w:rtl w:val="0"/>
          <w:lang w:val="en-US"/>
        </w:rPr>
        <w:t>MBNA Ltd v Mr M Jones</w:t>
      </w:r>
      <w:r>
        <w:rPr>
          <w:rFonts w:ascii="Arial" w:hAnsi="Arial" w:hint="default"/>
          <w:sz w:val="24"/>
          <w:szCs w:val="24"/>
          <w:rtl w:val="0"/>
          <w:lang w:val="en-US"/>
        </w:rPr>
        <w:t>’</w:t>
      </w:r>
      <w:r>
        <w:rPr>
          <w:rFonts w:ascii="Arial" w:hAnsi="Arial"/>
          <w:sz w:val="24"/>
          <w:szCs w:val="24"/>
          <w:rtl w:val="0"/>
          <w:lang w:val="en-US"/>
        </w:rPr>
        <w:t>, 2015). In this instance, the individual was dismissed for gross misconduct, however, the fact that he may have been provoked wasn</w:t>
      </w:r>
      <w:r>
        <w:rPr>
          <w:rFonts w:ascii="Arial" w:hAnsi="Arial" w:hint="default"/>
          <w:sz w:val="24"/>
          <w:szCs w:val="24"/>
          <w:rtl w:val="0"/>
          <w:lang w:val="en-US"/>
        </w:rPr>
        <w:t>’</w:t>
      </w:r>
      <w:r>
        <w:rPr>
          <w:rFonts w:ascii="Arial" w:hAnsi="Arial"/>
          <w:sz w:val="24"/>
          <w:szCs w:val="24"/>
          <w:rtl w:val="0"/>
          <w:lang w:val="en-US"/>
        </w:rPr>
        <w:t xml:space="preserve">t considered and the other colleague involved in the incident was only given a final written warning. The ET found that the dismissal was unfair, due to disparity of treatment between employees. </w:t>
      </w:r>
    </w:p>
    <w:p>
      <w:pPr>
        <w:pStyle w:val="Body A A"/>
        <w:rPr>
          <w:rFonts w:ascii="Arial" w:cs="Arial" w:hAnsi="Arial" w:eastAsia="Arial"/>
          <w:sz w:val="24"/>
          <w:szCs w:val="24"/>
        </w:rPr>
      </w:pPr>
      <w:r>
        <w:rPr>
          <w:rFonts w:ascii="Arial" w:hAnsi="Arial"/>
          <w:sz w:val="24"/>
          <w:szCs w:val="24"/>
          <w:rtl w:val="0"/>
          <w:lang w:val="en-US"/>
        </w:rPr>
        <w:t>Also, confusingly the reason on Gethin</w:t>
      </w:r>
      <w:r>
        <w:rPr>
          <w:rFonts w:ascii="Arial" w:hAnsi="Arial" w:hint="default"/>
          <w:sz w:val="24"/>
          <w:szCs w:val="24"/>
          <w:rtl w:val="0"/>
          <w:lang w:val="en-US"/>
        </w:rPr>
        <w:t>’</w:t>
      </w:r>
      <w:r>
        <w:rPr>
          <w:rFonts w:ascii="Arial" w:hAnsi="Arial"/>
          <w:sz w:val="24"/>
          <w:szCs w:val="24"/>
          <w:rtl w:val="0"/>
          <w:lang w:val="en-US"/>
        </w:rPr>
        <w:t xml:space="preserve">s letter for dismissal, was for not wearing a face mask. However, Gethin had already raised this as an issue in the workplace and no action was taken. </w:t>
      </w:r>
    </w:p>
    <w:p>
      <w:pPr>
        <w:pStyle w:val="Body A A"/>
        <w:rPr>
          <w:rFonts w:ascii="Arial" w:cs="Arial" w:hAnsi="Arial" w:eastAsia="Arial"/>
          <w:b w:val="1"/>
          <w:bCs w:val="1"/>
          <w:sz w:val="24"/>
          <w:szCs w:val="24"/>
        </w:rPr>
      </w:pPr>
      <w:r>
        <w:rPr>
          <w:rFonts w:ascii="Arial" w:hAnsi="Arial"/>
          <w:b w:val="1"/>
          <w:bCs w:val="1"/>
          <w:sz w:val="24"/>
          <w:szCs w:val="24"/>
          <w:rtl w:val="0"/>
          <w:lang w:val="en-US"/>
        </w:rPr>
        <w:t>Failure to follow ACAS code/Potential Harassment claim</w:t>
      </w:r>
    </w:p>
    <w:p>
      <w:pPr>
        <w:pStyle w:val="Body A A"/>
        <w:rPr>
          <w:rFonts w:ascii="Arial" w:cs="Arial" w:hAnsi="Arial" w:eastAsia="Arial"/>
          <w:sz w:val="24"/>
          <w:szCs w:val="24"/>
        </w:rPr>
      </w:pPr>
      <w:r>
        <w:rPr>
          <w:rFonts w:ascii="Arial" w:hAnsi="Arial"/>
          <w:sz w:val="24"/>
          <w:szCs w:val="24"/>
          <w:rtl w:val="0"/>
          <w:lang w:val="en-US"/>
        </w:rPr>
        <w:t>Gethin wasn</w:t>
      </w:r>
      <w:r>
        <w:rPr>
          <w:rFonts w:ascii="Arial" w:hAnsi="Arial" w:hint="default"/>
          <w:sz w:val="24"/>
          <w:szCs w:val="24"/>
          <w:rtl w:val="0"/>
          <w:lang w:val="en-US"/>
        </w:rPr>
        <w:t>’</w:t>
      </w:r>
      <w:r>
        <w:rPr>
          <w:rFonts w:ascii="Arial" w:hAnsi="Arial"/>
          <w:sz w:val="24"/>
          <w:szCs w:val="24"/>
          <w:rtl w:val="0"/>
          <w:lang w:val="en-US"/>
        </w:rPr>
        <w:t>t provided with an opportunity to put forward his version of events or give his response to the claims made against him. The letter that Gethin received inviting him to the disciplinary hearing, wasn</w:t>
      </w:r>
      <w:r>
        <w:rPr>
          <w:rFonts w:ascii="Arial" w:hAnsi="Arial" w:hint="default"/>
          <w:sz w:val="24"/>
          <w:szCs w:val="24"/>
          <w:rtl w:val="0"/>
          <w:lang w:val="en-US"/>
        </w:rPr>
        <w:t>’</w:t>
      </w:r>
      <w:r>
        <w:rPr>
          <w:rFonts w:ascii="Arial" w:hAnsi="Arial"/>
          <w:sz w:val="24"/>
          <w:szCs w:val="24"/>
          <w:rtl w:val="0"/>
          <w:lang w:val="en-US"/>
        </w:rPr>
        <w:t>t clear, did not state the allegations. possible outcomes, or outline that he could bring a union representative with him to the disciplinary hearing.  In the disciplinary meeting, Gethin has stated that he wasn</w:t>
      </w:r>
      <w:r>
        <w:rPr>
          <w:rFonts w:ascii="Arial" w:hAnsi="Arial" w:hint="default"/>
          <w:sz w:val="24"/>
          <w:szCs w:val="24"/>
          <w:rtl w:val="0"/>
          <w:lang w:val="en-US"/>
        </w:rPr>
        <w:t>’</w:t>
      </w:r>
      <w:r>
        <w:rPr>
          <w:rFonts w:ascii="Arial" w:hAnsi="Arial"/>
          <w:sz w:val="24"/>
          <w:szCs w:val="24"/>
          <w:rtl w:val="0"/>
          <w:lang w:val="en-US"/>
        </w:rPr>
        <w:t>t able to provide a defence and was subjected to an intimidating and hostile environment, where they did not allow him to speak. This could be considered by Gethin as harassment, and he could bring a harassment claim in line with the (</w:t>
      </w:r>
      <w:r>
        <w:rPr>
          <w:rFonts w:ascii="Arial" w:hAnsi="Arial"/>
          <w:i w:val="1"/>
          <w:iCs w:val="1"/>
          <w:sz w:val="24"/>
          <w:szCs w:val="24"/>
          <w:rtl w:val="0"/>
          <w:lang w:val="en-US"/>
        </w:rPr>
        <w:t>Equality Act 2010)</w:t>
      </w:r>
      <w:r>
        <w:rPr>
          <w:rFonts w:ascii="Arial" w:hAnsi="Arial"/>
          <w:sz w:val="24"/>
          <w:szCs w:val="24"/>
          <w:rtl w:val="0"/>
          <w:lang w:val="en-US"/>
        </w:rPr>
        <w:t xml:space="preserve"> which protects individuals from such discrimination (CIPD, 2020). </w:t>
      </w:r>
    </w:p>
    <w:p>
      <w:pPr>
        <w:pStyle w:val="Body A A"/>
        <w:rPr>
          <w:rFonts w:ascii="Arial" w:cs="Arial" w:hAnsi="Arial" w:eastAsia="Arial"/>
          <w:b w:val="1"/>
          <w:bCs w:val="1"/>
          <w:sz w:val="24"/>
          <w:szCs w:val="24"/>
        </w:rPr>
      </w:pPr>
      <w:r>
        <w:rPr>
          <w:rFonts w:ascii="Arial" w:hAnsi="Arial"/>
          <w:sz w:val="24"/>
          <w:szCs w:val="24"/>
          <w:rtl w:val="0"/>
          <w:lang w:val="en-US"/>
        </w:rPr>
        <w:t>The dismissal letter that Gethin received, omitted his copy of the hearing notes and he was only provided 48 hours to appeal against the decision, whereas the correct procedure is 72 hours to lodge an appeal. This according to ACAS guidance is not sufficient enough to enable him to prepare (ACAS, 2015). Also, ACAS advises that an independent person should conduct the disciplinary, or certainly the same person should not conduct the investigation and disciplinary. Yet another flaw in process for Big Buses.</w:t>
      </w:r>
    </w:p>
    <w:p>
      <w:pPr>
        <w:pStyle w:val="Body A A"/>
        <w:rPr>
          <w:rFonts w:ascii="Arial" w:cs="Arial" w:hAnsi="Arial" w:eastAsia="Arial"/>
          <w:sz w:val="24"/>
          <w:szCs w:val="24"/>
        </w:rPr>
      </w:pPr>
      <w:r>
        <w:rPr>
          <w:rFonts w:ascii="Arial" w:hAnsi="Arial"/>
          <w:sz w:val="24"/>
          <w:szCs w:val="24"/>
          <w:rtl w:val="0"/>
          <w:lang w:val="en-US"/>
        </w:rPr>
        <w:t>Furthermore, Big Buses did not provide Gethin with copies of any witness statements, from the investigation, which prevented him from explaining all aspects.</w:t>
      </w:r>
    </w:p>
    <w:p>
      <w:pPr>
        <w:pStyle w:val="Body A A"/>
        <w:rPr>
          <w:rFonts w:ascii="Arial" w:cs="Arial" w:hAnsi="Arial" w:eastAsia="Arial"/>
          <w:b w:val="1"/>
          <w:bCs w:val="1"/>
          <w:sz w:val="24"/>
          <w:szCs w:val="24"/>
        </w:rPr>
      </w:pPr>
      <w:r>
        <w:rPr>
          <w:rFonts w:ascii="Arial" w:hAnsi="Arial"/>
          <w:b w:val="1"/>
          <w:bCs w:val="1"/>
          <w:sz w:val="24"/>
          <w:szCs w:val="24"/>
          <w:rtl w:val="0"/>
          <w:lang w:val="en-US"/>
        </w:rPr>
        <w:t>Claim 2 Automatic Unfair Dismissal-Whistleblowing</w:t>
      </w:r>
    </w:p>
    <w:p>
      <w:pPr>
        <w:pStyle w:val="Body A A"/>
        <w:rPr>
          <w:rFonts w:ascii="Arial" w:cs="Arial" w:hAnsi="Arial" w:eastAsia="Arial"/>
          <w:sz w:val="24"/>
          <w:szCs w:val="24"/>
        </w:rPr>
      </w:pPr>
      <w:r>
        <w:rPr>
          <w:rFonts w:ascii="Arial" w:hAnsi="Arial"/>
          <w:sz w:val="24"/>
          <w:szCs w:val="24"/>
          <w:rtl w:val="0"/>
          <w:lang w:val="en-US"/>
        </w:rPr>
        <w:t>Gethin could claim his employment was terminated due to him making a protected disclosure, concerning health and safety. Subsequently, exposing Big Buses as not complying with their legal obligation as per 43a of the (</w:t>
      </w:r>
      <w:r>
        <w:rPr>
          <w:rFonts w:ascii="Arial" w:hAnsi="Arial"/>
          <w:i w:val="1"/>
          <w:iCs w:val="1"/>
          <w:sz w:val="24"/>
          <w:szCs w:val="24"/>
          <w:rtl w:val="0"/>
          <w:lang w:val="en-US"/>
        </w:rPr>
        <w:t xml:space="preserve">Employment Rights Act 1996) </w:t>
      </w:r>
      <w:r>
        <w:rPr>
          <w:rFonts w:ascii="Arial" w:hAnsi="Arial"/>
          <w:sz w:val="24"/>
          <w:szCs w:val="24"/>
          <w:rtl w:val="0"/>
          <w:lang w:val="en-US"/>
        </w:rPr>
        <w:t>to</w:t>
      </w:r>
      <w:r>
        <w:rPr>
          <w:rFonts w:ascii="Arial" w:hAnsi="Arial"/>
          <w:i w:val="1"/>
          <w:iCs w:val="1"/>
          <w:sz w:val="24"/>
          <w:szCs w:val="24"/>
          <w:rtl w:val="0"/>
          <w:lang w:val="en-US"/>
        </w:rPr>
        <w:t xml:space="preserve"> </w:t>
      </w:r>
      <w:r>
        <w:rPr>
          <w:rFonts w:ascii="Arial" w:hAnsi="Arial"/>
          <w:sz w:val="24"/>
          <w:szCs w:val="24"/>
          <w:rtl w:val="0"/>
          <w:lang w:val="en-US"/>
        </w:rPr>
        <w:t>ensure the workplace is Covid-19 safe (</w:t>
      </w:r>
      <w:r>
        <w:rPr>
          <w:rFonts w:ascii="Arial" w:hAnsi="Arial"/>
          <w:i w:val="1"/>
          <w:iCs w:val="1"/>
          <w:sz w:val="24"/>
          <w:szCs w:val="24"/>
          <w:rtl w:val="0"/>
          <w:lang w:val="en-US"/>
        </w:rPr>
        <w:t>Health and Safety at Work Act 1974).</w:t>
      </w:r>
      <w:r>
        <w:rPr>
          <w:rFonts w:ascii="Arial" w:hAnsi="Arial"/>
          <w:sz w:val="24"/>
          <w:szCs w:val="24"/>
          <w:rtl w:val="0"/>
          <w:lang w:val="en-US"/>
        </w:rPr>
        <w:t xml:space="preserve"> The (</w:t>
      </w:r>
      <w:r>
        <w:rPr>
          <w:rFonts w:ascii="Arial" w:hAnsi="Arial"/>
          <w:i w:val="1"/>
          <w:iCs w:val="1"/>
          <w:sz w:val="24"/>
          <w:szCs w:val="24"/>
          <w:rtl w:val="0"/>
          <w:lang w:val="en-US"/>
        </w:rPr>
        <w:t>Public Interest Disclosure Act 1998</w:t>
      </w:r>
      <w:r>
        <w:rPr>
          <w:rFonts w:ascii="Arial" w:hAnsi="Arial"/>
          <w:sz w:val="24"/>
          <w:szCs w:val="24"/>
          <w:rtl w:val="0"/>
          <w:lang w:val="en-US"/>
        </w:rPr>
        <w:t>) protects colleagues from receiving detrimental treatment from their employers, when they make a protected disclosure.</w:t>
      </w:r>
    </w:p>
    <w:p>
      <w:pPr>
        <w:pStyle w:val="Body A A"/>
        <w:rPr>
          <w:rFonts w:ascii="Arial" w:cs="Arial" w:hAnsi="Arial" w:eastAsia="Arial"/>
          <w:sz w:val="24"/>
          <w:szCs w:val="24"/>
        </w:rPr>
      </w:pPr>
      <w:r>
        <w:rPr>
          <w:rFonts w:ascii="Arial" w:hAnsi="Arial"/>
          <w:sz w:val="24"/>
          <w:szCs w:val="24"/>
          <w:rtl w:val="0"/>
          <w:lang w:val="en-US"/>
        </w:rPr>
        <w:t xml:space="preserve"> Even though you have provided hand sanitiser and signs to ask staff to regularly wash their hands and social distance, there were no signs to enforce the legal requirement to wear masks (</w:t>
      </w:r>
      <w:r>
        <w:rPr>
          <w:rFonts w:ascii="Arial" w:hAnsi="Arial"/>
          <w:i w:val="1"/>
          <w:iCs w:val="1"/>
          <w:sz w:val="24"/>
          <w:szCs w:val="24"/>
          <w:rtl w:val="0"/>
          <w:lang w:val="en-US"/>
        </w:rPr>
        <w:t>The Coronavirus Act, 2020).</w:t>
      </w:r>
      <w:r>
        <w:rPr>
          <w:rFonts w:ascii="Arial" w:hAnsi="Arial"/>
          <w:sz w:val="24"/>
          <w:szCs w:val="24"/>
          <w:rtl w:val="0"/>
          <w:lang w:val="en-US"/>
        </w:rPr>
        <w:t xml:space="preserve"> Gethin has reported the fact that his colleagues were not wearing their facemasks to Steve, which resulted in additional signs being placed in the workplace, which didn</w:t>
      </w:r>
      <w:r>
        <w:rPr>
          <w:rFonts w:ascii="Arial" w:hAnsi="Arial" w:hint="default"/>
          <w:sz w:val="24"/>
          <w:szCs w:val="24"/>
          <w:rtl w:val="0"/>
          <w:lang w:val="en-US"/>
        </w:rPr>
        <w:t>’</w:t>
      </w:r>
      <w:r>
        <w:rPr>
          <w:rFonts w:ascii="Arial" w:hAnsi="Arial"/>
          <w:sz w:val="24"/>
          <w:szCs w:val="24"/>
          <w:rtl w:val="0"/>
          <w:lang w:val="en-US"/>
        </w:rPr>
        <w:t xml:space="preserve">t resolve the problem (CIPD, 2021). </w:t>
      </w:r>
    </w:p>
    <w:p>
      <w:pPr>
        <w:pStyle w:val="Body A A"/>
        <w:rPr>
          <w:rFonts w:ascii="Arial" w:cs="Arial" w:hAnsi="Arial" w:eastAsia="Arial"/>
          <w:sz w:val="24"/>
          <w:szCs w:val="24"/>
        </w:rPr>
      </w:pPr>
      <w:r>
        <w:rPr>
          <w:rFonts w:ascii="Arial" w:hAnsi="Arial"/>
          <w:sz w:val="24"/>
          <w:szCs w:val="24"/>
          <w:rtl w:val="0"/>
          <w:lang w:val="en-US"/>
        </w:rPr>
        <w:t xml:space="preserve">This disclosure is considered </w:t>
      </w:r>
      <w:r>
        <w:rPr>
          <w:rFonts w:ascii="Arial" w:hAnsi="Arial" w:hint="default"/>
          <w:sz w:val="24"/>
          <w:szCs w:val="24"/>
          <w:rtl w:val="0"/>
          <w:lang w:val="en-US"/>
        </w:rPr>
        <w:t>“</w:t>
      </w:r>
      <w:r>
        <w:rPr>
          <w:rFonts w:ascii="Arial" w:hAnsi="Arial"/>
          <w:sz w:val="24"/>
          <w:szCs w:val="24"/>
          <w:rtl w:val="0"/>
          <w:lang w:val="en-US"/>
        </w:rPr>
        <w:t>Whistleblowing</w:t>
      </w:r>
      <w:r>
        <w:rPr>
          <w:rFonts w:ascii="Arial" w:hAnsi="Arial" w:hint="default"/>
          <w:sz w:val="24"/>
          <w:szCs w:val="24"/>
          <w:rtl w:val="0"/>
          <w:lang w:val="en-US"/>
        </w:rPr>
        <w:t xml:space="preserve">” </w:t>
      </w:r>
      <w:r>
        <w:rPr>
          <w:rFonts w:ascii="Arial" w:hAnsi="Arial"/>
          <w:sz w:val="24"/>
          <w:szCs w:val="24"/>
          <w:rtl w:val="0"/>
          <w:lang w:val="en-US"/>
        </w:rPr>
        <w:t>(CIPD, 2021). Gethin could claim that he was dismissed because he made a qualifying disclosure as per 103a of the (</w:t>
      </w:r>
      <w:r>
        <w:rPr>
          <w:rFonts w:ascii="Arial" w:hAnsi="Arial"/>
          <w:i w:val="1"/>
          <w:iCs w:val="1"/>
          <w:sz w:val="24"/>
          <w:szCs w:val="24"/>
          <w:rtl w:val="0"/>
          <w:lang w:val="en-US"/>
        </w:rPr>
        <w:t>Employment Rights Act, 1996</w:t>
      </w:r>
      <w:r>
        <w:rPr>
          <w:rFonts w:ascii="Arial" w:hAnsi="Arial"/>
          <w:sz w:val="24"/>
          <w:szCs w:val="24"/>
          <w:rtl w:val="0"/>
          <w:lang w:val="en-US"/>
        </w:rPr>
        <w:t>). In this instance, the ET will rule that Gethin has been unfairly dismissed. However, to make this claim Gethin will need to prove a causal link. Gethin did report the lack of mask-wearing to Steve. However, evidence is required that the actual disclosure was the dismissal reason. An example of a similar case is the (</w:t>
      </w:r>
      <w:r>
        <w:rPr>
          <w:rFonts w:ascii="Arial" w:hAnsi="Arial" w:hint="default"/>
          <w:sz w:val="24"/>
          <w:szCs w:val="24"/>
          <w:rtl w:val="0"/>
          <w:lang w:val="en-US"/>
        </w:rPr>
        <w:t>‘</w:t>
      </w:r>
      <w:r>
        <w:rPr>
          <w:rFonts w:ascii="Arial" w:hAnsi="Arial"/>
          <w:sz w:val="24"/>
          <w:szCs w:val="24"/>
          <w:rtl w:val="0"/>
          <w:lang w:val="en-US"/>
        </w:rPr>
        <w:t>Cavindish Murico Professional Risks Management Limited v Geduld</w:t>
      </w:r>
      <w:r>
        <w:rPr>
          <w:rFonts w:ascii="Arial" w:hAnsi="Arial" w:hint="default"/>
          <w:sz w:val="24"/>
          <w:szCs w:val="24"/>
          <w:rtl w:val="0"/>
          <w:lang w:val="en-US"/>
        </w:rPr>
        <w:t xml:space="preserve">’ </w:t>
      </w:r>
      <w:r>
        <w:rPr>
          <w:rFonts w:ascii="Arial" w:hAnsi="Arial"/>
          <w:sz w:val="24"/>
          <w:szCs w:val="24"/>
          <w:rtl w:val="0"/>
          <w:lang w:val="en-US"/>
        </w:rPr>
        <w:t>2010). This highlighted that there is a distinct difference between an allegation and a protected disclosure and that a protected disclosure needs to be a disclosure of facts. In Gethin</w:t>
      </w:r>
      <w:r>
        <w:rPr>
          <w:rFonts w:ascii="Arial" w:hAnsi="Arial" w:hint="default"/>
          <w:sz w:val="24"/>
          <w:szCs w:val="24"/>
          <w:rtl w:val="0"/>
          <w:lang w:val="en-US"/>
        </w:rPr>
        <w:t>’</w:t>
      </w:r>
      <w:r>
        <w:rPr>
          <w:rFonts w:ascii="Arial" w:hAnsi="Arial"/>
          <w:sz w:val="24"/>
          <w:szCs w:val="24"/>
          <w:rtl w:val="0"/>
          <w:lang w:val="en-US"/>
        </w:rPr>
        <w:t xml:space="preserve">s case, he did make a protected disclosure but did not provide any specific facts (CIPD, 2020). </w:t>
      </w:r>
    </w:p>
    <w:p>
      <w:pPr>
        <w:pStyle w:val="Body A A"/>
        <w:rPr>
          <w:rFonts w:ascii="Arial" w:cs="Arial" w:hAnsi="Arial" w:eastAsia="Arial"/>
          <w:b w:val="1"/>
          <w:bCs w:val="1"/>
          <w:sz w:val="24"/>
          <w:szCs w:val="24"/>
        </w:rPr>
      </w:pPr>
      <w:r>
        <w:rPr>
          <w:rFonts w:ascii="Arial" w:hAnsi="Arial"/>
          <w:b w:val="1"/>
          <w:bCs w:val="1"/>
          <w:sz w:val="24"/>
          <w:szCs w:val="24"/>
          <w:rtl w:val="0"/>
          <w:lang w:val="en-US"/>
        </w:rPr>
        <w:t>Claim 2 Automatic Unfair Dismissal Defence</w:t>
      </w:r>
    </w:p>
    <w:p>
      <w:pPr>
        <w:pStyle w:val="Body A A"/>
        <w:rPr>
          <w:rFonts w:ascii="Arial" w:cs="Arial" w:hAnsi="Arial" w:eastAsia="Arial"/>
          <w:sz w:val="24"/>
          <w:szCs w:val="24"/>
        </w:rPr>
      </w:pPr>
      <w:r>
        <w:rPr>
          <w:rFonts w:ascii="Arial" w:hAnsi="Arial"/>
          <w:sz w:val="24"/>
          <w:szCs w:val="24"/>
          <w:rtl w:val="0"/>
          <w:lang w:val="en-US"/>
        </w:rPr>
        <w:t xml:space="preserve">To defend this claim, you will need evidence that you have been enforcing the wearing of face coverings, through signs displayed in the workplace and that you have been unable to monitor this, 24 hours a day. You will need to provide evidence of the communications that Steve has issued to the workforce, advising them to wear masks, including any e-mails or evidence of verbal communications at meetings.  With automatic unfair dismissal, Gethin has the right to not to be treated less favourably for reporting a health and safety breach. Nevertheless, Gethin may have difficulty in proving the causal link in this instance that he was dismissed on the grounds of making the protected disclosure (CIPD, 2020). </w:t>
      </w:r>
    </w:p>
    <w:p>
      <w:pPr>
        <w:pStyle w:val="Body A A"/>
        <w:rPr>
          <w:rFonts w:ascii="Arial" w:cs="Arial" w:hAnsi="Arial" w:eastAsia="Arial"/>
          <w:b w:val="1"/>
          <w:bCs w:val="1"/>
          <w:sz w:val="24"/>
          <w:szCs w:val="24"/>
        </w:rPr>
      </w:pPr>
      <w:r>
        <w:rPr>
          <w:rFonts w:ascii="Arial" w:hAnsi="Arial"/>
          <w:b w:val="1"/>
          <w:bCs w:val="1"/>
          <w:sz w:val="24"/>
          <w:szCs w:val="24"/>
          <w:rtl w:val="0"/>
          <w:lang w:val="en-US"/>
        </w:rPr>
        <w:t>Wrongful Dismissal</w:t>
      </w:r>
    </w:p>
    <w:p>
      <w:pPr>
        <w:pStyle w:val="Body A A"/>
        <w:rPr>
          <w:rFonts w:ascii="Arial" w:cs="Arial" w:hAnsi="Arial" w:eastAsia="Arial"/>
          <w:sz w:val="24"/>
          <w:szCs w:val="24"/>
        </w:rPr>
      </w:pPr>
      <w:r>
        <w:rPr>
          <w:rFonts w:ascii="Arial" w:hAnsi="Arial"/>
          <w:sz w:val="24"/>
          <w:szCs w:val="24"/>
          <w:rtl w:val="0"/>
          <w:lang w:val="en-US"/>
        </w:rPr>
        <w:t>Gethin could claim that the case has been improperly investigated and that the incorrect procedure has been followed. Similarly, Gethin was dismissed for gross misconduct immediately and he has previously had a faultless record of behaviour in the workplace, apart from one unrelated offence. If wrongful dismissal is proved by the ET, Gethin could declare that he should have been awarded his:</w:t>
      </w:r>
    </w:p>
    <w:p>
      <w:pPr>
        <w:pStyle w:val="Body A A"/>
        <w:numPr>
          <w:ilvl w:val="0"/>
          <w:numId w:val="6"/>
        </w:numPr>
        <w:bidi w:val="0"/>
        <w:ind w:right="0"/>
        <w:jc w:val="left"/>
        <w:rPr>
          <w:rFonts w:ascii="Arial" w:hAnsi="Arial"/>
          <w:sz w:val="24"/>
          <w:szCs w:val="24"/>
          <w:rtl w:val="0"/>
          <w:lang w:val="en-US"/>
        </w:rPr>
      </w:pPr>
      <w:r>
        <w:rPr>
          <w:rFonts w:ascii="Arial" w:hAnsi="Arial"/>
          <w:sz w:val="24"/>
          <w:szCs w:val="24"/>
          <w:rtl w:val="0"/>
          <w:lang w:val="en-US"/>
        </w:rPr>
        <w:t>Pay in lieu of notice</w:t>
      </w:r>
    </w:p>
    <w:p>
      <w:pPr>
        <w:pStyle w:val="Body A A"/>
        <w:numPr>
          <w:ilvl w:val="0"/>
          <w:numId w:val="6"/>
        </w:numPr>
        <w:bidi w:val="0"/>
        <w:ind w:right="0"/>
        <w:jc w:val="left"/>
        <w:rPr>
          <w:rFonts w:ascii="Arial" w:hAnsi="Arial"/>
          <w:sz w:val="24"/>
          <w:szCs w:val="24"/>
          <w:rtl w:val="0"/>
          <w:lang w:val="en-US"/>
        </w:rPr>
      </w:pPr>
      <w:r>
        <w:rPr>
          <w:rFonts w:ascii="Arial" w:hAnsi="Arial"/>
          <w:sz w:val="24"/>
          <w:szCs w:val="24"/>
          <w:rtl w:val="0"/>
          <w:lang w:val="en-US"/>
        </w:rPr>
        <w:t>Holiday pay that he may have accrued during the notice period</w:t>
      </w:r>
    </w:p>
    <w:p>
      <w:pPr>
        <w:pStyle w:val="Body A A"/>
        <w:numPr>
          <w:ilvl w:val="0"/>
          <w:numId w:val="6"/>
        </w:numPr>
        <w:bidi w:val="0"/>
        <w:ind w:right="0"/>
        <w:jc w:val="left"/>
        <w:rPr>
          <w:rFonts w:ascii="Arial" w:hAnsi="Arial"/>
          <w:sz w:val="24"/>
          <w:szCs w:val="24"/>
          <w:rtl w:val="0"/>
          <w:lang w:val="en-US"/>
        </w:rPr>
      </w:pPr>
      <w:r>
        <w:rPr>
          <w:rFonts w:ascii="Arial" w:hAnsi="Arial"/>
          <w:sz w:val="24"/>
          <w:szCs w:val="24"/>
          <w:rtl w:val="0"/>
          <w:lang w:val="en-US"/>
        </w:rPr>
        <w:t>Any bonus payment Gethin may have received if he had continued an employee of Big Buses, together with any pension contributions (CIPD, 2020).</w:t>
      </w:r>
    </w:p>
    <w:p>
      <w:pPr>
        <w:pStyle w:val="Body A A"/>
        <w:rPr>
          <w:rFonts w:ascii="Arial" w:cs="Arial" w:hAnsi="Arial" w:eastAsia="Arial"/>
          <w:sz w:val="24"/>
          <w:szCs w:val="24"/>
        </w:rPr>
      </w:pPr>
      <w:r>
        <w:rPr>
          <w:rFonts w:ascii="Arial" w:hAnsi="Arial"/>
          <w:sz w:val="24"/>
          <w:szCs w:val="24"/>
          <w:rtl w:val="0"/>
          <w:lang w:val="en-US"/>
        </w:rPr>
        <w:t>Furthermore, Gethin wasn</w:t>
      </w:r>
      <w:r>
        <w:rPr>
          <w:rFonts w:ascii="Arial" w:hAnsi="Arial" w:hint="default"/>
          <w:sz w:val="24"/>
          <w:szCs w:val="24"/>
          <w:rtl w:val="0"/>
          <w:lang w:val="en-US"/>
        </w:rPr>
        <w:t>’</w:t>
      </w:r>
      <w:r>
        <w:rPr>
          <w:rFonts w:ascii="Arial" w:hAnsi="Arial"/>
          <w:sz w:val="24"/>
          <w:szCs w:val="24"/>
          <w:rtl w:val="0"/>
          <w:lang w:val="en-US"/>
        </w:rPr>
        <w:t>t provided with his statutory notice of one week for every year of service, to a maximum of 12-weeks duration (ACAS, 2021). Gethin has been employed with you from 2014-2020, therefore he is entitled to 6 weeks- notice unless his contract of employment said otherwise.</w:t>
      </w: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Defence for Wrongful Dismissal</w:t>
      </w:r>
    </w:p>
    <w:p>
      <w:pPr>
        <w:pStyle w:val="Body A A"/>
        <w:rPr>
          <w:rFonts w:ascii="Arial" w:cs="Arial" w:hAnsi="Arial" w:eastAsia="Arial"/>
          <w:sz w:val="24"/>
          <w:szCs w:val="24"/>
        </w:rPr>
      </w:pPr>
      <w:r>
        <w:rPr>
          <w:rFonts w:ascii="Arial" w:hAnsi="Arial"/>
          <w:sz w:val="24"/>
          <w:szCs w:val="24"/>
          <w:rtl w:val="0"/>
          <w:lang w:val="en-US"/>
        </w:rPr>
        <w:t xml:space="preserve">To defend wrongful dismissal, you must primarily prove that the gross misconduct dismissal was fair and conducted reasonably. If you can successfully prove this, this means Gethin will no longer have a valid claim for gross misconduct and your right to summarily dismiss as an employer will be upheld. </w:t>
      </w: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Associative Disability Discrimination Claim</w:t>
      </w:r>
    </w:p>
    <w:p>
      <w:pPr>
        <w:pStyle w:val="Body A A"/>
        <w:rPr>
          <w:rFonts w:ascii="Arial" w:cs="Arial" w:hAnsi="Arial" w:eastAsia="Arial"/>
          <w:sz w:val="24"/>
          <w:szCs w:val="24"/>
        </w:rPr>
      </w:pPr>
      <w:r>
        <w:rPr>
          <w:rFonts w:ascii="Arial" w:hAnsi="Arial"/>
          <w:sz w:val="24"/>
          <w:szCs w:val="24"/>
          <w:rtl w:val="0"/>
          <w:lang w:val="en-US"/>
        </w:rPr>
        <w:t>Gethin</w:t>
      </w:r>
      <w:r>
        <w:rPr>
          <w:rFonts w:ascii="Arial" w:hAnsi="Arial" w:hint="default"/>
          <w:sz w:val="24"/>
          <w:szCs w:val="24"/>
          <w:rtl w:val="0"/>
          <w:lang w:val="en-US"/>
        </w:rPr>
        <w:t>’</w:t>
      </w:r>
      <w:r>
        <w:rPr>
          <w:rFonts w:ascii="Arial" w:hAnsi="Arial"/>
          <w:sz w:val="24"/>
          <w:szCs w:val="24"/>
          <w:rtl w:val="0"/>
          <w:lang w:val="en-US"/>
        </w:rPr>
        <w:t>s mother is shielding and could potentially be disabled, therefore an associated disability discrimination claim could be presented here</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ExcludeAuth="1" ExcludeYear="1"&gt;&lt;Author&gt;&lt;/Author&gt;&lt;Year&gt;&lt;/Year&gt;&lt;Prefix&gt;&lt;/Prefix&gt;&lt;Suffix&gt;&lt;/Suffix&gt;&lt;Pages&gt;&lt;/Pages&gt;&lt;DisplayText&gt; (Stammeringlaw, 2019)&lt;/DisplayText&gt;&lt;record&gt;&lt;contributors&gt;&lt;authors/&gt;&lt;/contributors&gt;&lt;titles/&gt;&lt;periodical/&gt;&lt;dates&gt;&lt;year/&gt;&lt;pub-dates/&gt;&lt;/dates&gt;&lt;/record&gt;&lt;/Cite&gt;&lt;/EndNote&gt;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(Stammeringlaw, 2019)</w:t>
      </w:r>
      <w:r>
        <w:rPr>
          <w:rFonts w:ascii="Arial" w:cs="Arial" w:hAnsi="Arial" w:eastAsia="Arial"/>
          <w:sz w:val="24"/>
          <w:szCs w:val="24"/>
        </w:rPr>
        <w:fldChar w:fldCharType="end" w:fldLock="0"/>
      </w:r>
      <w:r>
        <w:rPr>
          <w:rFonts w:ascii="Arial" w:hAnsi="Arial"/>
          <w:sz w:val="24"/>
          <w:szCs w:val="24"/>
          <w:rtl w:val="0"/>
          <w:lang w:val="en-US"/>
        </w:rPr>
        <w:t>.  An example of a case where an employee was discriminated against because she had an association with a disabled person is the (</w:t>
      </w:r>
      <w:r>
        <w:rPr>
          <w:rFonts w:ascii="Arial" w:hAnsi="Arial" w:hint="default"/>
          <w:sz w:val="24"/>
          <w:szCs w:val="24"/>
          <w:rtl w:val="0"/>
          <w:lang w:val="en-US"/>
        </w:rPr>
        <w:t>‘</w:t>
      </w:r>
      <w:r>
        <w:rPr>
          <w:rFonts w:ascii="Arial" w:hAnsi="Arial"/>
          <w:i w:val="1"/>
          <w:iCs w:val="1"/>
          <w:sz w:val="24"/>
          <w:szCs w:val="24"/>
          <w:rtl w:val="0"/>
          <w:lang w:val="en-US"/>
        </w:rPr>
        <w:t>Coleman v Attridge Law and another,</w:t>
      </w:r>
      <w:r>
        <w:rPr>
          <w:rFonts w:ascii="Arial" w:hAnsi="Arial" w:hint="default"/>
          <w:i w:val="1"/>
          <w:iCs w:val="1"/>
          <w:sz w:val="24"/>
          <w:szCs w:val="24"/>
          <w:rtl w:val="0"/>
          <w:lang w:val="en-US"/>
        </w:rPr>
        <w:t xml:space="preserve">’ </w:t>
      </w:r>
      <w:r>
        <w:rPr>
          <w:rFonts w:ascii="Arial" w:hAnsi="Arial"/>
          <w:i w:val="1"/>
          <w:iCs w:val="1"/>
          <w:sz w:val="24"/>
          <w:szCs w:val="24"/>
          <w:rtl w:val="0"/>
          <w:lang w:val="en-US"/>
        </w:rPr>
        <w:t>2008</w:t>
      </w:r>
      <w:r>
        <w:rPr>
          <w:rFonts w:ascii="Arial" w:hAnsi="Arial"/>
          <w:sz w:val="24"/>
          <w:szCs w:val="24"/>
          <w:rtl w:val="0"/>
          <w:lang w:val="en-US"/>
        </w:rPr>
        <w:t xml:space="preserve">). In this case, the court found that the mother was discriminated against because she was the primary carer for her disabled son. </w:t>
      </w: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Unlawful deduction of wages Claim</w:t>
      </w:r>
    </w:p>
    <w:p>
      <w:pPr>
        <w:pStyle w:val="Body A A"/>
        <w:rPr>
          <w:rFonts w:ascii="Arial" w:cs="Arial" w:hAnsi="Arial" w:eastAsia="Arial"/>
          <w:sz w:val="24"/>
          <w:szCs w:val="24"/>
        </w:rPr>
      </w:pPr>
      <w:r>
        <w:rPr>
          <w:rFonts w:ascii="Arial" w:hAnsi="Arial"/>
          <w:sz w:val="24"/>
          <w:szCs w:val="24"/>
          <w:rtl w:val="0"/>
          <w:lang w:val="en-US"/>
        </w:rPr>
        <w:t>Immediately following the incident, Gethin was advised to take the rest of the day off.  Was this paid or unpaid leave? It is unlawful to deduct an employee</w:t>
      </w:r>
      <w:r>
        <w:rPr>
          <w:rFonts w:ascii="Arial" w:hAnsi="Arial" w:hint="default"/>
          <w:sz w:val="24"/>
          <w:szCs w:val="24"/>
          <w:rtl w:val="0"/>
          <w:lang w:val="en-US"/>
        </w:rPr>
        <w:t>’</w:t>
      </w:r>
      <w:r>
        <w:rPr>
          <w:rFonts w:ascii="Arial" w:hAnsi="Arial"/>
          <w:sz w:val="24"/>
          <w:szCs w:val="24"/>
          <w:rtl w:val="0"/>
          <w:lang w:val="en-US"/>
        </w:rPr>
        <w:t xml:space="preserve">s wages and it would have been advisable to suspend Gethin with pay, whilst the disciplinary investigation was taking place. Unless his employment contract states you can suspend without pay (Gov.uk. 2021).  As at this point, you will need to gather more info around this, as it could lead to a claim from Gethin (ACAS, 2021). </w:t>
      </w:r>
    </w:p>
    <w:p>
      <w:pPr>
        <w:pStyle w:val="Body A A"/>
        <w:rPr>
          <w:rFonts w:ascii="Arial" w:cs="Arial" w:hAnsi="Arial" w:eastAsia="Arial"/>
          <w:b w:val="1"/>
          <w:bCs w:val="1"/>
          <w:sz w:val="24"/>
          <w:szCs w:val="24"/>
        </w:rPr>
      </w:pPr>
      <w:r>
        <w:rPr>
          <w:rFonts w:ascii="Arial" w:hAnsi="Arial"/>
          <w:b w:val="1"/>
          <w:bCs w:val="1"/>
          <w:sz w:val="24"/>
          <w:szCs w:val="24"/>
          <w:rtl w:val="0"/>
          <w:lang w:val="en-US"/>
        </w:rPr>
        <w:t>Breach of Working Time Regulations</w:t>
      </w:r>
    </w:p>
    <w:p>
      <w:pPr>
        <w:pStyle w:val="Body A A"/>
        <w:rPr>
          <w:rFonts w:ascii="Arial" w:cs="Arial" w:hAnsi="Arial" w:eastAsia="Arial"/>
          <w:sz w:val="24"/>
          <w:szCs w:val="24"/>
        </w:rPr>
      </w:pPr>
      <w:r>
        <w:rPr>
          <w:rFonts w:ascii="Arial" w:hAnsi="Arial"/>
          <w:sz w:val="24"/>
          <w:szCs w:val="24"/>
          <w:rtl w:val="0"/>
          <w:lang w:val="en-US"/>
        </w:rPr>
        <w:t>You should always conduct a disciplinary procedure fairly and reasonably. Going through a disciplinary procedure can be stressful and in this case, Gethin has the stress of the forthcoming disciplinary meeting held over his annual leave, so he wasn</w:t>
      </w:r>
      <w:r>
        <w:rPr>
          <w:rFonts w:ascii="Arial" w:hAnsi="Arial" w:hint="default"/>
          <w:sz w:val="24"/>
          <w:szCs w:val="24"/>
          <w:rtl w:val="0"/>
          <w:lang w:val="en-US"/>
        </w:rPr>
        <w:t>’</w:t>
      </w:r>
      <w:r>
        <w:rPr>
          <w:rFonts w:ascii="Arial" w:hAnsi="Arial"/>
          <w:sz w:val="24"/>
          <w:szCs w:val="24"/>
          <w:rtl w:val="0"/>
          <w:lang w:val="en-US"/>
        </w:rPr>
        <w:t>t allowed sufficient time to rest. Gethin could claim that you are in breach of the (</w:t>
      </w:r>
      <w:r>
        <w:rPr>
          <w:rFonts w:ascii="Arial" w:hAnsi="Arial"/>
          <w:i w:val="1"/>
          <w:iCs w:val="1"/>
          <w:sz w:val="24"/>
          <w:szCs w:val="24"/>
          <w:rtl w:val="0"/>
          <w:lang w:val="en-US"/>
        </w:rPr>
        <w:t>Working Time Regulations Act 1998</w:t>
      </w:r>
      <w:r>
        <w:rPr>
          <w:rFonts w:ascii="Arial" w:hAnsi="Arial"/>
          <w:sz w:val="24"/>
          <w:szCs w:val="24"/>
          <w:rtl w:val="0"/>
          <w:lang w:val="en-US"/>
        </w:rPr>
        <w:t xml:space="preserve">). </w:t>
      </w:r>
    </w:p>
    <w:p>
      <w:pPr>
        <w:pStyle w:val="Body A A"/>
        <w:rPr>
          <w:rFonts w:ascii="Arial" w:cs="Arial" w:hAnsi="Arial" w:eastAsia="Arial"/>
          <w:sz w:val="24"/>
          <w:szCs w:val="24"/>
        </w:rPr>
      </w:pPr>
    </w:p>
    <w:p>
      <w:pPr>
        <w:pStyle w:val="Body A A"/>
        <w:rPr>
          <w:rFonts w:ascii="Arial" w:cs="Arial" w:hAnsi="Arial" w:eastAsia="Arial"/>
          <w:b w:val="1"/>
          <w:bCs w:val="1"/>
          <w:sz w:val="24"/>
          <w:szCs w:val="24"/>
        </w:rPr>
      </w:pPr>
      <w:r>
        <w:rPr>
          <w:rFonts w:ascii="Arial" w:hAnsi="Arial"/>
          <w:b w:val="1"/>
          <w:bCs w:val="1"/>
          <w:sz w:val="24"/>
          <w:szCs w:val="24"/>
          <w:rtl w:val="0"/>
          <w:lang w:val="en-US"/>
        </w:rPr>
        <w:t xml:space="preserve">The Strengths and Weaknesses </w:t>
      </w:r>
    </w:p>
    <w:p>
      <w:pPr>
        <w:pStyle w:val="Body A A"/>
        <w:rPr>
          <w:rFonts w:ascii="Arial" w:cs="Arial" w:hAnsi="Arial" w:eastAsia="Arial"/>
          <w:sz w:val="24"/>
          <w:szCs w:val="24"/>
        </w:rPr>
      </w:pPr>
      <w:r>
        <w:rPr>
          <w:rFonts w:ascii="Arial" w:hAnsi="Arial"/>
          <w:sz w:val="24"/>
          <w:szCs w:val="24"/>
          <w:rtl w:val="0"/>
          <w:lang w:val="en-US"/>
        </w:rPr>
        <w:t>Based on the available information, Gethin has worked for your company for 5 years and has only received one disciplinary for timekeeping. Gethin does not have a formal history of poor behaviour</w:t>
      </w:r>
      <w:r>
        <w:rPr>
          <w:rFonts w:ascii="Arial" w:hAnsi="Arial"/>
          <w:b w:val="1"/>
          <w:bCs w:val="1"/>
          <w:sz w:val="24"/>
          <w:szCs w:val="24"/>
          <w:rtl w:val="0"/>
          <w:lang w:val="en-US"/>
        </w:rPr>
        <w:t>.</w:t>
      </w:r>
      <w:r>
        <w:rPr>
          <w:rFonts w:ascii="Arial" w:hAnsi="Arial"/>
          <w:sz w:val="24"/>
          <w:szCs w:val="24"/>
          <w:rtl w:val="0"/>
          <w:lang w:val="en-US"/>
        </w:rPr>
        <w:t xml:space="preserve"> However, Steve voiced that he has spoken to Gethin several times regarding his conduct, but there is no verification of this on his record and nothing to support Steve</w:t>
      </w:r>
      <w:r>
        <w:rPr>
          <w:rFonts w:ascii="Arial" w:hAnsi="Arial" w:hint="default"/>
          <w:sz w:val="24"/>
          <w:szCs w:val="24"/>
          <w:rtl w:val="0"/>
          <w:lang w:val="en-US"/>
        </w:rPr>
        <w:t>’</w:t>
      </w:r>
      <w:r>
        <w:rPr>
          <w:rFonts w:ascii="Arial" w:hAnsi="Arial"/>
          <w:sz w:val="24"/>
          <w:szCs w:val="24"/>
          <w:rtl w:val="0"/>
          <w:lang w:val="en-US"/>
        </w:rPr>
        <w:t xml:space="preserve">s argument. </w:t>
      </w:r>
    </w:p>
    <w:p>
      <w:pPr>
        <w:pStyle w:val="Body A A"/>
        <w:rPr>
          <w:rFonts w:ascii="Arial" w:cs="Arial" w:hAnsi="Arial" w:eastAsia="Arial"/>
          <w:sz w:val="24"/>
          <w:szCs w:val="24"/>
        </w:rPr>
      </w:pPr>
      <w:r>
        <w:rPr>
          <w:rFonts w:ascii="Arial" w:hAnsi="Arial"/>
          <w:sz w:val="24"/>
          <w:szCs w:val="24"/>
          <w:rtl w:val="0"/>
          <w:lang w:val="en-US"/>
        </w:rPr>
        <w:t>The fact that a fair process has not been followed, in accordance with the ACAS code of practice on disciplinary and grievance (ACAS, 2015), is the most significant weakness for you as a company. The following failings occurred:</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Steve was an eye witness to the incident and therefore should not have been involved in the investigation</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The investigating officer should not have been Steve, but a different person who was not involved in the incident (Gov.uk, 2021)</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Gethin is not provided with a chance to see the witness statements before the disciplinary hearing and is not invited to be at an investigation hearing personally</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The disciplinary letter did not comply with the ACAS code for disciplinary and grievance</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 xml:space="preserve">Gethin states he was not allowed to defend himself or give his point of view in the meeting. </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 xml:space="preserve">Gethin was told to take the rest of the day off following the incident and not told what was happening next or suspended.  </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Gethin wasn</w:t>
      </w:r>
      <w:r>
        <w:rPr>
          <w:rFonts w:ascii="Arial" w:hAnsi="Arial" w:hint="default"/>
          <w:sz w:val="24"/>
          <w:szCs w:val="24"/>
          <w:rtl w:val="0"/>
          <w:lang w:val="en-US"/>
        </w:rPr>
        <w:t>’</w:t>
      </w:r>
      <w:r>
        <w:rPr>
          <w:rFonts w:ascii="Arial" w:hAnsi="Arial"/>
          <w:sz w:val="24"/>
          <w:szCs w:val="24"/>
          <w:rtl w:val="0"/>
          <w:lang w:val="en-US"/>
        </w:rPr>
        <w:t>t given meeting notes, after the disciplinary hearing</w:t>
      </w:r>
    </w:p>
    <w:p>
      <w:pPr>
        <w:pStyle w:val="Body A A"/>
        <w:numPr>
          <w:ilvl w:val="0"/>
          <w:numId w:val="8"/>
        </w:numPr>
        <w:bidi w:val="0"/>
        <w:ind w:right="0"/>
        <w:jc w:val="left"/>
        <w:rPr>
          <w:rFonts w:ascii="Arial" w:hAnsi="Arial"/>
          <w:sz w:val="24"/>
          <w:szCs w:val="24"/>
          <w:rtl w:val="0"/>
          <w:lang w:val="en-US"/>
        </w:rPr>
      </w:pPr>
      <w:r>
        <w:rPr>
          <w:rFonts w:ascii="Arial" w:hAnsi="Arial"/>
          <w:sz w:val="24"/>
          <w:szCs w:val="24"/>
          <w:rtl w:val="0"/>
          <w:lang w:val="en-US"/>
        </w:rPr>
        <w:t>Gethin was not provided with enough time to appeal.</w:t>
      </w:r>
    </w:p>
    <w:p>
      <w:pPr>
        <w:pStyle w:val="Body A A"/>
        <w:rPr>
          <w:rFonts w:ascii="Arial" w:cs="Arial" w:hAnsi="Arial" w:eastAsia="Arial"/>
          <w:sz w:val="24"/>
          <w:szCs w:val="24"/>
        </w:rPr>
      </w:pPr>
    </w:p>
    <w:p>
      <w:pPr>
        <w:pStyle w:val="Body A A"/>
        <w:rPr>
          <w:rFonts w:ascii="Arial" w:cs="Arial" w:hAnsi="Arial" w:eastAsia="Arial"/>
          <w:sz w:val="24"/>
          <w:szCs w:val="24"/>
        </w:rPr>
      </w:pPr>
      <w:r>
        <w:rPr>
          <w:rFonts w:ascii="Arial" w:hAnsi="Arial"/>
          <w:sz w:val="24"/>
          <w:szCs w:val="24"/>
          <w:rtl w:val="0"/>
          <w:lang w:val="en-US"/>
        </w:rPr>
        <w:t xml:space="preserve">Conversely, Gethin did push Robert to the floor, several eye witness saw this and there is no evidence that he was provoked. </w:t>
      </w:r>
    </w:p>
    <w:p>
      <w:pPr>
        <w:pStyle w:val="Body A A"/>
        <w:rPr>
          <w:rFonts w:ascii="Arial" w:cs="Arial" w:hAnsi="Arial" w:eastAsia="Arial"/>
          <w:b w:val="1"/>
          <w:bCs w:val="1"/>
          <w:sz w:val="24"/>
          <w:szCs w:val="24"/>
        </w:rPr>
      </w:pPr>
      <w:r>
        <w:rPr>
          <w:rFonts w:ascii="Arial" w:hAnsi="Arial"/>
          <w:b w:val="1"/>
          <w:bCs w:val="1"/>
          <w:sz w:val="24"/>
          <w:szCs w:val="24"/>
          <w:rtl w:val="0"/>
          <w:lang w:val="en-US"/>
        </w:rPr>
        <w:t>Remedies</w:t>
      </w:r>
    </w:p>
    <w:p>
      <w:pPr>
        <w:pStyle w:val="Body A A"/>
        <w:rPr>
          <w:rFonts w:ascii="Arial" w:cs="Arial" w:hAnsi="Arial" w:eastAsia="Arial"/>
          <w:b w:val="1"/>
          <w:bCs w:val="1"/>
          <w:sz w:val="24"/>
          <w:szCs w:val="24"/>
        </w:rPr>
      </w:pPr>
      <w:r>
        <w:rPr>
          <w:rFonts w:ascii="Arial" w:hAnsi="Arial"/>
          <w:b w:val="1"/>
          <w:bCs w:val="1"/>
          <w:sz w:val="24"/>
          <w:szCs w:val="24"/>
          <w:rtl w:val="0"/>
          <w:lang w:val="en-US"/>
        </w:rPr>
        <w:t xml:space="preserve"> </w:t>
      </w:r>
    </w:p>
    <w:p>
      <w:pPr>
        <w:pStyle w:val="Body A A"/>
        <w:rPr>
          <w:rFonts w:ascii="Arial" w:cs="Arial" w:hAnsi="Arial" w:eastAsia="Arial"/>
          <w:sz w:val="24"/>
          <w:szCs w:val="24"/>
        </w:rPr>
      </w:pPr>
      <w:r>
        <w:rPr>
          <w:rFonts w:ascii="Arial" w:hAnsi="Arial"/>
          <w:sz w:val="24"/>
          <w:szCs w:val="24"/>
          <w:rtl w:val="0"/>
          <w:lang w:val="en-US"/>
        </w:rPr>
        <w:t>An Employment Tribunal may decide to (CAB, 2021):</w:t>
      </w:r>
    </w:p>
    <w:p>
      <w:pPr>
        <w:pStyle w:val="List Paragraph"/>
        <w:numPr>
          <w:ilvl w:val="0"/>
          <w:numId w:val="10"/>
        </w:numPr>
        <w:bidi w:val="0"/>
        <w:ind w:right="0"/>
        <w:jc w:val="left"/>
        <w:rPr>
          <w:rFonts w:ascii="Arial" w:hAnsi="Arial"/>
          <w:sz w:val="24"/>
          <w:szCs w:val="24"/>
          <w:rtl w:val="0"/>
          <w:lang w:val="en-US"/>
        </w:rPr>
      </w:pPr>
      <w:r>
        <w:rPr>
          <w:rFonts w:ascii="Arial" w:hAnsi="Arial"/>
          <w:sz w:val="24"/>
          <w:szCs w:val="24"/>
          <w:rtl w:val="0"/>
          <w:lang w:val="en-US"/>
        </w:rPr>
        <w:t xml:space="preserve"> Reinstate Gethin</w:t>
      </w:r>
      <w:r>
        <w:rPr>
          <w:rFonts w:ascii="Arial" w:hAnsi="Arial" w:hint="default"/>
          <w:sz w:val="24"/>
          <w:szCs w:val="24"/>
          <w:rtl w:val="0"/>
          <w:lang w:val="en-US"/>
        </w:rPr>
        <w:t>’</w:t>
      </w:r>
      <w:r>
        <w:rPr>
          <w:rFonts w:ascii="Arial" w:hAnsi="Arial"/>
          <w:sz w:val="24"/>
          <w:szCs w:val="24"/>
          <w:rtl w:val="0"/>
          <w:lang w:val="en-US"/>
        </w:rPr>
        <w:t>s old job (Gethin has ticked this to be considered by the court)</w:t>
      </w:r>
    </w:p>
    <w:p>
      <w:pPr>
        <w:pStyle w:val="List Paragraph"/>
        <w:numPr>
          <w:ilvl w:val="0"/>
          <w:numId w:val="10"/>
        </w:numPr>
        <w:bidi w:val="0"/>
        <w:ind w:right="0"/>
        <w:jc w:val="left"/>
        <w:rPr>
          <w:rFonts w:ascii="Arial" w:hAnsi="Arial"/>
          <w:sz w:val="24"/>
          <w:szCs w:val="24"/>
          <w:rtl w:val="0"/>
          <w:lang w:val="en-US"/>
        </w:rPr>
      </w:pPr>
      <w:r>
        <w:rPr>
          <w:rFonts w:ascii="Arial" w:hAnsi="Arial"/>
          <w:sz w:val="24"/>
          <w:szCs w:val="24"/>
          <w:rtl w:val="0"/>
          <w:lang w:val="en-US"/>
        </w:rPr>
        <w:t xml:space="preserve"> To reengage Gethin in a different job within your company</w:t>
      </w:r>
    </w:p>
    <w:p>
      <w:pPr>
        <w:pStyle w:val="List Paragraph"/>
        <w:numPr>
          <w:ilvl w:val="0"/>
          <w:numId w:val="10"/>
        </w:numPr>
        <w:bidi w:val="0"/>
        <w:ind w:right="0"/>
        <w:jc w:val="left"/>
        <w:rPr>
          <w:rFonts w:ascii="Arial" w:hAnsi="Arial"/>
          <w:sz w:val="24"/>
          <w:szCs w:val="24"/>
          <w:rtl w:val="0"/>
          <w:lang w:val="en-US"/>
        </w:rPr>
      </w:pPr>
      <w:r>
        <w:rPr>
          <w:rFonts w:ascii="Arial" w:hAnsi="Arial"/>
          <w:sz w:val="24"/>
          <w:szCs w:val="24"/>
          <w:rtl w:val="0"/>
          <w:lang w:val="en-US"/>
        </w:rPr>
        <w:t xml:space="preserve"> To pay Gethin compensation (Gethin has also ticked this to be considered by the court).</w:t>
      </w:r>
    </w:p>
    <w:p>
      <w:pPr>
        <w:pStyle w:val="List Paragraph"/>
        <w:rPr>
          <w:rFonts w:ascii="Arial" w:cs="Arial" w:hAnsi="Arial" w:eastAsia="Arial"/>
          <w:sz w:val="24"/>
          <w:szCs w:val="24"/>
        </w:rPr>
      </w:pPr>
    </w:p>
    <w:p>
      <w:pPr>
        <w:pStyle w:val="Body A"/>
        <w:rPr>
          <w:rFonts w:ascii="Arial" w:cs="Arial" w:hAnsi="Arial" w:eastAsia="Arial"/>
          <w:b w:val="1"/>
          <w:bCs w:val="1"/>
          <w:sz w:val="24"/>
          <w:szCs w:val="24"/>
          <w:lang w:val="de-DE"/>
        </w:rPr>
      </w:pPr>
      <w:r>
        <w:rPr>
          <w:rFonts w:ascii="Arial" w:hAnsi="Arial"/>
          <w:b w:val="1"/>
          <w:bCs w:val="1"/>
          <w:sz w:val="24"/>
          <w:szCs w:val="24"/>
          <w:rtl w:val="0"/>
          <w:lang w:val="de-DE"/>
        </w:rPr>
        <w:t>Reinstatement</w:t>
      </w:r>
    </w:p>
    <w:p>
      <w:pPr>
        <w:pStyle w:val="Body A"/>
        <w:rPr>
          <w:rFonts w:ascii="Arial" w:cs="Arial" w:hAnsi="Arial" w:eastAsia="Arial"/>
          <w:sz w:val="24"/>
          <w:szCs w:val="24"/>
        </w:rPr>
      </w:pPr>
      <w:r>
        <w:rPr>
          <w:rFonts w:ascii="Arial" w:hAnsi="Arial"/>
          <w:sz w:val="24"/>
          <w:szCs w:val="24"/>
          <w:rtl w:val="0"/>
          <w:lang w:val="en-US"/>
        </w:rPr>
        <w:t>Although Gethin has requested reinstatement, the ET will take into account whether the employment relationship has broken down irretrievably, as per section 116 of the (</w:t>
      </w:r>
      <w:r>
        <w:rPr>
          <w:rFonts w:ascii="Arial" w:hAnsi="Arial"/>
          <w:i w:val="1"/>
          <w:iCs w:val="1"/>
          <w:sz w:val="24"/>
          <w:szCs w:val="24"/>
          <w:rtl w:val="0"/>
          <w:lang w:val="en-US"/>
        </w:rPr>
        <w:t>Employment Rights Act, 1996</w:t>
      </w:r>
      <w:r>
        <w:rPr>
          <w:rFonts w:ascii="Arial" w:hAnsi="Arial"/>
          <w:sz w:val="24"/>
          <w:szCs w:val="24"/>
          <w:rtl w:val="0"/>
          <w:lang w:val="en-US"/>
        </w:rPr>
        <w:t>). In this case, the relationship appears to have broken down completely. The ET will also look at whether Gethin has found another job. Both reinstating and re</w:t>
      </w:r>
      <w:r>
        <w:rPr>
          <w:rFonts w:ascii="Arial" w:hAnsi="Arial"/>
          <w:sz w:val="24"/>
          <w:szCs w:val="24"/>
          <w:rtl w:val="0"/>
          <w:lang w:val="fr-FR"/>
        </w:rPr>
        <w:t>-engagement</w:t>
      </w:r>
      <w:r>
        <w:rPr>
          <w:rFonts w:ascii="Arial" w:hAnsi="Arial"/>
          <w:sz w:val="24"/>
          <w:szCs w:val="24"/>
          <w:rtl w:val="0"/>
          <w:lang w:val="en-US"/>
        </w:rPr>
        <w:t xml:space="preserve"> would be unlikely in this circumstance, in an organisation the size of Big Buses, as Gethin would be working alongside the same colleagues and supervisor (Lewis &amp; Segeant, 2020). An example of reinstating someone in a large organisation was the (</w:t>
      </w:r>
      <w:r>
        <w:rPr>
          <w:rFonts w:ascii="Arial" w:hAnsi="Arial" w:hint="default"/>
          <w:sz w:val="24"/>
          <w:szCs w:val="24"/>
          <w:rtl w:val="0"/>
          <w:lang w:val="en-US"/>
        </w:rPr>
        <w:t>‘</w:t>
      </w:r>
      <w:r>
        <w:rPr>
          <w:rFonts w:ascii="Arial" w:hAnsi="Arial"/>
          <w:sz w:val="24"/>
          <w:szCs w:val="24"/>
          <w:rtl w:val="0"/>
          <w:lang w:val="en-US"/>
        </w:rPr>
        <w:t>Mcbride v Scottish Police Authority</w:t>
      </w:r>
      <w:r>
        <w:rPr>
          <w:rFonts w:ascii="Arial" w:hAnsi="Arial" w:hint="default"/>
          <w:sz w:val="24"/>
          <w:szCs w:val="24"/>
          <w:rtl w:val="0"/>
          <w:lang w:val="en-US"/>
        </w:rPr>
        <w:t>’</w:t>
      </w:r>
      <w:r>
        <w:rPr>
          <w:rFonts w:ascii="Arial" w:hAnsi="Arial"/>
          <w:sz w:val="24"/>
          <w:szCs w:val="24"/>
          <w:rtl w:val="0"/>
          <w:lang w:val="fr-FR"/>
        </w:rPr>
        <w:t>, 2016), Mcbride</w:t>
      </w:r>
      <w:r>
        <w:rPr>
          <w:rFonts w:ascii="Arial" w:hAnsi="Arial"/>
          <w:sz w:val="24"/>
          <w:szCs w:val="24"/>
          <w:rtl w:val="0"/>
          <w:lang w:val="en-US"/>
        </w:rPr>
        <w:t xml:space="preserve"> successfully won an unfair dismissal claim and the ET ruled reinstating to a different police force (CIPD, 2021). </w:t>
      </w:r>
    </w:p>
    <w:p>
      <w:pPr>
        <w:pStyle w:val="Body A"/>
        <w:rPr>
          <w:rFonts w:ascii="Arial" w:cs="Arial" w:hAnsi="Arial" w:eastAsia="Arial"/>
          <w:sz w:val="24"/>
          <w:szCs w:val="24"/>
        </w:rPr>
      </w:pPr>
    </w:p>
    <w:p>
      <w:pPr>
        <w:pStyle w:val="Body A"/>
        <w:rPr>
          <w:rFonts w:ascii="Arial" w:cs="Arial" w:hAnsi="Arial" w:eastAsia="Arial"/>
          <w:b w:val="1"/>
          <w:bCs w:val="1"/>
          <w:sz w:val="24"/>
          <w:szCs w:val="24"/>
          <w:lang w:val="en-US"/>
        </w:rPr>
      </w:pPr>
      <w:r>
        <w:rPr>
          <w:rFonts w:ascii="Arial" w:hAnsi="Arial"/>
          <w:b w:val="1"/>
          <w:bCs w:val="1"/>
          <w:sz w:val="24"/>
          <w:szCs w:val="24"/>
          <w:rtl w:val="0"/>
          <w:lang w:val="en-US"/>
        </w:rPr>
        <w:t>Compensation</w:t>
      </w:r>
    </w:p>
    <w:p>
      <w:pPr>
        <w:pStyle w:val="Body A"/>
        <w:rPr>
          <w:rFonts w:ascii="Arial" w:cs="Arial" w:hAnsi="Arial" w:eastAsia="Arial"/>
          <w:sz w:val="24"/>
          <w:szCs w:val="24"/>
        </w:rPr>
      </w:pPr>
      <w:r>
        <w:rPr>
          <w:rFonts w:ascii="Arial" w:hAnsi="Arial"/>
          <w:sz w:val="24"/>
          <w:szCs w:val="24"/>
          <w:rtl w:val="0"/>
          <w:lang w:val="en-US"/>
        </w:rPr>
        <w:t>Taking the above factors into consideration, it is likely that Gethin will be awarded compensation. Compensation is calculated using Gethin</w:t>
      </w:r>
      <w:r>
        <w:rPr>
          <w:rFonts w:ascii="Arial" w:hAnsi="Arial" w:hint="default"/>
          <w:sz w:val="24"/>
          <w:szCs w:val="24"/>
          <w:rtl w:val="0"/>
          <w:lang w:val="en-US"/>
        </w:rPr>
        <w:t>’</w:t>
      </w:r>
      <w:r>
        <w:rPr>
          <w:rFonts w:ascii="Arial" w:hAnsi="Arial"/>
          <w:sz w:val="24"/>
          <w:szCs w:val="24"/>
          <w:rtl w:val="0"/>
          <w:lang w:val="en-US"/>
        </w:rPr>
        <w:t>s basic salary, multiplying it by his number of years</w:t>
      </w:r>
      <w:r>
        <w:rPr>
          <w:rFonts w:ascii="Arial" w:hAnsi="Arial" w:hint="default"/>
          <w:sz w:val="24"/>
          <w:szCs w:val="24"/>
          <w:rtl w:val="0"/>
          <w:lang w:val="en-US"/>
        </w:rPr>
        <w:t xml:space="preserve">’ </w:t>
      </w:r>
      <w:r>
        <w:rPr>
          <w:rFonts w:ascii="Arial" w:hAnsi="Arial"/>
          <w:sz w:val="24"/>
          <w:szCs w:val="24"/>
          <w:rtl w:val="0"/>
          <w:lang w:val="en-US"/>
        </w:rPr>
        <w:t>service (CAB, 2021). Gethin was employed with you for 6 years. Gethin was over the age of 22 when he commenced employment and was dismissed at 30 years. Therefore, his basic compensation award is Gethin</w:t>
      </w:r>
      <w:r>
        <w:rPr>
          <w:rFonts w:ascii="Arial" w:hAnsi="Arial" w:hint="default"/>
          <w:sz w:val="24"/>
          <w:szCs w:val="24"/>
          <w:rtl w:val="0"/>
          <w:lang w:val="en-US"/>
        </w:rPr>
        <w:t>’</w:t>
      </w:r>
      <w:r>
        <w:rPr>
          <w:rFonts w:ascii="Arial" w:hAnsi="Arial"/>
          <w:sz w:val="24"/>
          <w:szCs w:val="24"/>
          <w:rtl w:val="0"/>
          <w:lang w:val="en-US"/>
        </w:rPr>
        <w:t>s length of service multiplied by one week</w:t>
      </w:r>
      <w:r>
        <w:rPr>
          <w:rFonts w:ascii="Arial" w:hAnsi="Arial" w:hint="default"/>
          <w:sz w:val="24"/>
          <w:szCs w:val="24"/>
          <w:rtl w:val="0"/>
          <w:lang w:val="en-US"/>
        </w:rPr>
        <w:t>’</w:t>
      </w:r>
      <w:r>
        <w:rPr>
          <w:rFonts w:ascii="Arial" w:hAnsi="Arial"/>
          <w:sz w:val="24"/>
          <w:szCs w:val="24"/>
          <w:rtl w:val="0"/>
          <w:lang w:val="en-US"/>
        </w:rPr>
        <w:t>s salary (</w:t>
      </w:r>
      <w:r>
        <w:rPr>
          <w:rFonts w:ascii="Arial" w:hAnsi="Arial"/>
          <w:i w:val="1"/>
          <w:iCs w:val="1"/>
          <w:sz w:val="24"/>
          <w:szCs w:val="24"/>
          <w:rtl w:val="0"/>
          <w:lang w:val="en-US"/>
        </w:rPr>
        <w:t xml:space="preserve">The Employment Rights </w:t>
      </w:r>
      <w:r>
        <w:rPr>
          <w:rFonts w:ascii="Arial" w:hAnsi="Arial"/>
          <w:sz w:val="24"/>
          <w:szCs w:val="24"/>
          <w:rtl w:val="0"/>
          <w:lang w:val="fr-FR"/>
        </w:rPr>
        <w:t>(Increase</w:t>
      </w:r>
      <w:r>
        <w:rPr>
          <w:rFonts w:ascii="Arial" w:hAnsi="Arial"/>
          <w:i w:val="1"/>
          <w:iCs w:val="1"/>
          <w:sz w:val="24"/>
          <w:szCs w:val="24"/>
          <w:rtl w:val="0"/>
          <w:lang w:val="en-US"/>
        </w:rPr>
        <w:t xml:space="preserve"> of Limits</w:t>
      </w:r>
      <w:r>
        <w:rPr>
          <w:rFonts w:ascii="Arial" w:hAnsi="Arial"/>
          <w:sz w:val="24"/>
          <w:szCs w:val="24"/>
          <w:rtl w:val="0"/>
          <w:lang w:val="fr-FR"/>
        </w:rPr>
        <w:t xml:space="preserve">) </w:t>
      </w:r>
      <w:r>
        <w:rPr>
          <w:rFonts w:ascii="Arial" w:hAnsi="Arial"/>
          <w:i w:val="1"/>
          <w:iCs w:val="1"/>
          <w:sz w:val="24"/>
          <w:szCs w:val="24"/>
          <w:rtl w:val="0"/>
          <w:lang w:val="fr-FR"/>
        </w:rPr>
        <w:t>Order 2020</w:t>
      </w:r>
      <w:r>
        <w:rPr>
          <w:rFonts w:ascii="Arial" w:hAnsi="Arial"/>
          <w:b w:val="1"/>
          <w:bCs w:val="1"/>
          <w:sz w:val="24"/>
          <w:szCs w:val="24"/>
          <w:rtl w:val="0"/>
          <w:lang w:val="fr-FR"/>
        </w:rPr>
        <w:t>)</w:t>
      </w:r>
      <w:r>
        <w:rPr>
          <w:rFonts w:ascii="Arial" w:hAnsi="Arial"/>
          <w:sz w:val="24"/>
          <w:szCs w:val="24"/>
          <w:rtl w:val="0"/>
          <w:lang w:val="fr-FR"/>
        </w:rPr>
        <w:t xml:space="preserve">.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fr-FR"/>
        </w:rPr>
        <w:t xml:space="preserve">                       Basic Award = 6 x 1 (26000/52=</w:t>
      </w:r>
      <w:r>
        <w:rPr>
          <w:rFonts w:ascii="Arial" w:hAnsi="Arial" w:hint="default"/>
          <w:sz w:val="24"/>
          <w:szCs w:val="24"/>
          <w:rtl w:val="0"/>
          <w:lang w:val="en-US"/>
        </w:rPr>
        <w:t>£</w:t>
      </w:r>
      <w:r>
        <w:rPr>
          <w:rFonts w:ascii="Arial" w:hAnsi="Arial"/>
          <w:sz w:val="24"/>
          <w:szCs w:val="24"/>
          <w:rtl w:val="0"/>
          <w:lang w:val="fr-FR"/>
        </w:rPr>
        <w:t>500</w:t>
      </w:r>
      <w:r>
        <w:rPr>
          <w:rFonts w:ascii="Arial" w:cs="Arial" w:hAnsi="Arial" w:eastAsia="Arial"/>
          <w:sz w:val="24"/>
          <w:szCs w:val="24"/>
          <w:lang w:val="fr-FR"/>
        </w:rPr>
        <w:fldChar w:fldCharType="begin" w:fldLock="0"/>
      </w:r>
      <w:r>
        <w:rPr>
          <w:rFonts w:ascii="Arial" w:cs="Arial" w:hAnsi="Arial" w:eastAsia="Arial"/>
          <w:sz w:val="24"/>
          <w:szCs w:val="24"/>
          <w:lang w:val="fr-FR"/>
        </w:rPr>
        <w:instrText xml:space="preserve"> ADDIN EN.CITE &lt;EndNote&gt;&lt;Cite ExcludeAuth="1" ExcludeYear="1"&gt;&lt;Author&gt;&lt;/Author&gt;&lt;Year&gt;&lt;/Year&gt;&lt;Prefix&gt;&lt;/Prefix&gt;&lt;Suffix&gt;&lt;/Suffix&gt;&lt;Pages&gt;&lt;/Pages&gt;&lt;DisplayText&gt; (ACAS, 2015)&lt;/DisplayText&gt;&lt;record&gt;&lt;contributors&gt;&lt;authors/&gt;&lt;/contributors&gt;&lt;titles/&gt;&lt;periodical/&gt;&lt;dates&gt;&lt;year/&gt;&lt;pub-dates/&gt;&lt;/dates&gt;&lt;/record&gt;&lt;/Cite&gt;&lt;/EndNote&gt;</w:instrText>
      </w:r>
      <w:r>
        <w:rPr>
          <w:rFonts w:ascii="Arial" w:cs="Arial" w:hAnsi="Arial" w:eastAsia="Arial"/>
          <w:sz w:val="24"/>
          <w:szCs w:val="24"/>
          <w:lang w:val="fr-FR"/>
        </w:rPr>
        <w:fldChar w:fldCharType="separate" w:fldLock="0"/>
      </w:r>
      <w:r>
        <w:rPr>
          <w:rFonts w:ascii="Arial" w:hAnsi="Arial"/>
          <w:sz w:val="24"/>
          <w:szCs w:val="24"/>
          <w:rtl w:val="0"/>
          <w:lang w:val="fr-FR"/>
        </w:rPr>
        <w:t xml:space="preserve"> (ACAS, 2015)</w:t>
      </w:r>
      <w:r>
        <w:rPr>
          <w:rFonts w:ascii="Arial" w:cs="Arial" w:hAnsi="Arial" w:eastAsia="Arial"/>
          <w:sz w:val="24"/>
          <w:szCs w:val="24"/>
          <w:lang w:val="fr-FR"/>
        </w:rPr>
        <w:fldChar w:fldCharType="end" w:fldLock="0"/>
      </w:r>
    </w:p>
    <w:p>
      <w:pPr>
        <w:pStyle w:val="Body A"/>
        <w:rPr>
          <w:rFonts w:ascii="Arial" w:cs="Arial" w:hAnsi="Arial" w:eastAsia="Arial"/>
          <w:sz w:val="24"/>
          <w:szCs w:val="24"/>
        </w:rPr>
      </w:pPr>
      <w:r>
        <w:rPr>
          <w:rFonts w:ascii="Arial" w:hAnsi="Arial"/>
          <w:sz w:val="24"/>
          <w:szCs w:val="24"/>
          <w:rtl w:val="0"/>
          <w:lang w:val="fr-FR"/>
        </w:rPr>
        <w:t xml:space="preserve">                                  Basic Award = </w:t>
      </w:r>
      <w:r>
        <w:rPr>
          <w:rFonts w:ascii="Arial" w:hAnsi="Arial" w:hint="default"/>
          <w:sz w:val="24"/>
          <w:szCs w:val="24"/>
          <w:rtl w:val="0"/>
          <w:lang w:val="en-US"/>
        </w:rPr>
        <w:t>£</w:t>
      </w:r>
      <w:r>
        <w:rPr>
          <w:rFonts w:ascii="Arial" w:hAnsi="Arial"/>
          <w:sz w:val="24"/>
          <w:szCs w:val="24"/>
          <w:rtl w:val="0"/>
          <w:lang w:val="fr-FR"/>
        </w:rPr>
        <w:t>3,000</w:t>
      </w:r>
    </w:p>
    <w:p>
      <w:pPr>
        <w:pStyle w:val="Body A"/>
        <w:rPr>
          <w:rFonts w:ascii="Arial" w:cs="Arial" w:hAnsi="Arial" w:eastAsia="Arial"/>
          <w:sz w:val="24"/>
          <w:szCs w:val="24"/>
        </w:rPr>
      </w:pPr>
    </w:p>
    <w:p>
      <w:pPr>
        <w:pStyle w:val="Body A"/>
        <w:rPr>
          <w:rFonts w:ascii="Arial" w:cs="Arial" w:hAnsi="Arial" w:eastAsia="Arial"/>
          <w:b w:val="1"/>
          <w:bCs w:val="1"/>
          <w:sz w:val="24"/>
          <w:szCs w:val="24"/>
          <w:lang w:val="en-US"/>
        </w:rPr>
      </w:pPr>
      <w:r>
        <w:rPr>
          <w:rFonts w:ascii="Arial" w:hAnsi="Arial"/>
          <w:b w:val="1"/>
          <w:bCs w:val="1"/>
          <w:sz w:val="24"/>
          <w:szCs w:val="24"/>
          <w:rtl w:val="0"/>
          <w:lang w:val="en-US"/>
        </w:rPr>
        <w:t xml:space="preserve">Compensatory Award </w:t>
      </w:r>
    </w:p>
    <w:p>
      <w:pPr>
        <w:pStyle w:val="Body A"/>
        <w:rPr>
          <w:rFonts w:ascii="Arial" w:cs="Arial" w:hAnsi="Arial" w:eastAsia="Arial"/>
          <w:sz w:val="24"/>
          <w:szCs w:val="24"/>
        </w:rPr>
      </w:pPr>
      <w:r>
        <w:rPr>
          <w:rFonts w:ascii="Arial" w:hAnsi="Arial"/>
          <w:sz w:val="24"/>
          <w:szCs w:val="24"/>
          <w:rtl w:val="0"/>
          <w:lang w:val="en-US"/>
        </w:rPr>
        <w:t xml:space="preserve">The compensatory </w:t>
      </w:r>
      <w:r>
        <w:rPr>
          <w:rFonts w:ascii="Arial" w:hAnsi="Arial"/>
          <w:sz w:val="24"/>
          <w:szCs w:val="24"/>
          <w:rtl w:val="0"/>
          <w:lang w:val="fr-FR"/>
        </w:rPr>
        <w:t>award</w:t>
      </w:r>
      <w:r>
        <w:rPr>
          <w:rFonts w:ascii="Arial" w:hAnsi="Arial"/>
          <w:sz w:val="24"/>
          <w:szCs w:val="24"/>
          <w:rtl w:val="0"/>
          <w:lang w:val="en-US"/>
        </w:rPr>
        <w:t xml:space="preserve"> is calculated by taking into account the loss of earnings from the date of Gethin</w:t>
      </w:r>
      <w:r>
        <w:rPr>
          <w:rFonts w:ascii="Arial" w:hAnsi="Arial" w:hint="default"/>
          <w:sz w:val="24"/>
          <w:szCs w:val="24"/>
          <w:rtl w:val="0"/>
          <w:lang w:val="en-US"/>
        </w:rPr>
        <w:t>’</w:t>
      </w:r>
      <w:r>
        <w:rPr>
          <w:rFonts w:ascii="Arial" w:hAnsi="Arial"/>
          <w:sz w:val="24"/>
          <w:szCs w:val="24"/>
          <w:rtl w:val="0"/>
          <w:lang w:val="en-US"/>
        </w:rPr>
        <w:t xml:space="preserve">s dismissal, to the tribunal date, with thought given to </w:t>
      </w:r>
      <w:r>
        <w:rPr>
          <w:rFonts w:ascii="Arial" w:hAnsi="Arial"/>
          <w:sz w:val="24"/>
          <w:szCs w:val="24"/>
          <w:rtl w:val="0"/>
          <w:lang w:val="fr-FR"/>
        </w:rPr>
        <w:t xml:space="preserve">the </w:t>
      </w:r>
      <w:r>
        <w:rPr>
          <w:rFonts w:ascii="Arial" w:hAnsi="Arial"/>
          <w:sz w:val="24"/>
          <w:szCs w:val="24"/>
          <w:rtl w:val="0"/>
          <w:lang w:val="en-US"/>
        </w:rPr>
        <w:t>additional subsequent loss of earnings (CAB, 2021).  The award will take into account Gethin</w:t>
      </w:r>
      <w:r>
        <w:rPr>
          <w:rFonts w:ascii="Arial" w:hAnsi="Arial" w:hint="default"/>
          <w:sz w:val="24"/>
          <w:szCs w:val="24"/>
          <w:rtl w:val="0"/>
          <w:lang w:val="en-US"/>
        </w:rPr>
        <w:t>’</w:t>
      </w:r>
      <w:r>
        <w:rPr>
          <w:rFonts w:ascii="Arial" w:hAnsi="Arial"/>
          <w:sz w:val="24"/>
          <w:szCs w:val="24"/>
          <w:rtl w:val="0"/>
          <w:lang w:val="en-US"/>
        </w:rPr>
        <w:t xml:space="preserve">s age and income he has received from new employment he may have sought, after leaving Big Buses. The Tribunal expects Gethin to have mitigated </w:t>
      </w:r>
      <w:r>
        <w:rPr>
          <w:rFonts w:ascii="Arial" w:hAnsi="Arial"/>
          <w:sz w:val="24"/>
          <w:szCs w:val="24"/>
          <w:rtl w:val="0"/>
          <w:lang w:val="fr-FR"/>
        </w:rPr>
        <w:t>the losses</w:t>
      </w:r>
      <w:r>
        <w:rPr>
          <w:rFonts w:ascii="Arial" w:hAnsi="Arial"/>
          <w:sz w:val="24"/>
          <w:szCs w:val="24"/>
          <w:rtl w:val="0"/>
          <w:lang w:val="en-US"/>
        </w:rPr>
        <w:t xml:space="preserve"> and prove that he has sought alternative employment. In this instance, the difference between the salary he received with yourselves and his new employer, if applicable, is calculated.</w:t>
      </w:r>
    </w:p>
    <w:p>
      <w:pPr>
        <w:pStyle w:val="Body A"/>
        <w:rPr>
          <w:rFonts w:ascii="Arial" w:cs="Arial" w:hAnsi="Arial" w:eastAsia="Arial"/>
          <w:b w:val="1"/>
          <w:bCs w:val="1"/>
          <w:sz w:val="24"/>
          <w:szCs w:val="24"/>
          <w:lang w:val="en-US"/>
        </w:rPr>
      </w:pPr>
      <w:r>
        <w:rPr>
          <w:rFonts w:ascii="Arial" w:hAnsi="Arial"/>
          <w:b w:val="1"/>
          <w:bCs w:val="1"/>
          <w:sz w:val="24"/>
          <w:szCs w:val="24"/>
          <w:rtl w:val="0"/>
          <w:lang w:val="en-US"/>
        </w:rPr>
        <w:t>Maximum Compensatory Award Amount</w:t>
      </w:r>
    </w:p>
    <w:p>
      <w:pPr>
        <w:pStyle w:val="Body A"/>
        <w:rPr>
          <w:rFonts w:ascii="Arial" w:cs="Arial" w:hAnsi="Arial" w:eastAsia="Arial"/>
          <w:sz w:val="24"/>
          <w:szCs w:val="24"/>
        </w:rPr>
      </w:pPr>
      <w:r>
        <w:rPr>
          <w:rFonts w:ascii="Arial" w:hAnsi="Arial"/>
          <w:sz w:val="24"/>
          <w:szCs w:val="24"/>
          <w:rtl w:val="0"/>
          <w:lang w:val="en-US"/>
        </w:rPr>
        <w:t>Gethin will be entitled to either one year</w:t>
      </w:r>
      <w:r>
        <w:rPr>
          <w:rFonts w:ascii="Arial" w:hAnsi="Arial" w:hint="default"/>
          <w:sz w:val="24"/>
          <w:szCs w:val="24"/>
          <w:rtl w:val="0"/>
          <w:lang w:val="en-US"/>
        </w:rPr>
        <w:t>’</w:t>
      </w:r>
      <w:r>
        <w:rPr>
          <w:rFonts w:ascii="Arial" w:hAnsi="Arial"/>
          <w:sz w:val="24"/>
          <w:szCs w:val="24"/>
          <w:rtl w:val="0"/>
          <w:lang w:val="en-US"/>
        </w:rPr>
        <w:t xml:space="preserve">s gross salary; </w:t>
      </w:r>
      <w:r>
        <w:rPr>
          <w:rFonts w:ascii="Arial" w:hAnsi="Arial" w:hint="default"/>
          <w:sz w:val="24"/>
          <w:szCs w:val="24"/>
          <w:rtl w:val="0"/>
          <w:lang w:val="en-US"/>
        </w:rPr>
        <w:t>£</w:t>
      </w:r>
      <w:r>
        <w:rPr>
          <w:rFonts w:ascii="Arial" w:hAnsi="Arial"/>
          <w:sz w:val="24"/>
          <w:szCs w:val="24"/>
          <w:rtl w:val="0"/>
          <w:lang w:val="en-US"/>
        </w:rPr>
        <w:t xml:space="preserve">26,000 or </w:t>
      </w:r>
      <w:r>
        <w:rPr>
          <w:rFonts w:ascii="Arial" w:hAnsi="Arial" w:hint="default"/>
          <w:sz w:val="24"/>
          <w:szCs w:val="24"/>
          <w:rtl w:val="0"/>
          <w:lang w:val="en-US"/>
        </w:rPr>
        <w:t>£</w:t>
      </w:r>
      <w:r>
        <w:rPr>
          <w:rFonts w:ascii="Arial" w:hAnsi="Arial"/>
          <w:sz w:val="24"/>
          <w:szCs w:val="24"/>
          <w:rtl w:val="0"/>
          <w:lang w:val="en-US"/>
        </w:rPr>
        <w:t xml:space="preserve">88,519, whatever is lowest, plus </w:t>
      </w:r>
      <w:r>
        <w:rPr>
          <w:rFonts w:ascii="Arial" w:hAnsi="Arial" w:hint="default"/>
          <w:sz w:val="24"/>
          <w:szCs w:val="24"/>
          <w:rtl w:val="0"/>
          <w:lang w:val="en-US"/>
        </w:rPr>
        <w:t>£</w:t>
      </w:r>
      <w:r>
        <w:rPr>
          <w:rFonts w:ascii="Arial" w:hAnsi="Arial"/>
          <w:sz w:val="24"/>
          <w:szCs w:val="24"/>
          <w:rtl w:val="0"/>
          <w:lang w:val="en-US"/>
        </w:rPr>
        <w:t>3,000. Should Gethin</w:t>
      </w:r>
      <w:r>
        <w:rPr>
          <w:rFonts w:ascii="Arial" w:hAnsi="Arial" w:hint="default"/>
          <w:sz w:val="24"/>
          <w:szCs w:val="24"/>
          <w:rtl w:val="0"/>
          <w:lang w:val="en-US"/>
        </w:rPr>
        <w:t>’</w:t>
      </w:r>
      <w:r>
        <w:rPr>
          <w:rFonts w:ascii="Arial" w:hAnsi="Arial"/>
          <w:sz w:val="24"/>
          <w:szCs w:val="24"/>
          <w:rtl w:val="0"/>
          <w:lang w:val="en-US"/>
        </w:rPr>
        <w:t xml:space="preserve">s claim for whistleblowing be granted, the compensation amount would </w:t>
      </w:r>
      <w:r>
        <w:rPr>
          <w:rFonts w:ascii="Arial" w:hAnsi="Arial"/>
          <w:sz w:val="24"/>
          <w:szCs w:val="24"/>
          <w:rtl w:val="0"/>
          <w:lang w:val="fr-FR"/>
        </w:rPr>
        <w:t>be</w:t>
      </w:r>
      <w:r>
        <w:rPr>
          <w:rFonts w:ascii="Arial" w:hAnsi="Arial"/>
          <w:sz w:val="24"/>
          <w:szCs w:val="24"/>
          <w:rtl w:val="0"/>
          <w:lang w:val="en-US"/>
        </w:rPr>
        <w:t xml:space="preserve"> uncapped and potentially much higher. An example of where this has occurred </w:t>
      </w:r>
      <w:r>
        <w:rPr>
          <w:rFonts w:ascii="Arial" w:hAnsi="Arial"/>
          <w:sz w:val="24"/>
          <w:szCs w:val="24"/>
          <w:rtl w:val="0"/>
          <w:lang w:val="fr-FR"/>
        </w:rPr>
        <w:t>in</w:t>
      </w:r>
      <w:r>
        <w:rPr>
          <w:rFonts w:ascii="Arial" w:hAnsi="Arial"/>
          <w:sz w:val="24"/>
          <w:szCs w:val="24"/>
          <w:rtl w:val="0"/>
          <w:lang w:val="en-US"/>
        </w:rPr>
        <w:t xml:space="preserve"> the case of (</w:t>
      </w:r>
      <w:r>
        <w:rPr>
          <w:rFonts w:ascii="Arial" w:hAnsi="Arial" w:hint="default"/>
          <w:sz w:val="24"/>
          <w:szCs w:val="24"/>
          <w:rtl w:val="0"/>
          <w:lang w:val="en-US"/>
        </w:rPr>
        <w:t>‘</w:t>
      </w:r>
      <w:r>
        <w:rPr>
          <w:rFonts w:ascii="Arial" w:hAnsi="Arial"/>
          <w:sz w:val="24"/>
          <w:szCs w:val="24"/>
          <w:rtl w:val="0"/>
          <w:lang w:val="fr-FR"/>
        </w:rPr>
        <w:t>Lingard v HM Prison Service</w:t>
      </w:r>
      <w:r>
        <w:rPr>
          <w:rFonts w:ascii="Arial" w:hAnsi="Arial" w:hint="default"/>
          <w:sz w:val="24"/>
          <w:szCs w:val="24"/>
          <w:rtl w:val="0"/>
          <w:lang w:val="en-US"/>
        </w:rPr>
        <w:t>’</w:t>
      </w:r>
      <w:r>
        <w:rPr>
          <w:rFonts w:ascii="Arial" w:hAnsi="Arial"/>
          <w:sz w:val="24"/>
          <w:szCs w:val="24"/>
          <w:rtl w:val="0"/>
          <w:lang w:val="fr-FR"/>
        </w:rPr>
        <w:t xml:space="preserve">, 2005). A sum of </w:t>
      </w:r>
      <w:r>
        <w:rPr>
          <w:rFonts w:ascii="Arial" w:hAnsi="Arial" w:hint="default"/>
          <w:sz w:val="24"/>
          <w:szCs w:val="24"/>
          <w:rtl w:val="0"/>
          <w:lang w:val="en-US"/>
        </w:rPr>
        <w:t>£</w:t>
      </w:r>
      <w:r>
        <w:rPr>
          <w:rFonts w:ascii="Arial" w:hAnsi="Arial"/>
          <w:sz w:val="24"/>
          <w:szCs w:val="24"/>
          <w:rtl w:val="0"/>
          <w:lang w:val="en-US"/>
        </w:rPr>
        <w:t xml:space="preserve">466,700 was awarded to the individual who was unfairly dismissed for making a protected disclosure.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lang w:val="en-US"/>
        </w:rPr>
      </w:pPr>
      <w:r>
        <w:rPr>
          <w:rFonts w:ascii="Arial" w:hAnsi="Arial"/>
          <w:b w:val="1"/>
          <w:bCs w:val="1"/>
          <w:sz w:val="24"/>
          <w:szCs w:val="24"/>
          <w:rtl w:val="0"/>
          <w:lang w:val="en-US"/>
        </w:rPr>
        <w:t>Factors that affect the compensation award</w:t>
      </w:r>
    </w:p>
    <w:p>
      <w:pPr>
        <w:pStyle w:val="Body A"/>
        <w:rPr>
          <w:rFonts w:ascii="Arial" w:cs="Arial" w:hAnsi="Arial" w:eastAsia="Arial"/>
          <w:sz w:val="24"/>
          <w:szCs w:val="24"/>
        </w:rPr>
      </w:pPr>
      <w:r>
        <w:rPr>
          <w:rFonts w:ascii="Arial" w:hAnsi="Arial"/>
          <w:sz w:val="24"/>
          <w:szCs w:val="24"/>
          <w:rtl w:val="0"/>
          <w:lang w:val="en-US"/>
        </w:rPr>
        <w:t>Big Buses did not follow the ACAS Code of Practice when dealing with Gethin</w:t>
      </w:r>
      <w:r>
        <w:rPr>
          <w:rFonts w:ascii="Arial" w:hAnsi="Arial" w:hint="default"/>
          <w:sz w:val="24"/>
          <w:szCs w:val="24"/>
          <w:rtl w:val="0"/>
          <w:lang w:val="en-US"/>
        </w:rPr>
        <w:t>’</w:t>
      </w:r>
      <w:r>
        <w:rPr>
          <w:rFonts w:ascii="Arial" w:hAnsi="Arial"/>
          <w:sz w:val="24"/>
          <w:szCs w:val="24"/>
          <w:rtl w:val="0"/>
          <w:lang w:val="en-US"/>
        </w:rPr>
        <w:t>s incident, therefore an increase of a maximum of 25% can be applied to Gethin</w:t>
      </w:r>
      <w:r>
        <w:rPr>
          <w:rFonts w:ascii="Arial" w:hAnsi="Arial" w:hint="default"/>
          <w:sz w:val="24"/>
          <w:szCs w:val="24"/>
          <w:rtl w:val="0"/>
          <w:lang w:val="en-US"/>
        </w:rPr>
        <w:t>’</w:t>
      </w:r>
      <w:r>
        <w:rPr>
          <w:rFonts w:ascii="Arial" w:hAnsi="Arial"/>
          <w:sz w:val="24"/>
          <w:szCs w:val="24"/>
          <w:rtl w:val="0"/>
          <w:lang w:val="en-US"/>
        </w:rPr>
        <w:t xml:space="preserve">s award. On the other hand, Gethin did not exercise his right to appeal and explore all internal procedures, before </w:t>
      </w:r>
      <w:r>
        <w:rPr>
          <w:rFonts w:ascii="Arial" w:hAnsi="Arial"/>
          <w:sz w:val="24"/>
          <w:szCs w:val="24"/>
          <w:rtl w:val="0"/>
          <w:lang w:val="fr-FR"/>
        </w:rPr>
        <w:t>contacting</w:t>
      </w:r>
      <w:r>
        <w:rPr>
          <w:rFonts w:ascii="Arial" w:hAnsi="Arial"/>
          <w:sz w:val="24"/>
          <w:szCs w:val="24"/>
          <w:rtl w:val="0"/>
          <w:lang w:val="en-US"/>
        </w:rPr>
        <w:t xml:space="preserve"> the tribunal, which could reduce the award he receives. Yet your company did not provide him with enough time to respond. The two factors are both considered bre</w:t>
      </w:r>
      <w:r>
        <w:rPr>
          <w:rFonts w:ascii="Arial" w:hAnsi="Arial"/>
          <w:sz w:val="24"/>
          <w:szCs w:val="24"/>
          <w:rtl w:val="0"/>
          <w:lang w:val="fr-FR"/>
        </w:rPr>
        <w:t>aches</w:t>
      </w:r>
      <w:r>
        <w:rPr>
          <w:rFonts w:ascii="Arial" w:hAnsi="Arial"/>
          <w:sz w:val="24"/>
          <w:szCs w:val="24"/>
          <w:rtl w:val="0"/>
          <w:lang w:val="en-US"/>
        </w:rPr>
        <w:t xml:space="preserve"> of the ACAS code and could affect Gethin</w:t>
      </w:r>
      <w:r>
        <w:rPr>
          <w:rFonts w:ascii="Arial" w:hAnsi="Arial" w:hint="default"/>
          <w:sz w:val="24"/>
          <w:szCs w:val="24"/>
          <w:rtl w:val="0"/>
          <w:lang w:val="en-US"/>
        </w:rPr>
        <w:t>’</w:t>
      </w:r>
      <w:r>
        <w:rPr>
          <w:rFonts w:ascii="Arial" w:hAnsi="Arial"/>
          <w:sz w:val="24"/>
          <w:szCs w:val="24"/>
          <w:rtl w:val="0"/>
          <w:lang w:val="en-US"/>
        </w:rPr>
        <w:t>s award. An example of case law where the Polkey principle, was applied to the basic award, is the (</w:t>
      </w:r>
      <w:r>
        <w:rPr>
          <w:rFonts w:ascii="Arial" w:hAnsi="Arial" w:hint="default"/>
          <w:sz w:val="24"/>
          <w:szCs w:val="24"/>
          <w:rtl w:val="0"/>
          <w:lang w:val="en-US"/>
        </w:rPr>
        <w:t>‘</w:t>
      </w:r>
      <w:r>
        <w:rPr>
          <w:rFonts w:ascii="Arial" w:hAnsi="Arial"/>
          <w:sz w:val="24"/>
          <w:szCs w:val="24"/>
          <w:rtl w:val="0"/>
          <w:lang w:val="en-US"/>
        </w:rPr>
        <w:t>Polkey v A E Dayton Services</w:t>
      </w:r>
      <w:r>
        <w:rPr>
          <w:rFonts w:ascii="Arial" w:hAnsi="Arial" w:hint="default"/>
          <w:sz w:val="24"/>
          <w:szCs w:val="24"/>
          <w:rtl w:val="0"/>
          <w:lang w:val="en-US"/>
        </w:rPr>
        <w:t>’</w:t>
      </w:r>
      <w:r>
        <w:rPr>
          <w:rFonts w:ascii="Arial" w:hAnsi="Arial"/>
          <w:sz w:val="24"/>
          <w:szCs w:val="24"/>
          <w:rtl w:val="0"/>
          <w:lang w:val="en-US"/>
        </w:rPr>
        <w:t xml:space="preserve">, 1988). This case </w:t>
      </w:r>
      <w:r>
        <w:rPr>
          <w:rFonts w:ascii="Arial" w:hAnsi="Arial"/>
          <w:sz w:val="24"/>
          <w:szCs w:val="24"/>
          <w:rtl w:val="0"/>
          <w:lang w:val="fr-FR"/>
        </w:rPr>
        <w:t>guided</w:t>
      </w:r>
      <w:r>
        <w:rPr>
          <w:rFonts w:ascii="Arial" w:hAnsi="Arial"/>
          <w:sz w:val="24"/>
          <w:szCs w:val="24"/>
          <w:rtl w:val="0"/>
          <w:lang w:val="en-US"/>
        </w:rPr>
        <w:t xml:space="preserve"> tribunals to apply a reduction when calculating a compensatory award, where the employer does not correctly follow the procedure when the employee would have been dismissed anyway. This reduction could be applied in Gethin</w:t>
      </w:r>
      <w:r>
        <w:rPr>
          <w:rFonts w:ascii="Arial" w:hAnsi="Arial" w:hint="default"/>
          <w:sz w:val="24"/>
          <w:szCs w:val="24"/>
          <w:rtl w:val="0"/>
          <w:lang w:val="en-US"/>
        </w:rPr>
        <w:t>’</w:t>
      </w:r>
      <w:r>
        <w:rPr>
          <w:rFonts w:ascii="Arial" w:hAnsi="Arial"/>
          <w:sz w:val="24"/>
          <w:szCs w:val="24"/>
          <w:rtl w:val="0"/>
          <w:lang w:val="en-US"/>
        </w:rPr>
        <w:t>s case.</w:t>
      </w:r>
    </w:p>
    <w:p>
      <w:pPr>
        <w:pStyle w:val="Body A"/>
        <w:rPr>
          <w:rFonts w:ascii="Arial" w:cs="Arial" w:hAnsi="Arial" w:eastAsia="Arial"/>
          <w:sz w:val="24"/>
          <w:szCs w:val="24"/>
        </w:rPr>
      </w:pPr>
    </w:p>
    <w:p>
      <w:pPr>
        <w:pStyle w:val="Body A"/>
        <w:tabs>
          <w:tab w:val="right" w:pos="8620"/>
        </w:tabs>
        <w:rPr>
          <w:rFonts w:ascii="Arial" w:cs="Arial" w:hAnsi="Arial" w:eastAsia="Arial"/>
          <w:b w:val="1"/>
          <w:bCs w:val="1"/>
          <w:sz w:val="24"/>
          <w:szCs w:val="24"/>
          <w:lang w:val="en-US"/>
        </w:rPr>
      </w:pPr>
      <w:r>
        <w:rPr>
          <w:rFonts w:ascii="Arial" w:hAnsi="Arial"/>
          <w:b w:val="1"/>
          <w:bCs w:val="1"/>
          <w:sz w:val="24"/>
          <w:szCs w:val="24"/>
          <w:rtl w:val="0"/>
          <w:lang w:val="en-US"/>
        </w:rPr>
        <w:t>Contributory Fault Factors that affect the compensation award</w:t>
        <w:tab/>
      </w:r>
    </w:p>
    <w:p>
      <w:pPr>
        <w:pStyle w:val="Body A"/>
        <w:rPr>
          <w:rFonts w:ascii="Arial" w:cs="Arial" w:hAnsi="Arial" w:eastAsia="Arial"/>
          <w:sz w:val="24"/>
          <w:szCs w:val="24"/>
        </w:rPr>
      </w:pPr>
      <w:r>
        <w:rPr>
          <w:rFonts w:ascii="Arial" w:hAnsi="Arial"/>
          <w:sz w:val="24"/>
          <w:szCs w:val="24"/>
          <w:rtl w:val="0"/>
          <w:lang w:val="en-US"/>
        </w:rPr>
        <w:t>The award could also be reduced if the individual has played a contributing role in his dismissal.  Section 123 (6) of the (</w:t>
      </w:r>
      <w:r>
        <w:rPr>
          <w:rFonts w:ascii="Arial" w:hAnsi="Arial"/>
          <w:i w:val="1"/>
          <w:iCs w:val="1"/>
          <w:sz w:val="24"/>
          <w:szCs w:val="24"/>
          <w:rtl w:val="0"/>
          <w:lang w:val="en-US"/>
        </w:rPr>
        <w:t>Employment Rights Act 1996</w:t>
      </w:r>
      <w:r>
        <w:rPr>
          <w:rFonts w:ascii="Arial" w:hAnsi="Arial"/>
          <w:sz w:val="24"/>
          <w:szCs w:val="24"/>
          <w:rtl w:val="0"/>
          <w:lang w:val="en-US"/>
        </w:rPr>
        <w:t xml:space="preserve">) allows such reduction and </w:t>
      </w:r>
      <w:r>
        <w:rPr>
          <w:rFonts w:ascii="Arial" w:hAnsi="Arial"/>
          <w:sz w:val="24"/>
          <w:szCs w:val="24"/>
          <w:rtl w:val="0"/>
          <w:lang w:val="fr-FR"/>
        </w:rPr>
        <w:t xml:space="preserve">in </w:t>
      </w:r>
      <w:r>
        <w:rPr>
          <w:rFonts w:ascii="Arial" w:hAnsi="Arial"/>
          <w:sz w:val="24"/>
          <w:szCs w:val="24"/>
          <w:rtl w:val="0"/>
          <w:lang w:val="en-US"/>
        </w:rPr>
        <w:t>this case</w:t>
      </w:r>
      <w:r>
        <w:rPr>
          <w:rFonts w:ascii="Arial" w:hAnsi="Arial"/>
          <w:sz w:val="24"/>
          <w:szCs w:val="24"/>
          <w:rtl w:val="0"/>
          <w:lang w:val="fr-FR"/>
        </w:rPr>
        <w:t>,</w:t>
      </w:r>
      <w:r>
        <w:rPr>
          <w:rFonts w:ascii="Arial" w:hAnsi="Arial"/>
          <w:sz w:val="24"/>
          <w:szCs w:val="24"/>
          <w:rtl w:val="0"/>
          <w:lang w:val="en-US"/>
        </w:rPr>
        <w:t xml:space="preserve"> Gethin could be considered by the ET as contributing to his dismissal, by pushing Robert.</w:t>
      </w:r>
    </w:p>
    <w:p>
      <w:pPr>
        <w:pStyle w:val="Body A"/>
        <w:rPr>
          <w:rFonts w:ascii="Arial" w:cs="Arial" w:hAnsi="Arial" w:eastAsia="Arial"/>
          <w:b w:val="1"/>
          <w:bCs w:val="1"/>
          <w:sz w:val="24"/>
          <w:szCs w:val="24"/>
          <w:lang w:val="en-US"/>
        </w:rPr>
      </w:pPr>
      <w:r>
        <w:rPr>
          <w:rFonts w:ascii="Arial" w:hAnsi="Arial"/>
          <w:b w:val="1"/>
          <w:bCs w:val="1"/>
          <w:sz w:val="24"/>
          <w:szCs w:val="24"/>
          <w:rtl w:val="0"/>
          <w:lang w:val="en-US"/>
        </w:rPr>
        <w:t>Recommendation</w:t>
      </w:r>
    </w:p>
    <w:p>
      <w:pPr>
        <w:pStyle w:val="Body A"/>
        <w:rPr>
          <w:rFonts w:ascii="Arial" w:cs="Arial" w:hAnsi="Arial" w:eastAsia="Arial"/>
          <w:sz w:val="24"/>
          <w:szCs w:val="24"/>
        </w:rPr>
      </w:pPr>
      <w:r>
        <w:rPr>
          <w:rFonts w:ascii="Arial" w:hAnsi="Arial"/>
          <w:sz w:val="24"/>
          <w:szCs w:val="24"/>
          <w:rtl w:val="0"/>
          <w:lang w:val="en-US"/>
        </w:rPr>
        <w:t>In this case, I recommend settling the case out of court and not proceeding to the ET, without admitting liability (ACAS, 2021). Following a negotiation process between yourself and Gethin, ACAS will then compile a COT3. The advantage of this course of action is that all negotiation and settlement agreement figures are kept confidentially and Gethin is not permitted to speak to anyone about the agreement. In this instance, protecting your organisation</w:t>
      </w:r>
      <w:r>
        <w:rPr>
          <w:rFonts w:ascii="Arial" w:hAnsi="Arial" w:hint="default"/>
          <w:sz w:val="24"/>
          <w:szCs w:val="24"/>
          <w:rtl w:val="0"/>
          <w:lang w:val="en-US"/>
        </w:rPr>
        <w:t>’</w:t>
      </w:r>
      <w:r>
        <w:rPr>
          <w:rFonts w:ascii="Arial" w:hAnsi="Arial"/>
          <w:sz w:val="24"/>
          <w:szCs w:val="24"/>
          <w:rtl w:val="0"/>
          <w:lang w:val="en-US"/>
        </w:rPr>
        <w:t>s reputation is paramount, as all ET decisions are published online. From a reputational perspective</w:t>
      </w:r>
      <w:r>
        <w:rPr>
          <w:rFonts w:ascii="Arial" w:hAnsi="Arial"/>
          <w:sz w:val="24"/>
          <w:szCs w:val="24"/>
          <w:rtl w:val="0"/>
          <w:lang w:val="fr-FR"/>
        </w:rPr>
        <w:t>,</w:t>
      </w:r>
      <w:r>
        <w:rPr>
          <w:rFonts w:ascii="Arial" w:hAnsi="Arial"/>
          <w:sz w:val="24"/>
          <w:szCs w:val="24"/>
          <w:rtl w:val="0"/>
          <w:lang w:val="en-US"/>
        </w:rPr>
        <w:t xml:space="preserve"> Gethin could state that he was unfa</w:t>
      </w:r>
      <w:r>
        <w:rPr>
          <w:rFonts w:ascii="Arial" w:hAnsi="Arial"/>
          <w:sz w:val="24"/>
          <w:szCs w:val="24"/>
          <w:rtl w:val="0"/>
          <w:lang w:val="fr-FR"/>
        </w:rPr>
        <w:t>irly</w:t>
      </w:r>
      <w:r>
        <w:rPr>
          <w:rFonts w:ascii="Arial" w:hAnsi="Arial"/>
          <w:sz w:val="24"/>
          <w:szCs w:val="24"/>
          <w:rtl w:val="0"/>
          <w:lang w:val="en-US"/>
        </w:rPr>
        <w:t xml:space="preserve"> dismissed for whistleblowing, which could h</w:t>
      </w:r>
      <w:r>
        <w:rPr>
          <w:rFonts w:ascii="Arial" w:hAnsi="Arial"/>
          <w:sz w:val="24"/>
          <w:szCs w:val="24"/>
          <w:rtl w:val="0"/>
          <w:lang w:val="fr-FR"/>
        </w:rPr>
        <w:t>urt</w:t>
      </w:r>
      <w:r>
        <w:rPr>
          <w:rFonts w:ascii="Arial" w:hAnsi="Arial"/>
          <w:sz w:val="24"/>
          <w:szCs w:val="24"/>
          <w:rtl w:val="0"/>
          <w:lang w:val="en-US"/>
        </w:rPr>
        <w:t xml:space="preserve"> your business financially and potentially loose contracts with local schools.</w:t>
      </w:r>
    </w:p>
    <w:p>
      <w:pPr>
        <w:pStyle w:val="Body A"/>
        <w:rPr>
          <w:rFonts w:ascii="Arial" w:cs="Arial" w:hAnsi="Arial" w:eastAsia="Arial"/>
          <w:b w:val="1"/>
          <w:bCs w:val="1"/>
          <w:sz w:val="24"/>
          <w:szCs w:val="24"/>
          <w:lang w:val="en-US"/>
        </w:rPr>
      </w:pPr>
      <w:r>
        <w:rPr>
          <w:rFonts w:ascii="Arial" w:hAnsi="Arial"/>
          <w:b w:val="1"/>
          <w:bCs w:val="1"/>
          <w:sz w:val="24"/>
          <w:szCs w:val="24"/>
          <w:rtl w:val="0"/>
          <w:lang w:val="en-US"/>
        </w:rPr>
        <w:t>Cost implications of settling out of court</w:t>
      </w:r>
    </w:p>
    <w:p>
      <w:pPr>
        <w:pStyle w:val="Body A"/>
        <w:rPr>
          <w:rFonts w:ascii="Arial" w:cs="Arial" w:hAnsi="Arial" w:eastAsia="Arial"/>
          <w:sz w:val="24"/>
          <w:szCs w:val="24"/>
          <w:lang w:val="en-US"/>
        </w:rPr>
      </w:pPr>
      <w:r>
        <w:rPr>
          <w:rFonts w:ascii="Arial" w:hAnsi="Arial"/>
          <w:sz w:val="24"/>
          <w:szCs w:val="24"/>
          <w:rtl w:val="0"/>
          <w:lang w:val="en-US"/>
        </w:rPr>
        <w:t xml:space="preserve">Potentially, Big Buses could be fined a maximum of </w:t>
      </w:r>
      <w:r>
        <w:rPr>
          <w:rFonts w:ascii="Arial" w:hAnsi="Arial" w:hint="default"/>
          <w:sz w:val="24"/>
          <w:szCs w:val="24"/>
          <w:rtl w:val="0"/>
          <w:lang w:val="en-US"/>
        </w:rPr>
        <w:t>£</w:t>
      </w:r>
      <w:r>
        <w:rPr>
          <w:rFonts w:ascii="Arial" w:hAnsi="Arial"/>
          <w:sz w:val="24"/>
          <w:szCs w:val="24"/>
          <w:rtl w:val="0"/>
          <w:lang w:val="en-US"/>
        </w:rPr>
        <w:t>27,500 for unfair dismissal. Coupled with legal costs, time and the impact on wellbeing for those concerned. Settling out of court would mean the expense of legal costs would be saved and the money utilised towards Gethin</w:t>
      </w:r>
      <w:r>
        <w:rPr>
          <w:rFonts w:ascii="Arial" w:hAnsi="Arial" w:hint="default"/>
          <w:sz w:val="24"/>
          <w:szCs w:val="24"/>
          <w:rtl w:val="0"/>
          <w:lang w:val="en-US"/>
        </w:rPr>
        <w:t>’</w:t>
      </w:r>
      <w:r>
        <w:rPr>
          <w:rFonts w:ascii="Arial" w:hAnsi="Arial"/>
          <w:sz w:val="24"/>
          <w:szCs w:val="24"/>
          <w:rtl w:val="0"/>
          <w:lang w:val="en-US"/>
        </w:rPr>
        <w:t>s settlement amount. It will be challenging to fight a few of the claims I have outlined, therefore Gethin</w:t>
      </w:r>
      <w:r>
        <w:rPr>
          <w:rFonts w:ascii="Arial" w:hAnsi="Arial" w:hint="default"/>
          <w:sz w:val="24"/>
          <w:szCs w:val="24"/>
          <w:rtl w:val="0"/>
          <w:lang w:val="en-US"/>
        </w:rPr>
        <w:t>’</w:t>
      </w:r>
      <w:r>
        <w:rPr>
          <w:rFonts w:ascii="Arial" w:hAnsi="Arial"/>
          <w:sz w:val="24"/>
          <w:szCs w:val="24"/>
          <w:rtl w:val="0"/>
          <w:lang w:val="en-US"/>
        </w:rPr>
        <w:t>s compensation fee will be less harmful from your perspective (CAB, 2021).</w:t>
      </w:r>
    </w:p>
    <w:p>
      <w:pPr>
        <w:pStyle w:val="Body A"/>
        <w:rPr>
          <w:rFonts w:ascii="Arial" w:cs="Arial" w:hAnsi="Arial" w:eastAsia="Arial"/>
          <w:sz w:val="24"/>
          <w:szCs w:val="24"/>
          <w:lang w:val="en-US"/>
        </w:rPr>
      </w:pPr>
      <w:r>
        <w:rPr>
          <w:rFonts w:ascii="Arial" w:hAnsi="Arial"/>
          <w:sz w:val="24"/>
          <w:szCs w:val="24"/>
          <w:rtl w:val="0"/>
          <w:lang w:val="en-US"/>
        </w:rPr>
        <w:t>If you have any further questions, please let me know.</w:t>
      </w:r>
    </w:p>
    <w:p>
      <w:pPr>
        <w:pStyle w:val="Body A"/>
        <w:rPr>
          <w:rFonts w:ascii="Arial" w:cs="Arial" w:hAnsi="Arial" w:eastAsia="Arial"/>
          <w:sz w:val="24"/>
          <w:szCs w:val="24"/>
        </w:rPr>
      </w:pPr>
      <w:r>
        <w:rPr>
          <w:rFonts w:ascii="Arial" w:hAnsi="Arial"/>
          <w:sz w:val="24"/>
          <w:szCs w:val="24"/>
          <w:rtl w:val="0"/>
          <w:lang w:val="fr-FR"/>
        </w:rPr>
        <w:t>Sian</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fr-FR"/>
        </w:rPr>
        <w:t>Section B</w:t>
      </w:r>
    </w:p>
    <w:p>
      <w:pPr>
        <w:pStyle w:val="Body A"/>
        <w:rPr>
          <w:rFonts w:ascii="Arial" w:cs="Arial" w:hAnsi="Arial" w:eastAsia="Arial"/>
          <w:b w:val="1"/>
          <w:bCs w:val="1"/>
          <w:sz w:val="24"/>
          <w:szCs w:val="24"/>
        </w:rPr>
      </w:pPr>
      <w:r>
        <w:rPr>
          <w:rFonts w:ascii="Arial" w:hAnsi="Arial"/>
          <w:b w:val="1"/>
          <w:bCs w:val="1"/>
          <w:sz w:val="24"/>
          <w:szCs w:val="24"/>
          <w:rtl w:val="0"/>
          <w:lang w:val="fr-FR"/>
        </w:rPr>
        <w:t xml:space="preserve">                                                              </w:t>
      </w:r>
    </w:p>
    <w:p>
      <w:pPr>
        <w:pStyle w:val="Body A"/>
        <w:rPr>
          <w:rFonts w:ascii="Arial" w:cs="Arial" w:hAnsi="Arial" w:eastAsia="Arial"/>
          <w:b w:val="1"/>
          <w:bCs w:val="1"/>
          <w:sz w:val="24"/>
          <w:szCs w:val="24"/>
        </w:rPr>
      </w:pPr>
      <w:r>
        <w:rPr>
          <w:rFonts w:ascii="Arial" w:hAnsi="Arial"/>
          <w:b w:val="1"/>
          <w:bCs w:val="1"/>
          <w:sz w:val="24"/>
          <w:szCs w:val="24"/>
          <w:rtl w:val="0"/>
          <w:lang w:val="fr-FR"/>
        </w:rPr>
        <w:t xml:space="preserve">                                                      </w:t>
      </w:r>
    </w:p>
    <w:p>
      <w:pPr>
        <w:pStyle w:val="Body A"/>
        <w:rPr>
          <w:rFonts w:ascii="Arial" w:cs="Arial" w:hAnsi="Arial" w:eastAsia="Arial"/>
          <w:b w:val="1"/>
          <w:bCs w:val="1"/>
          <w:sz w:val="24"/>
          <w:szCs w:val="24"/>
        </w:rPr>
      </w:pPr>
      <w:r>
        <w:rPr>
          <w:rFonts w:ascii="Arial" w:hAnsi="Arial"/>
          <w:b w:val="1"/>
          <w:bCs w:val="1"/>
          <w:sz w:val="24"/>
          <w:szCs w:val="24"/>
          <w:rtl w:val="0"/>
          <w:lang w:val="fr-FR"/>
        </w:rPr>
        <w:t xml:space="preserve">                                                          E-mail</w:t>
      </w:r>
    </w:p>
    <w:p>
      <w:pPr>
        <w:pStyle w:val="Body A"/>
        <w:rPr>
          <w:rStyle w:val="None"/>
          <w:rFonts w:ascii="Arial" w:cs="Arial" w:hAnsi="Arial" w:eastAsia="Arial"/>
          <w:sz w:val="24"/>
          <w:szCs w:val="24"/>
        </w:rPr>
      </w:pPr>
      <w:r>
        <w:rPr>
          <w:rFonts w:ascii="Arial" w:hAnsi="Arial"/>
          <w:b w:val="1"/>
          <w:bCs w:val="1"/>
          <w:sz w:val="24"/>
          <w:szCs w:val="24"/>
          <w:rtl w:val="0"/>
          <w:lang w:val="fr-FR"/>
        </w:rPr>
        <w:t>From</w:t>
      </w:r>
      <w:r>
        <w:rPr>
          <w:rFonts w:ascii="Arial" w:hAnsi="Arial"/>
          <w:sz w:val="24"/>
          <w:szCs w:val="24"/>
          <w:rtl w:val="0"/>
          <w:lang w:val="fr-FR"/>
        </w:rPr>
        <w:t xml:space="preserve">:     </w:t>
      </w:r>
      <w:r>
        <w:rPr>
          <w:rStyle w:val="Hyperlink.0"/>
          <w:rFonts w:ascii="Arial" w:cs="Arial" w:hAnsi="Arial" w:eastAsia="Arial"/>
          <w:outline w:val="0"/>
          <w:color w:val="835d00"/>
          <w:sz w:val="24"/>
          <w:szCs w:val="24"/>
          <w:u w:val="single" w:color="835d00"/>
          <w:lang w:val="it-IT"/>
          <w14:textFill>
            <w14:solidFill>
              <w14:srgbClr w14:val="835D00"/>
            </w14:solidFill>
          </w14:textFill>
        </w:rPr>
        <w:fldChar w:fldCharType="begin" w:fldLock="0"/>
      </w:r>
      <w:r>
        <w:rPr>
          <w:rStyle w:val="Hyperlink.0"/>
          <w:rFonts w:ascii="Arial" w:cs="Arial" w:hAnsi="Arial" w:eastAsia="Arial"/>
          <w:outline w:val="0"/>
          <w:color w:val="835d00"/>
          <w:sz w:val="24"/>
          <w:szCs w:val="24"/>
          <w:u w:val="single" w:color="835d00"/>
          <w:lang w:val="it-IT"/>
          <w14:textFill>
            <w14:solidFill>
              <w14:srgbClr w14:val="835D00"/>
            </w14:solidFill>
          </w14:textFill>
        </w:rPr>
        <w:instrText xml:space="preserve"> HYPERLINK "mailto:siancoops@dwp.com"</w:instrText>
      </w:r>
      <w:r>
        <w:rPr>
          <w:rStyle w:val="Hyperlink.0"/>
          <w:rFonts w:ascii="Arial" w:cs="Arial" w:hAnsi="Arial" w:eastAsia="Arial"/>
          <w:outline w:val="0"/>
          <w:color w:val="835d00"/>
          <w:sz w:val="24"/>
          <w:szCs w:val="24"/>
          <w:u w:val="single" w:color="835d00"/>
          <w:lang w:val="it-IT"/>
          <w14:textFill>
            <w14:solidFill>
              <w14:srgbClr w14:val="835D00"/>
            </w14:solidFill>
          </w14:textFill>
        </w:rPr>
        <w:fldChar w:fldCharType="separate" w:fldLock="0"/>
      </w:r>
      <w:r>
        <w:rPr>
          <w:rStyle w:val="Hyperlink.0"/>
          <w:rFonts w:ascii="Arial" w:hAnsi="Arial"/>
          <w:outline w:val="0"/>
          <w:color w:val="835d00"/>
          <w:sz w:val="24"/>
          <w:szCs w:val="24"/>
          <w:u w:val="single" w:color="835d00"/>
          <w:rtl w:val="0"/>
          <w:lang w:val="it-IT"/>
          <w14:textFill>
            <w14:solidFill>
              <w14:srgbClr w14:val="835D00"/>
            </w14:solidFill>
          </w14:textFill>
        </w:rPr>
        <w:t>siancoops@dwp.com</w:t>
      </w:r>
      <w:r>
        <w:rPr/>
        <w:fldChar w:fldCharType="end" w:fldLock="0"/>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Sent:     10/14/2021</w:t>
      </w:r>
    </w:p>
    <w:p>
      <w:pPr>
        <w:pStyle w:val="Body A"/>
        <w:rPr>
          <w:rStyle w:val="None"/>
          <w:rFonts w:ascii="Arial" w:cs="Arial" w:hAnsi="Arial" w:eastAsia="Arial"/>
          <w:sz w:val="24"/>
          <w:szCs w:val="24"/>
        </w:rPr>
      </w:pPr>
      <w:r>
        <w:rPr>
          <w:rStyle w:val="None"/>
          <w:rFonts w:ascii="Arial" w:hAnsi="Arial"/>
          <w:b w:val="1"/>
          <w:bCs w:val="1"/>
          <w:sz w:val="24"/>
          <w:szCs w:val="24"/>
          <w:rtl w:val="0"/>
          <w:lang w:val="fr-FR"/>
        </w:rPr>
        <w:t xml:space="preserve">To :  </w:t>
      </w:r>
      <w:r>
        <w:rPr>
          <w:rStyle w:val="None"/>
          <w:rFonts w:ascii="Arial" w:hAnsi="Arial"/>
          <w:sz w:val="24"/>
          <w:szCs w:val="24"/>
          <w:rtl w:val="0"/>
          <w:lang w:val="fr-FR"/>
        </w:rPr>
        <w:t xml:space="preserve">       </w:t>
      </w:r>
      <w:r>
        <w:rPr>
          <w:rStyle w:val="Hyperlink.0"/>
          <w:rFonts w:ascii="Arial" w:cs="Arial" w:hAnsi="Arial" w:eastAsia="Arial"/>
          <w:outline w:val="0"/>
          <w:color w:val="835d00"/>
          <w:sz w:val="24"/>
          <w:szCs w:val="24"/>
          <w:u w:val="single" w:color="835d00"/>
          <w:lang w:val="it-IT"/>
          <w14:textFill>
            <w14:solidFill>
              <w14:srgbClr w14:val="835D00"/>
            </w14:solidFill>
          </w14:textFill>
        </w:rPr>
        <w:fldChar w:fldCharType="begin" w:fldLock="0"/>
      </w:r>
      <w:r>
        <w:rPr>
          <w:rStyle w:val="Hyperlink.0"/>
          <w:rFonts w:ascii="Arial" w:cs="Arial" w:hAnsi="Arial" w:eastAsia="Arial"/>
          <w:outline w:val="0"/>
          <w:color w:val="835d00"/>
          <w:sz w:val="24"/>
          <w:szCs w:val="24"/>
          <w:u w:val="single" w:color="835d00"/>
          <w:lang w:val="it-IT"/>
          <w14:textFill>
            <w14:solidFill>
              <w14:srgbClr w14:val="835D00"/>
            </w14:solidFill>
          </w14:textFill>
        </w:rPr>
        <w:instrText xml:space="preserve"> HYPERLINK "mailto:DavidThomas@bigbuses.co.uk"</w:instrText>
      </w:r>
      <w:r>
        <w:rPr>
          <w:rStyle w:val="Hyperlink.0"/>
          <w:rFonts w:ascii="Arial" w:cs="Arial" w:hAnsi="Arial" w:eastAsia="Arial"/>
          <w:outline w:val="0"/>
          <w:color w:val="835d00"/>
          <w:sz w:val="24"/>
          <w:szCs w:val="24"/>
          <w:u w:val="single" w:color="835d00"/>
          <w:lang w:val="it-IT"/>
          <w14:textFill>
            <w14:solidFill>
              <w14:srgbClr w14:val="835D00"/>
            </w14:solidFill>
          </w14:textFill>
        </w:rPr>
        <w:fldChar w:fldCharType="separate" w:fldLock="0"/>
      </w:r>
      <w:r>
        <w:rPr>
          <w:rStyle w:val="Hyperlink.0"/>
          <w:rFonts w:ascii="Arial" w:hAnsi="Arial"/>
          <w:outline w:val="0"/>
          <w:color w:val="835d00"/>
          <w:sz w:val="24"/>
          <w:szCs w:val="24"/>
          <w:u w:val="single" w:color="835d00"/>
          <w:rtl w:val="0"/>
          <w:lang w:val="it-IT"/>
          <w14:textFill>
            <w14:solidFill>
              <w14:srgbClr w14:val="835D00"/>
            </w14:solidFill>
          </w14:textFill>
        </w:rPr>
        <w:t>DavidThomas@bigbuses.co.uk</w:t>
      </w:r>
      <w:r>
        <w:rPr/>
        <w:fldChar w:fldCharType="end" w:fldLock="0"/>
      </w:r>
    </w:p>
    <w:p>
      <w:pPr>
        <w:pStyle w:val="Body A"/>
        <w:rPr>
          <w:rStyle w:val="None"/>
          <w:rFonts w:ascii="Arial" w:cs="Arial" w:hAnsi="Arial" w:eastAsia="Arial"/>
          <w:b w:val="1"/>
          <w:bCs w:val="1"/>
          <w:sz w:val="24"/>
          <w:szCs w:val="24"/>
        </w:rPr>
      </w:pPr>
      <w:r>
        <w:rPr>
          <w:rStyle w:val="None"/>
          <w:rFonts w:ascii="Arial" w:hAnsi="Arial"/>
          <w:b w:val="1"/>
          <w:bCs w:val="1"/>
          <w:sz w:val="24"/>
          <w:szCs w:val="24"/>
          <w:rtl w:val="0"/>
          <w:lang w:val="fr-FR"/>
        </w:rPr>
        <w:t>Subject: Julie Davies HR Advice</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sz w:val="24"/>
          <w:szCs w:val="24"/>
          <w:lang w:val="en-US"/>
        </w:rPr>
      </w:pPr>
      <w:r>
        <w:rPr>
          <w:rStyle w:val="None"/>
          <w:rFonts w:ascii="Arial" w:hAnsi="Arial"/>
          <w:sz w:val="24"/>
          <w:szCs w:val="24"/>
          <w:rtl w:val="0"/>
          <w:lang w:val="en-US"/>
        </w:rPr>
        <w:t>Dear Mr Thomas,</w:t>
      </w:r>
    </w:p>
    <w:p>
      <w:pPr>
        <w:pStyle w:val="Body A"/>
        <w:rPr>
          <w:rStyle w:val="None"/>
          <w:rFonts w:ascii="Arial" w:cs="Arial" w:hAnsi="Arial" w:eastAsia="Arial"/>
          <w:sz w:val="24"/>
          <w:szCs w:val="24"/>
          <w:lang w:val="en-US"/>
        </w:rPr>
      </w:pPr>
      <w:r>
        <w:rPr>
          <w:rStyle w:val="None"/>
          <w:rFonts w:ascii="Arial" w:hAnsi="Arial"/>
          <w:sz w:val="24"/>
          <w:szCs w:val="24"/>
          <w:rtl w:val="0"/>
          <w:lang w:val="en-US"/>
        </w:rPr>
        <w:t>Thank you for your e-mail, I have outlined my advice in relation to the matters you have raised below.</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Eligibility for Flexible Working</w:t>
      </w:r>
    </w:p>
    <w:p>
      <w:pPr>
        <w:pStyle w:val="Body A"/>
        <w:rPr>
          <w:rStyle w:val="None"/>
          <w:rFonts w:ascii="Arial" w:cs="Arial" w:hAnsi="Arial" w:eastAsia="Arial"/>
          <w:sz w:val="24"/>
          <w:szCs w:val="24"/>
          <w:lang w:val="en-US"/>
        </w:rPr>
      </w:pPr>
      <w:r>
        <w:rPr>
          <w:rStyle w:val="None"/>
          <w:rFonts w:ascii="Arial" w:hAnsi="Arial"/>
          <w:sz w:val="24"/>
          <w:szCs w:val="24"/>
          <w:rtl w:val="0"/>
          <w:lang w:val="en-US"/>
        </w:rPr>
        <w:t>As long as this is Julie</w:t>
      </w:r>
      <w:r>
        <w:rPr>
          <w:rStyle w:val="None"/>
          <w:rFonts w:ascii="Arial" w:hAnsi="Arial" w:hint="default"/>
          <w:sz w:val="24"/>
          <w:szCs w:val="24"/>
          <w:rtl w:val="0"/>
          <w:lang w:val="en-US"/>
        </w:rPr>
        <w:t>’</w:t>
      </w:r>
      <w:r>
        <w:rPr>
          <w:rStyle w:val="None"/>
          <w:rFonts w:ascii="Arial" w:hAnsi="Arial"/>
          <w:sz w:val="24"/>
          <w:szCs w:val="24"/>
          <w:rtl w:val="0"/>
          <w:lang w:val="en-US"/>
        </w:rPr>
        <w:t>s first request for flexible working, within the previous 12 months, then she qualifies to request flexible working according to the (</w:t>
      </w:r>
      <w:r>
        <w:rPr>
          <w:rStyle w:val="None"/>
          <w:rFonts w:ascii="Arial" w:hAnsi="Arial"/>
          <w:i w:val="1"/>
          <w:iCs w:val="1"/>
          <w:sz w:val="24"/>
          <w:szCs w:val="24"/>
          <w:rtl w:val="0"/>
          <w:lang w:val="en-US"/>
        </w:rPr>
        <w:t>Flexible Working Regulations Act, 2014</w:t>
      </w:r>
      <w:r>
        <w:rPr>
          <w:rStyle w:val="None"/>
          <w:rFonts w:ascii="Arial" w:hAnsi="Arial"/>
          <w:sz w:val="24"/>
          <w:szCs w:val="24"/>
          <w:rtl w:val="0"/>
          <w:lang w:val="en-US"/>
        </w:rPr>
        <w:t>). Julie is employed by yourselves and has worked for Big Buses for 19 months. Once an employee has 26 weeks</w:t>
      </w:r>
      <w:r>
        <w:rPr>
          <w:rStyle w:val="None"/>
          <w:rFonts w:ascii="Arial" w:hAnsi="Arial" w:hint="default"/>
          <w:sz w:val="24"/>
          <w:szCs w:val="24"/>
          <w:rtl w:val="0"/>
          <w:lang w:val="en-US"/>
        </w:rPr>
        <w:t xml:space="preserve">’ </w:t>
      </w:r>
      <w:r>
        <w:rPr>
          <w:rStyle w:val="None"/>
          <w:rFonts w:ascii="Arial" w:hAnsi="Arial"/>
          <w:sz w:val="24"/>
          <w:szCs w:val="24"/>
          <w:rtl w:val="0"/>
          <w:lang w:val="en-US"/>
        </w:rPr>
        <w:t xml:space="preserve">service they can request flexible working. </w:t>
      </w: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ACAS adherence</w:t>
      </w:r>
    </w:p>
    <w:p>
      <w:pPr>
        <w:pStyle w:val="Body A"/>
        <w:rPr>
          <w:rStyle w:val="None"/>
          <w:rFonts w:ascii="Arial" w:cs="Arial" w:hAnsi="Arial" w:eastAsia="Arial"/>
          <w:sz w:val="24"/>
          <w:szCs w:val="24"/>
          <w:lang w:val="en-US"/>
        </w:rPr>
      </w:pPr>
      <w:r>
        <w:rPr>
          <w:rStyle w:val="None"/>
          <w:rFonts w:ascii="Arial" w:hAnsi="Arial"/>
          <w:sz w:val="24"/>
          <w:szCs w:val="24"/>
          <w:rtl w:val="0"/>
          <w:lang w:val="en-US"/>
        </w:rPr>
        <w:t>I need you to check whether you have a company flexible working policy at Big Buses and whether it satisfies ACAS code of practice. However, as it stands I am basing my advice to you, on there not being a flexible working policy in place in Big Buses.</w:t>
      </w:r>
    </w:p>
    <w:p>
      <w:pPr>
        <w:pStyle w:val="Body A"/>
        <w:rPr>
          <w:rStyle w:val="None"/>
          <w:rFonts w:ascii="Arial" w:cs="Arial" w:hAnsi="Arial" w:eastAsia="Arial"/>
          <w:b w:val="1"/>
          <w:bCs w:val="1"/>
          <w:sz w:val="24"/>
          <w:szCs w:val="24"/>
          <w:lang w:val="de-DE"/>
        </w:rPr>
      </w:pPr>
      <w:r>
        <w:rPr>
          <w:rStyle w:val="None"/>
          <w:rFonts w:ascii="Arial" w:hAnsi="Arial"/>
          <w:b w:val="1"/>
          <w:bCs w:val="1"/>
          <w:sz w:val="24"/>
          <w:szCs w:val="24"/>
          <w:rtl w:val="0"/>
          <w:lang w:val="de-DE"/>
        </w:rPr>
        <w:t>Next Steps</w:t>
      </w:r>
    </w:p>
    <w:p>
      <w:pPr>
        <w:pStyle w:val="Body A"/>
        <w:rPr>
          <w:rStyle w:val="None"/>
          <w:rFonts w:ascii="Arial" w:cs="Arial" w:hAnsi="Arial" w:eastAsia="Arial"/>
          <w:sz w:val="24"/>
          <w:szCs w:val="24"/>
          <w:lang w:val="en-US"/>
        </w:rPr>
      </w:pPr>
      <w:r>
        <w:rPr>
          <w:rStyle w:val="None"/>
          <w:rFonts w:ascii="Arial" w:hAnsi="Arial"/>
          <w:sz w:val="24"/>
          <w:szCs w:val="24"/>
          <w:rtl w:val="0"/>
          <w:lang w:val="en-US"/>
        </w:rPr>
        <w:t>You next need to respond to Julie</w:t>
      </w:r>
      <w:r>
        <w:rPr>
          <w:rStyle w:val="None"/>
          <w:rFonts w:ascii="Arial" w:hAnsi="Arial" w:hint="default"/>
          <w:sz w:val="24"/>
          <w:szCs w:val="24"/>
          <w:rtl w:val="0"/>
          <w:lang w:val="en-US"/>
        </w:rPr>
        <w:t>’</w:t>
      </w:r>
      <w:r>
        <w:rPr>
          <w:rStyle w:val="None"/>
          <w:rFonts w:ascii="Arial" w:hAnsi="Arial"/>
          <w:sz w:val="24"/>
          <w:szCs w:val="24"/>
          <w:rtl w:val="0"/>
          <w:lang w:val="en-US"/>
        </w:rPr>
        <w:t>s e-mail and ask her to submit her request formally in writing, dated and stating it complies with (</w:t>
      </w:r>
      <w:r>
        <w:rPr>
          <w:rStyle w:val="None"/>
          <w:rFonts w:ascii="Arial" w:hAnsi="Arial"/>
          <w:i w:val="1"/>
          <w:iCs w:val="1"/>
          <w:sz w:val="24"/>
          <w:szCs w:val="24"/>
          <w:rtl w:val="0"/>
          <w:lang w:val="en-US"/>
        </w:rPr>
        <w:t>Section 80F of the Employment Rights Act 1996</w:t>
      </w:r>
      <w:r>
        <w:rPr>
          <w:rStyle w:val="None"/>
          <w:rFonts w:ascii="Arial" w:hAnsi="Arial"/>
          <w:sz w:val="24"/>
          <w:szCs w:val="24"/>
          <w:rtl w:val="0"/>
          <w:lang w:val="en-US"/>
        </w:rPr>
        <w:t xml:space="preserve">). The request also has to include the working hours she would like to adopt, what date she would like to start her new chosen working pattern. Finally, Julie will need to explain to you in writing why she feels the request will not impact your organisation. </w:t>
      </w:r>
    </w:p>
    <w:p>
      <w:pPr>
        <w:pStyle w:val="Body A"/>
        <w:rPr>
          <w:rStyle w:val="None"/>
          <w:rFonts w:ascii="Arial" w:cs="Arial" w:hAnsi="Arial" w:eastAsia="Arial"/>
          <w:sz w:val="24"/>
          <w:szCs w:val="24"/>
          <w:lang w:val="en-US"/>
        </w:rPr>
      </w:pPr>
      <w:r>
        <w:rPr>
          <w:rStyle w:val="None"/>
          <w:rFonts w:ascii="Arial" w:hAnsi="Arial"/>
          <w:sz w:val="24"/>
          <w:szCs w:val="24"/>
          <w:rtl w:val="0"/>
          <w:lang w:val="en-US"/>
        </w:rPr>
        <w:t>When you reply to Julie</w:t>
      </w:r>
      <w:r>
        <w:rPr>
          <w:rStyle w:val="None"/>
          <w:rFonts w:ascii="Arial" w:hAnsi="Arial" w:hint="default"/>
          <w:sz w:val="24"/>
          <w:szCs w:val="24"/>
          <w:rtl w:val="0"/>
          <w:lang w:val="en-US"/>
        </w:rPr>
        <w:t>’</w:t>
      </w:r>
      <w:r>
        <w:rPr>
          <w:rStyle w:val="None"/>
          <w:rFonts w:ascii="Arial" w:hAnsi="Arial"/>
          <w:sz w:val="24"/>
          <w:szCs w:val="24"/>
          <w:rtl w:val="0"/>
          <w:lang w:val="en-US"/>
        </w:rPr>
        <w:t>s e-mail, you can signpost her to the template available on the Gov.uk (2014) website that she could complete, which will capture all the details you need. I would also advise you check Julie</w:t>
      </w:r>
      <w:r>
        <w:rPr>
          <w:rStyle w:val="None"/>
          <w:rFonts w:ascii="Arial" w:hAnsi="Arial" w:hint="default"/>
          <w:sz w:val="24"/>
          <w:szCs w:val="24"/>
          <w:rtl w:val="0"/>
          <w:lang w:val="en-US"/>
        </w:rPr>
        <w:t>’</w:t>
      </w:r>
      <w:r>
        <w:rPr>
          <w:rStyle w:val="None"/>
          <w:rFonts w:ascii="Arial" w:hAnsi="Arial"/>
          <w:sz w:val="24"/>
          <w:szCs w:val="24"/>
          <w:rtl w:val="0"/>
          <w:lang w:val="en-US"/>
        </w:rPr>
        <w:t xml:space="preserve">s personnel file, to see if this is her first request, as only one is permitted within 12 months. </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Meeting with Julie</w:t>
      </w:r>
    </w:p>
    <w:p>
      <w:pPr>
        <w:pStyle w:val="Body A"/>
        <w:rPr>
          <w:rStyle w:val="None"/>
          <w:rFonts w:ascii="Arial" w:cs="Arial" w:hAnsi="Arial" w:eastAsia="Arial"/>
          <w:sz w:val="24"/>
          <w:szCs w:val="24"/>
          <w:lang w:val="en-US"/>
        </w:rPr>
      </w:pPr>
      <w:r>
        <w:rPr>
          <w:rStyle w:val="None"/>
          <w:rFonts w:ascii="Arial" w:hAnsi="Arial"/>
          <w:sz w:val="24"/>
          <w:szCs w:val="24"/>
          <w:rtl w:val="0"/>
          <w:lang w:val="en-US"/>
        </w:rPr>
        <w:t>Your e-mail suggests a reluctance to accept Julie</w:t>
      </w:r>
      <w:r>
        <w:rPr>
          <w:rStyle w:val="None"/>
          <w:rFonts w:ascii="Arial" w:hAnsi="Arial" w:hint="default"/>
          <w:sz w:val="24"/>
          <w:szCs w:val="24"/>
          <w:rtl w:val="0"/>
          <w:lang w:val="en-US"/>
        </w:rPr>
        <w:t>’</w:t>
      </w:r>
      <w:r>
        <w:rPr>
          <w:rStyle w:val="None"/>
          <w:rFonts w:ascii="Arial" w:hAnsi="Arial"/>
          <w:sz w:val="24"/>
          <w:szCs w:val="24"/>
          <w:rtl w:val="0"/>
          <w:lang w:val="en-US"/>
        </w:rPr>
        <w:t>s application, therefore I would suggest as soon as you receive the formal request, you arrange a meeting so that you can discuss things further. The meeting will provide Julie with the opportunity to put forward her rationale for the request and allow you to ask more information and assess the request</w:t>
      </w:r>
      <w:r>
        <w:rPr>
          <w:rStyle w:val="None"/>
          <w:rFonts w:ascii="Arial" w:hAnsi="Arial" w:hint="default"/>
          <w:sz w:val="24"/>
          <w:szCs w:val="24"/>
          <w:rtl w:val="0"/>
          <w:lang w:val="en-US"/>
        </w:rPr>
        <w:t>’</w:t>
      </w:r>
      <w:r>
        <w:rPr>
          <w:rStyle w:val="None"/>
          <w:rFonts w:ascii="Arial" w:hAnsi="Arial"/>
          <w:sz w:val="24"/>
          <w:szCs w:val="24"/>
          <w:rtl w:val="0"/>
          <w:lang w:val="en-US"/>
        </w:rPr>
        <w:t xml:space="preserve">s impact on the business. You must also offer Julie the option of bringing a colleague or trade union representative to the meeting (ACAS, 2014). </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Timescales for Flexible Working Decisions</w:t>
      </w:r>
    </w:p>
    <w:p>
      <w:pPr>
        <w:pStyle w:val="Body A"/>
        <w:rPr>
          <w:rStyle w:val="None"/>
          <w:rFonts w:ascii="Arial" w:cs="Arial" w:hAnsi="Arial" w:eastAsia="Arial"/>
          <w:sz w:val="24"/>
          <w:szCs w:val="24"/>
          <w:lang w:val="en-US"/>
        </w:rPr>
      </w:pPr>
      <w:r>
        <w:rPr>
          <w:rStyle w:val="None"/>
          <w:rFonts w:ascii="Arial" w:hAnsi="Arial"/>
          <w:sz w:val="24"/>
          <w:szCs w:val="24"/>
          <w:rtl w:val="0"/>
          <w:lang w:val="en-US"/>
        </w:rPr>
        <w:t>When you have received the completed form, you have three months to make a decision, although this period can be extended, if both you and Julie agree.</w:t>
      </w: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Process you will need to follow</w:t>
      </w:r>
    </w:p>
    <w:p>
      <w:pPr>
        <w:pStyle w:val="Body A"/>
        <w:rPr>
          <w:rStyle w:val="None"/>
          <w:rFonts w:ascii="Arial" w:cs="Arial" w:hAnsi="Arial" w:eastAsia="Arial"/>
          <w:sz w:val="24"/>
          <w:szCs w:val="24"/>
          <w:lang w:val="en-US"/>
        </w:rPr>
      </w:pPr>
      <w:r>
        <w:rPr>
          <w:rStyle w:val="None"/>
          <w:rFonts w:ascii="Arial" w:hAnsi="Arial"/>
          <w:sz w:val="24"/>
          <w:szCs w:val="24"/>
          <w:rtl w:val="0"/>
          <w:lang w:val="en-US"/>
        </w:rPr>
        <w:t>When you have received the flexible working request form, you need to comply with the following process (ACAS, 2014).</w:t>
      </w:r>
    </w:p>
    <w:p>
      <w:pPr>
        <w:pStyle w:val="List Paragraph"/>
        <w:numPr>
          <w:ilvl w:val="0"/>
          <w:numId w:val="12"/>
        </w:numPr>
        <w:bidi w:val="0"/>
        <w:ind w:right="0"/>
        <w:jc w:val="left"/>
        <w:rPr>
          <w:rFonts w:ascii="Arial" w:hAnsi="Arial"/>
          <w:sz w:val="24"/>
          <w:szCs w:val="24"/>
          <w:rtl w:val="0"/>
          <w:lang w:val="en-US"/>
        </w:rPr>
      </w:pPr>
      <w:r>
        <w:rPr>
          <w:rStyle w:val="None"/>
          <w:rFonts w:ascii="Arial" w:hAnsi="Arial"/>
          <w:sz w:val="24"/>
          <w:szCs w:val="24"/>
          <w:rtl w:val="0"/>
          <w:lang w:val="en-US"/>
        </w:rPr>
        <w:t>Initial hearing</w:t>
      </w:r>
    </w:p>
    <w:p>
      <w:pPr>
        <w:pStyle w:val="List Paragraph"/>
        <w:numPr>
          <w:ilvl w:val="0"/>
          <w:numId w:val="12"/>
        </w:numPr>
        <w:bidi w:val="0"/>
        <w:ind w:right="0"/>
        <w:jc w:val="left"/>
        <w:rPr>
          <w:rFonts w:ascii="Arial" w:hAnsi="Arial"/>
          <w:sz w:val="24"/>
          <w:szCs w:val="24"/>
          <w:rtl w:val="0"/>
          <w:lang w:val="en-US"/>
        </w:rPr>
      </w:pPr>
      <w:r>
        <w:rPr>
          <w:rStyle w:val="None"/>
          <w:rFonts w:ascii="Arial" w:hAnsi="Arial"/>
          <w:sz w:val="24"/>
          <w:szCs w:val="24"/>
          <w:rtl w:val="0"/>
          <w:lang w:val="en-US"/>
        </w:rPr>
        <w:t>Initial discussion</w:t>
      </w:r>
    </w:p>
    <w:p>
      <w:pPr>
        <w:pStyle w:val="List Paragraph"/>
        <w:numPr>
          <w:ilvl w:val="0"/>
          <w:numId w:val="12"/>
        </w:numPr>
        <w:bidi w:val="0"/>
        <w:ind w:right="0"/>
        <w:jc w:val="left"/>
        <w:rPr>
          <w:rFonts w:ascii="Arial" w:hAnsi="Arial"/>
          <w:sz w:val="24"/>
          <w:szCs w:val="24"/>
          <w:rtl w:val="0"/>
          <w:lang w:val="en-US"/>
        </w:rPr>
      </w:pPr>
      <w:r>
        <w:rPr>
          <w:rStyle w:val="None"/>
          <w:rFonts w:ascii="Arial" w:hAnsi="Arial"/>
          <w:sz w:val="24"/>
          <w:szCs w:val="24"/>
          <w:rtl w:val="0"/>
          <w:lang w:val="en-US"/>
        </w:rPr>
        <w:t>Outcome letter</w:t>
      </w:r>
    </w:p>
    <w:p>
      <w:pPr>
        <w:pStyle w:val="List Paragraph"/>
        <w:numPr>
          <w:ilvl w:val="0"/>
          <w:numId w:val="12"/>
        </w:numPr>
        <w:bidi w:val="0"/>
        <w:ind w:right="0"/>
        <w:jc w:val="left"/>
        <w:rPr>
          <w:rFonts w:ascii="Arial" w:hAnsi="Arial"/>
          <w:sz w:val="24"/>
          <w:szCs w:val="24"/>
          <w:rtl w:val="0"/>
          <w:lang w:val="en-US"/>
        </w:rPr>
      </w:pPr>
      <w:r>
        <w:rPr>
          <w:rStyle w:val="None"/>
          <w:rFonts w:ascii="Arial" w:hAnsi="Arial"/>
          <w:sz w:val="24"/>
          <w:szCs w:val="24"/>
          <w:rtl w:val="0"/>
          <w:lang w:val="en-US"/>
        </w:rPr>
        <w:t>Right to appeal</w:t>
      </w:r>
    </w:p>
    <w:p>
      <w:pPr>
        <w:pStyle w:val="List Paragraph"/>
        <w:numPr>
          <w:ilvl w:val="0"/>
          <w:numId w:val="12"/>
        </w:numPr>
        <w:bidi w:val="0"/>
        <w:ind w:right="0"/>
        <w:jc w:val="left"/>
        <w:rPr>
          <w:rFonts w:ascii="Arial" w:hAnsi="Arial"/>
          <w:sz w:val="24"/>
          <w:szCs w:val="24"/>
          <w:rtl w:val="0"/>
          <w:lang w:val="en-US"/>
        </w:rPr>
      </w:pPr>
      <w:r>
        <w:rPr>
          <w:rStyle w:val="None"/>
          <w:rFonts w:ascii="Arial" w:hAnsi="Arial"/>
          <w:sz w:val="24"/>
          <w:szCs w:val="24"/>
          <w:rtl w:val="0"/>
          <w:lang w:val="en-US"/>
        </w:rPr>
        <w:t>Appeal hearing</w:t>
      </w:r>
    </w:p>
    <w:p>
      <w:pPr>
        <w:pStyle w:val="Body A"/>
      </w:pPr>
    </w:p>
    <w:p>
      <w:pPr>
        <w:pStyle w:val="Body A"/>
      </w:pP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Roles within the process</w:t>
      </w:r>
    </w:p>
    <w:p>
      <w:pPr>
        <w:pStyle w:val="Body A"/>
        <w:rPr>
          <w:rStyle w:val="None"/>
          <w:rFonts w:ascii="Arial" w:cs="Arial" w:hAnsi="Arial" w:eastAsia="Arial"/>
          <w:sz w:val="24"/>
          <w:szCs w:val="24"/>
          <w:lang w:val="en-US"/>
        </w:rPr>
      </w:pPr>
      <w:r>
        <w:rPr>
          <w:rStyle w:val="None"/>
          <w:rFonts w:ascii="Arial" w:hAnsi="Arial"/>
          <w:sz w:val="24"/>
          <w:szCs w:val="24"/>
          <w:rtl w:val="0"/>
          <w:lang w:val="en-US"/>
        </w:rPr>
        <w:t xml:space="preserve">It is critical to consider roles within the process and I advise you to assign the other elements of the process, to allow you to conduct the appeal, if it is needed. </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b w:val="1"/>
          <w:bCs w:val="1"/>
          <w:sz w:val="24"/>
          <w:szCs w:val="24"/>
          <w:lang w:val="de-DE"/>
        </w:rPr>
      </w:pPr>
      <w:r>
        <w:rPr>
          <w:rStyle w:val="None"/>
          <w:rFonts w:ascii="Arial" w:hAnsi="Arial"/>
          <w:b w:val="1"/>
          <w:bCs w:val="1"/>
          <w:sz w:val="24"/>
          <w:szCs w:val="24"/>
          <w:rtl w:val="0"/>
          <w:lang w:val="de-DE"/>
        </w:rPr>
        <w:t>Next Steps</w:t>
      </w:r>
    </w:p>
    <w:p>
      <w:pPr>
        <w:pStyle w:val="Body A"/>
        <w:rPr>
          <w:rStyle w:val="None"/>
          <w:rFonts w:ascii="Arial" w:cs="Arial" w:hAnsi="Arial" w:eastAsia="Arial"/>
          <w:sz w:val="24"/>
          <w:szCs w:val="24"/>
          <w:lang w:val="en-US"/>
        </w:rPr>
      </w:pPr>
      <w:r>
        <w:rPr>
          <w:rStyle w:val="None"/>
          <w:rFonts w:ascii="Arial" w:hAnsi="Arial"/>
          <w:sz w:val="24"/>
          <w:szCs w:val="24"/>
          <w:rtl w:val="0"/>
          <w:lang w:val="en-US"/>
        </w:rPr>
        <w:t>The line manager needs to arrange a meeting with Julie, to discuss her request and the detail provided on the form. During the meeting the following points will need to be discussed.</w:t>
      </w:r>
    </w:p>
    <w:p>
      <w:pPr>
        <w:pStyle w:val="List Paragraph"/>
        <w:numPr>
          <w:ilvl w:val="0"/>
          <w:numId w:val="14"/>
        </w:numPr>
        <w:bidi w:val="0"/>
        <w:ind w:right="0"/>
        <w:jc w:val="left"/>
        <w:rPr>
          <w:rFonts w:ascii="Arial" w:hAnsi="Arial"/>
          <w:sz w:val="24"/>
          <w:szCs w:val="24"/>
          <w:rtl w:val="0"/>
          <w:lang w:val="en-US"/>
        </w:rPr>
      </w:pPr>
      <w:r>
        <w:rPr>
          <w:rStyle w:val="None"/>
          <w:rFonts w:ascii="Arial" w:hAnsi="Arial"/>
          <w:sz w:val="24"/>
          <w:szCs w:val="24"/>
          <w:rtl w:val="0"/>
          <w:lang w:val="en-US"/>
        </w:rPr>
        <w:t xml:space="preserve"> Julie</w:t>
      </w:r>
      <w:r>
        <w:rPr>
          <w:rStyle w:val="None"/>
          <w:rFonts w:ascii="Arial" w:hAnsi="Arial" w:hint="default"/>
          <w:sz w:val="24"/>
          <w:szCs w:val="24"/>
          <w:rtl w:val="0"/>
          <w:lang w:val="en-US"/>
        </w:rPr>
        <w:t>’</w:t>
      </w:r>
      <w:r>
        <w:rPr>
          <w:rStyle w:val="None"/>
          <w:rFonts w:ascii="Arial" w:hAnsi="Arial"/>
          <w:sz w:val="24"/>
          <w:szCs w:val="24"/>
          <w:rtl w:val="0"/>
          <w:lang w:val="en-US"/>
        </w:rPr>
        <w:t>s Home Working on a Monday and Friday request</w:t>
      </w:r>
    </w:p>
    <w:p>
      <w:pPr>
        <w:pStyle w:val="Body A"/>
        <w:rPr>
          <w:rStyle w:val="None"/>
          <w:rFonts w:ascii="Arial" w:cs="Arial" w:hAnsi="Arial" w:eastAsia="Arial"/>
          <w:sz w:val="24"/>
          <w:szCs w:val="24"/>
          <w:lang w:val="en-US"/>
        </w:rPr>
      </w:pPr>
      <w:r>
        <w:rPr>
          <w:rStyle w:val="None"/>
          <w:rFonts w:ascii="Arial" w:hAnsi="Arial"/>
          <w:sz w:val="24"/>
          <w:szCs w:val="24"/>
          <w:rtl w:val="0"/>
          <w:lang w:val="en-US"/>
        </w:rPr>
        <w:t>Your challenge that Julie will not have intercommunication with the rest of the team and that she will be working unsupervised is weak. Julie will be able to interact with her team successfully virtually and face to face with her colleagues for the remaining days. Julie has been working from home during lockdown, for the last year. If no issues had been raised around capability and conduct in that period, there should be no reason why you shouldn</w:t>
      </w:r>
      <w:r>
        <w:rPr>
          <w:rStyle w:val="None"/>
          <w:rFonts w:ascii="Arial" w:hAnsi="Arial" w:hint="default"/>
          <w:sz w:val="24"/>
          <w:szCs w:val="24"/>
          <w:rtl w:val="0"/>
          <w:lang w:val="en-US"/>
        </w:rPr>
        <w:t>’</w:t>
      </w:r>
      <w:r>
        <w:rPr>
          <w:rStyle w:val="None"/>
          <w:rFonts w:ascii="Arial" w:hAnsi="Arial"/>
          <w:sz w:val="24"/>
          <w:szCs w:val="24"/>
          <w:rtl w:val="0"/>
          <w:lang w:val="en-US"/>
        </w:rPr>
        <w:t>t agree this element. Furthermore, Julie has been working unsupervised for the last year. If you turn this element down, with no grounds, you could be perceived a demanding presenteeism, which can have negative impact on staff wellbeing (CIPD, 2021). I would advise you consider agreeing this element, unless you have a legitimate business reason to turn it down. An example of case law where an employer had a genuine business reason to turn a flexible working request down was the (</w:t>
      </w:r>
      <w:r>
        <w:rPr>
          <w:rStyle w:val="None"/>
          <w:rFonts w:ascii="Arial" w:hAnsi="Arial" w:hint="default"/>
          <w:sz w:val="24"/>
          <w:szCs w:val="24"/>
          <w:rtl w:val="0"/>
          <w:lang w:val="en-US"/>
        </w:rPr>
        <w:t>‘</w:t>
      </w:r>
      <w:r>
        <w:rPr>
          <w:rStyle w:val="None"/>
          <w:rFonts w:ascii="Arial" w:hAnsi="Arial"/>
          <w:sz w:val="24"/>
          <w:szCs w:val="24"/>
          <w:rtl w:val="0"/>
          <w:lang w:val="en-US"/>
        </w:rPr>
        <w:t>Whiteman v CPS Interiors Ltd and others</w:t>
      </w:r>
      <w:r>
        <w:rPr>
          <w:rStyle w:val="None"/>
          <w:rFonts w:ascii="Arial" w:hAnsi="Arial" w:hint="default"/>
          <w:sz w:val="24"/>
          <w:szCs w:val="24"/>
          <w:rtl w:val="0"/>
          <w:lang w:val="en-US"/>
        </w:rPr>
        <w:t>’</w:t>
      </w:r>
      <w:r>
        <w:rPr>
          <w:rStyle w:val="None"/>
          <w:rFonts w:ascii="Arial" w:hAnsi="Arial"/>
          <w:sz w:val="24"/>
          <w:szCs w:val="24"/>
          <w:rtl w:val="0"/>
          <w:lang w:val="en-US"/>
        </w:rPr>
        <w:t>, 2015). In this instance the employees</w:t>
      </w:r>
      <w:r>
        <w:rPr>
          <w:rStyle w:val="None"/>
          <w:rFonts w:ascii="Arial" w:hAnsi="Arial" w:hint="default"/>
          <w:sz w:val="24"/>
          <w:szCs w:val="24"/>
          <w:rtl w:val="0"/>
          <w:lang w:val="en-US"/>
        </w:rPr>
        <w:t xml:space="preserve">’ </w:t>
      </w:r>
      <w:r>
        <w:rPr>
          <w:rStyle w:val="None"/>
          <w:rFonts w:ascii="Arial" w:hAnsi="Arial"/>
          <w:sz w:val="24"/>
          <w:szCs w:val="24"/>
          <w:rtl w:val="0"/>
          <w:lang w:val="en-US"/>
        </w:rPr>
        <w:t xml:space="preserve">specific role of collaborative interior design work, would have proven difficult to be carried out at home and therefore the request was refused and the appeal dismissed by the ET. </w:t>
      </w:r>
    </w:p>
    <w:p>
      <w:pPr>
        <w:pStyle w:val="Body A"/>
        <w:rPr>
          <w:rStyle w:val="None"/>
          <w:rFonts w:ascii="Arial" w:cs="Arial" w:hAnsi="Arial" w:eastAsia="Arial"/>
          <w:sz w:val="24"/>
          <w:szCs w:val="24"/>
        </w:rPr>
      </w:pPr>
    </w:p>
    <w:p>
      <w:pPr>
        <w:pStyle w:val="List Paragraph"/>
        <w:numPr>
          <w:ilvl w:val="0"/>
          <w:numId w:val="14"/>
        </w:numPr>
        <w:bidi w:val="0"/>
        <w:ind w:right="0"/>
        <w:jc w:val="left"/>
        <w:rPr>
          <w:rFonts w:ascii="Arial" w:hAnsi="Arial"/>
          <w:sz w:val="24"/>
          <w:szCs w:val="24"/>
          <w:rtl w:val="0"/>
          <w:lang w:val="en-US"/>
        </w:rPr>
      </w:pPr>
      <w:r>
        <w:rPr>
          <w:rStyle w:val="None"/>
          <w:rFonts w:ascii="Arial" w:hAnsi="Arial"/>
          <w:sz w:val="24"/>
          <w:szCs w:val="24"/>
          <w:rtl w:val="0"/>
          <w:lang w:val="en-US"/>
        </w:rPr>
        <w:t>Julie</w:t>
      </w:r>
      <w:r>
        <w:rPr>
          <w:rStyle w:val="None"/>
          <w:rFonts w:ascii="Arial" w:hAnsi="Arial" w:hint="default"/>
          <w:sz w:val="24"/>
          <w:szCs w:val="24"/>
          <w:rtl w:val="0"/>
          <w:lang w:val="en-US"/>
        </w:rPr>
        <w:t>’</w:t>
      </w:r>
      <w:r>
        <w:rPr>
          <w:rStyle w:val="None"/>
          <w:rFonts w:ascii="Arial" w:hAnsi="Arial"/>
          <w:sz w:val="24"/>
          <w:szCs w:val="24"/>
          <w:rtl w:val="0"/>
          <w:lang w:val="en-US"/>
        </w:rPr>
        <w:t>s Change of Hours request</w:t>
      </w:r>
    </w:p>
    <w:p>
      <w:pPr>
        <w:pStyle w:val="Body A"/>
        <w:rPr>
          <w:rStyle w:val="None"/>
          <w:rFonts w:ascii="Arial" w:cs="Arial" w:hAnsi="Arial" w:eastAsia="Arial"/>
          <w:sz w:val="24"/>
          <w:szCs w:val="24"/>
          <w:lang w:val="en-US"/>
        </w:rPr>
      </w:pPr>
      <w:r>
        <w:rPr>
          <w:rStyle w:val="None"/>
          <w:rFonts w:ascii="Arial" w:hAnsi="Arial"/>
          <w:sz w:val="24"/>
          <w:szCs w:val="24"/>
          <w:rtl w:val="0"/>
          <w:lang w:val="en-US"/>
        </w:rPr>
        <w:t>If you are not in a position to take on additional staff to cover this element of the request, this would be considered as a genuine business reason to turn this part down. Also, distributing Julie</w:t>
      </w:r>
      <w:r>
        <w:rPr>
          <w:rStyle w:val="None"/>
          <w:rFonts w:ascii="Arial" w:hAnsi="Arial" w:hint="default"/>
          <w:sz w:val="24"/>
          <w:szCs w:val="24"/>
          <w:rtl w:val="0"/>
          <w:lang w:val="en-US"/>
        </w:rPr>
        <w:t>’</w:t>
      </w:r>
      <w:r>
        <w:rPr>
          <w:rStyle w:val="None"/>
          <w:rFonts w:ascii="Arial" w:hAnsi="Arial"/>
          <w:sz w:val="24"/>
          <w:szCs w:val="24"/>
          <w:rtl w:val="0"/>
          <w:lang w:val="en-US"/>
        </w:rPr>
        <w:t xml:space="preserve">s work to your other staff, could potentially place additional strain on them, which can be considered as another legitimate business reason to turn the request down. </w:t>
      </w:r>
    </w:p>
    <w:p>
      <w:pPr>
        <w:pStyle w:val="Body A"/>
        <w:rPr>
          <w:rStyle w:val="None"/>
          <w:rFonts w:ascii="Arial" w:cs="Arial" w:hAnsi="Arial" w:eastAsia="Arial"/>
          <w:sz w:val="24"/>
          <w:szCs w:val="24"/>
          <w:lang w:val="en-US"/>
        </w:rPr>
      </w:pPr>
      <w:r>
        <w:rPr>
          <w:rStyle w:val="None"/>
          <w:rFonts w:ascii="Arial" w:hAnsi="Arial"/>
          <w:sz w:val="24"/>
          <w:szCs w:val="24"/>
          <w:rtl w:val="0"/>
          <w:lang w:val="en-US"/>
        </w:rPr>
        <w:t xml:space="preserve">Another reason for turning this element down, is if you will not have cover after 3.00.p.m. </w:t>
      </w:r>
    </w:p>
    <w:p>
      <w:pPr>
        <w:pStyle w:val="Body A"/>
        <w:rPr>
          <w:rStyle w:val="None"/>
          <w:rFonts w:ascii="Arial" w:cs="Arial" w:hAnsi="Arial" w:eastAsia="Arial"/>
          <w:sz w:val="24"/>
          <w:szCs w:val="24"/>
        </w:rPr>
      </w:pPr>
      <w:r>
        <w:rPr>
          <w:rStyle w:val="None"/>
          <w:rFonts w:ascii="Arial" w:hAnsi="Arial"/>
          <w:sz w:val="24"/>
          <w:szCs w:val="24"/>
          <w:rtl w:val="0"/>
          <w:lang w:val="en-US"/>
        </w:rPr>
        <w:t>Also, you have to be mindful of turning this element down, as Julie</w:t>
      </w:r>
      <w:r>
        <w:rPr>
          <w:rStyle w:val="None"/>
          <w:rFonts w:ascii="Arial" w:hAnsi="Arial" w:hint="default"/>
          <w:sz w:val="24"/>
          <w:szCs w:val="24"/>
          <w:rtl w:val="0"/>
          <w:lang w:val="en-US"/>
        </w:rPr>
        <w:t>’</w:t>
      </w:r>
      <w:r>
        <w:rPr>
          <w:rStyle w:val="None"/>
          <w:rFonts w:ascii="Arial" w:hAnsi="Arial"/>
          <w:sz w:val="24"/>
          <w:szCs w:val="24"/>
          <w:rtl w:val="0"/>
          <w:lang w:val="en-US"/>
        </w:rPr>
        <w:t>s Mother is disabled and therefore the Associated Disability Discrimination Act comes into play.</w:t>
      </w:r>
      <w:r>
        <w:rPr>
          <w:rStyle w:val="None"/>
          <w:rFonts w:ascii="Arial" w:hAnsi="Arial"/>
          <w:b w:val="1"/>
          <w:bCs w:val="1"/>
          <w:sz w:val="24"/>
          <w:szCs w:val="24"/>
          <w:rtl w:val="0"/>
          <w:lang w:val="fr-FR"/>
        </w:rPr>
        <w:t xml:space="preserve"> </w:t>
      </w:r>
      <w:r>
        <w:rPr>
          <w:rStyle w:val="None"/>
          <w:rFonts w:ascii="Arial" w:hAnsi="Arial"/>
          <w:sz w:val="24"/>
          <w:szCs w:val="24"/>
          <w:rtl w:val="0"/>
          <w:lang w:val="en-US"/>
        </w:rPr>
        <w:t>An example of case law where the Tribunal found there were no evidence as to why the flexible working couldn</w:t>
      </w:r>
      <w:r>
        <w:rPr>
          <w:rStyle w:val="None"/>
          <w:rFonts w:ascii="Arial" w:hAnsi="Arial" w:hint="default"/>
          <w:sz w:val="24"/>
          <w:szCs w:val="24"/>
          <w:rtl w:val="0"/>
          <w:lang w:val="en-US"/>
        </w:rPr>
        <w:t>’</w:t>
      </w:r>
      <w:r>
        <w:rPr>
          <w:rStyle w:val="None"/>
          <w:rFonts w:ascii="Arial" w:hAnsi="Arial"/>
          <w:sz w:val="24"/>
          <w:szCs w:val="24"/>
          <w:rtl w:val="0"/>
          <w:lang w:val="en-US"/>
        </w:rPr>
        <w:t>t be accommodated, is the case of (</w:t>
      </w:r>
      <w:r>
        <w:rPr>
          <w:rStyle w:val="None"/>
          <w:rFonts w:ascii="Arial" w:hAnsi="Arial" w:hint="default"/>
          <w:sz w:val="24"/>
          <w:szCs w:val="24"/>
          <w:rtl w:val="0"/>
          <w:lang w:val="en-US"/>
        </w:rPr>
        <w:t>‘</w:t>
      </w:r>
      <w:r>
        <w:rPr>
          <w:rStyle w:val="None"/>
          <w:rFonts w:ascii="Arial" w:hAnsi="Arial"/>
          <w:sz w:val="24"/>
          <w:szCs w:val="24"/>
          <w:rtl w:val="0"/>
          <w:lang w:val="en-US"/>
        </w:rPr>
        <w:t>Pullen v Neovia Logistics</w:t>
      </w:r>
      <w:r>
        <w:rPr>
          <w:rStyle w:val="None"/>
          <w:rFonts w:ascii="Arial" w:hAnsi="Arial" w:hint="default"/>
          <w:sz w:val="24"/>
          <w:szCs w:val="24"/>
          <w:rtl w:val="0"/>
          <w:lang w:val="en-US"/>
        </w:rPr>
        <w:t>’</w:t>
      </w:r>
      <w:r>
        <w:rPr>
          <w:rStyle w:val="None"/>
          <w:rFonts w:ascii="Arial" w:hAnsi="Arial"/>
          <w:sz w:val="24"/>
          <w:szCs w:val="24"/>
          <w:rtl w:val="0"/>
          <w:lang w:val="en-US"/>
        </w:rPr>
        <w:t>, 2021). The ET found that the employees</w:t>
      </w:r>
      <w:r>
        <w:rPr>
          <w:rStyle w:val="None"/>
          <w:rFonts w:ascii="Arial" w:hAnsi="Arial" w:hint="default"/>
          <w:sz w:val="24"/>
          <w:szCs w:val="24"/>
          <w:rtl w:val="0"/>
          <w:lang w:val="en-US"/>
        </w:rPr>
        <w:t xml:space="preserve">’ </w:t>
      </w:r>
      <w:r>
        <w:rPr>
          <w:rStyle w:val="None"/>
          <w:rFonts w:ascii="Arial" w:hAnsi="Arial"/>
          <w:sz w:val="24"/>
          <w:szCs w:val="24"/>
          <w:rtl w:val="0"/>
          <w:lang w:val="en-US"/>
        </w:rPr>
        <w:t>flexible working request was denied on the basis on incorrect information,</w:t>
      </w:r>
      <w:r>
        <w:rPr>
          <w:rStyle w:val="None"/>
          <w:rFonts w:ascii="Arial" w:hAnsi="Arial"/>
          <w:b w:val="1"/>
          <w:bCs w:val="1"/>
          <w:sz w:val="24"/>
          <w:szCs w:val="24"/>
          <w:rtl w:val="0"/>
          <w:lang w:val="fr-FR"/>
        </w:rPr>
        <w:t xml:space="preserve"> </w:t>
      </w:r>
      <w:r>
        <w:rPr>
          <w:rStyle w:val="None"/>
          <w:rFonts w:ascii="Arial" w:hAnsi="Arial"/>
          <w:sz w:val="24"/>
          <w:szCs w:val="24"/>
          <w:rtl w:val="0"/>
          <w:lang w:val="en-US"/>
        </w:rPr>
        <w:t>a claim of indirect discrimination due to the fact that she needed to care for her daughter who had a disability. With the protected characteristic being sex, applicable to section 19 of the (</w:t>
      </w:r>
      <w:r>
        <w:rPr>
          <w:rStyle w:val="None"/>
          <w:rFonts w:ascii="Arial" w:hAnsi="Arial"/>
          <w:i w:val="1"/>
          <w:iCs w:val="1"/>
          <w:sz w:val="24"/>
          <w:szCs w:val="24"/>
          <w:rtl w:val="0"/>
          <w:lang w:val="en-US"/>
        </w:rPr>
        <w:t>Equality Act 2010</w:t>
      </w:r>
      <w:r>
        <w:rPr>
          <w:rStyle w:val="None"/>
          <w:rFonts w:ascii="Arial" w:hAnsi="Arial"/>
          <w:sz w:val="24"/>
          <w:szCs w:val="24"/>
          <w:rtl w:val="0"/>
          <w:lang w:val="fr-FR"/>
        </w:rPr>
        <w:t xml:space="preserve">). </w:t>
      </w:r>
    </w:p>
    <w:p>
      <w:pPr>
        <w:pStyle w:val="Body A"/>
        <w:rPr>
          <w:rStyle w:val="None"/>
          <w:rFonts w:ascii="Arial" w:cs="Arial" w:hAnsi="Arial" w:eastAsia="Arial"/>
          <w:b w:val="1"/>
          <w:bCs w:val="1"/>
          <w:sz w:val="24"/>
          <w:szCs w:val="24"/>
        </w:rPr>
      </w:pPr>
      <w:r>
        <w:rPr>
          <w:rStyle w:val="None"/>
          <w:rFonts w:ascii="Arial" w:hAnsi="Arial"/>
          <w:b w:val="1"/>
          <w:bCs w:val="1"/>
          <w:sz w:val="24"/>
          <w:szCs w:val="24"/>
          <w:rtl w:val="0"/>
          <w:lang w:val="fr-FR"/>
        </w:rPr>
        <w:t>Risks</w:t>
      </w:r>
    </w:p>
    <w:p>
      <w:pPr>
        <w:pStyle w:val="Body A"/>
        <w:rPr>
          <w:rStyle w:val="None"/>
          <w:rFonts w:ascii="Arial" w:cs="Arial" w:hAnsi="Arial" w:eastAsia="Arial"/>
          <w:sz w:val="24"/>
          <w:szCs w:val="24"/>
        </w:rPr>
      </w:pPr>
      <w:r>
        <w:rPr>
          <w:rStyle w:val="None"/>
          <w:rFonts w:ascii="Arial" w:hAnsi="Arial"/>
          <w:sz w:val="24"/>
          <w:szCs w:val="24"/>
          <w:rtl w:val="0"/>
          <w:lang w:val="fr-FR"/>
        </w:rPr>
        <w:t>If you decide to turn down either of the two requests, there is a risk of Julie making a sex discrimination claim, which falls under the (Sex Discrimination Act, 1995). This law is in place to protect Julie in the workplace and ensures that she receives equal treament to men, in circumstances where there is care needed for her daughter. Julie shouldn</w:t>
      </w:r>
      <w:r>
        <w:rPr>
          <w:rStyle w:val="None"/>
          <w:rFonts w:ascii="Arial" w:hAnsi="Arial" w:hint="default"/>
          <w:sz w:val="24"/>
          <w:szCs w:val="24"/>
          <w:rtl w:val="0"/>
          <w:lang w:val="fr-FR"/>
        </w:rPr>
        <w:t>’</w:t>
      </w:r>
      <w:r>
        <w:rPr>
          <w:rStyle w:val="None"/>
          <w:rFonts w:ascii="Arial" w:hAnsi="Arial"/>
          <w:sz w:val="24"/>
          <w:szCs w:val="24"/>
          <w:rtl w:val="0"/>
          <w:lang w:val="fr-FR"/>
        </w:rPr>
        <w:t xml:space="preserve">t be treated less favourably because of her caring responsibilities. </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sz w:val="24"/>
          <w:szCs w:val="24"/>
          <w:lang w:val="en-US"/>
        </w:rPr>
      </w:pPr>
      <w:r>
        <w:rPr>
          <w:rStyle w:val="None"/>
          <w:rFonts w:ascii="Arial" w:hAnsi="Arial"/>
          <w:sz w:val="24"/>
          <w:szCs w:val="24"/>
          <w:rtl w:val="0"/>
          <w:lang w:val="en-US"/>
        </w:rPr>
        <w:t>.</w:t>
      </w:r>
    </w:p>
    <w:p>
      <w:pPr>
        <w:pStyle w:val="Body B"/>
        <w:rPr>
          <w:rStyle w:val="None"/>
          <w:rFonts w:ascii="Arial" w:cs="Arial" w:hAnsi="Arial" w:eastAsia="Arial"/>
          <w:b w:val="1"/>
          <w:bCs w:val="1"/>
        </w:rPr>
      </w:pPr>
      <w:r>
        <w:rPr>
          <w:rStyle w:val="None"/>
          <w:rFonts w:ascii="Arial" w:hAnsi="Arial"/>
          <w:b w:val="1"/>
          <w:bCs w:val="1"/>
          <w:rtl w:val="0"/>
          <w:lang w:val="en-US"/>
        </w:rPr>
        <w:t xml:space="preserve">Impact on Contract  </w:t>
      </w:r>
    </w:p>
    <w:p>
      <w:pPr>
        <w:pStyle w:val="Body B"/>
        <w:rPr>
          <w:rStyle w:val="None"/>
          <w:rFonts w:ascii="Arial" w:cs="Arial" w:hAnsi="Arial" w:eastAsia="Arial"/>
          <w:b w:val="1"/>
          <w:bCs w:val="1"/>
        </w:rPr>
      </w:pPr>
    </w:p>
    <w:p>
      <w:pPr>
        <w:pStyle w:val="Body B"/>
        <w:rPr>
          <w:rStyle w:val="None"/>
          <w:rFonts w:ascii="Arial" w:cs="Arial" w:hAnsi="Arial" w:eastAsia="Arial"/>
        </w:rPr>
      </w:pPr>
      <w:r>
        <w:rPr>
          <w:rStyle w:val="None"/>
          <w:rFonts w:ascii="Arial" w:hAnsi="Arial"/>
          <w:rtl w:val="0"/>
          <w:lang w:val="en-US"/>
        </w:rPr>
        <w:t>If you decide to agree on any element, flexible working requests are considered a legal change to Julie</w:t>
      </w:r>
      <w:r>
        <w:rPr>
          <w:rStyle w:val="None"/>
          <w:rFonts w:ascii="Arial" w:hAnsi="Arial" w:hint="default"/>
          <w:rtl w:val="0"/>
          <w:lang w:val="en-US"/>
        </w:rPr>
        <w:t>’</w:t>
      </w:r>
      <w:r>
        <w:rPr>
          <w:rStyle w:val="None"/>
          <w:rFonts w:ascii="Arial" w:hAnsi="Arial"/>
          <w:rtl w:val="0"/>
          <w:lang w:val="en-US"/>
        </w:rPr>
        <w:t>s contract (CIPD, 2021). It is also worth contemplating whether Julie has considered different options to cover her role, like job share. Such as in the (</w:t>
      </w:r>
      <w:r>
        <w:rPr>
          <w:rStyle w:val="None"/>
          <w:rFonts w:ascii="Arial" w:hAnsi="Arial" w:hint="default"/>
          <w:rtl w:val="0"/>
          <w:lang w:val="en-US"/>
        </w:rPr>
        <w:t>‘</w:t>
      </w:r>
      <w:r>
        <w:rPr>
          <w:rStyle w:val="None"/>
          <w:rFonts w:ascii="Arial" w:hAnsi="Arial"/>
          <w:rtl w:val="0"/>
          <w:lang w:val="en-US"/>
        </w:rPr>
        <w:t>XC Trains Ltd v CD and ASLEF</w:t>
      </w:r>
      <w:r>
        <w:rPr>
          <w:rStyle w:val="None"/>
          <w:rFonts w:ascii="Arial" w:hAnsi="Arial" w:hint="default"/>
          <w:rtl w:val="0"/>
          <w:lang w:val="en-US"/>
        </w:rPr>
        <w:t>’</w:t>
      </w:r>
      <w:r>
        <w:rPr>
          <w:rStyle w:val="None"/>
          <w:rFonts w:ascii="Arial" w:hAnsi="Arial"/>
          <w:rtl w:val="0"/>
          <w:lang w:val="en-US"/>
        </w:rPr>
        <w:t>, 2016) case, where the ET identified that not allowing a single mother employee to make a flexible working request, and it was considered indirect sex discrimination. Thus implicating the employer to think outside the box, at different ways of covering shifts (ACAS, 2021; NatLawreview, 2016).</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List Paragraph"/>
        <w:numPr>
          <w:ilvl w:val="0"/>
          <w:numId w:val="14"/>
        </w:numPr>
        <w:bidi w:val="0"/>
        <w:ind w:right="0"/>
        <w:jc w:val="left"/>
        <w:rPr>
          <w:rFonts w:ascii="Arial" w:hAnsi="Arial"/>
          <w:sz w:val="24"/>
          <w:szCs w:val="24"/>
          <w:rtl w:val="0"/>
          <w:lang w:val="en-US"/>
        </w:rPr>
      </w:pPr>
      <w:r>
        <w:rPr>
          <w:rStyle w:val="None"/>
          <w:rFonts w:ascii="Arial" w:hAnsi="Arial"/>
          <w:sz w:val="24"/>
          <w:szCs w:val="24"/>
          <w:rtl w:val="0"/>
          <w:lang w:val="en-US"/>
        </w:rPr>
        <w:t>Lunch Breaks</w:t>
      </w:r>
    </w:p>
    <w:p>
      <w:pPr>
        <w:pStyle w:val="List Paragraph"/>
        <w:rPr>
          <w:rStyle w:val="None"/>
          <w:rFonts w:ascii="Arial" w:cs="Arial" w:hAnsi="Arial" w:eastAsia="Arial"/>
          <w:sz w:val="24"/>
          <w:szCs w:val="24"/>
        </w:rPr>
      </w:pPr>
    </w:p>
    <w:p>
      <w:pPr>
        <w:pStyle w:val="Body A"/>
        <w:rPr>
          <w:rStyle w:val="None"/>
          <w:rFonts w:ascii="Arial" w:cs="Arial" w:hAnsi="Arial" w:eastAsia="Arial"/>
          <w:sz w:val="24"/>
          <w:szCs w:val="24"/>
          <w:lang w:val="en-US"/>
        </w:rPr>
      </w:pPr>
      <w:r>
        <w:rPr>
          <w:rStyle w:val="None"/>
          <w:rFonts w:ascii="Arial" w:hAnsi="Arial"/>
          <w:sz w:val="24"/>
          <w:szCs w:val="24"/>
          <w:rtl w:val="0"/>
          <w:lang w:val="en-US"/>
        </w:rPr>
        <w:t>Julie has stated that she is willing to go without her lunch breaks. As an employer you have a duty of care to allow as a minimum a 20-minute break, every 6 hours. It is a legal requirement that you provide rest breaks for your staff as per (</w:t>
      </w:r>
      <w:r>
        <w:rPr>
          <w:rStyle w:val="None"/>
          <w:rFonts w:ascii="Arial" w:hAnsi="Arial"/>
          <w:i w:val="1"/>
          <w:iCs w:val="1"/>
          <w:sz w:val="24"/>
          <w:szCs w:val="24"/>
          <w:rtl w:val="0"/>
          <w:lang w:val="en-US"/>
        </w:rPr>
        <w:t>Working Time Regulations 1988</w:t>
      </w:r>
      <w:r>
        <w:rPr>
          <w:rStyle w:val="None"/>
          <w:rFonts w:ascii="Arial" w:hAnsi="Arial"/>
          <w:sz w:val="24"/>
          <w:szCs w:val="24"/>
          <w:rtl w:val="0"/>
          <w:lang w:val="en-US"/>
        </w:rPr>
        <w:t>).</w:t>
      </w:r>
    </w:p>
    <w:p>
      <w:pPr>
        <w:pStyle w:val="Body A"/>
        <w:rPr>
          <w:rStyle w:val="None"/>
          <w:rFonts w:ascii="Arial" w:cs="Arial" w:hAnsi="Arial" w:eastAsia="Arial"/>
          <w:sz w:val="24"/>
          <w:szCs w:val="24"/>
        </w:rPr>
      </w:pPr>
    </w:p>
    <w:p>
      <w:pPr>
        <w:pStyle w:val="Body A"/>
        <w:rPr>
          <w:rStyle w:val="None"/>
          <w:rFonts w:ascii="Arial" w:cs="Arial" w:hAnsi="Arial" w:eastAsia="Arial"/>
          <w:b w:val="1"/>
          <w:bCs w:val="1"/>
          <w:sz w:val="24"/>
          <w:szCs w:val="24"/>
        </w:rPr>
      </w:pPr>
      <w:r>
        <w:rPr>
          <w:rStyle w:val="None"/>
          <w:rFonts w:ascii="Arial" w:hAnsi="Arial"/>
          <w:b w:val="1"/>
          <w:bCs w:val="1"/>
          <w:sz w:val="24"/>
          <w:szCs w:val="24"/>
          <w:rtl w:val="0"/>
          <w:lang w:val="fr-FR"/>
        </w:rPr>
        <w:t>Trial Period</w:t>
      </w:r>
    </w:p>
    <w:p>
      <w:pPr>
        <w:pStyle w:val="Body A"/>
        <w:rPr>
          <w:rStyle w:val="None"/>
          <w:rFonts w:ascii="Arial" w:cs="Arial" w:hAnsi="Arial" w:eastAsia="Arial"/>
          <w:sz w:val="24"/>
          <w:szCs w:val="24"/>
          <w:lang w:val="en-US"/>
        </w:rPr>
      </w:pPr>
      <w:r>
        <w:rPr>
          <w:rStyle w:val="None"/>
          <w:rFonts w:ascii="Arial" w:hAnsi="Arial"/>
          <w:sz w:val="24"/>
          <w:szCs w:val="24"/>
          <w:rtl w:val="0"/>
          <w:lang w:val="en-US"/>
        </w:rPr>
        <w:t>Another consideration I advise, is that you agree a trial period to test the new proposed flexible working arrangements. If this trial period proves successful, I would suggest you place consideration on why you should not agree with Julie</w:t>
      </w:r>
      <w:r>
        <w:rPr>
          <w:rStyle w:val="None"/>
          <w:rFonts w:ascii="Arial" w:hAnsi="Arial" w:hint="default"/>
          <w:sz w:val="24"/>
          <w:szCs w:val="24"/>
          <w:rtl w:val="0"/>
          <w:lang w:val="en-US"/>
        </w:rPr>
        <w:t>’</w:t>
      </w:r>
      <w:r>
        <w:rPr>
          <w:rStyle w:val="None"/>
          <w:rFonts w:ascii="Arial" w:hAnsi="Arial"/>
          <w:sz w:val="24"/>
          <w:szCs w:val="24"/>
          <w:rtl w:val="0"/>
          <w:lang w:val="en-US"/>
        </w:rPr>
        <w:t>s request (CAB, 2020).</w:t>
      </w: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rPr>
      </w:pPr>
    </w:p>
    <w:p>
      <w:pPr>
        <w:pStyle w:val="Body A"/>
        <w:rPr>
          <w:rStyle w:val="None"/>
          <w:rFonts w:ascii="Arial" w:cs="Arial" w:hAnsi="Arial" w:eastAsia="Arial"/>
          <w:b w:val="1"/>
          <w:bCs w:val="1"/>
          <w:sz w:val="24"/>
          <w:szCs w:val="24"/>
          <w:lang w:val="it-IT"/>
        </w:rPr>
      </w:pPr>
      <w:r>
        <w:rPr>
          <w:rStyle w:val="None"/>
          <w:rFonts w:ascii="Arial" w:hAnsi="Arial"/>
          <w:b w:val="1"/>
          <w:bCs w:val="1"/>
          <w:sz w:val="24"/>
          <w:szCs w:val="24"/>
          <w:rtl w:val="0"/>
          <w:lang w:val="it-IT"/>
        </w:rPr>
        <w:t>Question 2</w:t>
      </w: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rPr>
      </w:pPr>
      <w:r>
        <w:rPr>
          <w:rStyle w:val="None"/>
          <w:rFonts w:ascii="Arial" w:hAnsi="Arial"/>
          <w:b w:val="1"/>
          <w:bCs w:val="1"/>
          <w:sz w:val="24"/>
          <w:szCs w:val="24"/>
          <w:rtl w:val="0"/>
          <w:lang w:val="fr-FR"/>
        </w:rPr>
        <w:t xml:space="preserve">Subject:            Lucy Bell </w:t>
      </w:r>
    </w:p>
    <w:p>
      <w:pPr>
        <w:pStyle w:val="Body A"/>
        <w:rPr>
          <w:rStyle w:val="None"/>
          <w:rFonts w:ascii="Arial" w:cs="Arial" w:hAnsi="Arial" w:eastAsia="Arial"/>
          <w:sz w:val="24"/>
          <w:szCs w:val="24"/>
          <w:lang w:val="en-US"/>
        </w:rPr>
      </w:pPr>
      <w:r>
        <w:rPr>
          <w:rStyle w:val="None"/>
          <w:rFonts w:ascii="Arial" w:hAnsi="Arial"/>
          <w:sz w:val="24"/>
          <w:szCs w:val="24"/>
          <w:rtl w:val="0"/>
          <w:lang w:val="en-US"/>
        </w:rPr>
        <w:t>In relation to the information you have shared with me regarding Lucy Bell, please see advice below.</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Acknowledgment</w:t>
      </w:r>
    </w:p>
    <w:p>
      <w:pPr>
        <w:pStyle w:val="Body A"/>
        <w:rPr>
          <w:rStyle w:val="None"/>
          <w:rFonts w:ascii="Arial" w:cs="Arial" w:hAnsi="Arial" w:eastAsia="Arial"/>
          <w:b w:val="1"/>
          <w:bCs w:val="1"/>
          <w:sz w:val="24"/>
          <w:szCs w:val="24"/>
          <w:lang w:val="en-US"/>
        </w:rPr>
      </w:pPr>
      <w:r>
        <w:rPr>
          <w:rStyle w:val="None"/>
          <w:rFonts w:ascii="Arial" w:hAnsi="Arial"/>
          <w:sz w:val="24"/>
          <w:szCs w:val="24"/>
          <w:rtl w:val="0"/>
          <w:lang w:val="en-US"/>
        </w:rPr>
        <w:t>You need to acknowledge the grievance within seven days, in accordance with the ACAS Code (ACAS, 2015). I advise that you contact Lucy and try and deal with the issue informally in the first instance. However, it is Lucy</w:t>
      </w:r>
      <w:r>
        <w:rPr>
          <w:rStyle w:val="None"/>
          <w:rFonts w:ascii="Arial" w:hAnsi="Arial" w:hint="default"/>
          <w:sz w:val="24"/>
          <w:szCs w:val="24"/>
          <w:rtl w:val="0"/>
          <w:lang w:val="en-US"/>
        </w:rPr>
        <w:t>’</w:t>
      </w:r>
      <w:r>
        <w:rPr>
          <w:rStyle w:val="None"/>
          <w:rFonts w:ascii="Arial" w:hAnsi="Arial"/>
          <w:sz w:val="24"/>
          <w:szCs w:val="24"/>
          <w:rtl w:val="0"/>
          <w:lang w:val="en-US"/>
        </w:rPr>
        <w:t>s legal right to raise a formal grievance. If you do not have an internal Grievance Procedure, you should refer to the ACAS guidance on disciplinary and grievance procedures and follow that and formally confirm that you have followed the policy. It is important to note that failure to comply with the grievance policy could cause Lucy to make claims of discrimination or constructive dismissal.</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Grievance Process you need to follow</w:t>
      </w:r>
    </w:p>
    <w:p>
      <w:pPr>
        <w:pStyle w:val="Body A"/>
        <w:rPr>
          <w:rStyle w:val="None"/>
          <w:rFonts w:ascii="Arial" w:cs="Arial" w:hAnsi="Arial" w:eastAsia="Arial"/>
          <w:b w:val="1"/>
          <w:bCs w:val="1"/>
          <w:sz w:val="24"/>
          <w:szCs w:val="24"/>
          <w:lang w:val="en-US"/>
        </w:rPr>
      </w:pPr>
      <w:r>
        <w:rPr>
          <w:rStyle w:val="None"/>
          <w:rFonts w:ascii="Arial" w:hAnsi="Arial"/>
          <w:sz w:val="24"/>
          <w:szCs w:val="24"/>
          <w:rtl w:val="0"/>
          <w:lang w:val="en-US"/>
        </w:rPr>
        <w:t>You will need to allocate a staff member as a Grievance Officer to handle the initial meeting, take the statement and investigate the grievance. This person should be independent, in that they have not been involved in the situation as all, freeing you up to conduct the appeal if needed (Gov.uk, 2021</w:t>
      </w:r>
      <w:r>
        <w:rPr>
          <w:rStyle w:val="None"/>
          <w:rFonts w:ascii="Arial" w:hAnsi="Arial"/>
          <w:b w:val="1"/>
          <w:bCs w:val="1"/>
          <w:sz w:val="24"/>
          <w:szCs w:val="24"/>
          <w:rtl w:val="0"/>
          <w:lang w:val="en-US"/>
        </w:rPr>
        <w:t>).</w:t>
      </w:r>
    </w:p>
    <w:p>
      <w:pPr>
        <w:pStyle w:val="Body A"/>
        <w:rPr>
          <w:rStyle w:val="None"/>
          <w:rFonts w:ascii="Arial" w:cs="Arial" w:hAnsi="Arial" w:eastAsia="Arial"/>
          <w:b w:val="1"/>
          <w:bCs w:val="1"/>
          <w:sz w:val="24"/>
          <w:szCs w:val="24"/>
        </w:rPr>
      </w:pP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Following the grievance meeting</w:t>
      </w:r>
    </w:p>
    <w:p>
      <w:pPr>
        <w:pStyle w:val="Body A"/>
        <w:rPr>
          <w:rStyle w:val="None"/>
          <w:rFonts w:ascii="Arial" w:cs="Arial" w:hAnsi="Arial" w:eastAsia="Arial"/>
          <w:sz w:val="24"/>
          <w:szCs w:val="24"/>
          <w:lang w:val="en-US"/>
        </w:rPr>
      </w:pPr>
      <w:r>
        <w:rPr>
          <w:rStyle w:val="None"/>
          <w:rFonts w:ascii="Arial" w:hAnsi="Arial"/>
          <w:sz w:val="24"/>
          <w:szCs w:val="24"/>
          <w:rtl w:val="0"/>
          <w:lang w:val="en-US"/>
        </w:rPr>
        <w:t>You should next communicate the outcome of the grievance to Lucy.</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sz w:val="24"/>
          <w:szCs w:val="24"/>
          <w:lang w:val="en-US"/>
        </w:rPr>
      </w:pPr>
      <w:r>
        <w:rPr>
          <w:rStyle w:val="None"/>
          <w:rFonts w:ascii="Arial" w:hAnsi="Arial"/>
          <w:sz w:val="24"/>
          <w:szCs w:val="24"/>
          <w:rtl w:val="0"/>
          <w:lang w:val="en-US"/>
        </w:rPr>
        <w:t>The areas of grievance are</w:t>
      </w:r>
    </w:p>
    <w:p>
      <w:pPr>
        <w:pStyle w:val="List Paragraph"/>
        <w:numPr>
          <w:ilvl w:val="0"/>
          <w:numId w:val="16"/>
        </w:numPr>
        <w:bidi w:val="0"/>
        <w:ind w:right="0"/>
        <w:jc w:val="left"/>
        <w:rPr>
          <w:rFonts w:ascii="Arial" w:hAnsi="Arial"/>
          <w:sz w:val="24"/>
          <w:szCs w:val="24"/>
          <w:rtl w:val="0"/>
          <w:lang w:val="en-US"/>
        </w:rPr>
      </w:pPr>
      <w:r>
        <w:rPr>
          <w:rStyle w:val="None"/>
          <w:rFonts w:ascii="Arial" w:hAnsi="Arial"/>
          <w:sz w:val="24"/>
          <w:szCs w:val="24"/>
          <w:rtl w:val="0"/>
          <w:lang w:val="en-US"/>
        </w:rPr>
        <w:t>Disclosure of personal sensitive data</w:t>
      </w:r>
    </w:p>
    <w:p>
      <w:pPr>
        <w:pStyle w:val="Body A"/>
        <w:rPr>
          <w:rStyle w:val="None"/>
          <w:rFonts w:ascii="Arial" w:cs="Arial" w:hAnsi="Arial" w:eastAsia="Arial"/>
          <w:b w:val="1"/>
          <w:bCs w:val="1"/>
          <w:sz w:val="24"/>
          <w:szCs w:val="24"/>
        </w:rPr>
      </w:pPr>
      <w:r>
        <w:rPr>
          <w:rStyle w:val="None"/>
          <w:rFonts w:ascii="Arial" w:hAnsi="Arial"/>
          <w:sz w:val="24"/>
          <w:szCs w:val="24"/>
          <w:rtl w:val="0"/>
          <w:lang w:val="fr-FR"/>
        </w:rPr>
        <w:t>Lucy</w:t>
      </w:r>
      <w:r>
        <w:rPr>
          <w:rStyle w:val="None"/>
          <w:rFonts w:ascii="Arial" w:hAnsi="Arial" w:hint="default"/>
          <w:sz w:val="24"/>
          <w:szCs w:val="24"/>
          <w:rtl w:val="0"/>
          <w:lang w:val="en-US"/>
        </w:rPr>
        <w:t>’</w:t>
      </w:r>
      <w:r>
        <w:rPr>
          <w:rStyle w:val="None"/>
          <w:rFonts w:ascii="Arial" w:hAnsi="Arial"/>
          <w:sz w:val="24"/>
          <w:szCs w:val="24"/>
          <w:rtl w:val="0"/>
          <w:lang w:val="en-US"/>
        </w:rPr>
        <w:t>s manager has shared sensitive personal information about Lucy, to others, without her consent. This is considered a breach of the (</w:t>
      </w:r>
      <w:r>
        <w:rPr>
          <w:rStyle w:val="None"/>
          <w:rFonts w:ascii="Arial" w:hAnsi="Arial"/>
          <w:i w:val="1"/>
          <w:iCs w:val="1"/>
          <w:sz w:val="24"/>
          <w:szCs w:val="24"/>
          <w:rtl w:val="0"/>
          <w:lang w:val="en-US"/>
        </w:rPr>
        <w:t>Data Protection Act</w:t>
      </w:r>
      <w:r>
        <w:rPr>
          <w:rStyle w:val="None"/>
          <w:rFonts w:ascii="Arial" w:hAnsi="Arial"/>
          <w:sz w:val="24"/>
          <w:szCs w:val="24"/>
          <w:rtl w:val="0"/>
          <w:lang w:val="fr-FR"/>
        </w:rPr>
        <w:t xml:space="preserve"> </w:t>
      </w:r>
      <w:r>
        <w:rPr>
          <w:rStyle w:val="None"/>
          <w:rFonts w:ascii="Arial" w:hAnsi="Arial"/>
          <w:i w:val="1"/>
          <w:iCs w:val="1"/>
          <w:sz w:val="24"/>
          <w:szCs w:val="24"/>
          <w:rtl w:val="0"/>
          <w:lang w:val="fr-FR"/>
        </w:rPr>
        <w:t>2018)</w:t>
      </w:r>
      <w:r>
        <w:rPr>
          <w:rStyle w:val="None"/>
          <w:rFonts w:ascii="Arial" w:hAnsi="Arial"/>
          <w:sz w:val="24"/>
          <w:szCs w:val="24"/>
          <w:rtl w:val="0"/>
          <w:lang w:val="en-US"/>
        </w:rPr>
        <w:t xml:space="preserve"> and has provided Lucy with the right to outline the breech to the (Information Commissioners Office, 2020). Also, if Lucy has a disability, she could claim she has suffered a loss, as she may not have wanted her colleagues to know. There is a requirement for this to be investigated, as there was no reason for this information to be shared and therefore Big Buses defense is weak for this element. I advise that immediate action is advisable, in the way of mandatory training on the Data Protection Act for all staff. An example of case law where personal sensitive data was disclosed verbally was (</w:t>
      </w:r>
      <w:r>
        <w:rPr>
          <w:rStyle w:val="None"/>
          <w:rFonts w:ascii="Arial" w:hAnsi="Arial" w:hint="default"/>
          <w:sz w:val="24"/>
          <w:szCs w:val="24"/>
          <w:rtl w:val="0"/>
          <w:lang w:val="en-US"/>
        </w:rPr>
        <w:t>‘</w:t>
      </w:r>
      <w:r>
        <w:rPr>
          <w:rStyle w:val="None"/>
          <w:rFonts w:ascii="Arial" w:hAnsi="Arial"/>
          <w:sz w:val="24"/>
          <w:szCs w:val="24"/>
          <w:rtl w:val="0"/>
          <w:lang w:val="en-US"/>
        </w:rPr>
        <w:t>Scott v LGBT Foundation</w:t>
      </w:r>
      <w:r>
        <w:rPr>
          <w:rStyle w:val="None"/>
          <w:rFonts w:ascii="Arial" w:hAnsi="Arial" w:hint="default"/>
          <w:sz w:val="24"/>
          <w:szCs w:val="24"/>
          <w:rtl w:val="0"/>
          <w:lang w:val="en-US"/>
        </w:rPr>
        <w:t>’</w:t>
      </w:r>
      <w:r>
        <w:rPr>
          <w:rStyle w:val="None"/>
          <w:rFonts w:ascii="Arial" w:hAnsi="Arial"/>
          <w:sz w:val="24"/>
          <w:szCs w:val="24"/>
          <w:rtl w:val="0"/>
          <w:lang w:val="en-US"/>
        </w:rPr>
        <w:t>, 2016). In this instance, sensitive information was verbally disclosed about an individual, which did not comply with data protection rules. A claim for damages was brought to the court for the breech of the Data Protection Act 1998 and breach of the (</w:t>
      </w:r>
      <w:r>
        <w:rPr>
          <w:rStyle w:val="None"/>
          <w:rFonts w:ascii="Arial" w:hAnsi="Arial"/>
          <w:i w:val="1"/>
          <w:iCs w:val="1"/>
          <w:sz w:val="24"/>
          <w:szCs w:val="24"/>
          <w:rtl w:val="0"/>
          <w:lang w:val="en-US"/>
        </w:rPr>
        <w:t xml:space="preserve">UK Human Rights Act 1998). </w:t>
      </w:r>
      <w:r>
        <w:rPr>
          <w:rStyle w:val="None"/>
          <w:rFonts w:ascii="Arial" w:hAnsi="Arial"/>
          <w:sz w:val="24"/>
          <w:szCs w:val="24"/>
          <w:rtl w:val="0"/>
          <w:lang w:val="en-US"/>
        </w:rPr>
        <w:t>Both of which were denied on the grounds that information disclosed was not processed, for example not kept in a filing system or record</w:t>
      </w:r>
      <w:r>
        <w:rPr>
          <w:rStyle w:val="None"/>
          <w:rFonts w:ascii="Arial" w:hAnsi="Arial"/>
          <w:i w:val="1"/>
          <w:iCs w:val="1"/>
          <w:sz w:val="24"/>
          <w:szCs w:val="24"/>
          <w:rtl w:val="0"/>
          <w:lang w:val="fr-FR"/>
        </w:rPr>
        <w:t xml:space="preserve">. </w:t>
      </w:r>
      <w:r>
        <w:rPr>
          <w:rStyle w:val="None"/>
          <w:rFonts w:ascii="Arial" w:hAnsi="Arial"/>
          <w:sz w:val="24"/>
          <w:szCs w:val="24"/>
          <w:rtl w:val="0"/>
          <w:lang w:val="fr-FR"/>
        </w:rPr>
        <w:t>However, Lucy</w:t>
      </w:r>
      <w:r>
        <w:rPr>
          <w:rStyle w:val="None"/>
          <w:rFonts w:ascii="Arial" w:hAnsi="Arial" w:hint="default"/>
          <w:sz w:val="24"/>
          <w:szCs w:val="24"/>
          <w:rtl w:val="0"/>
          <w:lang w:val="fr-FR"/>
        </w:rPr>
        <w:t>’</w:t>
      </w:r>
      <w:r>
        <w:rPr>
          <w:rStyle w:val="None"/>
          <w:rFonts w:ascii="Arial" w:hAnsi="Arial"/>
          <w:sz w:val="24"/>
          <w:szCs w:val="24"/>
          <w:rtl w:val="0"/>
          <w:lang w:val="fr-FR"/>
        </w:rPr>
        <w:t>s information would need to be processed and kept on her file, due to COVID-19.</w:t>
      </w:r>
    </w:p>
    <w:p>
      <w:pPr>
        <w:pStyle w:val="Body A"/>
        <w:rPr>
          <w:rStyle w:val="None"/>
          <w:rFonts w:ascii="Arial" w:cs="Arial" w:hAnsi="Arial" w:eastAsia="Arial"/>
          <w:sz w:val="24"/>
          <w:szCs w:val="24"/>
        </w:rPr>
      </w:pPr>
    </w:p>
    <w:p>
      <w:pPr>
        <w:pStyle w:val="List Paragraph"/>
        <w:numPr>
          <w:ilvl w:val="0"/>
          <w:numId w:val="16"/>
        </w:numPr>
        <w:bidi w:val="0"/>
        <w:ind w:right="0"/>
        <w:jc w:val="left"/>
        <w:rPr>
          <w:rFonts w:ascii="Arial" w:hAnsi="Arial"/>
          <w:sz w:val="24"/>
          <w:szCs w:val="24"/>
          <w:rtl w:val="0"/>
          <w:lang w:val="en-US"/>
        </w:rPr>
      </w:pPr>
      <w:r>
        <w:rPr>
          <w:rStyle w:val="None"/>
          <w:rFonts w:ascii="Arial" w:hAnsi="Arial"/>
          <w:sz w:val="24"/>
          <w:szCs w:val="24"/>
          <w:rtl w:val="0"/>
          <w:lang w:val="en-US"/>
        </w:rPr>
        <w:t>Return to Work Meetings</w:t>
      </w:r>
    </w:p>
    <w:p>
      <w:pPr>
        <w:pStyle w:val="Body A"/>
        <w:rPr>
          <w:rStyle w:val="None"/>
          <w:rFonts w:ascii="Arial" w:cs="Arial" w:hAnsi="Arial" w:eastAsia="Arial"/>
          <w:b w:val="1"/>
          <w:bCs w:val="1"/>
          <w:sz w:val="24"/>
          <w:szCs w:val="24"/>
        </w:rPr>
      </w:pPr>
      <w:r>
        <w:rPr>
          <w:rStyle w:val="None"/>
          <w:rFonts w:ascii="Arial" w:hAnsi="Arial"/>
          <w:sz w:val="24"/>
          <w:szCs w:val="24"/>
          <w:rtl w:val="0"/>
          <w:lang w:val="en-US"/>
        </w:rPr>
        <w:t>The (</w:t>
      </w:r>
      <w:r>
        <w:rPr>
          <w:rStyle w:val="None"/>
          <w:rFonts w:ascii="Arial" w:hAnsi="Arial"/>
          <w:i w:val="1"/>
          <w:iCs w:val="1"/>
          <w:sz w:val="24"/>
          <w:szCs w:val="24"/>
          <w:rtl w:val="0"/>
          <w:lang w:val="en-US"/>
        </w:rPr>
        <w:t>Health and Safety at Work Act, 1974</w:t>
      </w:r>
      <w:r>
        <w:rPr>
          <w:rStyle w:val="None"/>
          <w:rFonts w:ascii="Arial" w:hAnsi="Arial"/>
          <w:sz w:val="24"/>
          <w:szCs w:val="24"/>
          <w:rtl w:val="0"/>
          <w:lang w:val="en-US"/>
        </w:rPr>
        <w:t>) states that as an employer, you have a duty of care to ensure the health, safety and welfare of your employees. Therefore, I would advise you insist on the return to work meeting taking place. Firstly, to ensure you comply with your legal obligations as Big Buses to assure the workplace can safely meet her needs. I would also follow up with a communication to all staff, confirming return to work interviews are required, firstly to ensure your employees are well and fit to return to work and secondly so that you are ensuring your duty of care for staff, in accordance with the law.  An example of an employer who had neglected their duty of care for a colleague who had shown to be stressed at their 1-1 review is (</w:t>
      </w:r>
      <w:r>
        <w:rPr>
          <w:rStyle w:val="None"/>
          <w:rFonts w:ascii="Arial" w:hAnsi="Arial" w:hint="default"/>
          <w:sz w:val="24"/>
          <w:szCs w:val="24"/>
          <w:rtl w:val="0"/>
          <w:lang w:val="en-US"/>
        </w:rPr>
        <w:t>‘</w:t>
      </w:r>
      <w:r>
        <w:rPr>
          <w:rStyle w:val="None"/>
          <w:rFonts w:ascii="Arial" w:hAnsi="Arial"/>
          <w:sz w:val="24"/>
          <w:szCs w:val="24"/>
          <w:rtl w:val="0"/>
          <w:lang w:val="en-US"/>
        </w:rPr>
        <w:t>Hiles v South Gloucestershire</w:t>
      </w:r>
      <w:r>
        <w:rPr>
          <w:rStyle w:val="None"/>
          <w:rFonts w:ascii="Arial" w:hAnsi="Arial"/>
          <w:sz w:val="24"/>
          <w:szCs w:val="24"/>
          <w:rtl w:val="0"/>
          <w:lang w:val="fr-FR"/>
        </w:rPr>
        <w:t xml:space="preserve"> </w:t>
      </w:r>
      <w:r>
        <w:rPr>
          <w:rStyle w:val="None"/>
          <w:rFonts w:ascii="Arial" w:hAnsi="Arial"/>
          <w:sz w:val="24"/>
          <w:szCs w:val="24"/>
          <w:rtl w:val="0"/>
          <w:lang w:val="en-US"/>
        </w:rPr>
        <w:t>NHS Primary Care Trust</w:t>
      </w:r>
      <w:r>
        <w:rPr>
          <w:rStyle w:val="None"/>
          <w:rFonts w:ascii="Arial" w:hAnsi="Arial" w:hint="default"/>
          <w:sz w:val="24"/>
          <w:szCs w:val="24"/>
          <w:rtl w:val="0"/>
          <w:lang w:val="en-US"/>
        </w:rPr>
        <w:t>’</w:t>
      </w:r>
      <w:r>
        <w:rPr>
          <w:rStyle w:val="None"/>
          <w:rFonts w:ascii="Arial" w:hAnsi="Arial"/>
          <w:sz w:val="24"/>
          <w:szCs w:val="24"/>
          <w:rtl w:val="0"/>
          <w:lang w:val="en-US"/>
        </w:rPr>
        <w:t xml:space="preserve">, 2006). The court ruled that the employer should have acted immediately when there were signs that her health was deteriorating. The court subsequently awarded compensation to the employee. </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List Paragraph"/>
        <w:numPr>
          <w:ilvl w:val="0"/>
          <w:numId w:val="16"/>
        </w:numPr>
        <w:bidi w:val="0"/>
        <w:ind w:right="0"/>
        <w:jc w:val="left"/>
        <w:rPr>
          <w:rFonts w:ascii="Arial" w:hAnsi="Arial"/>
          <w:sz w:val="24"/>
          <w:szCs w:val="24"/>
          <w:rtl w:val="0"/>
          <w:lang w:val="en-US"/>
        </w:rPr>
      </w:pPr>
      <w:r>
        <w:rPr>
          <w:rStyle w:val="None"/>
          <w:rFonts w:ascii="Arial" w:hAnsi="Arial"/>
          <w:sz w:val="24"/>
          <w:szCs w:val="24"/>
          <w:rtl w:val="0"/>
          <w:lang w:val="en-US"/>
        </w:rPr>
        <w:t>Disclosing sensitive sickness details</w:t>
      </w:r>
    </w:p>
    <w:p>
      <w:pPr>
        <w:pStyle w:val="Body A"/>
        <w:rPr>
          <w:rStyle w:val="None"/>
          <w:rFonts w:ascii="Arial" w:cs="Arial" w:hAnsi="Arial" w:eastAsia="Arial"/>
          <w:sz w:val="24"/>
          <w:szCs w:val="24"/>
        </w:rPr>
      </w:pPr>
      <w:r>
        <w:rPr>
          <w:rStyle w:val="None"/>
          <w:rFonts w:ascii="Arial" w:hAnsi="Arial"/>
          <w:sz w:val="24"/>
          <w:szCs w:val="24"/>
          <w:rtl w:val="0"/>
          <w:lang w:val="en-US"/>
        </w:rPr>
        <w:t>In relation to the point you have made regarding letting staff know when colleagues have phoned in sick. The line manager can do this, when there is a need to arrange cover, as this is classed as a legitimate reason under the (</w:t>
      </w:r>
      <w:r>
        <w:rPr>
          <w:rStyle w:val="None"/>
          <w:rFonts w:ascii="Arial" w:hAnsi="Arial"/>
          <w:i w:val="1"/>
          <w:iCs w:val="1"/>
          <w:sz w:val="24"/>
          <w:szCs w:val="24"/>
          <w:rtl w:val="0"/>
          <w:lang w:val="en-US"/>
        </w:rPr>
        <w:t>Data Protection Act 2018</w:t>
      </w:r>
      <w:r>
        <w:rPr>
          <w:rStyle w:val="None"/>
          <w:rFonts w:ascii="Arial" w:hAnsi="Arial"/>
          <w:sz w:val="24"/>
          <w:szCs w:val="24"/>
          <w:rtl w:val="0"/>
          <w:lang w:val="en-US"/>
        </w:rPr>
        <w:t>). However, you do need to consider what information can be shared, for example there is no legal basis for Lucy</w:t>
      </w:r>
      <w:r>
        <w:rPr>
          <w:rStyle w:val="None"/>
          <w:rFonts w:ascii="Arial" w:hAnsi="Arial" w:hint="default"/>
          <w:sz w:val="24"/>
          <w:szCs w:val="24"/>
          <w:rtl w:val="0"/>
          <w:lang w:val="en-US"/>
        </w:rPr>
        <w:t>’</w:t>
      </w:r>
      <w:r>
        <w:rPr>
          <w:rStyle w:val="None"/>
          <w:rFonts w:ascii="Arial" w:hAnsi="Arial"/>
          <w:sz w:val="24"/>
          <w:szCs w:val="24"/>
          <w:rtl w:val="0"/>
          <w:lang w:val="en-US"/>
        </w:rPr>
        <w:t>s manager to disclose the details of her illness, to her colleagues, or the rest of the organisation. When considering COVID-19, you should only notify the staff that need to know, i.e those working in close proximately with Lucy (</w:t>
      </w:r>
      <w:r>
        <w:rPr>
          <w:rStyle w:val="None"/>
          <w:rFonts w:ascii="Arial" w:hAnsi="Arial"/>
          <w:i w:val="1"/>
          <w:iCs w:val="1"/>
          <w:sz w:val="24"/>
          <w:szCs w:val="24"/>
          <w:rtl w:val="0"/>
          <w:lang w:val="en-US"/>
        </w:rPr>
        <w:t>The Coronavirus Act 2020</w:t>
      </w:r>
      <w:r>
        <w:rPr>
          <w:rStyle w:val="None"/>
          <w:rFonts w:ascii="Arial" w:hAnsi="Arial"/>
          <w:sz w:val="24"/>
          <w:szCs w:val="24"/>
          <w:rtl w:val="0"/>
          <w:lang w:val="fr-FR"/>
        </w:rPr>
        <w:t xml:space="preserve">). </w:t>
      </w:r>
    </w:p>
    <w:p>
      <w:pPr>
        <w:pStyle w:val="Body A"/>
        <w:rPr>
          <w:rStyle w:val="None"/>
          <w:rFonts w:ascii="Arial" w:cs="Arial" w:hAnsi="Arial" w:eastAsia="Arial"/>
          <w:sz w:val="24"/>
          <w:szCs w:val="24"/>
        </w:rPr>
      </w:pP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The storing of Staff Records</w:t>
      </w:r>
    </w:p>
    <w:p>
      <w:pPr>
        <w:pStyle w:val="Body A"/>
        <w:rPr>
          <w:rStyle w:val="None"/>
          <w:rFonts w:ascii="Arial" w:cs="Arial" w:hAnsi="Arial" w:eastAsia="Arial"/>
          <w:sz w:val="24"/>
          <w:szCs w:val="24"/>
        </w:rPr>
      </w:pPr>
      <w:r>
        <w:rPr>
          <w:rStyle w:val="None"/>
          <w:rFonts w:ascii="Arial" w:hAnsi="Arial"/>
          <w:sz w:val="24"/>
          <w:szCs w:val="24"/>
          <w:rtl w:val="0"/>
          <w:lang w:val="en-US"/>
        </w:rPr>
        <w:t>Finally, regarding your point on storing staff records, Big Buses, has a legal obligation to comply with the guidance on retaining and disposing of colleague records, in line with the appropriate legislation (</w:t>
      </w:r>
      <w:r>
        <w:rPr>
          <w:rStyle w:val="None"/>
          <w:rFonts w:ascii="Arial" w:hAnsi="Arial"/>
          <w:i w:val="1"/>
          <w:iCs w:val="1"/>
          <w:sz w:val="24"/>
          <w:szCs w:val="24"/>
          <w:rtl w:val="0"/>
          <w:lang w:val="en-US"/>
        </w:rPr>
        <w:t>Data Protection Act, 2018</w:t>
      </w:r>
      <w:r>
        <w:rPr>
          <w:rStyle w:val="None"/>
          <w:rFonts w:ascii="Arial" w:hAnsi="Arial"/>
          <w:sz w:val="24"/>
          <w:szCs w:val="24"/>
          <w:rtl w:val="0"/>
          <w:lang w:val="fr-FR"/>
        </w:rPr>
        <w:t>; ICO</w:t>
      </w:r>
      <w:r>
        <w:rPr>
          <w:rStyle w:val="None"/>
          <w:rFonts w:ascii="Arial" w:hAnsi="Arial"/>
          <w:i w:val="1"/>
          <w:iCs w:val="1"/>
          <w:sz w:val="24"/>
          <w:szCs w:val="24"/>
          <w:rtl w:val="0"/>
          <w:lang w:val="fr-FR"/>
        </w:rPr>
        <w:t xml:space="preserve">, </w:t>
      </w:r>
      <w:r>
        <w:rPr>
          <w:rStyle w:val="None"/>
          <w:rFonts w:ascii="Arial" w:hAnsi="Arial"/>
          <w:sz w:val="24"/>
          <w:szCs w:val="24"/>
          <w:rtl w:val="0"/>
          <w:lang w:val="fr-FR"/>
        </w:rPr>
        <w:t xml:space="preserve">2018). </w:t>
      </w:r>
    </w:p>
    <w:p>
      <w:pPr>
        <w:pStyle w:val="Body A"/>
        <w:rPr>
          <w:rStyle w:val="None"/>
          <w:rFonts w:ascii="Arial" w:cs="Arial" w:hAnsi="Arial" w:eastAsia="Arial"/>
          <w:b w:val="1"/>
          <w:bCs w:val="1"/>
          <w:sz w:val="24"/>
          <w:szCs w:val="24"/>
          <w:lang w:val="en-US"/>
        </w:rPr>
      </w:pPr>
      <w:r>
        <w:rPr>
          <w:rStyle w:val="None"/>
          <w:rFonts w:ascii="Arial" w:hAnsi="Arial"/>
          <w:b w:val="1"/>
          <w:bCs w:val="1"/>
          <w:sz w:val="24"/>
          <w:szCs w:val="24"/>
          <w:rtl w:val="0"/>
          <w:lang w:val="en-US"/>
        </w:rPr>
        <w:t>Storing Staff Sickness Details</w:t>
      </w:r>
    </w:p>
    <w:p>
      <w:pPr>
        <w:pStyle w:val="Body A"/>
        <w:rPr>
          <w:rStyle w:val="None"/>
          <w:rFonts w:ascii="Arial" w:cs="Arial" w:hAnsi="Arial" w:eastAsia="Arial"/>
          <w:sz w:val="24"/>
          <w:szCs w:val="24"/>
          <w:lang w:val="en-US"/>
        </w:rPr>
      </w:pPr>
      <w:r>
        <w:rPr>
          <w:rStyle w:val="None"/>
          <w:rFonts w:ascii="Arial" w:hAnsi="Arial"/>
          <w:sz w:val="24"/>
          <w:szCs w:val="24"/>
          <w:rtl w:val="0"/>
          <w:lang w:val="en-US"/>
        </w:rPr>
        <w:t xml:space="preserve">There is no statutory retention period, but it is advisable that you keep the records in accordance with business needs. I would advise you keep sickness records for a 6- month period, following the end of a period of employee sickness (CIPD, 2021). </w:t>
      </w:r>
    </w:p>
    <w:p>
      <w:pPr>
        <w:pStyle w:val="Body A"/>
        <w:rPr>
          <w:rStyle w:val="None"/>
          <w:rFonts w:ascii="Arial" w:cs="Arial" w:hAnsi="Arial" w:eastAsia="Arial"/>
          <w:sz w:val="24"/>
          <w:szCs w:val="24"/>
          <w:lang w:val="en-US"/>
        </w:rPr>
      </w:pPr>
      <w:r>
        <w:rPr>
          <w:rStyle w:val="None"/>
          <w:rFonts w:ascii="Arial" w:hAnsi="Arial"/>
          <w:sz w:val="24"/>
          <w:szCs w:val="24"/>
          <w:rtl w:val="0"/>
          <w:lang w:val="en-US"/>
        </w:rPr>
        <w:t>All of your employee</w:t>
      </w:r>
      <w:r>
        <w:rPr>
          <w:rStyle w:val="None"/>
          <w:rFonts w:ascii="Arial" w:hAnsi="Arial" w:hint="default"/>
          <w:sz w:val="24"/>
          <w:szCs w:val="24"/>
          <w:rtl w:val="0"/>
          <w:lang w:val="en-US"/>
        </w:rPr>
        <w:t>’</w:t>
      </w:r>
      <w:r>
        <w:rPr>
          <w:rStyle w:val="None"/>
          <w:rFonts w:ascii="Arial" w:hAnsi="Arial"/>
          <w:sz w:val="24"/>
          <w:szCs w:val="24"/>
          <w:rtl w:val="0"/>
          <w:lang w:val="en-US"/>
        </w:rPr>
        <w:t>s sickness records should be kept secure, with only individuals such as line managers being able to gain access. I also advise that it is good practice for you to consider a document retention policy in line with the Statutory legislation maintenance of records regulations (Gov.uk, 2019).</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sz w:val="24"/>
          <w:szCs w:val="24"/>
          <w:lang w:val="en-US"/>
        </w:rPr>
      </w:pPr>
    </w:p>
    <w:p>
      <w:pPr>
        <w:pStyle w:val="Body A"/>
        <w:rPr>
          <w:rStyle w:val="None"/>
          <w:rFonts w:ascii="Arial" w:cs="Arial" w:hAnsi="Arial" w:eastAsia="Arial"/>
          <w:sz w:val="24"/>
          <w:szCs w:val="24"/>
          <w:lang w:val="en-US"/>
        </w:rPr>
      </w:pPr>
      <w:r>
        <w:rPr>
          <w:rStyle w:val="None"/>
          <w:rFonts w:ascii="Arial" w:hAnsi="Arial"/>
          <w:sz w:val="24"/>
          <w:szCs w:val="24"/>
          <w:rtl w:val="0"/>
          <w:lang w:val="en-US"/>
        </w:rPr>
        <w:t>I hope the information I have provided has helped you.</w:t>
      </w:r>
    </w:p>
    <w:p>
      <w:pPr>
        <w:pStyle w:val="Body A"/>
        <w:rPr>
          <w:rStyle w:val="None"/>
          <w:rFonts w:ascii="Arial" w:cs="Arial" w:hAnsi="Arial" w:eastAsia="Arial"/>
          <w:sz w:val="24"/>
          <w:szCs w:val="24"/>
          <w:lang w:val="en-US"/>
        </w:rPr>
      </w:pPr>
      <w:r>
        <w:rPr>
          <w:rStyle w:val="None"/>
          <w:rFonts w:ascii="Arial" w:hAnsi="Arial"/>
          <w:sz w:val="24"/>
          <w:szCs w:val="24"/>
          <w:rtl w:val="0"/>
          <w:lang w:val="en-US"/>
        </w:rPr>
        <w:t xml:space="preserve">Please do not hesitate to contact me, if you need anything else. </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lang w:val="de-DE"/>
        </w:rPr>
      </w:pPr>
      <w:r>
        <w:rPr>
          <w:rStyle w:val="None"/>
          <w:rFonts w:ascii="Arial" w:hAnsi="Arial"/>
          <w:sz w:val="24"/>
          <w:szCs w:val="24"/>
          <w:rtl w:val="0"/>
          <w:lang w:val="de-DE"/>
        </w:rPr>
        <w:t>Kind Regards</w:t>
      </w:r>
    </w:p>
    <w:p>
      <w:pPr>
        <w:pStyle w:val="Body A"/>
        <w:rPr>
          <w:rStyle w:val="None"/>
          <w:rFonts w:ascii="Arial" w:cs="Arial" w:hAnsi="Arial" w:eastAsia="Arial"/>
          <w:sz w:val="24"/>
          <w:szCs w:val="24"/>
        </w:rPr>
      </w:pPr>
      <w:r>
        <w:rPr>
          <w:rStyle w:val="None"/>
          <w:rFonts w:ascii="Arial" w:hAnsi="Arial"/>
          <w:sz w:val="24"/>
          <w:szCs w:val="24"/>
          <w:rtl w:val="0"/>
          <w:lang w:val="fr-FR"/>
        </w:rPr>
        <w:t>Sian- HR Manager</w:t>
      </w:r>
    </w:p>
    <w:p>
      <w:pPr>
        <w:pStyle w:val="Body A"/>
        <w:rPr>
          <w:rStyle w:val="None"/>
          <w:rFonts w:ascii="Arial" w:cs="Arial" w:hAnsi="Arial" w:eastAsia="Arial"/>
          <w:sz w:val="24"/>
          <w:szCs w:val="24"/>
        </w:rPr>
      </w:pPr>
      <w:r>
        <w:rPr>
          <w:rStyle w:val="Hyperlink.1"/>
        </w:rPr>
        <w:fldChar w:fldCharType="begin" w:fldLock="0"/>
      </w:r>
      <w:r>
        <w:rPr>
          <w:rStyle w:val="Hyperlink.1"/>
        </w:rPr>
        <w:instrText xml:space="preserve"> HYPERLINK "mailto:sian.coopers@dwprules@gov.uk"</w:instrText>
      </w:r>
      <w:r>
        <w:rPr>
          <w:rStyle w:val="Hyperlink.1"/>
        </w:rPr>
        <w:fldChar w:fldCharType="separate" w:fldLock="0"/>
      </w:r>
      <w:r>
        <w:rPr>
          <w:rStyle w:val="Hyperlink.1"/>
          <w:rtl w:val="0"/>
        </w:rPr>
        <w:t>sian.coopers@dwprules@gov.uk</w:t>
      </w:r>
      <w:r>
        <w:rPr/>
        <w:fldChar w:fldCharType="end" w:fldLock="0"/>
      </w:r>
      <w:r>
        <w:rPr>
          <w:rStyle w:val="None"/>
          <w:rFonts w:ascii="Arial" w:hAnsi="Arial"/>
          <w:sz w:val="24"/>
          <w:szCs w:val="24"/>
          <w:rtl w:val="0"/>
          <w:lang w:val="fr-FR"/>
        </w:rPr>
        <w:t xml:space="preserve"> (07713429223)</w:t>
      </w:r>
    </w:p>
    <w:p>
      <w:pPr>
        <w:pStyle w:val="Body A"/>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rPr>
          <w:rStyle w:val="None"/>
          <w:rFonts w:ascii="Arial" w:cs="Arial" w:hAnsi="Arial" w:eastAsia="Arial"/>
          <w:b w:val="1"/>
          <w:bCs w:val="1"/>
          <w:sz w:val="24"/>
          <w:szCs w:val="24"/>
        </w:rPr>
      </w:pPr>
    </w:p>
    <w:p>
      <w:pPr>
        <w:pStyle w:val="Heading"/>
        <w:rPr>
          <w:rStyle w:val="None"/>
          <w:rFonts w:ascii="Arial" w:cs="Arial" w:hAnsi="Arial" w:eastAsia="Arial"/>
          <w:sz w:val="24"/>
          <w:szCs w:val="24"/>
        </w:rPr>
      </w:pPr>
      <w:r>
        <w:rPr>
          <w:rStyle w:val="None"/>
          <w:rtl w:val="0"/>
          <w:lang w:val="fr-FR"/>
        </w:rPr>
        <w:t>References</w:t>
      </w:r>
    </w:p>
    <w:p>
      <w:pPr>
        <w:pStyle w:val="Heading"/>
      </w:pPr>
      <w:r>
        <w:rPr>
          <w:rStyle w:val="None"/>
          <w:rFonts w:ascii="Arial" w:cs="Arial" w:hAnsi="Arial" w:eastAsia="Arial"/>
          <w:sz w:val="24"/>
          <w:szCs w:val="24"/>
        </w:rPr>
        <w:fldChar w:fldCharType="begin" w:fldLock="0"/>
      </w:r>
      <w:r>
        <w:rPr>
          <w:rStyle w:val="None"/>
          <w:rFonts w:ascii="Arial" w:cs="Arial" w:hAnsi="Arial" w:eastAsia="Arial"/>
          <w:sz w:val="24"/>
          <w:szCs w:val="24"/>
        </w:rPr>
        <w:instrText xml:space="preserve"> ADDIN EN.REFLIST </w:instrText>
      </w:r>
      <w:r>
        <w:rPr>
          <w:rStyle w:val="None"/>
          <w:rFonts w:ascii="Arial" w:cs="Arial" w:hAnsi="Arial" w:eastAsia="Arial"/>
          <w:sz w:val="24"/>
          <w:szCs w:val="24"/>
        </w:rPr>
        <w:fldChar w:fldCharType="separate" w:fldLock="0"/>
      </w:r>
    </w:p>
    <w:p>
      <w:pPr>
        <w:pStyle w:val="Heading"/>
        <w:rPr>
          <w:rStyle w:val="None"/>
          <w:rFonts w:ascii="Arial" w:cs="Arial" w:hAnsi="Arial" w:eastAsia="Arial"/>
          <w:sz w:val="24"/>
          <w:szCs w:val="24"/>
        </w:rPr>
      </w:pP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(2014). </w:t>
      </w:r>
      <w:r>
        <w:rPr>
          <w:rStyle w:val="None"/>
          <w:rFonts w:ascii="Arial" w:hAnsi="Arial"/>
          <w:i w:val="1"/>
          <w:iCs w:val="1"/>
          <w:sz w:val="24"/>
          <w:szCs w:val="24"/>
          <w:rtl w:val="0"/>
          <w:lang w:val="en-US"/>
        </w:rPr>
        <w:t xml:space="preserve">Investigations for discipline and greviance.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https://www.acas.org.uk/investigations-for-discipline-and-grievance-step-by-step/step-3-carrying-out-an-investigation</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(2014). </w:t>
      </w:r>
      <w:r>
        <w:rPr>
          <w:rStyle w:val="None"/>
          <w:rFonts w:ascii="Arial" w:hAnsi="Arial"/>
          <w:i w:val="1"/>
          <w:iCs w:val="1"/>
          <w:sz w:val="24"/>
          <w:szCs w:val="24"/>
          <w:rtl w:val="0"/>
          <w:lang w:val="en-US"/>
        </w:rPr>
        <w:t xml:space="preserve">Making a Flexible Working Request.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https://www.acas.org.uk/making-a-flexible-working-request</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(2015). </w:t>
      </w:r>
      <w:r>
        <w:rPr>
          <w:rStyle w:val="None"/>
          <w:rFonts w:ascii="Arial" w:hAnsi="Arial"/>
          <w:i w:val="1"/>
          <w:iCs w:val="1"/>
          <w:sz w:val="24"/>
          <w:szCs w:val="24"/>
          <w:rtl w:val="0"/>
          <w:lang w:val="en-US"/>
        </w:rPr>
        <w:t xml:space="preserve">Acas Code of Practice on Disciplinary and Greviance procedures.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https://www.acas.org.uk/acas-code-of-practice-on-disciplinary-and-grievance-procedures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(2015). </w:t>
      </w:r>
      <w:r>
        <w:rPr>
          <w:rStyle w:val="None"/>
          <w:rFonts w:ascii="Arial" w:hAnsi="Arial"/>
          <w:i w:val="1"/>
          <w:iCs w:val="1"/>
          <w:sz w:val="24"/>
          <w:szCs w:val="24"/>
          <w:rtl w:val="0"/>
          <w:lang w:val="en-US"/>
        </w:rPr>
        <w:t xml:space="preserve">Appealing a disciplinary or greviance outcome.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https://www.acas.org.uk/appealing-a-disciplinary-or-grievance-outcome</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(2021). </w:t>
      </w:r>
      <w:r>
        <w:rPr>
          <w:rStyle w:val="None"/>
          <w:rFonts w:ascii="Arial" w:hAnsi="Arial"/>
          <w:i w:val="1"/>
          <w:iCs w:val="1"/>
          <w:sz w:val="24"/>
          <w:szCs w:val="24"/>
          <w:rtl w:val="0"/>
          <w:lang w:val="en-US"/>
        </w:rPr>
        <w:t xml:space="preserve">Check is your employer can make deductions from your wages.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https://www.acas.org.uk/check-if-your-employer-can-make-deductions-from-your-wages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ACAS,(2021). </w:t>
      </w:r>
      <w:r>
        <w:rPr>
          <w:rStyle w:val="None"/>
          <w:rFonts w:ascii="Arial" w:hAnsi="Arial"/>
          <w:i w:val="1"/>
          <w:iCs w:val="1"/>
          <w:sz w:val="24"/>
          <w:szCs w:val="24"/>
          <w:rtl w:val="0"/>
          <w:lang w:val="en-US"/>
        </w:rPr>
        <w:t xml:space="preserve">Making a settlement agreement with your employer.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https://www.citizensadvice.org.uk/work/problems-at-work/making-a-settlement-agreement-with-your-employer/</w:t>
      </w:r>
      <w:r>
        <w:rPr>
          <w:rStyle w:val="None"/>
          <w:rFonts w:ascii="Arial" w:cs="Arial" w:hAnsi="Arial" w:eastAsia="Arial"/>
          <w:sz w:val="24"/>
          <w:szCs w:val="24"/>
        </w:rPr>
        <w:br w:type="textWrapping"/>
      </w:r>
      <w:r>
        <w:rPr>
          <w:rStyle w:val="None"/>
          <w:rFonts w:ascii="Arial" w:hAnsi="Arial"/>
          <w:sz w:val="24"/>
          <w:szCs w:val="24"/>
          <w:rtl w:val="0"/>
          <w:lang w:val="en-US"/>
        </w:rPr>
        <w:t>[Accessed 02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(2021). </w:t>
      </w:r>
      <w:r>
        <w:rPr>
          <w:rStyle w:val="None"/>
          <w:rFonts w:ascii="Arial" w:hAnsi="Arial"/>
          <w:i w:val="1"/>
          <w:iCs w:val="1"/>
          <w:sz w:val="24"/>
          <w:szCs w:val="24"/>
          <w:rtl w:val="0"/>
          <w:lang w:val="en-US"/>
        </w:rPr>
        <w:t xml:space="preserve">Understading Options: Formal Greviance Procedure Step by Step.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https://www.cipd.co.uk/knowledge/fundamentals/emp-law/discipline/factsheet#gref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(2021). </w:t>
      </w:r>
      <w:r>
        <w:rPr>
          <w:rStyle w:val="None"/>
          <w:rFonts w:ascii="Arial" w:hAnsi="Arial"/>
          <w:i w:val="1"/>
          <w:iCs w:val="1"/>
          <w:sz w:val="24"/>
          <w:szCs w:val="24"/>
          <w:rtl w:val="0"/>
          <w:lang w:val="en-US"/>
        </w:rPr>
        <w:t xml:space="preserve">Understanding the options: Formal greviance procedure: step by step.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https://www.acas.org.uk/grievance-procedure-step-by-step</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ACAS, (2021). </w:t>
      </w:r>
      <w:r>
        <w:rPr>
          <w:rStyle w:val="None"/>
          <w:rFonts w:ascii="Arial" w:hAnsi="Arial"/>
          <w:i w:val="1"/>
          <w:iCs w:val="1"/>
          <w:sz w:val="24"/>
          <w:szCs w:val="24"/>
          <w:rtl w:val="0"/>
          <w:lang w:val="en-US"/>
        </w:rPr>
        <w:t xml:space="preserve">Unfair dismissal.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https://www.acas.org.uk/dismissals/unfair-dismissal</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Advice, C., (2021). </w:t>
      </w:r>
      <w:r>
        <w:rPr>
          <w:rStyle w:val="None"/>
          <w:rFonts w:ascii="Arial" w:hAnsi="Arial"/>
          <w:i w:val="1"/>
          <w:iCs w:val="1"/>
          <w:sz w:val="24"/>
          <w:szCs w:val="24"/>
          <w:rtl w:val="0"/>
          <w:lang w:val="en-US"/>
        </w:rPr>
        <w:t xml:space="preserve">Employment Tribunals.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https://www.citizensadvice.org.uk/work/problems-at-work/employment-tribunals/</w:t>
      </w:r>
      <w:r>
        <w:rPr>
          <w:rStyle w:val="None"/>
          <w:rFonts w:ascii="Arial" w:cs="Arial" w:hAnsi="Arial" w:eastAsia="Arial"/>
          <w:sz w:val="24"/>
          <w:szCs w:val="24"/>
        </w:rPr>
        <w:br w:type="textWrapping"/>
      </w:r>
      <w:r>
        <w:rPr>
          <w:rStyle w:val="None"/>
          <w:rFonts w:ascii="Arial" w:hAnsi="Arial"/>
          <w:sz w:val="24"/>
          <w:szCs w:val="24"/>
          <w:rtl w:val="0"/>
          <w:lang w:val="en-US"/>
        </w:rPr>
        <w:t>[Accessed 01 March 2021].</w:t>
      </w:r>
    </w:p>
    <w:p>
      <w:pPr>
        <w:pStyle w:val="Bibliography"/>
        <w:rPr>
          <w:rStyle w:val="None"/>
          <w:rFonts w:ascii="Arial" w:cs="Arial" w:hAnsi="Arial" w:eastAsia="Arial"/>
          <w:sz w:val="24"/>
          <w:szCs w:val="24"/>
        </w:rPr>
      </w:pPr>
      <w:r>
        <w:rPr>
          <w:rStyle w:val="None"/>
          <w:rFonts w:ascii="Arial" w:hAnsi="Arial"/>
          <w:sz w:val="24"/>
          <w:szCs w:val="24"/>
          <w:rtl w:val="0"/>
          <w:lang w:val="en-US"/>
        </w:rPr>
        <w:t>'</w:t>
      </w:r>
      <w:r>
        <w:rPr>
          <w:rStyle w:val="None"/>
          <w:rFonts w:ascii="Arial" w:hAnsi="Arial"/>
          <w:i w:val="1"/>
          <w:iCs w:val="1"/>
          <w:sz w:val="24"/>
          <w:szCs w:val="24"/>
          <w:rtl w:val="0"/>
          <w:lang w:val="en-US"/>
        </w:rPr>
        <w:t xml:space="preserve">British Home Stores v Burchell' (1977).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https://www.legislation.gov.uk/ukpga/1996/18/contents</w:t>
      </w:r>
      <w:r>
        <w:rPr>
          <w:rStyle w:val="None"/>
          <w:rFonts w:ascii="Arial" w:cs="Arial" w:hAnsi="Arial" w:eastAsia="Arial"/>
          <w:sz w:val="24"/>
          <w:szCs w:val="24"/>
        </w:rPr>
        <w:br w:type="textWrapping"/>
      </w:r>
      <w:r>
        <w:rPr>
          <w:rStyle w:val="None"/>
          <w:rFonts w:ascii="Arial" w:hAnsi="Arial"/>
          <w:sz w:val="24"/>
          <w:szCs w:val="24"/>
          <w:rtl w:val="0"/>
          <w:lang w:val="en-US"/>
        </w:rPr>
        <w:t>[Accessed 03 01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CAB, (2021). </w:t>
      </w:r>
      <w:r>
        <w:rPr>
          <w:rStyle w:val="None"/>
          <w:rFonts w:ascii="Arial" w:hAnsi="Arial"/>
          <w:i w:val="1"/>
          <w:iCs w:val="1"/>
          <w:sz w:val="24"/>
          <w:szCs w:val="24"/>
          <w:rtl w:val="0"/>
          <w:lang w:val="en-US"/>
        </w:rPr>
        <w:t xml:space="preserve">Employment Tribunal Hearings.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https://www.citizensadvice.org.uk/work/problems-at-work/employment-tribunals/employment-tribunal-hearings/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CAB, (2021). </w:t>
      </w:r>
      <w:r>
        <w:rPr>
          <w:rStyle w:val="None"/>
          <w:rFonts w:ascii="Arial" w:hAnsi="Arial"/>
          <w:i w:val="1"/>
          <w:iCs w:val="1"/>
          <w:sz w:val="24"/>
          <w:szCs w:val="24"/>
          <w:rtl w:val="0"/>
          <w:lang w:val="en-US"/>
        </w:rPr>
        <w:t xml:space="preserve">Employment tribunals-how to work out your basic award if you are claiminh unfair dismissal.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https://www.citizensadvice.org.uk/work/problems-at-work/employment-tribunals-from-29-july-2013/employment-tribunals-valuing-a-claim/employment-tribunals-how-to-work-out-your-basic-award-if-you-are-claiming-unfair-dismissal/</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CAB, (2021). </w:t>
      </w:r>
      <w:r>
        <w:rPr>
          <w:rStyle w:val="None"/>
          <w:rFonts w:ascii="Arial" w:hAnsi="Arial"/>
          <w:i w:val="1"/>
          <w:iCs w:val="1"/>
          <w:sz w:val="24"/>
          <w:szCs w:val="24"/>
          <w:rtl w:val="0"/>
          <w:lang w:val="en-US"/>
        </w:rPr>
        <w:t xml:space="preserve">Employment Tribunals-How to work out your compensatory award if you are claiming unfair dismissal.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https://www.citizensadvice.org.uk/work/problems-at-work/employment-tribunals-from-29-july-2013/employment-tribunals-valuing-a-claim/compensatory-award/employment-tribunals-how-to-work-out-your-compensatory-award-if-you-are-claiming-unfair-dismissal/</w:t>
      </w:r>
      <w:r>
        <w:rPr>
          <w:rStyle w:val="None"/>
          <w:rFonts w:ascii="Arial" w:cs="Arial" w:hAnsi="Arial" w:eastAsia="Arial"/>
          <w:sz w:val="24"/>
          <w:szCs w:val="24"/>
        </w:rPr>
        <w:br w:type="textWrapping"/>
      </w:r>
      <w:r>
        <w:rPr>
          <w:rStyle w:val="None"/>
          <w:rFonts w:ascii="Arial" w:hAnsi="Arial"/>
          <w:sz w:val="24"/>
          <w:szCs w:val="24"/>
          <w:rtl w:val="0"/>
          <w:lang w:val="en-US"/>
        </w:rPr>
        <w:t>[Accessed 03 01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CAB, (2021). </w:t>
      </w:r>
      <w:r>
        <w:rPr>
          <w:rStyle w:val="None"/>
          <w:rFonts w:ascii="Arial" w:hAnsi="Arial"/>
          <w:i w:val="1"/>
          <w:iCs w:val="1"/>
          <w:sz w:val="24"/>
          <w:szCs w:val="24"/>
          <w:rtl w:val="0"/>
          <w:lang w:val="en-US"/>
        </w:rPr>
        <w:t xml:space="preserve">Employment tribunals-valuing a claim-whee to start.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https://www.citizensadvice.org.uk/work/problems-at-work/employment-tribunals-from-29-july-2013/employment-tribunals-valuing-a-claim/employment-tribunals-valuing-a-claim-where-to-start/</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(2015). </w:t>
      </w:r>
      <w:r>
        <w:rPr>
          <w:rStyle w:val="None"/>
          <w:rFonts w:ascii="Arial" w:hAnsi="Arial"/>
          <w:i w:val="1"/>
          <w:iCs w:val="1"/>
          <w:sz w:val="24"/>
          <w:szCs w:val="24"/>
          <w:rtl w:val="0"/>
          <w:lang w:val="en-US"/>
        </w:rPr>
        <w:t xml:space="preserve">Case Law on requesting flexible working.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https://www.cipd.co.uk/knowledge/fundamentals/relations/flexible-working/case-law-on-requesting-flexible-working#gref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(2020). </w:t>
      </w:r>
      <w:r>
        <w:rPr>
          <w:rStyle w:val="None"/>
          <w:rFonts w:ascii="Arial" w:hAnsi="Arial"/>
          <w:i w:val="1"/>
          <w:iCs w:val="1"/>
          <w:sz w:val="24"/>
          <w:szCs w:val="24"/>
          <w:rtl w:val="0"/>
          <w:lang w:val="en-US"/>
        </w:rPr>
        <w:t xml:space="preserve">Discipline and greviance at work.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https://www.cipd.co.uk/knowledge/fundamentals/emp-law/discipline/factsheet#gref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(2020). </w:t>
      </w:r>
      <w:r>
        <w:rPr>
          <w:rStyle w:val="None"/>
          <w:rFonts w:ascii="Arial" w:hAnsi="Arial"/>
          <w:i w:val="1"/>
          <w:iCs w:val="1"/>
          <w:sz w:val="24"/>
          <w:szCs w:val="24"/>
          <w:rtl w:val="0"/>
          <w:lang w:val="en-US"/>
        </w:rPr>
        <w:t xml:space="preserve">Dismissal procedures.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https://www.cipd.co.uk/knowledge/fundamentals/emp-law/dismissal/factsheet#gref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CIPD,(2020). </w:t>
      </w:r>
      <w:r>
        <w:rPr>
          <w:rStyle w:val="None"/>
          <w:rFonts w:ascii="Arial" w:hAnsi="Arial"/>
          <w:i w:val="1"/>
          <w:iCs w:val="1"/>
          <w:sz w:val="24"/>
          <w:szCs w:val="24"/>
          <w:rtl w:val="0"/>
          <w:lang w:val="en-US"/>
        </w:rPr>
        <w:t xml:space="preserve">Unfair dismissal Q&amp;As.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https://www.cipd.co.uk/knowledge/fundamentals/emp-law/dismissal/unfair-dismissal-questions#gref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(2020). </w:t>
      </w:r>
      <w:r>
        <w:rPr>
          <w:rStyle w:val="None"/>
          <w:rFonts w:ascii="Arial" w:hAnsi="Arial"/>
          <w:i w:val="1"/>
          <w:iCs w:val="1"/>
          <w:sz w:val="24"/>
          <w:szCs w:val="24"/>
          <w:rtl w:val="0"/>
          <w:lang w:val="en-US"/>
        </w:rPr>
        <w:t xml:space="preserve">Wrongful Dismissal Q&amp;A's.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https://www.cipd.co.uk/knowledge/fundamentals/emp-law/dismissal/wrongful-dismissal-questions#gref</w:t>
      </w:r>
      <w:r>
        <w:rPr>
          <w:rStyle w:val="None"/>
          <w:rFonts w:ascii="Arial" w:cs="Arial" w:hAnsi="Arial" w:eastAsia="Arial"/>
          <w:sz w:val="24"/>
          <w:szCs w:val="24"/>
        </w:rPr>
        <w:br w:type="textWrapping"/>
      </w:r>
      <w:r>
        <w:rPr>
          <w:rStyle w:val="None"/>
          <w:rFonts w:ascii="Arial" w:hAnsi="Arial"/>
          <w:sz w:val="24"/>
          <w:szCs w:val="24"/>
          <w:rtl w:val="0"/>
          <w:lang w:val="en-US"/>
        </w:rPr>
        <w:t>[Accessed 01 March 02021].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(2021). </w:t>
      </w:r>
      <w:r>
        <w:rPr>
          <w:rStyle w:val="None"/>
          <w:rFonts w:ascii="Arial" w:hAnsi="Arial"/>
          <w:i w:val="1"/>
          <w:iCs w:val="1"/>
          <w:sz w:val="24"/>
          <w:szCs w:val="24"/>
          <w:rtl w:val="0"/>
          <w:lang w:val="en-US"/>
        </w:rPr>
        <w:t xml:space="preserve">Flexible Working Practices.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https://www.cipd.co.uk/knowledge/fundamentals/relations/flexible-working/factsheet#gref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(2021). </w:t>
      </w:r>
      <w:r>
        <w:rPr>
          <w:rStyle w:val="None"/>
          <w:rFonts w:ascii="Arial" w:hAnsi="Arial"/>
          <w:i w:val="1"/>
          <w:iCs w:val="1"/>
          <w:sz w:val="24"/>
          <w:szCs w:val="24"/>
          <w:rtl w:val="0"/>
          <w:lang w:val="en-US"/>
        </w:rPr>
        <w:t xml:space="preserve">Retention of HR Records.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https://www.cipd.co.uk/knowledge/fundamentals/people/hr/keeping-records-factsheet#gref</w:t>
      </w:r>
      <w:r>
        <w:rPr>
          <w:rStyle w:val="None"/>
          <w:rFonts w:ascii="Arial" w:cs="Arial" w:hAnsi="Arial" w:eastAsia="Arial"/>
          <w:sz w:val="24"/>
          <w:szCs w:val="24"/>
        </w:rPr>
        <w:br w:type="textWrapping"/>
      </w:r>
      <w:r>
        <w:rPr>
          <w:rStyle w:val="None"/>
          <w:rFonts w:ascii="Arial" w:hAnsi="Arial"/>
          <w:sz w:val="24"/>
          <w:szCs w:val="24"/>
          <w:rtl w:val="0"/>
          <w:lang w:val="en-US"/>
        </w:rPr>
        <w:t>[Accessed 02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(2021). </w:t>
      </w:r>
      <w:r>
        <w:rPr>
          <w:rStyle w:val="None"/>
          <w:rFonts w:ascii="Arial" w:hAnsi="Arial"/>
          <w:i w:val="1"/>
          <w:iCs w:val="1"/>
          <w:sz w:val="24"/>
          <w:szCs w:val="24"/>
          <w:rtl w:val="0"/>
          <w:lang w:val="en-US"/>
        </w:rPr>
        <w:t xml:space="preserve">The role of employment tribunals.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https://www.cipd.co.uk/knowledge/fundamentals/emp-law/tribunals#gref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CIPD,( 2021). </w:t>
      </w:r>
      <w:r>
        <w:rPr>
          <w:rStyle w:val="None"/>
          <w:rFonts w:ascii="Arial" w:hAnsi="Arial"/>
          <w:i w:val="1"/>
          <w:iCs w:val="1"/>
          <w:sz w:val="24"/>
          <w:szCs w:val="24"/>
          <w:rtl w:val="0"/>
          <w:lang w:val="en-US"/>
        </w:rPr>
        <w:t xml:space="preserve">The role of Employment Tribunals.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https://www.cipd.co.uk/knowledge/fundamentals/emp-law/tribunals/factsheet#gref</w:t>
      </w:r>
      <w:r>
        <w:rPr>
          <w:rStyle w:val="None"/>
          <w:rFonts w:ascii="Arial" w:cs="Arial" w:hAnsi="Arial" w:eastAsia="Arial"/>
          <w:sz w:val="24"/>
          <w:szCs w:val="24"/>
        </w:rPr>
        <w:br w:type="textWrapping"/>
      </w:r>
      <w:r>
        <w:rPr>
          <w:rStyle w:val="None"/>
          <w:rFonts w:ascii="Arial" w:hAnsi="Arial"/>
          <w:sz w:val="24"/>
          <w:szCs w:val="24"/>
          <w:rtl w:val="0"/>
          <w:lang w:val="en-US"/>
        </w:rPr>
        <w:t>[Accessed 01 March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CIPD,(2021). </w:t>
      </w:r>
      <w:r>
        <w:rPr>
          <w:rStyle w:val="None"/>
          <w:rFonts w:ascii="Arial" w:hAnsi="Arial"/>
          <w:i w:val="1"/>
          <w:iCs w:val="1"/>
          <w:sz w:val="24"/>
          <w:szCs w:val="24"/>
          <w:rtl w:val="0"/>
          <w:lang w:val="en-US"/>
        </w:rPr>
        <w:t xml:space="preserve">Whistleblowing.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https://www.cipd.co.uk/knowledge/fundamentals/emp-law/whistleblowing#gref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CIPD, (2021). </w:t>
      </w:r>
      <w:r>
        <w:rPr>
          <w:rStyle w:val="None"/>
          <w:rFonts w:ascii="Arial" w:hAnsi="Arial"/>
          <w:i w:val="1"/>
          <w:iCs w:val="1"/>
          <w:sz w:val="24"/>
          <w:szCs w:val="24"/>
          <w:rtl w:val="0"/>
          <w:lang w:val="en-US"/>
        </w:rPr>
        <w:t xml:space="preserve">Whistleblowing Q&amp;As.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https://www.cipd.co.uk/knowledge/fundamentals/emp-law/whistleblowing/questions#gref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Coleman v Attridge Law &amp; Stephen Law' (2008)- C-303/06.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https://www.disabilityrightsuk.org/coleman-v-attridge-law-stephen-law-c-30306</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i w:val="1"/>
          <w:iCs w:val="1"/>
          <w:sz w:val="24"/>
          <w:szCs w:val="24"/>
          <w:rtl w:val="0"/>
          <w:lang w:val="en-US"/>
        </w:rPr>
        <w:t>Employment Rights Act 2018</w:t>
      </w:r>
      <w:r>
        <w:rPr>
          <w:rStyle w:val="None"/>
          <w:rFonts w:ascii="Arial" w:hAnsi="Arial"/>
          <w:sz w:val="24"/>
          <w:szCs w:val="24"/>
          <w:rtl w:val="0"/>
          <w:lang w:val="en-US"/>
        </w:rPr>
        <w:t xml:space="preserve">. [Online]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https://www.legislation.gov.uk/ukpga/1996/18/contents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Gov.uk, (1974). </w:t>
      </w:r>
      <w:r>
        <w:rPr>
          <w:rStyle w:val="None"/>
          <w:rFonts w:ascii="Arial" w:hAnsi="Arial"/>
          <w:i w:val="1"/>
          <w:iCs w:val="1"/>
          <w:sz w:val="24"/>
          <w:szCs w:val="24"/>
          <w:rtl w:val="0"/>
          <w:lang w:val="en-US"/>
        </w:rPr>
        <w:t xml:space="preserve">Health and Safety at Work Act.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https://www.hse.gov.uk/legislation/hswa.htm</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(1974). </w:t>
      </w:r>
      <w:r>
        <w:rPr>
          <w:rStyle w:val="None"/>
          <w:rFonts w:ascii="Arial" w:hAnsi="Arial"/>
          <w:i w:val="1"/>
          <w:iCs w:val="1"/>
          <w:sz w:val="24"/>
          <w:szCs w:val="24"/>
          <w:rtl w:val="0"/>
          <w:lang w:val="en-US"/>
        </w:rPr>
        <w:t xml:space="preserve">Health and Safety at Work Act 1974.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https://www.legislation.gov.uk/ukpga/1974/37/contents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(1998). </w:t>
      </w:r>
      <w:r>
        <w:rPr>
          <w:rStyle w:val="None"/>
          <w:rFonts w:ascii="Arial" w:hAnsi="Arial"/>
          <w:i w:val="1"/>
          <w:iCs w:val="1"/>
          <w:sz w:val="24"/>
          <w:szCs w:val="24"/>
          <w:rtl w:val="0"/>
          <w:lang w:val="en-US"/>
        </w:rPr>
        <w:t xml:space="preserve">The Working Time Regulations 1998.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https://www.legislation.gov.uk/uksi/1998/1833/contents/made</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(2010). </w:t>
      </w:r>
      <w:r>
        <w:rPr>
          <w:rStyle w:val="None"/>
          <w:rFonts w:ascii="Arial" w:hAnsi="Arial"/>
          <w:i w:val="1"/>
          <w:iCs w:val="1"/>
          <w:sz w:val="24"/>
          <w:szCs w:val="24"/>
          <w:rtl w:val="0"/>
          <w:lang w:val="en-US"/>
        </w:rPr>
        <w:t xml:space="preserve">Equality Act 2010.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https://www.legislation.gov.uk/ukpga/2010/15/contents</w:t>
      </w:r>
      <w:r>
        <w:rPr>
          <w:rStyle w:val="None"/>
          <w:rFonts w:ascii="Arial" w:cs="Arial" w:hAnsi="Arial" w:eastAsia="Arial"/>
          <w:sz w:val="24"/>
          <w:szCs w:val="24"/>
        </w:rPr>
        <w:br w:type="textWrapping"/>
      </w:r>
      <w:r>
        <w:rPr>
          <w:rStyle w:val="None"/>
          <w:rFonts w:ascii="Arial" w:hAnsi="Arial"/>
          <w:sz w:val="24"/>
          <w:szCs w:val="24"/>
          <w:rtl w:val="0"/>
          <w:lang w:val="en-US"/>
        </w:rPr>
        <w:t>[Accessed 03 01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(2014). </w:t>
      </w:r>
      <w:r>
        <w:rPr>
          <w:rStyle w:val="None"/>
          <w:rFonts w:ascii="Arial" w:hAnsi="Arial"/>
          <w:i w:val="1"/>
          <w:iCs w:val="1"/>
          <w:sz w:val="24"/>
          <w:szCs w:val="24"/>
          <w:rtl w:val="0"/>
          <w:lang w:val="en-US"/>
        </w:rPr>
        <w:t xml:space="preserve">Right to reuest flexibe working: application form.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https://www.gov.uk/government/publications/the-right-to-request-flexible-working-form</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Mcbride v Scottish Police Authority' (2016).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https://www.supremecourt.uk/cases/uksc-2014-0235.html</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ody"/>
      </w:pPr>
      <w:r>
        <w:rPr>
          <w:rStyle w:val="None"/>
          <w:rFonts w:ascii="Arial" w:hAnsi="Arial"/>
          <w:rtl w:val="0"/>
        </w:rPr>
        <w:t>'</w:t>
      </w:r>
      <w:r>
        <w:rPr>
          <w:rStyle w:val="None"/>
          <w:rFonts w:ascii="Arial" w:hAnsi="Arial"/>
          <w:i w:val="1"/>
          <w:iCs w:val="1"/>
          <w:rtl w:val="0"/>
        </w:rPr>
        <w:t xml:space="preserve">MBNA Ltd v Jones' (2015) UKEAT/0120/15/MC. </w:t>
      </w:r>
      <w:r>
        <w:rPr>
          <w:rStyle w:val="None"/>
          <w:rFonts w:ascii="Arial" w:hAnsi="Arial"/>
          <w:rtl w:val="0"/>
          <w:lang w:val="pt-PT"/>
        </w:rPr>
        <w:t xml:space="preserve">[Online] </w:t>
      </w:r>
      <w:r>
        <w:rPr>
          <w:rStyle w:val="None"/>
          <w:rFonts w:ascii="Arial" w:cs="Arial" w:hAnsi="Arial" w:eastAsia="Arial"/>
        </w:rPr>
        <w:br w:type="textWrapping"/>
      </w:r>
      <w:r>
        <w:rPr>
          <w:rStyle w:val="None"/>
          <w:rFonts w:ascii="Arial" w:hAnsi="Arial"/>
          <w:rtl w:val="0"/>
          <w:lang w:val="en-US"/>
        </w:rPr>
        <w:t xml:space="preserve">Available at: </w:t>
      </w:r>
      <w:r>
        <w:rPr>
          <w:rStyle w:val="None"/>
          <w:rFonts w:ascii="Arial" w:hAnsi="Arial"/>
          <w:u w:val="single"/>
          <w:rtl w:val="0"/>
          <w:lang w:val="en-US"/>
        </w:rPr>
        <w:t>https://www.employmentcasesupdate.co.uk/site.aspx?i=ed28242</w:t>
      </w:r>
      <w:r>
        <w:rPr>
          <w:rStyle w:val="None"/>
          <w:rFonts w:ascii="Arial" w:cs="Arial" w:hAnsi="Arial" w:eastAsia="Arial"/>
        </w:rPr>
        <w:br w:type="textWrapping"/>
      </w:r>
      <w:r>
        <w:rPr>
          <w:rStyle w:val="None"/>
          <w:rFonts w:ascii="Arial" w:hAnsi="Arial"/>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(2018). </w:t>
      </w:r>
      <w:r>
        <w:rPr>
          <w:rStyle w:val="None"/>
          <w:rFonts w:ascii="Arial" w:hAnsi="Arial"/>
          <w:i w:val="1"/>
          <w:iCs w:val="1"/>
          <w:sz w:val="24"/>
          <w:szCs w:val="24"/>
          <w:rtl w:val="0"/>
          <w:lang w:val="en-US"/>
        </w:rPr>
        <w:t xml:space="preserve">Data Protection Act 2018.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https://www.legislation.gov.uk/ukpga/2018/12/contents/enacted</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(2019). </w:t>
      </w:r>
      <w:r>
        <w:rPr>
          <w:rStyle w:val="None"/>
          <w:rFonts w:ascii="Arial" w:hAnsi="Arial"/>
          <w:i w:val="1"/>
          <w:iCs w:val="1"/>
          <w:sz w:val="24"/>
          <w:szCs w:val="24"/>
          <w:rtl w:val="0"/>
          <w:lang w:val="en-US"/>
        </w:rPr>
        <w:t xml:space="preserve">Records Management and Retention and Disposal Policy.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https://www.gov.uk/government/publications/hmrc-records-management-and-retention-and-disposal-policy/records-management-and-retention-and-disposal-policy</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(2020). </w:t>
      </w:r>
      <w:r>
        <w:rPr>
          <w:rStyle w:val="None"/>
          <w:rFonts w:ascii="Arial" w:hAnsi="Arial"/>
          <w:i w:val="1"/>
          <w:iCs w:val="1"/>
          <w:sz w:val="24"/>
          <w:szCs w:val="24"/>
          <w:rtl w:val="0"/>
          <w:lang w:val="en-US"/>
        </w:rPr>
        <w:t xml:space="preserve">Coronovirus Act 2020.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https://www.legislation.gov.uk/ukpga/2020/7/contents/enacted</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(2020). </w:t>
      </w:r>
      <w:r>
        <w:rPr>
          <w:rStyle w:val="None"/>
          <w:rFonts w:ascii="Arial" w:hAnsi="Arial"/>
          <w:i w:val="1"/>
          <w:iCs w:val="1"/>
          <w:sz w:val="24"/>
          <w:szCs w:val="24"/>
          <w:rtl w:val="0"/>
          <w:lang w:val="en-US"/>
        </w:rPr>
        <w:t xml:space="preserve">The Employment Rights (increase of Limits) Order 2020.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https://www.legislation.gov.uk/uksi/2020/205/contents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Disciplinary procedures and action against you at work.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https://www.gov.uk/disciplinary-procedures-and-action-at-work</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Discplinary procedures and action against you at work.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https://www.gov.uk/disciplinary-procedures-and-action-at-work</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Employment Tribunals.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https://www.gov.uk/courts-tribunals/employment-tribunal</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Form ET3: Respond to a claim made to an employment tribunal.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https://www.gov.uk/government/publications/respond-to-a-claim-made-to-an-employment-tribunal-form-et3</w:t>
      </w:r>
      <w:r>
        <w:rPr>
          <w:rStyle w:val="None"/>
          <w:rFonts w:ascii="Arial" w:cs="Arial" w:hAnsi="Arial" w:eastAsia="Arial"/>
          <w:sz w:val="24"/>
          <w:szCs w:val="24"/>
        </w:rPr>
        <w:br w:type="textWrapping"/>
      </w:r>
      <w:r>
        <w:rPr>
          <w:rStyle w:val="None"/>
          <w:rFonts w:ascii="Arial" w:hAnsi="Arial"/>
          <w:sz w:val="24"/>
          <w:szCs w:val="24"/>
          <w:rtl w:val="0"/>
          <w:lang w:val="en-US"/>
        </w:rPr>
        <w:t>[Accessed 01 March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Ms A Pullin v Neovia Logistics Services UK Ltd'.(2021)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https://assets.publishing.service.gov.uk/media/606c62fd8fa8f57363246b37/Ms_A_Pullin_v_Nevia_Logistics_Services__UK__Limited_2602524.2019_reserved_judgment.pdf</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Public Interest Disclosure Act.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https://www.legislation.gov.uk/ukpga/1998/23/contents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Gov.uk, (2021). </w:t>
      </w:r>
      <w:r>
        <w:rPr>
          <w:rStyle w:val="None"/>
          <w:rFonts w:ascii="Arial" w:hAnsi="Arial"/>
          <w:i w:val="1"/>
          <w:iCs w:val="1"/>
          <w:sz w:val="24"/>
          <w:szCs w:val="24"/>
          <w:rtl w:val="0"/>
          <w:lang w:val="en-US"/>
        </w:rPr>
        <w:t xml:space="preserve">Understanding your pay.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https://www.gov.uk/understanding-your-pay/deductions-from-your-pay</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Gov.wales, (2020). </w:t>
      </w:r>
      <w:r>
        <w:rPr>
          <w:rStyle w:val="None"/>
          <w:rFonts w:ascii="Arial" w:hAnsi="Arial"/>
          <w:i w:val="1"/>
          <w:iCs w:val="1"/>
          <w:sz w:val="24"/>
          <w:szCs w:val="24"/>
          <w:rtl w:val="0"/>
          <w:lang w:val="en-US"/>
        </w:rPr>
        <w:t xml:space="preserve">The Health Protection (Coronavirus Restrictions) (No.5) (Wales) Regulations 2020, </w:t>
      </w:r>
      <w:r>
        <w:rPr>
          <w:rStyle w:val="None"/>
          <w:rFonts w:ascii="Arial" w:hAnsi="Arial"/>
          <w:sz w:val="24"/>
          <w:szCs w:val="24"/>
          <w:rtl w:val="0"/>
          <w:lang w:val="en-US"/>
        </w:rPr>
        <w:t>Wales: Gov.uk.</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ICO,( 2018). </w:t>
      </w:r>
      <w:r>
        <w:rPr>
          <w:rStyle w:val="None"/>
          <w:rFonts w:ascii="Arial" w:hAnsi="Arial"/>
          <w:i w:val="1"/>
          <w:iCs w:val="1"/>
          <w:sz w:val="24"/>
          <w:szCs w:val="24"/>
          <w:rtl w:val="0"/>
          <w:lang w:val="en-US"/>
        </w:rPr>
        <w:t xml:space="preserve">Guide to UK General Data Protection Regulation.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https://ico.org.uk/for-organisations/guide-to-data-protection/guide-to-the-general-data-protection-regulation-gdpr/</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ICO, (2021). </w:t>
      </w:r>
      <w:r>
        <w:rPr>
          <w:rStyle w:val="None"/>
          <w:rFonts w:ascii="Arial" w:hAnsi="Arial"/>
          <w:i w:val="1"/>
          <w:iCs w:val="1"/>
          <w:sz w:val="24"/>
          <w:szCs w:val="24"/>
          <w:rtl w:val="0"/>
          <w:lang w:val="en-US"/>
        </w:rPr>
        <w:t xml:space="preserve">Information Commissioner's Office.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https://ico.org.uk/</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Legislation.gov.uk, (1996). </w:t>
      </w:r>
      <w:r>
        <w:rPr>
          <w:rStyle w:val="None"/>
          <w:rFonts w:ascii="Arial" w:hAnsi="Arial"/>
          <w:i w:val="1"/>
          <w:iCs w:val="1"/>
          <w:sz w:val="24"/>
          <w:szCs w:val="24"/>
          <w:rtl w:val="0"/>
          <w:lang w:val="en-US"/>
        </w:rPr>
        <w:t xml:space="preserve">Section 80F of the Employment Rights Act 1996.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https://www.legislation.gov.uk/ukpga/1996/18/section/80F</w:t>
      </w:r>
      <w:r>
        <w:rPr>
          <w:rStyle w:val="None"/>
          <w:rFonts w:ascii="Arial" w:cs="Arial" w:hAnsi="Arial" w:eastAsia="Arial"/>
          <w:sz w:val="24"/>
          <w:szCs w:val="24"/>
        </w:rPr>
        <w:br w:type="textWrapping"/>
      </w:r>
      <w:r>
        <w:rPr>
          <w:rStyle w:val="None"/>
          <w:rFonts w:ascii="Arial" w:hAnsi="Arial"/>
          <w:sz w:val="24"/>
          <w:szCs w:val="24"/>
          <w:rtl w:val="0"/>
          <w:lang w:val="en-US"/>
        </w:rPr>
        <w:t>[Accessed 02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Legislation.gov.uk,(2004). </w:t>
      </w:r>
      <w:r>
        <w:rPr>
          <w:rStyle w:val="None"/>
          <w:rFonts w:ascii="Arial" w:hAnsi="Arial"/>
          <w:i w:val="1"/>
          <w:iCs w:val="1"/>
          <w:sz w:val="24"/>
          <w:szCs w:val="24"/>
          <w:rtl w:val="0"/>
          <w:lang w:val="en-US"/>
        </w:rPr>
        <w:t xml:space="preserve">The Employment Tribunals (Constitution and Rules of Procedure) Regulations 2004.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https://www.legislation.gov.uk/uksi/employment%20tribunals</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Legislation.gov.uk, (2014). </w:t>
      </w:r>
      <w:r>
        <w:rPr>
          <w:rStyle w:val="None"/>
          <w:rFonts w:ascii="Arial" w:hAnsi="Arial"/>
          <w:i w:val="1"/>
          <w:iCs w:val="1"/>
          <w:sz w:val="24"/>
          <w:szCs w:val="24"/>
          <w:rtl w:val="0"/>
          <w:lang w:val="en-US"/>
        </w:rPr>
        <w:t xml:space="preserve">The Flexible Working Regulations 2014.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https://www.legislation.gov.uk/uksi/2014/1398/made</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w:t>
      </w:r>
      <w:r>
        <w:rPr>
          <w:rStyle w:val="None"/>
          <w:rFonts w:ascii="Arial" w:hAnsi="Arial"/>
          <w:i w:val="1"/>
          <w:iCs w:val="1"/>
          <w:sz w:val="24"/>
          <w:szCs w:val="24"/>
          <w:rtl w:val="0"/>
          <w:lang w:val="en-US"/>
        </w:rPr>
        <w:t xml:space="preserve">UK EAT's XC Trains Ltd v CD and ASEF' (2016)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https://www.natlawreview.com/article/uk-eat-s-xc-trains-ltd-v-cd-and-aslef-remember-provision-criterion-or-practice-can</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i w:val="1"/>
          <w:iCs w:val="1"/>
          <w:sz w:val="24"/>
          <w:szCs w:val="24"/>
          <w:rtl w:val="0"/>
          <w:lang w:val="en-US"/>
        </w:rPr>
        <w:t xml:space="preserve"> 'Scott v LGBT Foundation', (2016).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https://panopticonblog.com/2020/03/13/data-protection-doesnt-do-oral-processing/</w:t>
      </w:r>
      <w:r>
        <w:rPr>
          <w:rStyle w:val="None"/>
          <w:rFonts w:ascii="Arial" w:cs="Arial" w:hAnsi="Arial" w:eastAsia="Arial"/>
          <w:sz w:val="24"/>
          <w:szCs w:val="24"/>
        </w:rPr>
        <w:br w:type="textWrapping"/>
      </w:r>
      <w:r>
        <w:rPr>
          <w:rStyle w:val="None"/>
          <w:rFonts w:ascii="Arial" w:hAnsi="Arial"/>
          <w:sz w:val="24"/>
          <w:szCs w:val="24"/>
          <w:rtl w:val="0"/>
          <w:lang w:val="en-US"/>
        </w:rPr>
        <w:t>[Accessed 02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Cavendish Munro v Geduld' (2009)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https://www.personneltoday.com/hr/case-of-the-week-cavendish-munro-professional-risks-management-limited-v-geduld/</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Lingard v HM Prison Service' (2005) 1802862/04 (ET).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https://uk.practicallaw.thomsonreuters.com/4-364-6986?transitionType=Default&amp;contextData=(sc.Default)&amp;firstPage=true</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Hiles v South Gloucestershire NHS Primary Care Trust' (2006).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https://uk.practicallaw.thomsonreuters.com/6-214-1000?transitionType=Default&amp;contextData=(sc.Default)&amp;firstPage=true</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Sargeant, D. L. a. M., (2019). Employment Law: The Essentials. In: CIPD, ed. </w:t>
      </w:r>
      <w:r>
        <w:rPr>
          <w:rStyle w:val="None"/>
          <w:rFonts w:ascii="Arial" w:hAnsi="Arial"/>
          <w:i w:val="1"/>
          <w:iCs w:val="1"/>
          <w:sz w:val="24"/>
          <w:szCs w:val="24"/>
          <w:rtl w:val="0"/>
          <w:lang w:val="en-US"/>
        </w:rPr>
        <w:t xml:space="preserve">Employment Law: The Essentials. </w:t>
      </w:r>
      <w:r>
        <w:rPr>
          <w:rStyle w:val="None"/>
          <w:rFonts w:ascii="Arial" w:hAnsi="Arial"/>
          <w:sz w:val="24"/>
          <w:szCs w:val="24"/>
          <w:rtl w:val="0"/>
          <w:lang w:val="en-US"/>
        </w:rPr>
        <w:t>England: Kogan Page, p. all.</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XC Trains Ltd v Aslef &amp; Others'.(2016)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https://www.employmentsolicitor.com/xc-trains-ltd-v-1-cd-2-aslef-others-ukeat033115la/</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Stammeringlaw, (2019). </w:t>
      </w:r>
      <w:r>
        <w:rPr>
          <w:rStyle w:val="None"/>
          <w:rFonts w:ascii="Arial" w:hAnsi="Arial"/>
          <w:i w:val="1"/>
          <w:iCs w:val="1"/>
          <w:sz w:val="24"/>
          <w:szCs w:val="24"/>
          <w:rtl w:val="0"/>
          <w:lang w:val="en-US"/>
        </w:rPr>
        <w:t xml:space="preserve">Discrimination by Association.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https://www.stammeringlaw.org.uk/disability-equality-law/discrimination/discrimination-by-association/</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p>
    <w:p>
      <w:pPr>
        <w:pStyle w:val="Bibliography"/>
        <w:rPr>
          <w:rStyle w:val="None"/>
          <w:rFonts w:ascii="Arial" w:cs="Arial" w:hAnsi="Arial" w:eastAsia="Arial"/>
          <w:sz w:val="24"/>
          <w:szCs w:val="24"/>
        </w:rPr>
      </w:pPr>
      <w:r>
        <w:rPr>
          <w:rStyle w:val="None"/>
          <w:rFonts w:ascii="Arial" w:hAnsi="Arial"/>
          <w:sz w:val="24"/>
          <w:szCs w:val="24"/>
          <w:rtl w:val="0"/>
          <w:lang w:val="en-US"/>
        </w:rPr>
        <w:t xml:space="preserve"> '</w:t>
      </w:r>
      <w:r>
        <w:rPr>
          <w:rStyle w:val="None"/>
          <w:rFonts w:ascii="Arial" w:hAnsi="Arial"/>
          <w:i w:val="1"/>
          <w:iCs w:val="1"/>
          <w:sz w:val="24"/>
          <w:szCs w:val="24"/>
          <w:rtl w:val="0"/>
          <w:lang w:val="en-US"/>
        </w:rPr>
        <w:t xml:space="preserve">Cavendish Munro Professional Risks Management Ltd v Geduld' (2009). </w:t>
      </w:r>
      <w:r>
        <w:rPr>
          <w:rStyle w:val="None"/>
          <w:rFonts w:ascii="Arial" w:hAnsi="Arial"/>
          <w:sz w:val="24"/>
          <w:szCs w:val="24"/>
          <w:rtl w:val="0"/>
          <w:lang w:val="en-US"/>
        </w:rPr>
        <w:t xml:space="preserve">[Online] </w:t>
      </w:r>
      <w:r>
        <w:rPr>
          <w:rStyle w:val="None"/>
          <w:rFonts w:ascii="Arial" w:cs="Arial" w:hAnsi="Arial" w:eastAsia="Arial"/>
          <w:sz w:val="24"/>
          <w:szCs w:val="24"/>
        </w:rPr>
        <w:br w:type="textWrapping"/>
      </w:r>
      <w:r>
        <w:rPr>
          <w:rStyle w:val="None"/>
          <w:rFonts w:ascii="Arial" w:hAnsi="Arial"/>
          <w:sz w:val="24"/>
          <w:szCs w:val="24"/>
          <w:rtl w:val="0"/>
          <w:lang w:val="en-US"/>
        </w:rPr>
        <w:t xml:space="preserve">Available at: </w:t>
      </w:r>
      <w:r>
        <w:rPr>
          <w:rStyle w:val="None"/>
          <w:rFonts w:ascii="Arial" w:hAnsi="Arial"/>
          <w:sz w:val="24"/>
          <w:szCs w:val="24"/>
          <w:u w:val="single"/>
          <w:rtl w:val="0"/>
          <w:lang w:val="en-US"/>
        </w:rPr>
        <w:t>https://www.personneltoday.com/hr/case-of-the-week-cavendish-munro-professional-risks-management-limited-v-geduld/</w:t>
      </w:r>
      <w:r>
        <w:rPr>
          <w:rStyle w:val="None"/>
          <w:rFonts w:ascii="Arial" w:cs="Arial" w:hAnsi="Arial" w:eastAsia="Arial"/>
          <w:sz w:val="24"/>
          <w:szCs w:val="24"/>
        </w:rPr>
        <w:br w:type="textWrapping"/>
      </w:r>
      <w:r>
        <w:rPr>
          <w:rStyle w:val="None"/>
          <w:rFonts w:ascii="Arial" w:hAnsi="Arial"/>
          <w:sz w:val="24"/>
          <w:szCs w:val="24"/>
          <w:rtl w:val="0"/>
          <w:lang w:val="en-US"/>
        </w:rPr>
        <w:t>[Accessed 01 03 2021].</w:t>
      </w:r>
      <w:r>
        <w:rPr/>
        <w:fldChar w:fldCharType="end" w:fldLock="0"/>
      </w:r>
    </w:p>
    <w:p>
      <w:pPr>
        <w:pStyle w:val="Body"/>
        <w:spacing w:before="120" w:after="200" w:line="264" w:lineRule="auto"/>
      </w:pPr>
    </w:p>
    <w:p>
      <w:pPr>
        <w:pStyle w:val="Body A A"/>
        <w:rPr>
          <w:rStyle w:val="None"/>
          <w:rFonts w:ascii="Arial" w:cs="Arial" w:hAnsi="Arial" w:eastAsia="Arial"/>
          <w:sz w:val="24"/>
          <w:szCs w:val="24"/>
        </w:rPr>
      </w:pPr>
    </w:p>
    <w:p>
      <w:pPr>
        <w:pStyle w:val="Body A A"/>
        <w:rPr>
          <w:rStyle w:val="None"/>
          <w:rFonts w:ascii="Arial" w:cs="Arial" w:hAnsi="Arial" w:eastAsia="Arial"/>
          <w:sz w:val="24"/>
          <w:szCs w:val="24"/>
        </w:rPr>
      </w:pPr>
    </w:p>
    <w:p>
      <w:pPr>
        <w:pStyle w:val="Body A A"/>
        <w:rPr>
          <w:rStyle w:val="None"/>
          <w:rFonts w:ascii="Arial" w:cs="Arial" w:hAnsi="Arial" w:eastAsia="Arial"/>
          <w:sz w:val="24"/>
          <w:szCs w:val="24"/>
        </w:rPr>
      </w:pPr>
    </w:p>
    <w:p>
      <w:pPr>
        <w:pStyle w:val="Body A A"/>
        <w:rPr>
          <w:rStyle w:val="None"/>
          <w:rFonts w:ascii="Arial" w:cs="Arial" w:hAnsi="Arial" w:eastAsia="Arial"/>
          <w:sz w:val="24"/>
          <w:szCs w:val="24"/>
        </w:rPr>
      </w:pPr>
    </w:p>
    <w:p>
      <w:pPr>
        <w:pStyle w:val="Body A A"/>
      </w:pPr>
      <w:r>
        <w:rPr>
          <w:rStyle w:val="None"/>
          <w:rFonts w:ascii="Arial" w:cs="Arial" w:hAnsi="Arial" w:eastAsia="Arial"/>
          <w:sz w:val="24"/>
          <w:szCs w:val="24"/>
        </w:rPr>
      </w:r>
    </w:p>
    <w:sectPr>
      <w:headerReference w:type="default" r:id="rId4"/>
      <w:headerReference w:type="first" r:id="rId5"/>
      <w:footerReference w:type="default" r:id="rId6"/>
      <w:footerReference w:type="first" r:id="rId7"/>
      <w:pgSz w:w="12240" w:h="15840" w:orient="portrait"/>
      <w:pgMar w:top="1728" w:right="1800" w:bottom="1440" w:left="180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nstant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tl w:val="0"/>
        <w:lang w:val="en-US"/>
      </w:rPr>
      <w:t xml:space="preserve">Page </w:t>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0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2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94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6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8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2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548"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0"/>
  </w:abstractNum>
  <w:abstractNum w:abstractNumId="3">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1.0.0"/>
  </w:abstractNum>
  <w:abstractNum w:abstractNumId="5">
    <w:multiLevelType w:val="hybridMultilevel"/>
    <w:styleLink w:val="Imported Style 1.0.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2"/>
  </w:abstractNum>
  <w:abstractNum w:abstractNumId="7">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7"/>
  </w:abstractNum>
  <w:abstractNum w:abstractNumId="9">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3"/>
  </w:abstractNum>
  <w:abstractNum w:abstractNumId="11">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4"/>
  </w:abstractNum>
  <w:abstractNum w:abstractNumId="13">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5"/>
  </w:abstractNum>
  <w:abstractNum w:abstractNumId="15">
    <w:multiLevelType w:val="hybridMultilevel"/>
    <w:styleLink w:val="Imported Style 5"/>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suppressAutoHyphens w:val="0"/>
      <w:bidi w:val="0"/>
      <w:spacing w:before="0" w:after="0" w:line="240" w:lineRule="auto"/>
      <w:ind w:left="0" w:right="0" w:firstLine="0"/>
      <w:jc w:val="right"/>
      <w:outlineLvl w:val="9"/>
    </w:pPr>
    <w:rPr>
      <w:rFonts w:ascii="Constantia" w:cs="Constantia" w:hAnsi="Constantia" w:eastAsia="Constantia"/>
      <w:b w:val="0"/>
      <w:bCs w:val="0"/>
      <w:i w:val="0"/>
      <w:iCs w:val="0"/>
      <w:caps w:val="1"/>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Photo">
    <w:name w:val="Photo"/>
    <w:next w:val="Photo"/>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Title">
    <w:name w:val="Title"/>
    <w:next w:val="Title"/>
    <w:pPr>
      <w:keepNext w:val="0"/>
      <w:keepLines w:val="0"/>
      <w:pageBreakBefore w:val="0"/>
      <w:widowControl w:val="1"/>
      <w:shd w:val="clear" w:color="auto" w:fill="auto"/>
      <w:suppressAutoHyphens w:val="0"/>
      <w:bidi w:val="0"/>
      <w:spacing w:before="480" w:after="4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007789"/>
      <w:spacing w:val="0"/>
      <w:kern w:val="28"/>
      <w:position w:val="0"/>
      <w:sz w:val="60"/>
      <w:szCs w:val="60"/>
      <w:u w:val="none" w:color="007789"/>
      <w:shd w:val="nil" w:color="auto" w:fill="auto"/>
      <w:vertAlign w:val="baseline"/>
      <w:lang w:val="en-US"/>
      <w14:textOutline w14:w="12700" w14:cap="flat">
        <w14:noFill/>
        <w14:miter w14:lim="400000"/>
      </w14:textOutline>
      <w14:textFill>
        <w14:solidFill>
          <w14:srgbClr w14:val="007789"/>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480" w:line="264" w:lineRule="auto"/>
      <w:ind w:left="0" w:right="0" w:firstLine="0"/>
      <w:jc w:val="center"/>
      <w:outlineLvl w:val="9"/>
    </w:pPr>
    <w:rPr>
      <w:rFonts w:ascii="Constantia" w:cs="Constantia" w:hAnsi="Constantia" w:eastAsia="Constantia"/>
      <w:b w:val="0"/>
      <w:bCs w:val="0"/>
      <w:i w:val="0"/>
      <w:iCs w:val="0"/>
      <w:caps w:val="1"/>
      <w:strike w:val="0"/>
      <w:dstrike w:val="0"/>
      <w:outline w:val="0"/>
      <w:color w:val="595959"/>
      <w:spacing w:val="0"/>
      <w:kern w:val="0"/>
      <w:position w:val="0"/>
      <w:sz w:val="26"/>
      <w:szCs w:val="26"/>
      <w:u w:val="none" w:color="595959"/>
      <w:shd w:val="nil" w:color="auto" w:fill="auto"/>
      <w:vertAlign w:val="baseline"/>
      <w:lang w:val="en-US"/>
      <w14:textOutline w14:w="12700" w14:cap="flat">
        <w14:noFill/>
        <w14:miter w14:lim="400000"/>
      </w14:textOutline>
      <w14:textFill>
        <w14:solidFill>
          <w14:srgbClr w14:val="595959"/>
        </w14:solidFill>
      </w14:textFill>
    </w:rPr>
  </w:style>
  <w:style w:type="paragraph" w:styleId="Contact Info">
    <w:name w:val="Contact Info"/>
    <w:next w:val="Contact Info"/>
    <w:pPr>
      <w:keepNext w:val="0"/>
      <w:keepLines w:val="0"/>
      <w:pageBreakBefore w:val="0"/>
      <w:widowControl w:val="1"/>
      <w:shd w:val="clear" w:color="auto" w:fill="auto"/>
      <w:suppressAutoHyphens w:val="0"/>
      <w:bidi w:val="0"/>
      <w:spacing w:before="0" w:after="0" w:line="264"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fr-FR"/>
      <w14:textOutline w14:w="12700" w14:cap="flat">
        <w14:noFill/>
        <w14:miter w14:lim="400000"/>
      </w14:textOutline>
      <w14:textFill>
        <w14:solidFill>
          <w14:srgbClr w14:val="595959"/>
        </w14:solidFill>
      </w14:textFill>
    </w:rPr>
  </w:style>
  <w:style w:type="numbering" w:styleId="Imported Style 1">
    <w:name w:val="Imported Style 1"/>
    <w:pPr>
      <w:numPr>
        <w:numId w:val="1"/>
      </w:numPr>
    </w:pPr>
  </w:style>
  <w:style w:type="paragraph" w:styleId="Body A A">
    <w:name w:val="Body A A"/>
    <w:next w:val="Body A A"/>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Outline w14:w="12700" w14:cap="flat">
        <w14:noFill/>
        <w14:miter w14:lim="400000"/>
      </w14:textOutline>
      <w14:textFill>
        <w14:solidFill>
          <w14:srgbClr w14:val="595959"/>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120" w:after="200" w:line="264" w:lineRule="auto"/>
      <w:ind w:left="72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numbering" w:styleId="Imported Style 1.0">
    <w:name w:val="Imported Style 1.0"/>
    <w:pPr>
      <w:numPr>
        <w:numId w:val="3"/>
      </w:numPr>
    </w:pPr>
  </w:style>
  <w:style w:type="numbering" w:styleId="Imported Style 1.0.0">
    <w:name w:val="Imported Style 1.0.0"/>
    <w:pPr>
      <w:numPr>
        <w:numId w:val="5"/>
      </w:numPr>
    </w:pPr>
  </w:style>
  <w:style w:type="numbering" w:styleId="Imported Style 2">
    <w:name w:val="Imported Style 2"/>
    <w:pPr>
      <w:numPr>
        <w:numId w:val="7"/>
      </w:numPr>
    </w:pPr>
  </w:style>
  <w:style w:type="numbering" w:styleId="Imported Style 7">
    <w:name w:val="Imported Style 7"/>
    <w:pPr>
      <w:numPr>
        <w:numId w:val="9"/>
      </w:numPr>
    </w:pPr>
  </w:style>
  <w:style w:type="character" w:styleId="None">
    <w:name w:val="None"/>
  </w:style>
  <w:style w:type="character" w:styleId="Hyperlink.0">
    <w:name w:val="Hyperlink.0"/>
    <w:basedOn w:val="None"/>
    <w:next w:val="Hyperlink.0"/>
    <w:rPr>
      <w:rFonts w:ascii="Arial" w:cs="Arial" w:hAnsi="Arial" w:eastAsia="Arial"/>
      <w:outline w:val="0"/>
      <w:color w:val="835d00"/>
      <w:sz w:val="24"/>
      <w:szCs w:val="24"/>
      <w:u w:val="single" w:color="835d00"/>
      <w:lang w:val="it-IT"/>
      <w14:textFill>
        <w14:solidFill>
          <w14:srgbClr w14:val="835D00"/>
        </w14:solidFill>
      </w14:textFill>
    </w:rPr>
  </w:style>
  <w:style w:type="numbering" w:styleId="Imported Style 3">
    <w:name w:val="Imported Style 3"/>
    <w:pPr>
      <w:numPr>
        <w:numId w:val="11"/>
      </w:numPr>
    </w:pPr>
  </w:style>
  <w:style w:type="numbering" w:styleId="Imported Style 4">
    <w:name w:val="Imported Style 4"/>
    <w:pPr>
      <w:numPr>
        <w:numId w:val="13"/>
      </w:numPr>
    </w:p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5">
    <w:name w:val="Imported Style 5"/>
    <w:pPr>
      <w:numPr>
        <w:numId w:val="15"/>
      </w:numPr>
    </w:pPr>
  </w:style>
  <w:style w:type="character" w:styleId="Hyperlink.1">
    <w:name w:val="Hyperlink.1"/>
    <w:basedOn w:val="None"/>
    <w:next w:val="Hyperlink.1"/>
    <w:rPr>
      <w:rFonts w:ascii="Arial" w:cs="Arial" w:hAnsi="Arial" w:eastAsia="Arial"/>
      <w:outline w:val="0"/>
      <w:color w:val="835d00"/>
      <w:sz w:val="24"/>
      <w:szCs w:val="24"/>
      <w:u w:val="single" w:color="835d00"/>
      <w14:textFill>
        <w14:solidFill>
          <w14:srgbClr w14:val="835D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600" w:after="60" w:line="264" w:lineRule="auto"/>
      <w:ind w:left="0" w:right="0" w:firstLine="0"/>
      <w:jc w:val="left"/>
      <w:outlineLvl w:val="0"/>
    </w:pPr>
    <w:rPr>
      <w:rFonts w:ascii="Constantia" w:cs="Constantia" w:hAnsi="Constantia" w:eastAsia="Constantia"/>
      <w:b w:val="0"/>
      <w:bCs w:val="0"/>
      <w:i w:val="0"/>
      <w:iCs w:val="0"/>
      <w:caps w:val="0"/>
      <w:smallCaps w:val="0"/>
      <w:strike w:val="0"/>
      <w:dstrike w:val="0"/>
      <w:outline w:val="0"/>
      <w:color w:val="007789"/>
      <w:spacing w:val="0"/>
      <w:kern w:val="0"/>
      <w:position w:val="0"/>
      <w:sz w:val="32"/>
      <w:szCs w:val="32"/>
      <w:u w:val="none" w:color="007789"/>
      <w:shd w:val="nil" w:color="auto" w:fill="auto"/>
      <w:vertAlign w:val="baseline"/>
      <w:lang w:val="fr-FR"/>
      <w14:textOutline>
        <w14:noFill/>
      </w14:textOutline>
      <w14:textFill>
        <w14:solidFill>
          <w14:srgbClr w14:val="007789"/>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fr-FR"/>
      <w14:textOutline>
        <w14:noFill/>
      </w14:textOutline>
      <w14:textFill>
        <w14:solidFill>
          <w14:srgbClr w14:val="000000"/>
        </w14:solidFill>
      </w14:textFill>
    </w:rPr>
  </w:style>
  <w:style w:type="paragraph" w:styleId="Bibliography">
    <w:name w:val="Bibliography"/>
    <w:next w:val="Body"/>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heme1">
  <a:themeElements>
    <a:clrScheme name="Theme1">
      <a:dk1>
        <a:srgbClr val="000000"/>
      </a:dk1>
      <a:lt1>
        <a:srgbClr val="FFFFFF"/>
      </a:lt1>
      <a:dk2>
        <a:srgbClr val="A7A7A7"/>
      </a:dk2>
      <a:lt2>
        <a:srgbClr val="535353"/>
      </a:lt2>
      <a:accent1>
        <a:srgbClr val="00A0B8"/>
      </a:accent1>
      <a:accent2>
        <a:srgbClr val="EA157A"/>
      </a:accent2>
      <a:accent3>
        <a:srgbClr val="FEB80A"/>
      </a:accent3>
      <a:accent4>
        <a:srgbClr val="00ADDC"/>
      </a:accent4>
      <a:accent5>
        <a:srgbClr val="738AC8"/>
      </a:accent5>
      <a:accent6>
        <a:srgbClr val="1AB39F"/>
      </a:accent6>
      <a:hlink>
        <a:srgbClr val="0000FF"/>
      </a:hlink>
      <a:folHlink>
        <a:srgbClr val="FF00FF"/>
      </a:folHlink>
    </a:clrScheme>
    <a:fontScheme name="Theme1">
      <a:majorFont>
        <a:latin typeface="Constantia"/>
        <a:ea typeface="Constantia"/>
        <a:cs typeface="Constantia"/>
      </a:majorFont>
      <a:minorFont>
        <a:latin typeface="Constantia"/>
        <a:ea typeface="Constantia"/>
        <a:cs typeface="Constantia"/>
      </a:minorFont>
    </a:fontScheme>
    <a:fmtScheme name="Theme1">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