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0C61" w:rsidRDefault="00C30C61" w:rsidP="00C30C61">
      <w:pPr>
        <w:spacing w:line="360" w:lineRule="auto"/>
      </w:pPr>
    </w:p>
    <w:tbl>
      <w:tblPr>
        <w:tblStyle w:val="TableGrid"/>
        <w:tblpPr w:leftFromText="180" w:rightFromText="180" w:vertAnchor="page" w:horzAnchor="margin" w:tblpY="2467"/>
        <w:tblW w:w="79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10"/>
        <w:gridCol w:w="5585"/>
      </w:tblGrid>
      <w:tr w:rsidR="00C30C61" w:rsidTr="00C30C61">
        <w:trPr>
          <w:trHeight w:val="498"/>
        </w:trPr>
        <w:tc>
          <w:tcPr>
            <w:tcW w:w="2410" w:type="dxa"/>
          </w:tcPr>
          <w:p w:rsidR="00C30C61" w:rsidRPr="00F32C50" w:rsidRDefault="00C30C61" w:rsidP="00C30C61">
            <w:pPr>
              <w:spacing w:line="360" w:lineRule="auto"/>
              <w:jc w:val="both"/>
              <w:rPr>
                <w:b/>
                <w:color w:val="767171" w:themeColor="background2" w:themeShade="80"/>
                <w:sz w:val="28"/>
              </w:rPr>
            </w:pPr>
            <w:r w:rsidRPr="00F32C50">
              <w:rPr>
                <w:b/>
                <w:color w:val="767171" w:themeColor="background2" w:themeShade="80"/>
                <w:sz w:val="28"/>
              </w:rPr>
              <w:t>Name:</w:t>
            </w:r>
          </w:p>
        </w:tc>
        <w:tc>
          <w:tcPr>
            <w:tcW w:w="5585" w:type="dxa"/>
          </w:tcPr>
          <w:p w:rsidR="00C30C61" w:rsidRPr="00F32C50" w:rsidRDefault="00C30C61" w:rsidP="00C30C61">
            <w:pPr>
              <w:spacing w:line="360" w:lineRule="auto"/>
              <w:jc w:val="both"/>
              <w:rPr>
                <w:color w:val="767171" w:themeColor="background2" w:themeShade="80"/>
                <w:sz w:val="28"/>
              </w:rPr>
            </w:pPr>
            <w:r w:rsidRPr="00F32C50">
              <w:rPr>
                <w:color w:val="767171" w:themeColor="background2" w:themeShade="80"/>
                <w:sz w:val="28"/>
              </w:rPr>
              <w:t>Mike Wakelyn</w:t>
            </w:r>
          </w:p>
        </w:tc>
      </w:tr>
      <w:tr w:rsidR="00C30C61" w:rsidTr="00C30C61">
        <w:trPr>
          <w:trHeight w:val="506"/>
        </w:trPr>
        <w:tc>
          <w:tcPr>
            <w:tcW w:w="2410" w:type="dxa"/>
          </w:tcPr>
          <w:p w:rsidR="00C30C61" w:rsidRPr="00F32C50" w:rsidRDefault="00C30C61" w:rsidP="00C30C61">
            <w:pPr>
              <w:spacing w:line="360" w:lineRule="auto"/>
              <w:jc w:val="both"/>
              <w:rPr>
                <w:b/>
                <w:color w:val="767171" w:themeColor="background2" w:themeShade="80"/>
                <w:sz w:val="28"/>
              </w:rPr>
            </w:pPr>
            <w:r w:rsidRPr="00F32C50">
              <w:rPr>
                <w:b/>
                <w:color w:val="767171" w:themeColor="background2" w:themeShade="80"/>
                <w:sz w:val="28"/>
              </w:rPr>
              <w:t>Student ID:</w:t>
            </w:r>
          </w:p>
        </w:tc>
        <w:tc>
          <w:tcPr>
            <w:tcW w:w="5585" w:type="dxa"/>
          </w:tcPr>
          <w:p w:rsidR="00C30C61" w:rsidRPr="00F32C50" w:rsidRDefault="00C30C61" w:rsidP="00C30C61">
            <w:pPr>
              <w:spacing w:line="360" w:lineRule="auto"/>
              <w:jc w:val="both"/>
              <w:rPr>
                <w:color w:val="767171" w:themeColor="background2" w:themeShade="80"/>
                <w:sz w:val="28"/>
              </w:rPr>
            </w:pPr>
            <w:r w:rsidRPr="00F32C50">
              <w:rPr>
                <w:color w:val="767171" w:themeColor="background2" w:themeShade="80"/>
                <w:sz w:val="28"/>
              </w:rPr>
              <w:t>1707800</w:t>
            </w:r>
          </w:p>
        </w:tc>
      </w:tr>
      <w:tr w:rsidR="00C30C61" w:rsidTr="00C30C61">
        <w:trPr>
          <w:trHeight w:val="486"/>
        </w:trPr>
        <w:tc>
          <w:tcPr>
            <w:tcW w:w="2410" w:type="dxa"/>
          </w:tcPr>
          <w:p w:rsidR="00C30C61" w:rsidRPr="00F32C50" w:rsidRDefault="00C30C61" w:rsidP="00C30C61">
            <w:pPr>
              <w:spacing w:line="360" w:lineRule="auto"/>
              <w:jc w:val="both"/>
              <w:rPr>
                <w:b/>
                <w:color w:val="767171" w:themeColor="background2" w:themeShade="80"/>
                <w:sz w:val="28"/>
              </w:rPr>
            </w:pPr>
            <w:r w:rsidRPr="00F32C50">
              <w:rPr>
                <w:b/>
                <w:color w:val="767171" w:themeColor="background2" w:themeShade="80"/>
                <w:sz w:val="28"/>
              </w:rPr>
              <w:t>Module Name:</w:t>
            </w:r>
          </w:p>
        </w:tc>
        <w:tc>
          <w:tcPr>
            <w:tcW w:w="5585" w:type="dxa"/>
          </w:tcPr>
          <w:p w:rsidR="00C30C61" w:rsidRPr="00F32C50" w:rsidRDefault="00C30C61" w:rsidP="00C30C61">
            <w:pPr>
              <w:spacing w:line="360" w:lineRule="auto"/>
              <w:jc w:val="both"/>
              <w:rPr>
                <w:color w:val="767171" w:themeColor="background2" w:themeShade="80"/>
                <w:sz w:val="28"/>
              </w:rPr>
            </w:pPr>
            <w:r>
              <w:rPr>
                <w:color w:val="767171" w:themeColor="background2" w:themeShade="80"/>
                <w:sz w:val="28"/>
              </w:rPr>
              <w:t xml:space="preserve">Governance, Legislation and Ethics </w:t>
            </w:r>
            <w:r w:rsidRPr="00F32C50">
              <w:rPr>
                <w:color w:val="767171" w:themeColor="background2" w:themeShade="80"/>
                <w:sz w:val="28"/>
              </w:rPr>
              <w:t>(</w:t>
            </w:r>
            <w:r>
              <w:rPr>
                <w:color w:val="767171" w:themeColor="background2" w:themeShade="80"/>
                <w:sz w:val="28"/>
              </w:rPr>
              <w:t>ACCA5016</w:t>
            </w:r>
            <w:r w:rsidRPr="00F32C50">
              <w:rPr>
                <w:color w:val="767171" w:themeColor="background2" w:themeShade="80"/>
                <w:sz w:val="28"/>
              </w:rPr>
              <w:t>)</w:t>
            </w:r>
          </w:p>
        </w:tc>
      </w:tr>
      <w:tr w:rsidR="00C30C61" w:rsidTr="00C30C61">
        <w:trPr>
          <w:trHeight w:val="380"/>
        </w:trPr>
        <w:tc>
          <w:tcPr>
            <w:tcW w:w="2410" w:type="dxa"/>
          </w:tcPr>
          <w:p w:rsidR="00C30C61" w:rsidRPr="00F32C50" w:rsidRDefault="00C30C61" w:rsidP="00C30C61">
            <w:pPr>
              <w:spacing w:line="360" w:lineRule="auto"/>
              <w:jc w:val="both"/>
              <w:rPr>
                <w:b/>
                <w:color w:val="767171" w:themeColor="background2" w:themeShade="80"/>
                <w:sz w:val="28"/>
              </w:rPr>
            </w:pPr>
            <w:r>
              <w:rPr>
                <w:b/>
                <w:color w:val="767171" w:themeColor="background2" w:themeShade="80"/>
                <w:sz w:val="28"/>
              </w:rPr>
              <w:t>Lecturer</w:t>
            </w:r>
            <w:r w:rsidRPr="00F32C50">
              <w:rPr>
                <w:b/>
                <w:color w:val="767171" w:themeColor="background2" w:themeShade="80"/>
                <w:sz w:val="28"/>
              </w:rPr>
              <w:t xml:space="preserve"> Name:</w:t>
            </w:r>
          </w:p>
        </w:tc>
        <w:tc>
          <w:tcPr>
            <w:tcW w:w="5585" w:type="dxa"/>
          </w:tcPr>
          <w:p w:rsidR="00C30C61" w:rsidRPr="00F32C50" w:rsidRDefault="00C30C61" w:rsidP="00C30C61">
            <w:pPr>
              <w:spacing w:line="360" w:lineRule="auto"/>
              <w:jc w:val="both"/>
              <w:rPr>
                <w:color w:val="767171" w:themeColor="background2" w:themeShade="80"/>
                <w:sz w:val="28"/>
              </w:rPr>
            </w:pPr>
            <w:r>
              <w:rPr>
                <w:color w:val="767171" w:themeColor="background2" w:themeShade="80"/>
                <w:sz w:val="28"/>
              </w:rPr>
              <w:t>Andrew Fletcher</w:t>
            </w:r>
          </w:p>
        </w:tc>
      </w:tr>
    </w:tbl>
    <w:p w:rsidR="00C30C61" w:rsidRDefault="00C30C61" w:rsidP="00C30C61">
      <w:pPr>
        <w:spacing w:line="360" w:lineRule="auto"/>
        <w:jc w:val="center"/>
      </w:pPr>
    </w:p>
    <w:p w:rsidR="00C30C61" w:rsidRDefault="00C30C61" w:rsidP="00C30C61">
      <w:pPr>
        <w:spacing w:line="360" w:lineRule="auto"/>
        <w:jc w:val="center"/>
      </w:pPr>
    </w:p>
    <w:p w:rsidR="00C30C61" w:rsidRDefault="00C30C61" w:rsidP="00C30C61">
      <w:pPr>
        <w:spacing w:line="360" w:lineRule="auto"/>
        <w:jc w:val="center"/>
      </w:pPr>
    </w:p>
    <w:p w:rsidR="00C30C61" w:rsidRDefault="00C30C61" w:rsidP="00C30C61">
      <w:pPr>
        <w:pStyle w:val="Heading1"/>
        <w:spacing w:line="360" w:lineRule="auto"/>
        <w:jc w:val="center"/>
        <w:rPr>
          <w:sz w:val="52"/>
        </w:rPr>
      </w:pPr>
    </w:p>
    <w:p w:rsidR="00C30C61" w:rsidRPr="00A77735" w:rsidRDefault="00C30C61" w:rsidP="00C30C61">
      <w:pPr>
        <w:pStyle w:val="Heading1"/>
        <w:spacing w:line="360" w:lineRule="auto"/>
        <w:jc w:val="center"/>
        <w:rPr>
          <w:sz w:val="52"/>
        </w:rPr>
      </w:pPr>
      <w:bookmarkStart w:id="0" w:name="_Toc498982174"/>
      <w:bookmarkStart w:id="1" w:name="_Toc50666931"/>
      <w:r w:rsidRPr="00FD1A4F">
        <w:rPr>
          <w:b/>
          <w:sz w:val="52"/>
        </w:rPr>
        <w:t>Assignment</w:t>
      </w:r>
      <w:r w:rsidRPr="00A77735">
        <w:rPr>
          <w:sz w:val="52"/>
        </w:rPr>
        <w:t xml:space="preserve">:  </w:t>
      </w:r>
      <w:bookmarkEnd w:id="0"/>
      <w:r>
        <w:rPr>
          <w:sz w:val="52"/>
        </w:rPr>
        <w:t>Data Breach Reports</w:t>
      </w:r>
      <w:r>
        <w:rPr>
          <w:sz w:val="52"/>
        </w:rPr>
        <w:br/>
        <w:t>Head of Information Governance</w:t>
      </w:r>
      <w:r>
        <w:rPr>
          <w:sz w:val="52"/>
        </w:rPr>
        <w:br/>
        <w:t>Executive Board</w:t>
      </w:r>
      <w:r>
        <w:rPr>
          <w:sz w:val="52"/>
        </w:rPr>
        <w:br/>
        <w:t>Information governance Committee</w:t>
      </w:r>
      <w:bookmarkEnd w:id="1"/>
    </w:p>
    <w:p w:rsidR="00C30C61" w:rsidRDefault="00C30C61" w:rsidP="00C30C61">
      <w:pPr>
        <w:spacing w:line="360" w:lineRule="auto"/>
        <w:jc w:val="center"/>
        <w:rPr>
          <w:sz w:val="56"/>
        </w:rPr>
      </w:pPr>
    </w:p>
    <w:p w:rsidR="00C30C61" w:rsidRDefault="00C30C61" w:rsidP="00C30C61">
      <w:pPr>
        <w:spacing w:line="360" w:lineRule="auto"/>
        <w:jc w:val="center"/>
        <w:rPr>
          <w:sz w:val="32"/>
        </w:rPr>
      </w:pPr>
      <w:r w:rsidRPr="00A77735">
        <w:rPr>
          <w:sz w:val="32"/>
        </w:rPr>
        <w:t xml:space="preserve">Submitted on:  </w:t>
      </w:r>
      <w:r>
        <w:rPr>
          <w:sz w:val="32"/>
        </w:rPr>
        <w:t>10/09/2020</w:t>
      </w:r>
    </w:p>
    <w:p w:rsidR="00C30C61" w:rsidRDefault="00C30C61" w:rsidP="00C30C61">
      <w:pPr>
        <w:spacing w:line="360" w:lineRule="auto"/>
        <w:jc w:val="center"/>
        <w:rPr>
          <w:sz w:val="32"/>
        </w:rPr>
      </w:pPr>
    </w:p>
    <w:p w:rsidR="00C30C61" w:rsidRDefault="00C30C61" w:rsidP="00C30C61">
      <w:pPr>
        <w:spacing w:line="360" w:lineRule="auto"/>
        <w:rPr>
          <w:sz w:val="32"/>
        </w:rPr>
      </w:pPr>
      <w:r>
        <w:rPr>
          <w:sz w:val="32"/>
        </w:rPr>
        <w:br w:type="page"/>
      </w:r>
    </w:p>
    <w:p w:rsidR="00C30C61" w:rsidRPr="0038711C" w:rsidRDefault="00C30C61" w:rsidP="00C30C61">
      <w:pPr>
        <w:pStyle w:val="Heading1"/>
        <w:spacing w:line="360" w:lineRule="auto"/>
        <w:rPr>
          <w:sz w:val="36"/>
        </w:rPr>
      </w:pPr>
      <w:bookmarkStart w:id="2" w:name="_Toc498982175"/>
      <w:bookmarkStart w:id="3" w:name="_Toc50666932"/>
      <w:r w:rsidRPr="0038711C">
        <w:rPr>
          <w:sz w:val="36"/>
        </w:rPr>
        <w:lastRenderedPageBreak/>
        <w:t>Abstract</w:t>
      </w:r>
      <w:bookmarkEnd w:id="2"/>
      <w:bookmarkEnd w:id="3"/>
    </w:p>
    <w:p w:rsidR="00C30C61" w:rsidRDefault="00C30C61" w:rsidP="00C30C61">
      <w:pPr>
        <w:spacing w:line="360" w:lineRule="auto"/>
        <w:jc w:val="both"/>
        <w:rPr>
          <w:sz w:val="24"/>
          <w:szCs w:val="24"/>
        </w:rPr>
      </w:pPr>
      <w:r>
        <w:rPr>
          <w:sz w:val="24"/>
          <w:szCs w:val="24"/>
        </w:rPr>
        <w:t>This document contains three reports centred around a fictitious data breach.  They are based on Information Governance assessments and GDPR mandates.</w:t>
      </w:r>
    </w:p>
    <w:p w:rsidR="00C30C61" w:rsidRDefault="00C30C61" w:rsidP="00C30C61">
      <w:pPr>
        <w:spacing w:line="360" w:lineRule="auto"/>
        <w:jc w:val="both"/>
        <w:rPr>
          <w:sz w:val="24"/>
          <w:szCs w:val="24"/>
        </w:rPr>
      </w:pPr>
      <w:r>
        <w:rPr>
          <w:sz w:val="24"/>
          <w:szCs w:val="24"/>
        </w:rPr>
        <w:t>Each report has a sp</w:t>
      </w:r>
      <w:r w:rsidR="00834561">
        <w:rPr>
          <w:sz w:val="24"/>
          <w:szCs w:val="24"/>
        </w:rPr>
        <w:t>ecific target.  Report 1 is des</w:t>
      </w:r>
      <w:r>
        <w:rPr>
          <w:sz w:val="24"/>
          <w:szCs w:val="24"/>
        </w:rPr>
        <w:t>i</w:t>
      </w:r>
      <w:r w:rsidR="00834561">
        <w:rPr>
          <w:sz w:val="24"/>
          <w:szCs w:val="24"/>
        </w:rPr>
        <w:t>g</w:t>
      </w:r>
      <w:r>
        <w:rPr>
          <w:sz w:val="24"/>
          <w:szCs w:val="24"/>
        </w:rPr>
        <w:t>ned as a technical and informative summary of the data breach and is intended for the head of the Information Governance department at the organisation.</w:t>
      </w:r>
    </w:p>
    <w:p w:rsidR="00C30C61" w:rsidRDefault="00C30C61" w:rsidP="00C30C61">
      <w:pPr>
        <w:spacing w:line="360" w:lineRule="auto"/>
        <w:jc w:val="both"/>
        <w:rPr>
          <w:sz w:val="24"/>
          <w:szCs w:val="24"/>
        </w:rPr>
      </w:pPr>
      <w:r>
        <w:rPr>
          <w:sz w:val="24"/>
          <w:szCs w:val="24"/>
        </w:rPr>
        <w:t>Report 2 is a more concise summary centred around the risk and mitigation thereof.  The target audience is the organisations executive board.</w:t>
      </w:r>
    </w:p>
    <w:p w:rsidR="00C30C61" w:rsidRDefault="00C30C61" w:rsidP="00C30C61">
      <w:pPr>
        <w:spacing w:line="360" w:lineRule="auto"/>
        <w:jc w:val="both"/>
        <w:rPr>
          <w:sz w:val="24"/>
          <w:szCs w:val="24"/>
        </w:rPr>
      </w:pPr>
      <w:r>
        <w:rPr>
          <w:sz w:val="24"/>
          <w:szCs w:val="24"/>
        </w:rPr>
        <w:t xml:space="preserve">Finally, Report 3 is a brief summary of the incident and actions discussed in the other two reports, intended to open discussions amongst the organisations Information Governance committee </w:t>
      </w:r>
    </w:p>
    <w:p w:rsidR="00C30C61" w:rsidRDefault="00C30C61" w:rsidP="00C30C61">
      <w:pPr>
        <w:spacing w:line="360" w:lineRule="auto"/>
        <w:jc w:val="both"/>
        <w:rPr>
          <w:sz w:val="24"/>
          <w:szCs w:val="24"/>
        </w:rPr>
      </w:pPr>
    </w:p>
    <w:p w:rsidR="00C30C61" w:rsidRPr="00E10A18" w:rsidRDefault="00C30C61" w:rsidP="00C30C61">
      <w:pPr>
        <w:spacing w:line="360" w:lineRule="auto"/>
        <w:jc w:val="both"/>
        <w:rPr>
          <w:sz w:val="24"/>
          <w:szCs w:val="24"/>
        </w:rPr>
      </w:pPr>
      <w:bookmarkStart w:id="4" w:name="_GoBack"/>
      <w:bookmarkEnd w:id="4"/>
      <w:r>
        <w:br w:type="page"/>
      </w:r>
    </w:p>
    <w:sdt>
      <w:sdtPr>
        <w:rPr>
          <w:rFonts w:asciiTheme="minorHAnsi" w:eastAsiaTheme="minorHAnsi" w:hAnsiTheme="minorHAnsi" w:cstheme="minorBidi"/>
          <w:color w:val="auto"/>
          <w:sz w:val="22"/>
          <w:szCs w:val="22"/>
          <w:lang w:val="en-GB"/>
        </w:rPr>
        <w:id w:val="1284541819"/>
        <w:docPartObj>
          <w:docPartGallery w:val="Table of Contents"/>
          <w:docPartUnique/>
        </w:docPartObj>
      </w:sdtPr>
      <w:sdtEndPr>
        <w:rPr>
          <w:b/>
          <w:bCs/>
          <w:noProof/>
        </w:rPr>
      </w:sdtEndPr>
      <w:sdtContent>
        <w:p w:rsidR="00C30C61" w:rsidRPr="005C531C" w:rsidRDefault="00C30C61" w:rsidP="00C30C61">
          <w:pPr>
            <w:pStyle w:val="TOCHeading"/>
            <w:rPr>
              <w:sz w:val="36"/>
            </w:rPr>
          </w:pPr>
          <w:r>
            <w:t>Table of Contents</w:t>
          </w:r>
        </w:p>
        <w:p w:rsidR="00D515E8" w:rsidRDefault="00C30C6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0666931" w:history="1">
            <w:r w:rsidR="00D515E8" w:rsidRPr="009A0BF9">
              <w:rPr>
                <w:rStyle w:val="Hyperlink"/>
                <w:b/>
                <w:noProof/>
              </w:rPr>
              <w:t>Assignment</w:t>
            </w:r>
            <w:r w:rsidR="00D515E8" w:rsidRPr="009A0BF9">
              <w:rPr>
                <w:rStyle w:val="Hyperlink"/>
                <w:noProof/>
              </w:rPr>
              <w:t>:  Data Breach Reports Head of Information Governance Executive Board Information governance Committee</w:t>
            </w:r>
            <w:r w:rsidR="00D515E8">
              <w:rPr>
                <w:noProof/>
                <w:webHidden/>
              </w:rPr>
              <w:tab/>
            </w:r>
            <w:r w:rsidR="00D515E8">
              <w:rPr>
                <w:noProof/>
                <w:webHidden/>
              </w:rPr>
              <w:fldChar w:fldCharType="begin"/>
            </w:r>
            <w:r w:rsidR="00D515E8">
              <w:rPr>
                <w:noProof/>
                <w:webHidden/>
              </w:rPr>
              <w:instrText xml:space="preserve"> PAGEREF _Toc50666931 \h </w:instrText>
            </w:r>
            <w:r w:rsidR="00D515E8">
              <w:rPr>
                <w:noProof/>
                <w:webHidden/>
              </w:rPr>
            </w:r>
            <w:r w:rsidR="00D515E8">
              <w:rPr>
                <w:noProof/>
                <w:webHidden/>
              </w:rPr>
              <w:fldChar w:fldCharType="separate"/>
            </w:r>
            <w:r w:rsidR="00D515E8">
              <w:rPr>
                <w:noProof/>
                <w:webHidden/>
              </w:rPr>
              <w:t>1</w:t>
            </w:r>
            <w:r w:rsidR="00D515E8">
              <w:rPr>
                <w:noProof/>
                <w:webHidden/>
              </w:rPr>
              <w:fldChar w:fldCharType="end"/>
            </w:r>
          </w:hyperlink>
        </w:p>
        <w:p w:rsidR="00D515E8" w:rsidRDefault="00D515E8">
          <w:pPr>
            <w:pStyle w:val="TOC1"/>
            <w:tabs>
              <w:tab w:val="right" w:leader="dot" w:pos="9016"/>
            </w:tabs>
            <w:rPr>
              <w:rFonts w:cstheme="minorBidi"/>
              <w:noProof/>
              <w:lang w:val="en-GB" w:eastAsia="en-GB"/>
            </w:rPr>
          </w:pPr>
          <w:hyperlink w:anchor="_Toc50666932" w:history="1">
            <w:r w:rsidRPr="009A0BF9">
              <w:rPr>
                <w:rStyle w:val="Hyperlink"/>
                <w:noProof/>
              </w:rPr>
              <w:t>Abstract</w:t>
            </w:r>
            <w:r>
              <w:rPr>
                <w:noProof/>
                <w:webHidden/>
              </w:rPr>
              <w:tab/>
            </w:r>
            <w:r>
              <w:rPr>
                <w:noProof/>
                <w:webHidden/>
              </w:rPr>
              <w:fldChar w:fldCharType="begin"/>
            </w:r>
            <w:r>
              <w:rPr>
                <w:noProof/>
                <w:webHidden/>
              </w:rPr>
              <w:instrText xml:space="preserve"> PAGEREF _Toc50666932 \h </w:instrText>
            </w:r>
            <w:r>
              <w:rPr>
                <w:noProof/>
                <w:webHidden/>
              </w:rPr>
            </w:r>
            <w:r>
              <w:rPr>
                <w:noProof/>
                <w:webHidden/>
              </w:rPr>
              <w:fldChar w:fldCharType="separate"/>
            </w:r>
            <w:r>
              <w:rPr>
                <w:noProof/>
                <w:webHidden/>
              </w:rPr>
              <w:t>2</w:t>
            </w:r>
            <w:r>
              <w:rPr>
                <w:noProof/>
                <w:webHidden/>
              </w:rPr>
              <w:fldChar w:fldCharType="end"/>
            </w:r>
          </w:hyperlink>
        </w:p>
        <w:p w:rsidR="00D515E8" w:rsidRDefault="00D515E8">
          <w:pPr>
            <w:pStyle w:val="TOC1"/>
            <w:tabs>
              <w:tab w:val="right" w:leader="dot" w:pos="9016"/>
            </w:tabs>
            <w:rPr>
              <w:rFonts w:cstheme="minorBidi"/>
              <w:noProof/>
              <w:lang w:val="en-GB" w:eastAsia="en-GB"/>
            </w:rPr>
          </w:pPr>
          <w:hyperlink w:anchor="_Toc50666933" w:history="1">
            <w:r w:rsidRPr="009A0BF9">
              <w:rPr>
                <w:rStyle w:val="Hyperlink"/>
                <w:noProof/>
              </w:rPr>
              <w:t>Report 1 – Head of Information Governance</w:t>
            </w:r>
            <w:r>
              <w:rPr>
                <w:noProof/>
                <w:webHidden/>
              </w:rPr>
              <w:tab/>
            </w:r>
            <w:r>
              <w:rPr>
                <w:noProof/>
                <w:webHidden/>
              </w:rPr>
              <w:fldChar w:fldCharType="begin"/>
            </w:r>
            <w:r>
              <w:rPr>
                <w:noProof/>
                <w:webHidden/>
              </w:rPr>
              <w:instrText xml:space="preserve"> PAGEREF _Toc50666933 \h </w:instrText>
            </w:r>
            <w:r>
              <w:rPr>
                <w:noProof/>
                <w:webHidden/>
              </w:rPr>
            </w:r>
            <w:r>
              <w:rPr>
                <w:noProof/>
                <w:webHidden/>
              </w:rPr>
              <w:fldChar w:fldCharType="separate"/>
            </w:r>
            <w:r>
              <w:rPr>
                <w:noProof/>
                <w:webHidden/>
              </w:rPr>
              <w:t>5</w:t>
            </w:r>
            <w:r>
              <w:rPr>
                <w:noProof/>
                <w:webHidden/>
              </w:rPr>
              <w:fldChar w:fldCharType="end"/>
            </w:r>
          </w:hyperlink>
        </w:p>
        <w:p w:rsidR="00D515E8" w:rsidRDefault="00D515E8">
          <w:pPr>
            <w:pStyle w:val="TOC1"/>
            <w:tabs>
              <w:tab w:val="right" w:leader="dot" w:pos="9016"/>
            </w:tabs>
            <w:rPr>
              <w:rFonts w:cstheme="minorBidi"/>
              <w:noProof/>
              <w:lang w:val="en-GB" w:eastAsia="en-GB"/>
            </w:rPr>
          </w:pPr>
          <w:hyperlink w:anchor="_Toc50666952" w:history="1">
            <w:r w:rsidRPr="009A0BF9">
              <w:rPr>
                <w:rStyle w:val="Hyperlink"/>
                <w:noProof/>
              </w:rPr>
              <w:t>Report 2 – Executive Board</w:t>
            </w:r>
            <w:r>
              <w:rPr>
                <w:noProof/>
                <w:webHidden/>
              </w:rPr>
              <w:tab/>
            </w:r>
            <w:r>
              <w:rPr>
                <w:noProof/>
                <w:webHidden/>
              </w:rPr>
              <w:fldChar w:fldCharType="begin"/>
            </w:r>
            <w:r>
              <w:rPr>
                <w:noProof/>
                <w:webHidden/>
              </w:rPr>
              <w:instrText xml:space="preserve"> PAGEREF _Toc50666952 \h </w:instrText>
            </w:r>
            <w:r>
              <w:rPr>
                <w:noProof/>
                <w:webHidden/>
              </w:rPr>
            </w:r>
            <w:r>
              <w:rPr>
                <w:noProof/>
                <w:webHidden/>
              </w:rPr>
              <w:fldChar w:fldCharType="separate"/>
            </w:r>
            <w:r>
              <w:rPr>
                <w:noProof/>
                <w:webHidden/>
              </w:rPr>
              <w:t>11</w:t>
            </w:r>
            <w:r>
              <w:rPr>
                <w:noProof/>
                <w:webHidden/>
              </w:rPr>
              <w:fldChar w:fldCharType="end"/>
            </w:r>
          </w:hyperlink>
        </w:p>
        <w:p w:rsidR="00D515E8" w:rsidRDefault="00D515E8">
          <w:pPr>
            <w:pStyle w:val="TOC1"/>
            <w:tabs>
              <w:tab w:val="right" w:leader="dot" w:pos="9016"/>
            </w:tabs>
            <w:rPr>
              <w:rFonts w:cstheme="minorBidi"/>
              <w:noProof/>
              <w:lang w:val="en-GB" w:eastAsia="en-GB"/>
            </w:rPr>
          </w:pPr>
          <w:hyperlink w:anchor="_Toc50666968" w:history="1">
            <w:r w:rsidRPr="009A0BF9">
              <w:rPr>
                <w:rStyle w:val="Hyperlink"/>
                <w:noProof/>
              </w:rPr>
              <w:t>Report 3 – Information Governance Committee</w:t>
            </w:r>
            <w:r>
              <w:rPr>
                <w:noProof/>
                <w:webHidden/>
              </w:rPr>
              <w:tab/>
            </w:r>
            <w:r>
              <w:rPr>
                <w:noProof/>
                <w:webHidden/>
              </w:rPr>
              <w:fldChar w:fldCharType="begin"/>
            </w:r>
            <w:r>
              <w:rPr>
                <w:noProof/>
                <w:webHidden/>
              </w:rPr>
              <w:instrText xml:space="preserve"> PAGEREF _Toc50666968 \h </w:instrText>
            </w:r>
            <w:r>
              <w:rPr>
                <w:noProof/>
                <w:webHidden/>
              </w:rPr>
            </w:r>
            <w:r>
              <w:rPr>
                <w:noProof/>
                <w:webHidden/>
              </w:rPr>
              <w:fldChar w:fldCharType="separate"/>
            </w:r>
            <w:r>
              <w:rPr>
                <w:noProof/>
                <w:webHidden/>
              </w:rPr>
              <w:t>16</w:t>
            </w:r>
            <w:r>
              <w:rPr>
                <w:noProof/>
                <w:webHidden/>
              </w:rPr>
              <w:fldChar w:fldCharType="end"/>
            </w:r>
          </w:hyperlink>
        </w:p>
        <w:p w:rsidR="00D515E8" w:rsidRDefault="00C30C61" w:rsidP="00D515E8">
          <w:pPr>
            <w:rPr>
              <w:b/>
              <w:bCs/>
              <w:noProof/>
            </w:rPr>
          </w:pPr>
          <w:r>
            <w:rPr>
              <w:b/>
              <w:bCs/>
              <w:noProof/>
            </w:rPr>
            <w:fldChar w:fldCharType="end"/>
          </w:r>
        </w:p>
      </w:sdtContent>
    </w:sdt>
    <w:p w:rsidR="00D515E8" w:rsidRDefault="00D515E8" w:rsidP="00D515E8">
      <w:r>
        <w:br/>
      </w:r>
    </w:p>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D515E8" w:rsidRDefault="00D515E8" w:rsidP="00D515E8"/>
    <w:p w:rsidR="00C30C61" w:rsidRPr="00D515E8" w:rsidRDefault="00C30C61" w:rsidP="00D515E8">
      <w:pPr>
        <w:pStyle w:val="Heading1"/>
        <w:rPr>
          <w:b/>
          <w:bCs/>
          <w:noProof/>
        </w:rPr>
      </w:pPr>
      <w:bookmarkStart w:id="5" w:name="_Toc50666933"/>
      <w:r>
        <w:lastRenderedPageBreak/>
        <w:t>Report 1 – Head of Information Governance</w:t>
      </w:r>
      <w:bookmarkEnd w:id="5"/>
    </w:p>
    <w:p w:rsidR="00C30C61" w:rsidRPr="009472D7" w:rsidRDefault="00C30C61" w:rsidP="00C30C61">
      <w:pPr>
        <w:pStyle w:val="Heading1"/>
      </w:pPr>
      <w:r>
        <w:br/>
      </w:r>
      <w:bookmarkStart w:id="6" w:name="_Toc50666211"/>
      <w:bookmarkStart w:id="7" w:name="_Toc50666934"/>
      <w:r w:rsidRPr="009472D7">
        <w:t>Introduction</w:t>
      </w:r>
      <w:bookmarkEnd w:id="6"/>
      <w:bookmarkEnd w:id="7"/>
    </w:p>
    <w:p w:rsidR="00C30C61" w:rsidRDefault="00C30C61" w:rsidP="00C30C61">
      <w:pPr>
        <w:jc w:val="both"/>
      </w:pPr>
      <w:r>
        <w:t xml:space="preserve">I am writing to inform you of a recent data breach within one of our operational departments brought to our attention by the operational manager.  </w:t>
      </w:r>
    </w:p>
    <w:p w:rsidR="00C30C61" w:rsidRDefault="00C30C61" w:rsidP="00C30C61">
      <w:pPr>
        <w:jc w:val="both"/>
      </w:pPr>
      <w:r>
        <w:t xml:space="preserve">The information below details the nature of the breach and the data concerned, what data is held, how it is held and its purpose.  Also discussed are the data protection implications in terms of the General Data Protection Regulations (GDPR), GDPR principles, risk exposure and related organisational policies.  The report concludes with a list of actions/recommendations as well as other considerations deemed relevant to the breach. </w:t>
      </w:r>
    </w:p>
    <w:p w:rsidR="00C30C61" w:rsidRDefault="00C30C61" w:rsidP="00C30C61">
      <w:pPr>
        <w:jc w:val="both"/>
      </w:pPr>
    </w:p>
    <w:p w:rsidR="00C30C61" w:rsidRPr="009472D7" w:rsidRDefault="00C30C61" w:rsidP="00C30C61">
      <w:pPr>
        <w:pStyle w:val="Heading1"/>
        <w:jc w:val="both"/>
      </w:pPr>
      <w:bookmarkStart w:id="8" w:name="_Toc50666212"/>
      <w:bookmarkStart w:id="9" w:name="_Toc50666935"/>
      <w:r>
        <w:t>Detail of D</w:t>
      </w:r>
      <w:r w:rsidRPr="009472D7">
        <w:t>ata</w:t>
      </w:r>
      <w:r>
        <w:t xml:space="preserve"> Involved in the Breach</w:t>
      </w:r>
      <w:bookmarkEnd w:id="8"/>
      <w:bookmarkEnd w:id="9"/>
    </w:p>
    <w:p w:rsidR="00C30C61" w:rsidRDefault="00C30C61" w:rsidP="00C30C61">
      <w:pPr>
        <w:jc w:val="both"/>
      </w:pPr>
      <w:r>
        <w:t xml:space="preserve">An initial investigation into the issue shows that personal identifiable information of staff members, consisting of names and addresses, had been saved in a single file on the desktop of the manager’s computer.  This information is held so that in the event of sickness or other such scenarios, correspondence or contact with the staff members may become necessary outside of normal working hours.  Despite honourable intentions, incorrect storage of the data resulted in a data breach in line with but not limited to Article 5(1)(a) GDPR – Data is to be processed fairly, lawfully and transparently </w:t>
      </w:r>
      <w:r>
        <w:fldChar w:fldCharType="begin" w:fldLock="1"/>
      </w:r>
      <w:r>
        <w:instrText>ADDIN CSL_CITATION {"citationItems":[{"id":"ITEM-1","itemData":{"URL":"https://eur-lex.europa.eu/legal-content/EN/TXT/HTML/?uri=CELEX:02016R0679-20160504&amp;from=EN","accessed":{"date-parts":[["2020","9","9"]]},"author":[{"dropping-particle":"","family":"PARLIAMENT","given":"EUROPEAN","non-dropping-particle":"","parse-names":false,"suffix":""}],"id":"ITEM-1","issued":{"date-parts":[["2016"]]},"title":"Atricles GDPR","type":"webpage"},"uris":["http://www.mendeley.com/documents/?uuid=8ce3b9e3-c8ca-3b24-8ae0-e7d8ba0fe888"]}],"mendeley":{"formattedCitation":"[1]","plainTextFormattedCitation":"[1]","previouslyFormattedCitation":"[1]"},"properties":{"noteIndex":0},"schema":"https://github.com/citation-style-language/schema/raw/master/csl-citation.json"}</w:instrText>
      </w:r>
      <w:r>
        <w:fldChar w:fldCharType="separate"/>
      </w:r>
      <w:r w:rsidRPr="00CD3B25">
        <w:rPr>
          <w:noProof/>
        </w:rPr>
        <w:t>[1]</w:t>
      </w:r>
      <w:r>
        <w:fldChar w:fldCharType="end"/>
      </w:r>
      <w:r>
        <w:t>.</w:t>
      </w:r>
    </w:p>
    <w:p w:rsidR="00C30C61" w:rsidRDefault="00C30C61" w:rsidP="00C30C61">
      <w:pPr>
        <w:jc w:val="both"/>
      </w:pPr>
    </w:p>
    <w:p w:rsidR="00C30C61" w:rsidRPr="00CD3B25" w:rsidRDefault="00C30C61" w:rsidP="00C30C61">
      <w:pPr>
        <w:pStyle w:val="Heading1"/>
        <w:jc w:val="both"/>
      </w:pPr>
      <w:bookmarkStart w:id="10" w:name="_Toc50666213"/>
      <w:bookmarkStart w:id="11" w:name="_Toc50666936"/>
      <w:r>
        <w:t>Details of the B</w:t>
      </w:r>
      <w:r w:rsidRPr="00CD3B25">
        <w:t>reach</w:t>
      </w:r>
      <w:bookmarkEnd w:id="10"/>
      <w:bookmarkEnd w:id="11"/>
    </w:p>
    <w:p w:rsidR="00C30C61" w:rsidRDefault="00C30C61" w:rsidP="00C30C61">
      <w:pPr>
        <w:jc w:val="both"/>
      </w:pPr>
      <w:r>
        <w:t>The above mentioned data breach recently occurred in which names and addresses of staff members were accidentally sent via email to a single member of the public.  In order to make tasks more efficient, a file was populated with staff records held on the organisations purpose-designed Electronic Staff Record (ESR) and stored in the root desktop folder of the manager’s computer along with other work related files.  When emailing a member of the public, the manager accidentally attached the incorrect file containing the personal data of their members of staff and upon realising the error, immediately reported to the Information governance department via the organisations incident reporting procedure.</w:t>
      </w:r>
    </w:p>
    <w:p w:rsidR="00C30C61" w:rsidRDefault="00C30C61" w:rsidP="00C30C61">
      <w:pPr>
        <w:jc w:val="both"/>
      </w:pPr>
      <w:r>
        <w:t>It is currently the view of the investigating officer that the breach was not malicious but was accidental and without ill intent, however further investigation is required.</w:t>
      </w:r>
    </w:p>
    <w:p w:rsidR="00C30C61" w:rsidRDefault="00C30C61" w:rsidP="00C30C61">
      <w:pPr>
        <w:jc w:val="both"/>
      </w:pPr>
    </w:p>
    <w:p w:rsidR="00C30C61" w:rsidRDefault="00C30C61" w:rsidP="00C30C61">
      <w:pPr>
        <w:pStyle w:val="Heading1"/>
        <w:jc w:val="both"/>
      </w:pPr>
      <w:bookmarkStart w:id="12" w:name="_Toc50666214"/>
      <w:bookmarkStart w:id="13" w:name="_Toc50666937"/>
      <w:r>
        <w:t>Implications and GDPR Principles</w:t>
      </w:r>
      <w:bookmarkEnd w:id="12"/>
      <w:bookmarkEnd w:id="13"/>
    </w:p>
    <w:p w:rsidR="00C30C61" w:rsidRDefault="00C30C61" w:rsidP="00C30C61">
      <w:pPr>
        <w:jc w:val="both"/>
      </w:pPr>
      <w:r>
        <w:t>Section 3.7 of the organisational Information Security Policy dictates that staff members should operate a clear screen policy.  This means that any personal, patient identifiable or organisationally sensitive information must be placed out of sight, and in relation to digital storage, not viewable on screen by anyone without legitimate need to see it.  In the case of this breach, the Information Security policy was not adhered to.</w:t>
      </w:r>
    </w:p>
    <w:p w:rsidR="00C30C61" w:rsidRDefault="00C30C61" w:rsidP="00C30C61">
      <w:pPr>
        <w:jc w:val="both"/>
      </w:pPr>
      <w:r>
        <w:lastRenderedPageBreak/>
        <w:t xml:space="preserve">It is the view of the investigating officer that had the staff records been stored as per the above referenced policies, GDPR guidance and within the ESR system, this data breach would not have occurred.  Given the nature of the information and other factors surrounding the breach, the following GDPR Article 5 principles have been </w:t>
      </w:r>
      <w:r w:rsidRPr="00F3021C">
        <w:t>violated</w:t>
      </w:r>
      <w:r>
        <w:t>.</w:t>
      </w:r>
    </w:p>
    <w:p w:rsidR="00C30C61" w:rsidRDefault="00C30C61" w:rsidP="00C30C61">
      <w:pPr>
        <w:jc w:val="both"/>
      </w:pPr>
    </w:p>
    <w:p w:rsidR="00C30C61" w:rsidRDefault="00C30C61" w:rsidP="00C30C61">
      <w:pPr>
        <w:pStyle w:val="Heading3"/>
        <w:jc w:val="both"/>
      </w:pPr>
      <w:bookmarkStart w:id="14" w:name="_Toc50666215"/>
      <w:bookmarkStart w:id="15" w:name="_Toc50666938"/>
      <w:r w:rsidRPr="00F3021C">
        <w:t>Principle A – Personal data shall be processed lawfully, fairly and in a transparent manner in relation to the data subject.</w:t>
      </w:r>
      <w:bookmarkEnd w:id="14"/>
      <w:bookmarkEnd w:id="15"/>
    </w:p>
    <w:p w:rsidR="00C30C61" w:rsidRDefault="00C30C61" w:rsidP="00C30C61">
      <w:pPr>
        <w:jc w:val="both"/>
      </w:pPr>
      <w:r>
        <w:t>The information involved in the breach can be classified as “Personal Data” under GDPR Article 5 and therefore GDPR is engaged.  Personal Data includes, but is not limited to names, addresses, full postcode, date of birth, NHS number, national insurance number, images, recordings, IP addresses, email addresses etc. and in this instance has been unlawfully processed.</w:t>
      </w:r>
    </w:p>
    <w:p w:rsidR="00C30C61" w:rsidRDefault="00C30C61" w:rsidP="00C30C61">
      <w:pPr>
        <w:jc w:val="both"/>
      </w:pPr>
      <w:r>
        <w:t>It is the expectation of all staff members, upon entrusting the organisation with their personal data that it be processed transparently, kept secure and processed as determined by principle A of the GDPR.  Under no circumstances is this data expected to be shared through any public forum.</w:t>
      </w:r>
    </w:p>
    <w:p w:rsidR="00C30C61" w:rsidRDefault="00C30C61" w:rsidP="00C30C61">
      <w:pPr>
        <w:jc w:val="both"/>
      </w:pPr>
    </w:p>
    <w:p w:rsidR="00C30C61" w:rsidRPr="00425E2C" w:rsidRDefault="00C30C61" w:rsidP="00C30C61">
      <w:pPr>
        <w:pStyle w:val="Heading3"/>
        <w:jc w:val="both"/>
      </w:pPr>
      <w:bookmarkStart w:id="16" w:name="_Toc50666216"/>
      <w:bookmarkStart w:id="17" w:name="_Toc50666939"/>
      <w:r w:rsidRPr="00425E2C">
        <w:t>Principle D –</w:t>
      </w:r>
      <w:r>
        <w:t xml:space="preserve"> </w:t>
      </w:r>
      <w:r w:rsidRPr="00F3021C">
        <w:t xml:space="preserve">Personal data shall be </w:t>
      </w:r>
      <w:r>
        <w:t>a</w:t>
      </w:r>
      <w:r w:rsidRPr="00425E2C">
        <w:t>ccurate and where necessary, kept up to date</w:t>
      </w:r>
      <w:bookmarkEnd w:id="16"/>
      <w:bookmarkEnd w:id="17"/>
    </w:p>
    <w:p w:rsidR="00C30C61" w:rsidRDefault="00C30C61" w:rsidP="00C30C61">
      <w:pPr>
        <w:jc w:val="both"/>
      </w:pPr>
      <w:r>
        <w:t>The age of the data within the file is currently unknown.  As such, it is possible that names and addresses were not up to date when the file was sent.  It is conceivable that a member(s) of staff has moved house or terminated employment and the data not been updated accordingly.  In this case, there is not only a risk to current staff members, but previous staff members as well as any member of the public that has since taken up residence in one of the addresses included in the file.</w:t>
      </w:r>
    </w:p>
    <w:p w:rsidR="00C30C61" w:rsidRDefault="00C30C61" w:rsidP="00C30C61">
      <w:pPr>
        <w:jc w:val="both"/>
      </w:pPr>
    </w:p>
    <w:p w:rsidR="00C30C61" w:rsidRDefault="00C30C61" w:rsidP="00C30C61">
      <w:pPr>
        <w:pStyle w:val="Heading3"/>
        <w:jc w:val="both"/>
      </w:pPr>
      <w:bookmarkStart w:id="18" w:name="_Toc50666217"/>
      <w:bookmarkStart w:id="19" w:name="_Toc50666940"/>
      <w:r>
        <w:t xml:space="preserve">Principle E – </w:t>
      </w:r>
      <w:r w:rsidRPr="00F3021C">
        <w:t xml:space="preserve">Personal data shall be </w:t>
      </w:r>
      <w:r>
        <w:t>kept in identifiable form for no longer than necessary</w:t>
      </w:r>
      <w:bookmarkEnd w:id="18"/>
      <w:bookmarkEnd w:id="19"/>
    </w:p>
    <w:p w:rsidR="00C30C61" w:rsidRDefault="00C30C61" w:rsidP="00C30C61">
      <w:pPr>
        <w:jc w:val="both"/>
      </w:pPr>
      <w:r>
        <w:t>Violation of the above principle would also result in violation of principle E of GDPR Article 5.  Should the file contain historic data relating to previous staff members it would be included in the above principle as the data could be considered to be held longer than necessary.</w:t>
      </w:r>
    </w:p>
    <w:p w:rsidR="00C30C61" w:rsidRDefault="00C30C61" w:rsidP="00C30C61">
      <w:pPr>
        <w:jc w:val="both"/>
      </w:pPr>
    </w:p>
    <w:p w:rsidR="00C30C61" w:rsidRDefault="00C30C61" w:rsidP="00C30C61">
      <w:pPr>
        <w:pStyle w:val="Heading3"/>
        <w:jc w:val="both"/>
      </w:pPr>
      <w:bookmarkStart w:id="20" w:name="_Toc50666218"/>
      <w:bookmarkStart w:id="21" w:name="_Toc50666941"/>
      <w:r>
        <w:t xml:space="preserve">Principle F - </w:t>
      </w:r>
      <w:r w:rsidRPr="00F3021C">
        <w:t>Personal data shall be</w:t>
      </w:r>
      <w:r>
        <w:t xml:space="preserve"> processed securely</w:t>
      </w:r>
      <w:bookmarkEnd w:id="20"/>
      <w:bookmarkEnd w:id="21"/>
    </w:p>
    <w:p w:rsidR="00C30C61" w:rsidRDefault="00C30C61" w:rsidP="00C30C61">
      <w:pPr>
        <w:jc w:val="both"/>
      </w:pPr>
      <w:r>
        <w:t>In light of both GDPR and organisational policy that dictate how information is to be processed, violation of this security principle occurs when data is stored in an inappropriate location and with inappropriate security measures.  In this case, locally stored personal data on the desktop of a device is accessible not only to other employees who may not have a legitimate reason to view, but potentially to other members of the public should the device become lost or stolen.</w:t>
      </w:r>
    </w:p>
    <w:p w:rsidR="00C30C61" w:rsidRDefault="00C30C61" w:rsidP="00C30C61">
      <w:pPr>
        <w:jc w:val="both"/>
      </w:pPr>
    </w:p>
    <w:p w:rsidR="00C30C61" w:rsidRDefault="00C30C61" w:rsidP="00C30C61">
      <w:pPr>
        <w:pStyle w:val="Heading3"/>
        <w:jc w:val="both"/>
      </w:pPr>
      <w:bookmarkStart w:id="22" w:name="_Toc50666219"/>
      <w:bookmarkStart w:id="23" w:name="_Toc50666942"/>
      <w:r>
        <w:t>Other Principles: Article 5(2) – Accountability</w:t>
      </w:r>
      <w:bookmarkEnd w:id="22"/>
      <w:bookmarkEnd w:id="23"/>
    </w:p>
    <w:p w:rsidR="00C30C61" w:rsidRDefault="00C30C61" w:rsidP="00C30C61">
      <w:pPr>
        <w:jc w:val="both"/>
      </w:pPr>
      <w:r>
        <w:t xml:space="preserve">Finally, Article 5(2) of the GDPR states that the data controller, who in this instance is the operational manager on behalf of the organisation shall be responsible for and be able to demonstrate compliance with the above mentioned GDPR principles, as well as principles B and C.  In violating principles A, D, E and F, the Accountability principle has inevitably been violated. </w:t>
      </w:r>
    </w:p>
    <w:p w:rsidR="00C30C61" w:rsidRDefault="00C30C61" w:rsidP="00C30C61">
      <w:pPr>
        <w:jc w:val="both"/>
      </w:pPr>
    </w:p>
    <w:p w:rsidR="00C30C61" w:rsidRPr="002E180B" w:rsidRDefault="00C30C61" w:rsidP="00C30C61">
      <w:pPr>
        <w:pStyle w:val="Heading3"/>
        <w:jc w:val="both"/>
      </w:pPr>
      <w:bookmarkStart w:id="24" w:name="_Toc50666220"/>
      <w:bookmarkStart w:id="25" w:name="_Toc50666943"/>
      <w:r>
        <w:lastRenderedPageBreak/>
        <w:t>Further Implications</w:t>
      </w:r>
      <w:bookmarkEnd w:id="24"/>
      <w:bookmarkEnd w:id="25"/>
    </w:p>
    <w:p w:rsidR="00C30C61" w:rsidRDefault="00C30C61" w:rsidP="00C30C61">
      <w:pPr>
        <w:jc w:val="both"/>
      </w:pPr>
      <w:r>
        <w:t>Although organisational procedure dictates that data is not to be stored locally on devices, current storage mediums for staff personal data (e.g. ESR) can introduce complexity when trying to access this information.  This should be considered further and addressed as an organisation, with a view to improving the mechanisms for accessing required information.</w:t>
      </w:r>
    </w:p>
    <w:p w:rsidR="00C30C61" w:rsidRDefault="00C30C61" w:rsidP="00C30C61">
      <w:pPr>
        <w:jc w:val="both"/>
      </w:pPr>
    </w:p>
    <w:p w:rsidR="00C30C61" w:rsidRDefault="00C30C61" w:rsidP="00C30C61">
      <w:pPr>
        <w:pStyle w:val="Heading1"/>
        <w:jc w:val="both"/>
      </w:pPr>
      <w:bookmarkStart w:id="26" w:name="_Toc50666221"/>
      <w:bookmarkStart w:id="27" w:name="_Toc50666944"/>
      <w:r>
        <w:t>Data Protection Impact Assessment</w:t>
      </w:r>
      <w:bookmarkEnd w:id="26"/>
      <w:bookmarkEnd w:id="27"/>
    </w:p>
    <w:p w:rsidR="00C30C61" w:rsidRDefault="00C30C61" w:rsidP="00C30C61">
      <w:pPr>
        <w:jc w:val="both"/>
      </w:pPr>
      <w:r>
        <w:t xml:space="preserve">A Data Protection Impact Assessment is in place for the secure storage of staff information within the appropriate IT systems and was curated by the Information Governance and Caldicott guardians on behalf of the organisation.  This did of course include reference to and as such permit the storage of </w:t>
      </w:r>
      <w:r w:rsidRPr="00425E2C">
        <w:rPr>
          <w:b/>
          <w:i/>
        </w:rPr>
        <w:t>any</w:t>
      </w:r>
      <w:r>
        <w:t xml:space="preserve"> personal data on the local desktop of an organisational device.</w:t>
      </w:r>
    </w:p>
    <w:p w:rsidR="00C30C61" w:rsidRDefault="00C30C61" w:rsidP="00C30C61">
      <w:pPr>
        <w:pStyle w:val="Heading1"/>
        <w:jc w:val="both"/>
      </w:pPr>
    </w:p>
    <w:p w:rsidR="00C30C61" w:rsidRDefault="00C30C61" w:rsidP="00C30C61">
      <w:pPr>
        <w:pStyle w:val="Heading1"/>
        <w:jc w:val="both"/>
      </w:pPr>
      <w:bookmarkStart w:id="28" w:name="_Toc50666222"/>
      <w:bookmarkStart w:id="29" w:name="_Toc50666945"/>
      <w:r>
        <w:t>Risk Assessment</w:t>
      </w:r>
      <w:bookmarkEnd w:id="28"/>
      <w:bookmarkEnd w:id="29"/>
    </w:p>
    <w:p w:rsidR="00C30C61" w:rsidRDefault="00C30C61" w:rsidP="00C30C61">
      <w:pPr>
        <w:jc w:val="both"/>
      </w:pPr>
      <w:r>
        <w:t>When considering the risk exposure of the breach, it is necessary to look at each element in order to determine the risk score.</w:t>
      </w:r>
    </w:p>
    <w:p w:rsidR="00C30C61" w:rsidRDefault="00C30C61" w:rsidP="00C30C61">
      <w:pPr>
        <w:pStyle w:val="ListParagraph"/>
        <w:numPr>
          <w:ilvl w:val="0"/>
          <w:numId w:val="1"/>
        </w:numPr>
        <w:jc w:val="both"/>
      </w:pPr>
      <w:r w:rsidRPr="00080B7C">
        <w:rPr>
          <w:b/>
        </w:rPr>
        <w:t>Impact</w:t>
      </w:r>
      <w:r>
        <w:t xml:space="preserve">: of the breach and the nature and volume of data – </w:t>
      </w:r>
      <w:r w:rsidRPr="00D90CB0">
        <w:rPr>
          <w:b/>
        </w:rPr>
        <w:t>Score: 5</w:t>
      </w:r>
    </w:p>
    <w:p w:rsidR="00C30C61" w:rsidRDefault="00C30C61" w:rsidP="00C30C61">
      <w:pPr>
        <w:pStyle w:val="ListParagraph"/>
        <w:numPr>
          <w:ilvl w:val="1"/>
          <w:numId w:val="1"/>
        </w:numPr>
        <w:jc w:val="both"/>
      </w:pPr>
      <w:r>
        <w:t>Personal data including names and addresses</w:t>
      </w:r>
    </w:p>
    <w:p w:rsidR="00C30C61" w:rsidRDefault="00C30C61" w:rsidP="00C30C61">
      <w:pPr>
        <w:pStyle w:val="ListParagraph"/>
        <w:numPr>
          <w:ilvl w:val="1"/>
          <w:numId w:val="1"/>
        </w:numPr>
        <w:jc w:val="both"/>
      </w:pPr>
      <w:r>
        <w:t>Volume of data currently unknown, pending further investigation; in this instance the worst case is assumed</w:t>
      </w:r>
    </w:p>
    <w:p w:rsidR="00C30C61" w:rsidRDefault="00C30C61" w:rsidP="00C30C61">
      <w:pPr>
        <w:pStyle w:val="ListParagraph"/>
        <w:numPr>
          <w:ilvl w:val="0"/>
          <w:numId w:val="1"/>
        </w:numPr>
        <w:jc w:val="both"/>
      </w:pPr>
      <w:r w:rsidRPr="00080B7C">
        <w:rPr>
          <w:b/>
        </w:rPr>
        <w:t>Likelihood</w:t>
      </w:r>
      <w:r>
        <w:t xml:space="preserve">: that breach will cause harm to data subjects – </w:t>
      </w:r>
      <w:r w:rsidRPr="00D90CB0">
        <w:rPr>
          <w:b/>
        </w:rPr>
        <w:t>Score: 3</w:t>
      </w:r>
    </w:p>
    <w:p w:rsidR="00C30C61" w:rsidRDefault="00C30C61" w:rsidP="00C30C61">
      <w:pPr>
        <w:pStyle w:val="ListParagraph"/>
        <w:numPr>
          <w:ilvl w:val="1"/>
          <w:numId w:val="1"/>
        </w:numPr>
        <w:jc w:val="both"/>
      </w:pPr>
      <w:r>
        <w:t>Personal Data as classified in GDPR</w:t>
      </w:r>
    </w:p>
    <w:p w:rsidR="00C30C61" w:rsidRDefault="00C30C61" w:rsidP="00C30C61">
      <w:pPr>
        <w:pStyle w:val="ListParagraph"/>
        <w:numPr>
          <w:ilvl w:val="1"/>
          <w:numId w:val="1"/>
        </w:numPr>
        <w:jc w:val="both"/>
      </w:pPr>
      <w:r>
        <w:t>Unknown accuracy of data</w:t>
      </w:r>
    </w:p>
    <w:p w:rsidR="00C30C61" w:rsidRDefault="00C30C61" w:rsidP="00C30C61">
      <w:pPr>
        <w:pStyle w:val="ListParagraph"/>
        <w:numPr>
          <w:ilvl w:val="1"/>
          <w:numId w:val="1"/>
        </w:numPr>
        <w:jc w:val="both"/>
      </w:pPr>
      <w:r>
        <w:t>Data sent to single member of the public</w:t>
      </w:r>
    </w:p>
    <w:p w:rsidR="00C30C61" w:rsidRPr="00080B7C" w:rsidRDefault="00C30C61" w:rsidP="00C30C61">
      <w:pPr>
        <w:jc w:val="both"/>
        <w:rPr>
          <w:b/>
          <w:color w:val="FF0000"/>
        </w:rPr>
      </w:pPr>
      <w:r w:rsidRPr="00080B7C">
        <w:rPr>
          <w:b/>
          <w:color w:val="FF0000"/>
        </w:rPr>
        <w:t xml:space="preserve">Total Risk </w:t>
      </w:r>
      <w:r>
        <w:rPr>
          <w:b/>
          <w:color w:val="FF0000"/>
        </w:rPr>
        <w:t>Score: 15</w:t>
      </w:r>
      <w:r w:rsidRPr="00080B7C">
        <w:rPr>
          <w:b/>
          <w:color w:val="FF0000"/>
        </w:rPr>
        <w:t>/25</w:t>
      </w:r>
      <w:r>
        <w:rPr>
          <w:b/>
          <w:color w:val="FF0000"/>
        </w:rPr>
        <w:t xml:space="preserve"> </w:t>
      </w:r>
      <w:r>
        <w:t>(</w:t>
      </w:r>
      <w:r w:rsidRPr="00C832C0">
        <w:rPr>
          <w:i/>
        </w:rPr>
        <w:t>likelihood</w:t>
      </w:r>
      <w:r>
        <w:t xml:space="preserve"> </w:t>
      </w:r>
      <w:r w:rsidRPr="00C832C0">
        <w:rPr>
          <w:b/>
        </w:rPr>
        <w:t>x</w:t>
      </w:r>
      <w:r>
        <w:t xml:space="preserve"> </w:t>
      </w:r>
      <w:r w:rsidRPr="00C832C0">
        <w:rPr>
          <w:i/>
        </w:rPr>
        <w:t>impact</w:t>
      </w:r>
      <w:r>
        <w:t xml:space="preserve"> (</w:t>
      </w:r>
      <w:r w:rsidRPr="00926E6F">
        <w:t xml:space="preserve">3 </w:t>
      </w:r>
      <w:r w:rsidRPr="00C832C0">
        <w:rPr>
          <w:b/>
        </w:rPr>
        <w:t>x</w:t>
      </w:r>
      <w:r w:rsidRPr="00926E6F">
        <w:t xml:space="preserve"> 5</w:t>
      </w:r>
      <w:r>
        <w:t>)</w:t>
      </w:r>
      <w:r w:rsidRPr="00926E6F">
        <w:t>)</w:t>
      </w:r>
    </w:p>
    <w:p w:rsidR="00C30C61" w:rsidRDefault="00C30C61" w:rsidP="00C30C61">
      <w:pPr>
        <w:jc w:val="both"/>
      </w:pPr>
      <w:r>
        <w:t>From the initial investigation, the risk exposure score is 15 and reporting to the Information Commissioners Office (ICO) is advised.</w:t>
      </w:r>
    </w:p>
    <w:p w:rsidR="00C30C61" w:rsidRDefault="00C30C61" w:rsidP="00C30C61">
      <w:pPr>
        <w:jc w:val="both"/>
      </w:pPr>
      <w:r>
        <w:t>For reference, the following risk matrix gives context to the outcome of the risk exposure score as determined by the initial investigation:</w:t>
      </w:r>
    </w:p>
    <w:tbl>
      <w:tblPr>
        <w:tblStyle w:val="TableGrid"/>
        <w:tblW w:w="9487" w:type="dxa"/>
        <w:tblLook w:val="04A0" w:firstRow="1" w:lastRow="0" w:firstColumn="1" w:lastColumn="0" w:noHBand="0" w:noVBand="1"/>
      </w:tblPr>
      <w:tblGrid>
        <w:gridCol w:w="591"/>
        <w:gridCol w:w="1672"/>
        <w:gridCol w:w="1311"/>
        <w:gridCol w:w="1492"/>
        <w:gridCol w:w="1342"/>
        <w:gridCol w:w="1491"/>
        <w:gridCol w:w="1588"/>
      </w:tblGrid>
      <w:tr w:rsidR="00C30C61" w:rsidTr="00C30C61">
        <w:trPr>
          <w:trHeight w:val="225"/>
        </w:trPr>
        <w:tc>
          <w:tcPr>
            <w:tcW w:w="2263" w:type="dxa"/>
            <w:gridSpan w:val="2"/>
            <w:vMerge w:val="restart"/>
            <w:vAlign w:val="center"/>
          </w:tcPr>
          <w:p w:rsidR="00C30C61" w:rsidRPr="00C24A75" w:rsidRDefault="00C30C61" w:rsidP="00C30C61">
            <w:pPr>
              <w:rPr>
                <w:sz w:val="20"/>
              </w:rPr>
            </w:pPr>
          </w:p>
        </w:tc>
        <w:tc>
          <w:tcPr>
            <w:tcW w:w="7224" w:type="dxa"/>
            <w:gridSpan w:val="5"/>
            <w:vAlign w:val="center"/>
          </w:tcPr>
          <w:p w:rsidR="00C30C61" w:rsidRPr="00C24A75" w:rsidRDefault="00C30C61" w:rsidP="00C30C61">
            <w:pPr>
              <w:jc w:val="center"/>
              <w:rPr>
                <w:b/>
                <w:sz w:val="20"/>
              </w:rPr>
            </w:pPr>
            <w:r w:rsidRPr="00C24A75">
              <w:rPr>
                <w:b/>
                <w:sz w:val="20"/>
              </w:rPr>
              <w:t>Likelihood</w:t>
            </w:r>
          </w:p>
        </w:tc>
      </w:tr>
      <w:tr w:rsidR="00C30C61" w:rsidTr="00C30C61">
        <w:trPr>
          <w:trHeight w:val="235"/>
        </w:trPr>
        <w:tc>
          <w:tcPr>
            <w:tcW w:w="2263" w:type="dxa"/>
            <w:gridSpan w:val="2"/>
            <w:vMerge/>
            <w:vAlign w:val="center"/>
          </w:tcPr>
          <w:p w:rsidR="00C30C61" w:rsidRPr="00C24A75" w:rsidRDefault="00C30C61" w:rsidP="00C30C61">
            <w:pPr>
              <w:rPr>
                <w:sz w:val="20"/>
              </w:rPr>
            </w:pPr>
          </w:p>
        </w:tc>
        <w:tc>
          <w:tcPr>
            <w:tcW w:w="1311" w:type="dxa"/>
            <w:vAlign w:val="center"/>
          </w:tcPr>
          <w:p w:rsidR="00C30C61" w:rsidRPr="00C24A75" w:rsidRDefault="00C30C61" w:rsidP="00C30C61">
            <w:pPr>
              <w:jc w:val="center"/>
              <w:rPr>
                <w:b/>
                <w:sz w:val="20"/>
              </w:rPr>
            </w:pPr>
            <w:r w:rsidRPr="00C24A75">
              <w:rPr>
                <w:b/>
                <w:sz w:val="20"/>
              </w:rPr>
              <w:t>1</w:t>
            </w:r>
          </w:p>
        </w:tc>
        <w:tc>
          <w:tcPr>
            <w:tcW w:w="1492" w:type="dxa"/>
            <w:vAlign w:val="center"/>
          </w:tcPr>
          <w:p w:rsidR="00C30C61" w:rsidRPr="00C24A75" w:rsidRDefault="00C30C61" w:rsidP="00C30C61">
            <w:pPr>
              <w:jc w:val="center"/>
              <w:rPr>
                <w:b/>
                <w:sz w:val="20"/>
              </w:rPr>
            </w:pPr>
            <w:r w:rsidRPr="00C24A75">
              <w:rPr>
                <w:b/>
                <w:sz w:val="20"/>
              </w:rPr>
              <w:t>2</w:t>
            </w:r>
          </w:p>
        </w:tc>
        <w:tc>
          <w:tcPr>
            <w:tcW w:w="1342" w:type="dxa"/>
            <w:vAlign w:val="center"/>
          </w:tcPr>
          <w:p w:rsidR="00C30C61" w:rsidRPr="00C24A75" w:rsidRDefault="00C30C61" w:rsidP="00C30C61">
            <w:pPr>
              <w:jc w:val="center"/>
              <w:rPr>
                <w:b/>
                <w:sz w:val="20"/>
              </w:rPr>
            </w:pPr>
            <w:r w:rsidRPr="00C24A75">
              <w:rPr>
                <w:b/>
                <w:sz w:val="20"/>
              </w:rPr>
              <w:t>3</w:t>
            </w:r>
          </w:p>
        </w:tc>
        <w:tc>
          <w:tcPr>
            <w:tcW w:w="1491" w:type="dxa"/>
            <w:vAlign w:val="center"/>
          </w:tcPr>
          <w:p w:rsidR="00C30C61" w:rsidRPr="00C24A75" w:rsidRDefault="00C30C61" w:rsidP="00C30C61">
            <w:pPr>
              <w:jc w:val="center"/>
              <w:rPr>
                <w:b/>
                <w:sz w:val="20"/>
              </w:rPr>
            </w:pPr>
            <w:r w:rsidRPr="00C24A75">
              <w:rPr>
                <w:b/>
                <w:sz w:val="20"/>
              </w:rPr>
              <w:t>4</w:t>
            </w:r>
          </w:p>
        </w:tc>
        <w:tc>
          <w:tcPr>
            <w:tcW w:w="1588" w:type="dxa"/>
            <w:vAlign w:val="center"/>
          </w:tcPr>
          <w:p w:rsidR="00C30C61" w:rsidRPr="00C24A75" w:rsidRDefault="00C30C61" w:rsidP="00C30C61">
            <w:pPr>
              <w:jc w:val="center"/>
              <w:rPr>
                <w:b/>
                <w:sz w:val="20"/>
              </w:rPr>
            </w:pPr>
            <w:r w:rsidRPr="00C24A75">
              <w:rPr>
                <w:b/>
                <w:sz w:val="20"/>
              </w:rPr>
              <w:t>5</w:t>
            </w:r>
          </w:p>
        </w:tc>
      </w:tr>
      <w:tr w:rsidR="00C30C61" w:rsidTr="00C30C61">
        <w:trPr>
          <w:trHeight w:val="471"/>
        </w:trPr>
        <w:tc>
          <w:tcPr>
            <w:tcW w:w="2263" w:type="dxa"/>
            <w:gridSpan w:val="2"/>
            <w:vMerge/>
            <w:vAlign w:val="center"/>
          </w:tcPr>
          <w:p w:rsidR="00C30C61" w:rsidRPr="00C24A75" w:rsidRDefault="00C30C61" w:rsidP="00C30C61">
            <w:pPr>
              <w:rPr>
                <w:sz w:val="20"/>
              </w:rPr>
            </w:pPr>
          </w:p>
        </w:tc>
        <w:tc>
          <w:tcPr>
            <w:tcW w:w="1311" w:type="dxa"/>
            <w:vAlign w:val="center"/>
          </w:tcPr>
          <w:p w:rsidR="00C30C61" w:rsidRPr="00C24A75" w:rsidRDefault="00C30C61" w:rsidP="00C30C61">
            <w:pPr>
              <w:jc w:val="center"/>
              <w:rPr>
                <w:b/>
                <w:sz w:val="20"/>
              </w:rPr>
            </w:pPr>
            <w:r w:rsidRPr="00C24A75">
              <w:rPr>
                <w:b/>
                <w:sz w:val="20"/>
              </w:rPr>
              <w:t>Rare</w:t>
            </w:r>
          </w:p>
        </w:tc>
        <w:tc>
          <w:tcPr>
            <w:tcW w:w="1492" w:type="dxa"/>
            <w:vAlign w:val="center"/>
          </w:tcPr>
          <w:p w:rsidR="00C30C61" w:rsidRPr="00C24A75" w:rsidRDefault="00C30C61" w:rsidP="00C30C61">
            <w:pPr>
              <w:jc w:val="center"/>
              <w:rPr>
                <w:b/>
                <w:sz w:val="20"/>
              </w:rPr>
            </w:pPr>
            <w:r w:rsidRPr="00C24A75">
              <w:rPr>
                <w:b/>
                <w:sz w:val="20"/>
              </w:rPr>
              <w:t>Unlikely</w:t>
            </w:r>
          </w:p>
        </w:tc>
        <w:tc>
          <w:tcPr>
            <w:tcW w:w="1342" w:type="dxa"/>
            <w:vAlign w:val="center"/>
          </w:tcPr>
          <w:p w:rsidR="00C30C61" w:rsidRPr="00C24A75" w:rsidRDefault="00C30C61" w:rsidP="00C30C61">
            <w:pPr>
              <w:jc w:val="center"/>
              <w:rPr>
                <w:b/>
                <w:sz w:val="20"/>
              </w:rPr>
            </w:pPr>
            <w:r w:rsidRPr="00C24A75">
              <w:rPr>
                <w:b/>
                <w:sz w:val="20"/>
              </w:rPr>
              <w:t>Possible</w:t>
            </w:r>
          </w:p>
        </w:tc>
        <w:tc>
          <w:tcPr>
            <w:tcW w:w="1491" w:type="dxa"/>
            <w:vAlign w:val="center"/>
          </w:tcPr>
          <w:p w:rsidR="00C30C61" w:rsidRPr="00C24A75" w:rsidRDefault="00C30C61" w:rsidP="00C30C61">
            <w:pPr>
              <w:jc w:val="center"/>
              <w:rPr>
                <w:b/>
                <w:sz w:val="20"/>
              </w:rPr>
            </w:pPr>
            <w:r w:rsidRPr="00C24A75">
              <w:rPr>
                <w:b/>
                <w:sz w:val="20"/>
              </w:rPr>
              <w:t>Likely</w:t>
            </w:r>
          </w:p>
        </w:tc>
        <w:tc>
          <w:tcPr>
            <w:tcW w:w="1588" w:type="dxa"/>
            <w:vAlign w:val="center"/>
          </w:tcPr>
          <w:p w:rsidR="00C30C61" w:rsidRPr="00C24A75" w:rsidRDefault="00C30C61" w:rsidP="00C30C61">
            <w:pPr>
              <w:jc w:val="center"/>
              <w:rPr>
                <w:b/>
                <w:sz w:val="20"/>
              </w:rPr>
            </w:pPr>
            <w:r w:rsidRPr="00C24A75">
              <w:rPr>
                <w:b/>
                <w:sz w:val="20"/>
              </w:rPr>
              <w:t>Almost Certain</w:t>
            </w:r>
          </w:p>
        </w:tc>
      </w:tr>
      <w:tr w:rsidR="00C30C61" w:rsidTr="00C30C61">
        <w:trPr>
          <w:trHeight w:val="225"/>
        </w:trPr>
        <w:tc>
          <w:tcPr>
            <w:tcW w:w="591" w:type="dxa"/>
            <w:vMerge w:val="restart"/>
            <w:textDirection w:val="btLr"/>
            <w:vAlign w:val="center"/>
          </w:tcPr>
          <w:p w:rsidR="00C30C61" w:rsidRPr="00D90CB0" w:rsidRDefault="00C30C61" w:rsidP="00C30C61">
            <w:pPr>
              <w:ind w:left="113" w:right="113"/>
              <w:jc w:val="center"/>
              <w:rPr>
                <w:b/>
                <w:sz w:val="20"/>
              </w:rPr>
            </w:pPr>
            <w:r w:rsidRPr="00D90CB0">
              <w:rPr>
                <w:b/>
                <w:sz w:val="20"/>
              </w:rPr>
              <w:t>Impact</w:t>
            </w:r>
          </w:p>
        </w:tc>
        <w:tc>
          <w:tcPr>
            <w:tcW w:w="1672" w:type="dxa"/>
            <w:vAlign w:val="center"/>
          </w:tcPr>
          <w:p w:rsidR="00C30C61" w:rsidRPr="00C24A75" w:rsidRDefault="00C30C61" w:rsidP="00C30C61">
            <w:pPr>
              <w:rPr>
                <w:b/>
                <w:sz w:val="20"/>
              </w:rPr>
            </w:pPr>
            <w:r w:rsidRPr="00C24A75">
              <w:rPr>
                <w:b/>
                <w:sz w:val="20"/>
              </w:rPr>
              <w:t>5. Catastrophic</w:t>
            </w:r>
          </w:p>
        </w:tc>
        <w:tc>
          <w:tcPr>
            <w:tcW w:w="1311" w:type="dxa"/>
            <w:shd w:val="clear" w:color="auto" w:fill="FFE599" w:themeFill="accent4" w:themeFillTint="66"/>
            <w:vAlign w:val="center"/>
          </w:tcPr>
          <w:p w:rsidR="00C30C61" w:rsidRPr="00C24A75" w:rsidRDefault="00C30C61" w:rsidP="00C30C61">
            <w:pPr>
              <w:jc w:val="center"/>
              <w:rPr>
                <w:sz w:val="20"/>
              </w:rPr>
            </w:pPr>
            <w:r w:rsidRPr="00C24A75">
              <w:rPr>
                <w:sz w:val="20"/>
              </w:rPr>
              <w:t>5</w:t>
            </w:r>
          </w:p>
        </w:tc>
        <w:tc>
          <w:tcPr>
            <w:tcW w:w="1492" w:type="dxa"/>
            <w:shd w:val="clear" w:color="auto" w:fill="F7CAAC" w:themeFill="accent2" w:themeFillTint="66"/>
            <w:vAlign w:val="center"/>
          </w:tcPr>
          <w:p w:rsidR="00C30C61" w:rsidRPr="00C24A75" w:rsidRDefault="00C30C61" w:rsidP="00C30C61">
            <w:pPr>
              <w:jc w:val="center"/>
              <w:rPr>
                <w:sz w:val="20"/>
              </w:rPr>
            </w:pPr>
            <w:r w:rsidRPr="00C24A75">
              <w:rPr>
                <w:sz w:val="20"/>
              </w:rPr>
              <w:t>10</w:t>
            </w:r>
          </w:p>
        </w:tc>
        <w:tc>
          <w:tcPr>
            <w:tcW w:w="1342" w:type="dxa"/>
            <w:shd w:val="clear" w:color="auto" w:fill="FFAFAF"/>
            <w:vAlign w:val="center"/>
          </w:tcPr>
          <w:p w:rsidR="00C30C61" w:rsidRPr="00C24A75" w:rsidRDefault="00C30C61" w:rsidP="00C30C61">
            <w:pPr>
              <w:jc w:val="center"/>
              <w:rPr>
                <w:sz w:val="20"/>
              </w:rPr>
            </w:pPr>
            <w:r w:rsidRPr="00C24A75">
              <w:rPr>
                <w:noProof/>
                <w:sz w:val="20"/>
                <w:lang w:eastAsia="en-GB"/>
              </w:rPr>
              <mc:AlternateContent>
                <mc:Choice Requires="wps">
                  <w:drawing>
                    <wp:anchor distT="0" distB="0" distL="114300" distR="114300" simplePos="0" relativeHeight="251659264" behindDoc="0" locked="0" layoutInCell="1" allowOverlap="1" wp14:anchorId="7D32FCEB" wp14:editId="281DB4AA">
                      <wp:simplePos x="0" y="0"/>
                      <wp:positionH relativeFrom="column">
                        <wp:posOffset>185420</wp:posOffset>
                      </wp:positionH>
                      <wp:positionV relativeFrom="paragraph">
                        <wp:posOffset>-19050</wp:posOffset>
                      </wp:positionV>
                      <wp:extent cx="350520" cy="175260"/>
                      <wp:effectExtent l="19050" t="19050" r="11430" b="15240"/>
                      <wp:wrapNone/>
                      <wp:docPr id="2" name="Oval 2"/>
                      <wp:cNvGraphicFramePr/>
                      <a:graphic xmlns:a="http://schemas.openxmlformats.org/drawingml/2006/main">
                        <a:graphicData uri="http://schemas.microsoft.com/office/word/2010/wordprocessingShape">
                          <wps:wsp>
                            <wps:cNvSpPr/>
                            <wps:spPr>
                              <a:xfrm>
                                <a:off x="0" y="0"/>
                                <a:ext cx="350520" cy="17526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ED5B18" id="Oval 2" o:spid="_x0000_s1026" style="position:absolute;margin-left:14.6pt;margin-top:-1.5pt;width:27.6pt;height:13.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" filled="f" strokecolor="red" strokeweight="3pt">
                      <v:stroke joinstyle="miter"/>
                    </v:oval>
                  </w:pict>
                </mc:Fallback>
              </mc:AlternateContent>
            </w:r>
            <w:r w:rsidRPr="00C24A75">
              <w:rPr>
                <w:sz w:val="20"/>
              </w:rPr>
              <w:t>15</w:t>
            </w:r>
          </w:p>
        </w:tc>
        <w:tc>
          <w:tcPr>
            <w:tcW w:w="1491" w:type="dxa"/>
            <w:shd w:val="clear" w:color="auto" w:fill="FFAFAF"/>
            <w:vAlign w:val="center"/>
          </w:tcPr>
          <w:p w:rsidR="00C30C61" w:rsidRPr="00C24A75" w:rsidRDefault="00C30C61" w:rsidP="00C30C61">
            <w:pPr>
              <w:jc w:val="center"/>
              <w:rPr>
                <w:sz w:val="20"/>
              </w:rPr>
            </w:pPr>
            <w:r w:rsidRPr="00C24A75">
              <w:rPr>
                <w:sz w:val="20"/>
              </w:rPr>
              <w:t>20</w:t>
            </w:r>
          </w:p>
        </w:tc>
        <w:tc>
          <w:tcPr>
            <w:tcW w:w="1588" w:type="dxa"/>
            <w:shd w:val="clear" w:color="auto" w:fill="FFAFAF"/>
            <w:vAlign w:val="center"/>
          </w:tcPr>
          <w:p w:rsidR="00C30C61" w:rsidRPr="00C24A75" w:rsidRDefault="00C30C61" w:rsidP="00C30C61">
            <w:pPr>
              <w:jc w:val="center"/>
              <w:rPr>
                <w:sz w:val="20"/>
              </w:rPr>
            </w:pPr>
            <w:r w:rsidRPr="00C24A75">
              <w:rPr>
                <w:sz w:val="20"/>
              </w:rPr>
              <w:t>25</w:t>
            </w:r>
          </w:p>
        </w:tc>
      </w:tr>
      <w:tr w:rsidR="00C30C61" w:rsidTr="00C30C61">
        <w:trPr>
          <w:trHeight w:val="23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4. Major</w:t>
            </w:r>
          </w:p>
        </w:tc>
        <w:tc>
          <w:tcPr>
            <w:tcW w:w="1311" w:type="dxa"/>
            <w:shd w:val="clear" w:color="auto" w:fill="FFE599" w:themeFill="accent4" w:themeFillTint="66"/>
            <w:vAlign w:val="center"/>
          </w:tcPr>
          <w:p w:rsidR="00C30C61" w:rsidRPr="00C24A75" w:rsidRDefault="00C30C61" w:rsidP="00C30C61">
            <w:pPr>
              <w:jc w:val="center"/>
              <w:rPr>
                <w:sz w:val="20"/>
              </w:rPr>
            </w:pPr>
            <w:r w:rsidRPr="00C24A75">
              <w:rPr>
                <w:sz w:val="20"/>
              </w:rPr>
              <w:t>4</w:t>
            </w:r>
          </w:p>
        </w:tc>
        <w:tc>
          <w:tcPr>
            <w:tcW w:w="1492" w:type="dxa"/>
            <w:shd w:val="clear" w:color="auto" w:fill="F7CAAC" w:themeFill="accent2" w:themeFillTint="66"/>
            <w:vAlign w:val="center"/>
          </w:tcPr>
          <w:p w:rsidR="00C30C61" w:rsidRPr="00C24A75" w:rsidRDefault="00C30C61" w:rsidP="00C30C61">
            <w:pPr>
              <w:jc w:val="center"/>
              <w:rPr>
                <w:sz w:val="20"/>
              </w:rPr>
            </w:pPr>
            <w:r w:rsidRPr="00C24A75">
              <w:rPr>
                <w:sz w:val="20"/>
              </w:rPr>
              <w:t>8</w:t>
            </w:r>
          </w:p>
        </w:tc>
        <w:tc>
          <w:tcPr>
            <w:tcW w:w="1342" w:type="dxa"/>
            <w:shd w:val="clear" w:color="auto" w:fill="F7CAAC" w:themeFill="accent2" w:themeFillTint="66"/>
            <w:vAlign w:val="center"/>
          </w:tcPr>
          <w:p w:rsidR="00C30C61" w:rsidRPr="00C24A75" w:rsidRDefault="00C30C61" w:rsidP="00C30C61">
            <w:pPr>
              <w:jc w:val="center"/>
              <w:rPr>
                <w:sz w:val="20"/>
              </w:rPr>
            </w:pPr>
            <w:r w:rsidRPr="00C24A75">
              <w:rPr>
                <w:sz w:val="20"/>
              </w:rPr>
              <w:t>12</w:t>
            </w:r>
          </w:p>
        </w:tc>
        <w:tc>
          <w:tcPr>
            <w:tcW w:w="1491" w:type="dxa"/>
            <w:shd w:val="clear" w:color="auto" w:fill="FFAFAF"/>
            <w:vAlign w:val="center"/>
          </w:tcPr>
          <w:p w:rsidR="00C30C61" w:rsidRPr="00C24A75" w:rsidRDefault="00C30C61" w:rsidP="00C30C61">
            <w:pPr>
              <w:jc w:val="center"/>
              <w:rPr>
                <w:sz w:val="20"/>
              </w:rPr>
            </w:pPr>
            <w:r w:rsidRPr="00C24A75">
              <w:rPr>
                <w:sz w:val="20"/>
              </w:rPr>
              <w:t>16</w:t>
            </w:r>
          </w:p>
        </w:tc>
        <w:tc>
          <w:tcPr>
            <w:tcW w:w="1588" w:type="dxa"/>
            <w:shd w:val="clear" w:color="auto" w:fill="FFAFAF"/>
            <w:vAlign w:val="center"/>
          </w:tcPr>
          <w:p w:rsidR="00C30C61" w:rsidRPr="00C24A75" w:rsidRDefault="00C30C61" w:rsidP="00C30C61">
            <w:pPr>
              <w:jc w:val="center"/>
              <w:rPr>
                <w:sz w:val="20"/>
              </w:rPr>
            </w:pPr>
            <w:r w:rsidRPr="00C24A75">
              <w:rPr>
                <w:sz w:val="20"/>
              </w:rPr>
              <w:t>20</w:t>
            </w:r>
          </w:p>
        </w:tc>
      </w:tr>
      <w:tr w:rsidR="00C30C61" w:rsidTr="00C30C61">
        <w:trPr>
          <w:trHeight w:val="23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3. Moderate</w:t>
            </w:r>
          </w:p>
        </w:tc>
        <w:tc>
          <w:tcPr>
            <w:tcW w:w="1311" w:type="dxa"/>
            <w:shd w:val="clear" w:color="auto" w:fill="C5E0B3" w:themeFill="accent6" w:themeFillTint="66"/>
            <w:vAlign w:val="center"/>
          </w:tcPr>
          <w:p w:rsidR="00C30C61" w:rsidRPr="00C24A75" w:rsidRDefault="00C30C61" w:rsidP="00C30C61">
            <w:pPr>
              <w:jc w:val="center"/>
              <w:rPr>
                <w:sz w:val="20"/>
              </w:rPr>
            </w:pPr>
            <w:r w:rsidRPr="00C24A75">
              <w:rPr>
                <w:sz w:val="20"/>
              </w:rPr>
              <w:t>3</w:t>
            </w:r>
          </w:p>
        </w:tc>
        <w:tc>
          <w:tcPr>
            <w:tcW w:w="1492" w:type="dxa"/>
            <w:shd w:val="clear" w:color="auto" w:fill="FFE599" w:themeFill="accent4" w:themeFillTint="66"/>
            <w:vAlign w:val="center"/>
          </w:tcPr>
          <w:p w:rsidR="00C30C61" w:rsidRPr="00C24A75" w:rsidRDefault="00C30C61" w:rsidP="00C30C61">
            <w:pPr>
              <w:jc w:val="center"/>
              <w:rPr>
                <w:sz w:val="20"/>
              </w:rPr>
            </w:pPr>
            <w:r w:rsidRPr="00C24A75">
              <w:rPr>
                <w:sz w:val="20"/>
              </w:rPr>
              <w:t>6</w:t>
            </w:r>
          </w:p>
        </w:tc>
        <w:tc>
          <w:tcPr>
            <w:tcW w:w="1342" w:type="dxa"/>
            <w:shd w:val="clear" w:color="auto" w:fill="F7CAAC" w:themeFill="accent2" w:themeFillTint="66"/>
            <w:vAlign w:val="center"/>
          </w:tcPr>
          <w:p w:rsidR="00C30C61" w:rsidRPr="00C24A75" w:rsidRDefault="00C30C61" w:rsidP="00C30C61">
            <w:pPr>
              <w:jc w:val="center"/>
              <w:rPr>
                <w:sz w:val="20"/>
              </w:rPr>
            </w:pPr>
            <w:r w:rsidRPr="00C24A75">
              <w:rPr>
                <w:sz w:val="20"/>
              </w:rPr>
              <w:t>9</w:t>
            </w:r>
          </w:p>
        </w:tc>
        <w:tc>
          <w:tcPr>
            <w:tcW w:w="1491" w:type="dxa"/>
            <w:shd w:val="clear" w:color="auto" w:fill="F7CAAC" w:themeFill="accent2" w:themeFillTint="66"/>
            <w:vAlign w:val="center"/>
          </w:tcPr>
          <w:p w:rsidR="00C30C61" w:rsidRPr="00C24A75" w:rsidRDefault="00C30C61" w:rsidP="00C30C61">
            <w:pPr>
              <w:jc w:val="center"/>
              <w:rPr>
                <w:sz w:val="20"/>
              </w:rPr>
            </w:pPr>
            <w:r w:rsidRPr="00C24A75">
              <w:rPr>
                <w:sz w:val="20"/>
              </w:rPr>
              <w:t>12</w:t>
            </w:r>
          </w:p>
        </w:tc>
        <w:tc>
          <w:tcPr>
            <w:tcW w:w="1588" w:type="dxa"/>
            <w:shd w:val="clear" w:color="auto" w:fill="FFAFAF"/>
            <w:vAlign w:val="center"/>
          </w:tcPr>
          <w:p w:rsidR="00C30C61" w:rsidRPr="00C24A75" w:rsidRDefault="00C30C61" w:rsidP="00C30C61">
            <w:pPr>
              <w:jc w:val="center"/>
              <w:rPr>
                <w:sz w:val="20"/>
              </w:rPr>
            </w:pPr>
            <w:r w:rsidRPr="00C24A75">
              <w:rPr>
                <w:sz w:val="20"/>
              </w:rPr>
              <w:t>15</w:t>
            </w:r>
          </w:p>
        </w:tc>
      </w:tr>
      <w:tr w:rsidR="00C30C61" w:rsidTr="00C30C61">
        <w:trPr>
          <w:trHeight w:val="24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2. Minor</w:t>
            </w:r>
          </w:p>
        </w:tc>
        <w:tc>
          <w:tcPr>
            <w:tcW w:w="1311" w:type="dxa"/>
            <w:shd w:val="clear" w:color="auto" w:fill="C5E0B3" w:themeFill="accent6" w:themeFillTint="66"/>
            <w:vAlign w:val="center"/>
          </w:tcPr>
          <w:p w:rsidR="00C30C61" w:rsidRPr="00C24A75" w:rsidRDefault="00C30C61" w:rsidP="00C30C61">
            <w:pPr>
              <w:jc w:val="center"/>
              <w:rPr>
                <w:sz w:val="20"/>
              </w:rPr>
            </w:pPr>
            <w:r w:rsidRPr="00C24A75">
              <w:rPr>
                <w:sz w:val="20"/>
              </w:rPr>
              <w:t>2</w:t>
            </w:r>
          </w:p>
        </w:tc>
        <w:tc>
          <w:tcPr>
            <w:tcW w:w="1492" w:type="dxa"/>
            <w:shd w:val="clear" w:color="auto" w:fill="FFE599" w:themeFill="accent4" w:themeFillTint="66"/>
            <w:vAlign w:val="center"/>
          </w:tcPr>
          <w:p w:rsidR="00C30C61" w:rsidRPr="00C24A75" w:rsidRDefault="00C30C61" w:rsidP="00C30C61">
            <w:pPr>
              <w:jc w:val="center"/>
              <w:rPr>
                <w:sz w:val="20"/>
              </w:rPr>
            </w:pPr>
            <w:r w:rsidRPr="00C24A75">
              <w:rPr>
                <w:sz w:val="20"/>
              </w:rPr>
              <w:t>4</w:t>
            </w:r>
          </w:p>
        </w:tc>
        <w:tc>
          <w:tcPr>
            <w:tcW w:w="1342" w:type="dxa"/>
            <w:shd w:val="clear" w:color="auto" w:fill="FFE599" w:themeFill="accent4" w:themeFillTint="66"/>
            <w:vAlign w:val="center"/>
          </w:tcPr>
          <w:p w:rsidR="00C30C61" w:rsidRPr="00C24A75" w:rsidRDefault="00C30C61" w:rsidP="00C30C61">
            <w:pPr>
              <w:jc w:val="center"/>
              <w:rPr>
                <w:sz w:val="20"/>
              </w:rPr>
            </w:pPr>
            <w:r w:rsidRPr="00C24A75">
              <w:rPr>
                <w:sz w:val="20"/>
              </w:rPr>
              <w:t>6</w:t>
            </w:r>
          </w:p>
        </w:tc>
        <w:tc>
          <w:tcPr>
            <w:tcW w:w="1491" w:type="dxa"/>
            <w:shd w:val="clear" w:color="auto" w:fill="F7CAAC" w:themeFill="accent2" w:themeFillTint="66"/>
            <w:vAlign w:val="center"/>
          </w:tcPr>
          <w:p w:rsidR="00C30C61" w:rsidRPr="00C24A75" w:rsidRDefault="00C30C61" w:rsidP="00C30C61">
            <w:pPr>
              <w:jc w:val="center"/>
              <w:rPr>
                <w:sz w:val="20"/>
              </w:rPr>
            </w:pPr>
            <w:r w:rsidRPr="00C24A75">
              <w:rPr>
                <w:sz w:val="20"/>
              </w:rPr>
              <w:t>8</w:t>
            </w:r>
          </w:p>
        </w:tc>
        <w:tc>
          <w:tcPr>
            <w:tcW w:w="1588" w:type="dxa"/>
            <w:shd w:val="clear" w:color="auto" w:fill="F7CAAC" w:themeFill="accent2" w:themeFillTint="66"/>
            <w:vAlign w:val="center"/>
          </w:tcPr>
          <w:p w:rsidR="00C30C61" w:rsidRPr="00C24A75" w:rsidRDefault="00C30C61" w:rsidP="00C30C61">
            <w:pPr>
              <w:jc w:val="center"/>
              <w:rPr>
                <w:sz w:val="20"/>
              </w:rPr>
            </w:pPr>
            <w:r w:rsidRPr="00C24A75">
              <w:rPr>
                <w:sz w:val="20"/>
              </w:rPr>
              <w:t>10</w:t>
            </w:r>
          </w:p>
        </w:tc>
      </w:tr>
      <w:tr w:rsidR="00C30C61" w:rsidTr="00C30C61">
        <w:trPr>
          <w:trHeight w:val="23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1. Negligible</w:t>
            </w:r>
          </w:p>
        </w:tc>
        <w:tc>
          <w:tcPr>
            <w:tcW w:w="1311" w:type="dxa"/>
            <w:shd w:val="clear" w:color="auto" w:fill="C5E0B3" w:themeFill="accent6" w:themeFillTint="66"/>
            <w:vAlign w:val="center"/>
          </w:tcPr>
          <w:p w:rsidR="00C30C61" w:rsidRPr="00C24A75" w:rsidRDefault="00C30C61" w:rsidP="00C30C61">
            <w:pPr>
              <w:jc w:val="center"/>
              <w:rPr>
                <w:sz w:val="20"/>
              </w:rPr>
            </w:pPr>
            <w:r w:rsidRPr="00C24A75">
              <w:rPr>
                <w:sz w:val="20"/>
              </w:rPr>
              <w:t>1</w:t>
            </w:r>
          </w:p>
        </w:tc>
        <w:tc>
          <w:tcPr>
            <w:tcW w:w="1492" w:type="dxa"/>
            <w:shd w:val="clear" w:color="auto" w:fill="C5E0B3" w:themeFill="accent6" w:themeFillTint="66"/>
            <w:vAlign w:val="center"/>
          </w:tcPr>
          <w:p w:rsidR="00C30C61" w:rsidRPr="00C24A75" w:rsidRDefault="00C30C61" w:rsidP="00C30C61">
            <w:pPr>
              <w:jc w:val="center"/>
              <w:rPr>
                <w:sz w:val="20"/>
              </w:rPr>
            </w:pPr>
            <w:r w:rsidRPr="00C24A75">
              <w:rPr>
                <w:sz w:val="20"/>
              </w:rPr>
              <w:t>2</w:t>
            </w:r>
          </w:p>
        </w:tc>
        <w:tc>
          <w:tcPr>
            <w:tcW w:w="1342" w:type="dxa"/>
            <w:shd w:val="clear" w:color="auto" w:fill="C5E0B3" w:themeFill="accent6" w:themeFillTint="66"/>
            <w:vAlign w:val="center"/>
          </w:tcPr>
          <w:p w:rsidR="00C30C61" w:rsidRPr="00C24A75" w:rsidRDefault="00C30C61" w:rsidP="00C30C61">
            <w:pPr>
              <w:jc w:val="center"/>
              <w:rPr>
                <w:sz w:val="20"/>
              </w:rPr>
            </w:pPr>
            <w:r w:rsidRPr="00C24A75">
              <w:rPr>
                <w:sz w:val="20"/>
              </w:rPr>
              <w:t>3</w:t>
            </w:r>
          </w:p>
        </w:tc>
        <w:tc>
          <w:tcPr>
            <w:tcW w:w="1491" w:type="dxa"/>
            <w:shd w:val="clear" w:color="auto" w:fill="FFE599" w:themeFill="accent4" w:themeFillTint="66"/>
            <w:vAlign w:val="center"/>
          </w:tcPr>
          <w:p w:rsidR="00C30C61" w:rsidRPr="00C24A75" w:rsidRDefault="00C30C61" w:rsidP="00C30C61">
            <w:pPr>
              <w:jc w:val="center"/>
              <w:rPr>
                <w:sz w:val="20"/>
              </w:rPr>
            </w:pPr>
            <w:r w:rsidRPr="00C24A75">
              <w:rPr>
                <w:sz w:val="20"/>
              </w:rPr>
              <w:t>4</w:t>
            </w:r>
          </w:p>
        </w:tc>
        <w:tc>
          <w:tcPr>
            <w:tcW w:w="1588" w:type="dxa"/>
            <w:shd w:val="clear" w:color="auto" w:fill="FFE599" w:themeFill="accent4" w:themeFillTint="66"/>
            <w:vAlign w:val="center"/>
          </w:tcPr>
          <w:p w:rsidR="00C30C61" w:rsidRPr="00C24A75" w:rsidRDefault="00C30C61" w:rsidP="00C30C61">
            <w:pPr>
              <w:jc w:val="center"/>
              <w:rPr>
                <w:sz w:val="20"/>
              </w:rPr>
            </w:pPr>
            <w:r w:rsidRPr="00C24A75">
              <w:rPr>
                <w:sz w:val="20"/>
              </w:rPr>
              <w:t>5</w:t>
            </w:r>
          </w:p>
        </w:tc>
      </w:tr>
    </w:tbl>
    <w:tbl>
      <w:tblPr>
        <w:tblStyle w:val="TableGrid"/>
        <w:tblpPr w:leftFromText="180" w:rightFromText="180" w:vertAnchor="text" w:tblpY="247"/>
        <w:tblW w:w="2947" w:type="dxa"/>
        <w:tblLook w:val="04A0" w:firstRow="1" w:lastRow="0" w:firstColumn="1" w:lastColumn="0" w:noHBand="0" w:noVBand="1"/>
      </w:tblPr>
      <w:tblGrid>
        <w:gridCol w:w="421"/>
        <w:gridCol w:w="850"/>
        <w:gridCol w:w="1676"/>
      </w:tblGrid>
      <w:tr w:rsidR="00C30C61" w:rsidTr="00C30C61">
        <w:trPr>
          <w:trHeight w:val="249"/>
        </w:trPr>
        <w:tc>
          <w:tcPr>
            <w:tcW w:w="421" w:type="dxa"/>
            <w:shd w:val="clear" w:color="auto" w:fill="FFAFAF"/>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15 - 25</w:t>
            </w:r>
          </w:p>
        </w:tc>
        <w:tc>
          <w:tcPr>
            <w:tcW w:w="1676" w:type="dxa"/>
          </w:tcPr>
          <w:p w:rsidR="00C30C61" w:rsidRPr="00C24A75" w:rsidRDefault="00C30C61" w:rsidP="00C30C61">
            <w:pPr>
              <w:rPr>
                <w:sz w:val="18"/>
              </w:rPr>
            </w:pPr>
            <w:r w:rsidRPr="00C24A75">
              <w:rPr>
                <w:sz w:val="18"/>
              </w:rPr>
              <w:t>Extreme Risk</w:t>
            </w:r>
          </w:p>
        </w:tc>
      </w:tr>
      <w:tr w:rsidR="00C30C61" w:rsidTr="00C30C61">
        <w:trPr>
          <w:trHeight w:val="249"/>
        </w:trPr>
        <w:tc>
          <w:tcPr>
            <w:tcW w:w="421" w:type="dxa"/>
            <w:shd w:val="clear" w:color="auto" w:fill="F7CAAC" w:themeFill="accent2" w:themeFillTint="66"/>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8 – 12</w:t>
            </w:r>
          </w:p>
        </w:tc>
        <w:tc>
          <w:tcPr>
            <w:tcW w:w="1676" w:type="dxa"/>
          </w:tcPr>
          <w:p w:rsidR="00C30C61" w:rsidRPr="00C24A75" w:rsidRDefault="00C30C61" w:rsidP="00C30C61">
            <w:pPr>
              <w:rPr>
                <w:sz w:val="18"/>
              </w:rPr>
            </w:pPr>
            <w:r w:rsidRPr="00C24A75">
              <w:rPr>
                <w:sz w:val="18"/>
              </w:rPr>
              <w:t>High Risk</w:t>
            </w:r>
          </w:p>
        </w:tc>
      </w:tr>
      <w:tr w:rsidR="00C30C61" w:rsidTr="00C30C61">
        <w:trPr>
          <w:trHeight w:val="260"/>
        </w:trPr>
        <w:tc>
          <w:tcPr>
            <w:tcW w:w="421" w:type="dxa"/>
            <w:shd w:val="clear" w:color="auto" w:fill="FFE599" w:themeFill="accent4" w:themeFillTint="66"/>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4 – 6</w:t>
            </w:r>
          </w:p>
        </w:tc>
        <w:tc>
          <w:tcPr>
            <w:tcW w:w="1676" w:type="dxa"/>
          </w:tcPr>
          <w:p w:rsidR="00C30C61" w:rsidRPr="00C24A75" w:rsidRDefault="00C30C61" w:rsidP="00C30C61">
            <w:pPr>
              <w:rPr>
                <w:sz w:val="18"/>
              </w:rPr>
            </w:pPr>
            <w:r w:rsidRPr="00C24A75">
              <w:rPr>
                <w:sz w:val="18"/>
              </w:rPr>
              <w:t>Moderate Risk</w:t>
            </w:r>
          </w:p>
        </w:tc>
      </w:tr>
      <w:tr w:rsidR="00C30C61" w:rsidTr="00C30C61">
        <w:trPr>
          <w:trHeight w:val="249"/>
        </w:trPr>
        <w:tc>
          <w:tcPr>
            <w:tcW w:w="421" w:type="dxa"/>
            <w:shd w:val="clear" w:color="auto" w:fill="C5E0B3" w:themeFill="accent6" w:themeFillTint="66"/>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1- 3</w:t>
            </w:r>
          </w:p>
        </w:tc>
        <w:tc>
          <w:tcPr>
            <w:tcW w:w="1676" w:type="dxa"/>
          </w:tcPr>
          <w:p w:rsidR="00C30C61" w:rsidRPr="00C24A75" w:rsidRDefault="00C30C61" w:rsidP="00C30C61">
            <w:pPr>
              <w:rPr>
                <w:sz w:val="18"/>
              </w:rPr>
            </w:pPr>
            <w:r w:rsidRPr="00C24A75">
              <w:rPr>
                <w:sz w:val="18"/>
              </w:rPr>
              <w:t>Low Risk</w:t>
            </w:r>
          </w:p>
        </w:tc>
      </w:tr>
    </w:tbl>
    <w:p w:rsidR="00C30C61" w:rsidRDefault="00C30C61" w:rsidP="00C30C61"/>
    <w:p w:rsidR="00C30C61" w:rsidRDefault="00C30C61" w:rsidP="00C30C61">
      <w:pPr>
        <w:pStyle w:val="Heading1"/>
        <w:jc w:val="both"/>
      </w:pPr>
      <w:bookmarkStart w:id="30" w:name="_Toc50666223"/>
      <w:bookmarkStart w:id="31" w:name="_Toc50666946"/>
      <w:r>
        <w:lastRenderedPageBreak/>
        <w:t>Actions – Containing future breaches</w:t>
      </w:r>
      <w:bookmarkEnd w:id="30"/>
      <w:bookmarkEnd w:id="31"/>
    </w:p>
    <w:p w:rsidR="00C30C61" w:rsidRDefault="00C30C61" w:rsidP="00C30C61">
      <w:pPr>
        <w:jc w:val="both"/>
      </w:pPr>
      <w:r>
        <w:t>This data breach was down to the actions of a single individual.  In trying to make their role more efficient, they willingly stored personal data inappropriately on their desktop which was subsequently emailed in error to a member of the public.  The breach was not carried out with malice intent, however a number of GDPR principles were violated.</w:t>
      </w:r>
    </w:p>
    <w:p w:rsidR="00C30C61" w:rsidRDefault="00C30C61" w:rsidP="00C30C61">
      <w:pPr>
        <w:jc w:val="both"/>
      </w:pPr>
      <w:r>
        <w:t>The Information Governance team recommend the following actions be taken as an organisation:</w:t>
      </w:r>
    </w:p>
    <w:p w:rsidR="00C30C61" w:rsidRDefault="00C30C61" w:rsidP="00C30C61">
      <w:pPr>
        <w:pStyle w:val="ListParagraph"/>
        <w:numPr>
          <w:ilvl w:val="0"/>
          <w:numId w:val="2"/>
        </w:numPr>
        <w:jc w:val="both"/>
      </w:pPr>
      <w:r>
        <w:t>Increase PR around data governance and employee responsibility</w:t>
      </w:r>
    </w:p>
    <w:p w:rsidR="00C30C61" w:rsidRDefault="00C30C61" w:rsidP="00C30C61">
      <w:pPr>
        <w:pStyle w:val="ListParagraph"/>
        <w:numPr>
          <w:ilvl w:val="1"/>
          <w:numId w:val="2"/>
        </w:numPr>
        <w:jc w:val="both"/>
      </w:pPr>
      <w:r>
        <w:t>Organisation wide communication (e.g. Posters etc.)</w:t>
      </w:r>
    </w:p>
    <w:p w:rsidR="00C30C61" w:rsidRDefault="00C30C61" w:rsidP="00C30C61">
      <w:pPr>
        <w:pStyle w:val="ListParagraph"/>
        <w:numPr>
          <w:ilvl w:val="1"/>
          <w:numId w:val="2"/>
        </w:numPr>
        <w:jc w:val="both"/>
      </w:pPr>
      <w:r>
        <w:t>Higher availability of training</w:t>
      </w:r>
    </w:p>
    <w:p w:rsidR="00C30C61" w:rsidRDefault="00C30C61" w:rsidP="00C30C61">
      <w:pPr>
        <w:pStyle w:val="ListParagraph"/>
        <w:numPr>
          <w:ilvl w:val="0"/>
          <w:numId w:val="2"/>
        </w:numPr>
        <w:jc w:val="both"/>
      </w:pPr>
      <w:r>
        <w:t>Review/access current procedures on storing data</w:t>
      </w:r>
    </w:p>
    <w:p w:rsidR="00C30C61" w:rsidRDefault="00C30C61" w:rsidP="00C30C61">
      <w:pPr>
        <w:pStyle w:val="ListParagraph"/>
        <w:numPr>
          <w:ilvl w:val="0"/>
          <w:numId w:val="2"/>
        </w:numPr>
        <w:jc w:val="both"/>
      </w:pPr>
      <w:r>
        <w:t>Discuss with cyber security team what can be done to prevent improper storage on organisational devices</w:t>
      </w:r>
    </w:p>
    <w:p w:rsidR="00C30C61" w:rsidRDefault="00C30C61" w:rsidP="00C30C61">
      <w:pPr>
        <w:pStyle w:val="ListParagraph"/>
        <w:numPr>
          <w:ilvl w:val="0"/>
          <w:numId w:val="2"/>
        </w:numPr>
        <w:jc w:val="both"/>
      </w:pPr>
      <w:r>
        <w:t>Further investigation in to operational department procedures to ensure the correct people are handling the data</w:t>
      </w:r>
    </w:p>
    <w:p w:rsidR="00C30C61" w:rsidRDefault="00C30C61" w:rsidP="00C30C61">
      <w:pPr>
        <w:pStyle w:val="ListParagraph"/>
        <w:numPr>
          <w:ilvl w:val="1"/>
          <w:numId w:val="2"/>
        </w:numPr>
        <w:jc w:val="both"/>
      </w:pPr>
      <w:r>
        <w:t>Review risk exposure after further investigation</w:t>
      </w:r>
    </w:p>
    <w:p w:rsidR="00C30C61" w:rsidRDefault="00C30C61" w:rsidP="00C30C61">
      <w:pPr>
        <w:pStyle w:val="ListParagraph"/>
        <w:numPr>
          <w:ilvl w:val="0"/>
          <w:numId w:val="2"/>
        </w:numPr>
        <w:jc w:val="both"/>
      </w:pPr>
      <w:r>
        <w:t>Review of staff training status and reminders that IG training is mandatory</w:t>
      </w:r>
    </w:p>
    <w:p w:rsidR="00C30C61" w:rsidRDefault="00C30C61" w:rsidP="00C30C61">
      <w:pPr>
        <w:pStyle w:val="ListParagraph"/>
        <w:numPr>
          <w:ilvl w:val="0"/>
          <w:numId w:val="2"/>
        </w:numPr>
        <w:jc w:val="both"/>
      </w:pPr>
      <w:r>
        <w:t>Report incident to the ICO</w:t>
      </w:r>
    </w:p>
    <w:p w:rsidR="00C30C61" w:rsidRDefault="00C30C61" w:rsidP="00C30C61">
      <w:pPr>
        <w:pStyle w:val="ListParagraph"/>
        <w:numPr>
          <w:ilvl w:val="0"/>
          <w:numId w:val="2"/>
        </w:numPr>
        <w:jc w:val="both"/>
      </w:pPr>
      <w:r>
        <w:t>Full audit of files locally stored throughout the organisation</w:t>
      </w:r>
    </w:p>
    <w:p w:rsidR="00C30C61" w:rsidRDefault="00C30C61" w:rsidP="00C30C61">
      <w:pPr>
        <w:pStyle w:val="ListParagraph"/>
        <w:numPr>
          <w:ilvl w:val="1"/>
          <w:numId w:val="2"/>
        </w:numPr>
        <w:jc w:val="both"/>
      </w:pPr>
      <w:r>
        <w:t>Carried out using tools employed by the IT department to detect potential inappropriate data storage</w:t>
      </w:r>
    </w:p>
    <w:p w:rsidR="00C30C61" w:rsidRDefault="00C30C61" w:rsidP="00C30C61">
      <w:pPr>
        <w:pStyle w:val="ListParagraph"/>
        <w:numPr>
          <w:ilvl w:val="0"/>
          <w:numId w:val="2"/>
        </w:numPr>
        <w:jc w:val="both"/>
      </w:pPr>
      <w:r>
        <w:t xml:space="preserve">Removal and full investigation of the operational manager’s recent activity to ensure no further breaches have taken place </w:t>
      </w:r>
    </w:p>
    <w:p w:rsidR="00C30C61" w:rsidRDefault="00C30C61" w:rsidP="00C30C61">
      <w:pPr>
        <w:pStyle w:val="ListParagraph"/>
        <w:numPr>
          <w:ilvl w:val="0"/>
          <w:numId w:val="2"/>
        </w:numPr>
        <w:jc w:val="both"/>
      </w:pPr>
      <w:r>
        <w:t xml:space="preserve">Consider future implications of complexity that current IT system offer and the temptation for staff to circumnavigate these systems.  </w:t>
      </w:r>
    </w:p>
    <w:p w:rsidR="00C30C61" w:rsidRDefault="00C30C61" w:rsidP="00C30C61">
      <w:pPr>
        <w:pStyle w:val="ListParagraph"/>
        <w:numPr>
          <w:ilvl w:val="0"/>
          <w:numId w:val="2"/>
        </w:numPr>
        <w:jc w:val="both"/>
      </w:pPr>
      <w:r>
        <w:t>Review DPIA</w:t>
      </w:r>
    </w:p>
    <w:p w:rsidR="00C30C61" w:rsidRDefault="00C30C61" w:rsidP="00C30C61">
      <w:pPr>
        <w:pStyle w:val="ListParagraph"/>
        <w:numPr>
          <w:ilvl w:val="0"/>
          <w:numId w:val="2"/>
        </w:numPr>
        <w:jc w:val="both"/>
      </w:pPr>
      <w:r>
        <w:t>Implement appropriate HR/disciplinary actions in relation to the operational manager</w:t>
      </w:r>
    </w:p>
    <w:p w:rsidR="00D515E8" w:rsidRDefault="00D515E8" w:rsidP="00C30C61">
      <w:pPr>
        <w:pStyle w:val="Heading1"/>
        <w:jc w:val="both"/>
      </w:pPr>
      <w:bookmarkStart w:id="32" w:name="_Toc50666224"/>
    </w:p>
    <w:p w:rsidR="00C30C61" w:rsidRDefault="00C30C61" w:rsidP="00C30C61">
      <w:pPr>
        <w:pStyle w:val="Heading1"/>
        <w:jc w:val="both"/>
      </w:pPr>
      <w:bookmarkStart w:id="33" w:name="_Toc50666947"/>
      <w:r>
        <w:t>Actions – In respect of the data subjects</w:t>
      </w:r>
      <w:bookmarkEnd w:id="32"/>
      <w:bookmarkEnd w:id="33"/>
      <w:r>
        <w:t xml:space="preserve"> </w:t>
      </w:r>
    </w:p>
    <w:p w:rsidR="00C30C61" w:rsidRDefault="00C30C61" w:rsidP="00C30C61">
      <w:pPr>
        <w:jc w:val="both"/>
      </w:pPr>
      <w:r>
        <w:t>The Information Governance team recommend the following actions in respect of the data subjects (staff members affected):</w:t>
      </w:r>
    </w:p>
    <w:p w:rsidR="00C30C61" w:rsidRDefault="00C30C61" w:rsidP="00C30C61">
      <w:pPr>
        <w:pStyle w:val="ListParagraph"/>
        <w:numPr>
          <w:ilvl w:val="0"/>
          <w:numId w:val="3"/>
        </w:numPr>
        <w:jc w:val="both"/>
      </w:pPr>
      <w:r>
        <w:t>Inform data subjects about potential breach</w:t>
      </w:r>
    </w:p>
    <w:p w:rsidR="00C30C61" w:rsidRDefault="00C30C61" w:rsidP="00C30C61">
      <w:pPr>
        <w:pStyle w:val="ListParagraph"/>
        <w:numPr>
          <w:ilvl w:val="0"/>
          <w:numId w:val="3"/>
        </w:numPr>
        <w:jc w:val="both"/>
      </w:pPr>
      <w:r>
        <w:t>Assure that all actions are being taken in the interest of protecting them from further or future harm</w:t>
      </w:r>
    </w:p>
    <w:p w:rsidR="00C30C61" w:rsidRDefault="00C30C61" w:rsidP="00C30C61">
      <w:pPr>
        <w:pStyle w:val="ListParagraph"/>
        <w:numPr>
          <w:ilvl w:val="0"/>
          <w:numId w:val="3"/>
        </w:numPr>
        <w:jc w:val="both"/>
      </w:pPr>
      <w:r>
        <w:t>Inform data subjects of the investigation, progress and intentions</w:t>
      </w:r>
    </w:p>
    <w:p w:rsidR="00C30C61" w:rsidRDefault="00C30C61" w:rsidP="00C30C61">
      <w:pPr>
        <w:jc w:val="both"/>
      </w:pPr>
    </w:p>
    <w:p w:rsidR="00C30C61" w:rsidRDefault="00C30C61" w:rsidP="00C30C61">
      <w:pPr>
        <w:pStyle w:val="Heading1"/>
        <w:jc w:val="both"/>
      </w:pPr>
      <w:bookmarkStart w:id="34" w:name="_Toc50666225"/>
      <w:bookmarkStart w:id="35" w:name="_Toc50666948"/>
      <w:r>
        <w:t>Further Issues</w:t>
      </w:r>
      <w:bookmarkEnd w:id="34"/>
      <w:bookmarkEnd w:id="35"/>
    </w:p>
    <w:p w:rsidR="00C30C61" w:rsidRDefault="00C30C61" w:rsidP="00C30C61">
      <w:pPr>
        <w:jc w:val="both"/>
      </w:pPr>
      <w:r>
        <w:t xml:space="preserve">As well as the above detailed data breach, investigation of the manager’s computer showed that a number of scanned copies of staff sickness notes and occupational health records were also stored on the desktop.  </w:t>
      </w:r>
    </w:p>
    <w:p w:rsidR="00C30C61" w:rsidRDefault="00C30C61" w:rsidP="00C30C61">
      <w:pPr>
        <w:jc w:val="both"/>
      </w:pPr>
      <w:r>
        <w:lastRenderedPageBreak/>
        <w:t>Upon further inspection of how and why these files existed, it became apparent that a local scanner attached to the computer saves files directly to the desktop initially.  The user then copies the files to the appropriate network storage area but has failed to delete the original copies.</w:t>
      </w:r>
      <w:r>
        <w:br/>
      </w:r>
    </w:p>
    <w:p w:rsidR="00C30C61" w:rsidRDefault="00C30C61" w:rsidP="00C30C61">
      <w:pPr>
        <w:pStyle w:val="Heading2"/>
      </w:pPr>
      <w:bookmarkStart w:id="36" w:name="_Toc50666226"/>
      <w:bookmarkStart w:id="37" w:name="_Toc50666949"/>
      <w:r>
        <w:t>Further Actions</w:t>
      </w:r>
      <w:bookmarkEnd w:id="36"/>
      <w:bookmarkEnd w:id="37"/>
    </w:p>
    <w:p w:rsidR="00C30C61" w:rsidRDefault="00C30C61" w:rsidP="00C30C61">
      <w:pPr>
        <w:pStyle w:val="ListParagraph"/>
        <w:numPr>
          <w:ilvl w:val="0"/>
          <w:numId w:val="4"/>
        </w:numPr>
        <w:jc w:val="both"/>
      </w:pPr>
      <w:r>
        <w:t>IT Support instructed to modify the default save directory of the scanner; from the local desktop to the network storage area</w:t>
      </w:r>
    </w:p>
    <w:p w:rsidR="00C30C61" w:rsidRDefault="00C30C61" w:rsidP="00C30C61">
      <w:pPr>
        <w:pStyle w:val="ListParagraph"/>
        <w:numPr>
          <w:ilvl w:val="0"/>
          <w:numId w:val="4"/>
        </w:numPr>
        <w:jc w:val="both"/>
      </w:pPr>
      <w:r>
        <w:t xml:space="preserve">Manager instructed on how to </w:t>
      </w:r>
      <w:r w:rsidRPr="000F239F">
        <w:rPr>
          <w:b/>
        </w:rPr>
        <w:t>cut and paste</w:t>
      </w:r>
      <w:r>
        <w:t xml:space="preserve"> rather than </w:t>
      </w:r>
      <w:r w:rsidRPr="000F239F">
        <w:rPr>
          <w:b/>
        </w:rPr>
        <w:t>copy and paste</w:t>
      </w:r>
      <w:r>
        <w:t xml:space="preserve">, or </w:t>
      </w:r>
      <w:r w:rsidRPr="000F239F">
        <w:rPr>
          <w:b/>
        </w:rPr>
        <w:t>copy and paste</w:t>
      </w:r>
      <w:r>
        <w:t xml:space="preserve"> before </w:t>
      </w:r>
      <w:r w:rsidRPr="000F239F">
        <w:rPr>
          <w:b/>
        </w:rPr>
        <w:t>immediately deleting the file</w:t>
      </w:r>
      <w:r>
        <w:t>, in case future files do accumulate on the desktop</w:t>
      </w:r>
    </w:p>
    <w:p w:rsidR="00C30C61" w:rsidRDefault="00C30C61" w:rsidP="00C30C61">
      <w:pPr>
        <w:pStyle w:val="ListParagraph"/>
        <w:numPr>
          <w:ilvl w:val="0"/>
          <w:numId w:val="4"/>
        </w:numPr>
        <w:jc w:val="both"/>
      </w:pPr>
      <w:r>
        <w:t>Manager explicitly reminded of the implications of future data breaches of this severity and advised to retake the Information Governance training.</w:t>
      </w:r>
    </w:p>
    <w:p w:rsidR="00C30C61" w:rsidRDefault="00C30C61" w:rsidP="00C30C61">
      <w:pPr>
        <w:jc w:val="both"/>
      </w:pPr>
    </w:p>
    <w:p w:rsidR="00C30C61" w:rsidRDefault="00C30C61" w:rsidP="00C30C61">
      <w:pPr>
        <w:pStyle w:val="Heading1"/>
        <w:jc w:val="both"/>
      </w:pPr>
      <w:bookmarkStart w:id="38" w:name="_Toc50666227"/>
      <w:bookmarkStart w:id="39" w:name="_Toc50666950"/>
      <w:r>
        <w:t>Summary</w:t>
      </w:r>
      <w:bookmarkEnd w:id="38"/>
      <w:bookmarkEnd w:id="39"/>
    </w:p>
    <w:p w:rsidR="00C30C61" w:rsidRDefault="00C30C61" w:rsidP="00C30C61">
      <w:pPr>
        <w:jc w:val="both"/>
      </w:pPr>
      <w:r>
        <w:t>In summary, it is recognised that on occasion temporary storage of files on the local hard disk of a computer is required, such as when there is a failure in the corporate network or other storage facility.  This however should remain temporary and extra care should be taken to secure the files.  These steps include:</w:t>
      </w:r>
    </w:p>
    <w:p w:rsidR="00C30C61" w:rsidRDefault="00C30C61" w:rsidP="00C30C61">
      <w:pPr>
        <w:pStyle w:val="ListParagraph"/>
        <w:numPr>
          <w:ilvl w:val="0"/>
          <w:numId w:val="5"/>
        </w:numPr>
        <w:jc w:val="both"/>
      </w:pPr>
      <w:r>
        <w:t>Encrypting files with a password where necessary</w:t>
      </w:r>
    </w:p>
    <w:p w:rsidR="00C30C61" w:rsidRDefault="00C30C61" w:rsidP="00C30C61">
      <w:pPr>
        <w:pStyle w:val="ListParagraph"/>
        <w:numPr>
          <w:ilvl w:val="0"/>
          <w:numId w:val="5"/>
        </w:numPr>
        <w:jc w:val="both"/>
      </w:pPr>
      <w:r>
        <w:t>Encrypting devices with a password</w:t>
      </w:r>
    </w:p>
    <w:p w:rsidR="00C30C61" w:rsidRDefault="00C30C61" w:rsidP="00C30C61">
      <w:pPr>
        <w:pStyle w:val="ListParagraph"/>
        <w:numPr>
          <w:ilvl w:val="0"/>
          <w:numId w:val="5"/>
        </w:numPr>
        <w:jc w:val="both"/>
      </w:pPr>
      <w:r>
        <w:t>Removal of the files as soon as the appropriate storage medium is available</w:t>
      </w:r>
    </w:p>
    <w:p w:rsidR="00C30C61" w:rsidRDefault="00C30C61" w:rsidP="00C30C61">
      <w:pPr>
        <w:jc w:val="both"/>
      </w:pPr>
    </w:p>
    <w:p w:rsidR="00C30C61" w:rsidRDefault="00C30C61" w:rsidP="00C30C61">
      <w:pPr>
        <w:pStyle w:val="Heading1"/>
      </w:pPr>
      <w:bookmarkStart w:id="40" w:name="_Toc50666228"/>
      <w:bookmarkStart w:id="41" w:name="_Toc50666951"/>
      <w:r>
        <w:t>References</w:t>
      </w:r>
      <w:bookmarkEnd w:id="40"/>
      <w:bookmarkEnd w:id="41"/>
    </w:p>
    <w:p w:rsidR="00C30C61" w:rsidRPr="00C24A75" w:rsidRDefault="00C30C61" w:rsidP="00C30C61">
      <w:pPr>
        <w:widowControl w:val="0"/>
        <w:autoSpaceDE w:val="0"/>
        <w:autoSpaceDN w:val="0"/>
        <w:adjustRightInd w:val="0"/>
        <w:spacing w:line="240" w:lineRule="auto"/>
        <w:ind w:left="640" w:hanging="640"/>
        <w:rPr>
          <w:rFonts w:ascii="Calibri" w:hAnsi="Calibri" w:cs="Calibri"/>
          <w:noProof/>
        </w:rPr>
      </w:pPr>
      <w:r>
        <w:fldChar w:fldCharType="begin" w:fldLock="1"/>
      </w:r>
      <w:r>
        <w:instrText xml:space="preserve">ADDIN Mendeley Bibliography CSL_BIBLIOGRAPHY </w:instrText>
      </w:r>
      <w:r>
        <w:fldChar w:fldCharType="separate"/>
      </w:r>
      <w:r w:rsidRPr="00C24A75">
        <w:rPr>
          <w:rFonts w:ascii="Calibri" w:hAnsi="Calibri" w:cs="Calibri"/>
          <w:noProof/>
          <w:szCs w:val="24"/>
        </w:rPr>
        <w:t>[1]</w:t>
      </w:r>
      <w:r w:rsidRPr="00C24A75">
        <w:rPr>
          <w:rFonts w:ascii="Calibri" w:hAnsi="Calibri" w:cs="Calibri"/>
          <w:noProof/>
          <w:szCs w:val="24"/>
        </w:rPr>
        <w:tab/>
        <w:t>E. PARLIAMENT, “Atricles GDPR,” 2016. https://eur-lex.europa.eu/legal-content/EN/TXT/HTML/?uri=CELEX:02016R0679-20160504&amp;from=EN (accessed Sep. 09, 2020).</w:t>
      </w:r>
    </w:p>
    <w:p w:rsidR="00C30C61" w:rsidRPr="000F239F" w:rsidRDefault="00C30C61" w:rsidP="00C30C61">
      <w:pPr>
        <w:jc w:val="both"/>
      </w:pPr>
      <w:r>
        <w:fldChar w:fldCharType="end"/>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86"/>
      </w:tblGrid>
      <w:tr w:rsidR="00C30C61" w:rsidTr="00C30C61">
        <w:trPr>
          <w:trHeight w:val="13550"/>
          <w:jc w:val="center"/>
        </w:trPr>
        <w:tc>
          <w:tcPr>
            <w:tcW w:w="8986" w:type="dxa"/>
            <w:vAlign w:val="center"/>
          </w:tcPr>
          <w:p w:rsidR="00C30C61" w:rsidRPr="00C30C61" w:rsidRDefault="00C30C61" w:rsidP="00C30C61">
            <w:pPr>
              <w:jc w:val="center"/>
              <w:rPr>
                <w:color w:val="A6A6A6" w:themeColor="background1" w:themeShade="A6"/>
                <w:sz w:val="72"/>
              </w:rPr>
            </w:pPr>
            <w:r>
              <w:rPr>
                <w:color w:val="A6A6A6" w:themeColor="background1" w:themeShade="A6"/>
                <w:sz w:val="72"/>
              </w:rPr>
              <w:lastRenderedPageBreak/>
              <w:t>Page</w:t>
            </w:r>
          </w:p>
          <w:p w:rsidR="00C30C61" w:rsidRPr="00C30C61" w:rsidRDefault="00C30C61" w:rsidP="00C30C61">
            <w:pPr>
              <w:jc w:val="center"/>
              <w:rPr>
                <w:color w:val="A6A6A6" w:themeColor="background1" w:themeShade="A6"/>
                <w:sz w:val="72"/>
              </w:rPr>
            </w:pPr>
            <w:r>
              <w:rPr>
                <w:color w:val="A6A6A6" w:themeColor="background1" w:themeShade="A6"/>
                <w:sz w:val="72"/>
              </w:rPr>
              <w:t>Intentionally</w:t>
            </w:r>
          </w:p>
          <w:p w:rsidR="00C30C61" w:rsidRDefault="00C30C61" w:rsidP="00C30C61">
            <w:pPr>
              <w:jc w:val="center"/>
              <w:rPr>
                <w:color w:val="A6A6A6" w:themeColor="background1" w:themeShade="A6"/>
                <w:sz w:val="72"/>
              </w:rPr>
            </w:pPr>
            <w:r>
              <w:rPr>
                <w:color w:val="A6A6A6" w:themeColor="background1" w:themeShade="A6"/>
                <w:sz w:val="72"/>
              </w:rPr>
              <w:t xml:space="preserve">Left </w:t>
            </w:r>
          </w:p>
          <w:p w:rsidR="00C30C61" w:rsidRDefault="00C30C61" w:rsidP="00C30C61">
            <w:pPr>
              <w:jc w:val="center"/>
            </w:pPr>
            <w:r>
              <w:rPr>
                <w:color w:val="A6A6A6" w:themeColor="background1" w:themeShade="A6"/>
                <w:sz w:val="72"/>
              </w:rPr>
              <w:t>Blank</w:t>
            </w:r>
          </w:p>
        </w:tc>
      </w:tr>
    </w:tbl>
    <w:p w:rsidR="00C30C61" w:rsidRDefault="00C30C61"/>
    <w:p w:rsidR="00C30C61" w:rsidRDefault="00C30C61" w:rsidP="00C30C61">
      <w:pPr>
        <w:pStyle w:val="Heading1"/>
      </w:pPr>
      <w:bookmarkStart w:id="42" w:name="_Toc50666952"/>
      <w:r>
        <w:lastRenderedPageBreak/>
        <w:t>Report 2 – Executive Board</w:t>
      </w:r>
      <w:bookmarkEnd w:id="42"/>
    </w:p>
    <w:p w:rsidR="00C30C61" w:rsidRPr="009472D7" w:rsidRDefault="00C30C61" w:rsidP="00C30C61">
      <w:pPr>
        <w:pStyle w:val="Heading1"/>
        <w:jc w:val="both"/>
      </w:pPr>
      <w:bookmarkStart w:id="43" w:name="_Toc50666953"/>
      <w:r w:rsidRPr="009472D7">
        <w:t>Introduction</w:t>
      </w:r>
      <w:bookmarkEnd w:id="43"/>
    </w:p>
    <w:p w:rsidR="00C30C61" w:rsidRDefault="00C30C61" w:rsidP="00C30C61">
      <w:pPr>
        <w:jc w:val="both"/>
      </w:pPr>
      <w:r>
        <w:t xml:space="preserve">I am writing to inform you of a recent data breach within one of our operational departments brought to our attention by the operational manager.  </w:t>
      </w:r>
    </w:p>
    <w:p w:rsidR="00C30C61" w:rsidRDefault="00C30C61" w:rsidP="00C30C61">
      <w:pPr>
        <w:jc w:val="both"/>
      </w:pPr>
      <w:r>
        <w:t>The information below summarises the nature of the breach and the data concerned, the risk exposure as initially agreed on by the Information Governance (IG) department and recommendations to the board around mitigating further risk and reporting to the Information Commissioners Office (ICO).</w:t>
      </w:r>
    </w:p>
    <w:p w:rsidR="00C30C61" w:rsidRDefault="00C30C61" w:rsidP="00C30C61">
      <w:pPr>
        <w:jc w:val="both"/>
      </w:pPr>
    </w:p>
    <w:p w:rsidR="00C30C61" w:rsidRPr="00CD3B25" w:rsidRDefault="00C30C61" w:rsidP="00C30C61">
      <w:pPr>
        <w:pStyle w:val="Heading1"/>
        <w:jc w:val="both"/>
      </w:pPr>
      <w:bookmarkStart w:id="44" w:name="_Toc50666954"/>
      <w:r>
        <w:t>Details of the B</w:t>
      </w:r>
      <w:r w:rsidRPr="00CD3B25">
        <w:t>reach</w:t>
      </w:r>
      <w:bookmarkEnd w:id="44"/>
    </w:p>
    <w:p w:rsidR="00C30C61" w:rsidRDefault="00C30C61" w:rsidP="00C30C61">
      <w:pPr>
        <w:jc w:val="both"/>
      </w:pPr>
      <w:r>
        <w:t>The IG department recently became aware of a potential data breach.  Investigation showed that an organisation employee had stored personal identifiable data on the desktop of their computer and sent the data file as an attachment to a member of the public.</w:t>
      </w:r>
    </w:p>
    <w:p w:rsidR="00C30C61" w:rsidRDefault="00C30C61" w:rsidP="00C30C61">
      <w:pPr>
        <w:jc w:val="both"/>
      </w:pPr>
      <w:r>
        <w:t>It is the view of the IG department that this was done in error and there was no ill intent from the employee. At this time, we are not considering criminal investigation, however the sensitivity of the data is significant and as such, a full internal investigation is underway.</w:t>
      </w:r>
    </w:p>
    <w:p w:rsidR="00C30C61" w:rsidRDefault="00C30C61" w:rsidP="00C30C61">
      <w:pPr>
        <w:jc w:val="both"/>
      </w:pPr>
      <w:r>
        <w:t xml:space="preserve">In an attempt to make efficiencies in one or more tasks, the employee stored names and addresses of current and potentially historic employees in a file on their desktop and forwarded to an incorrect recipient.  Upon realising the error, the employee responsible for the breach immediately informed the IG department via organisational procedure. </w:t>
      </w:r>
    </w:p>
    <w:p w:rsidR="00C30C61" w:rsidRDefault="00C30C61" w:rsidP="00C30C61">
      <w:pPr>
        <w:jc w:val="both"/>
      </w:pPr>
      <w:r>
        <w:t>We believe from the initial investigation that this is an isolated incident involving a single incorrect recipient.</w:t>
      </w:r>
    </w:p>
    <w:p w:rsidR="00C30C61" w:rsidRPr="009472D7" w:rsidRDefault="00C30C61" w:rsidP="00C30C61">
      <w:pPr>
        <w:pStyle w:val="Heading1"/>
        <w:jc w:val="both"/>
      </w:pPr>
      <w:bookmarkStart w:id="45" w:name="_Toc50666955"/>
      <w:r>
        <w:t>Detail of D</w:t>
      </w:r>
      <w:r w:rsidRPr="009472D7">
        <w:t>ata</w:t>
      </w:r>
      <w:r>
        <w:t xml:space="preserve"> Involved in the Breach</w:t>
      </w:r>
      <w:bookmarkEnd w:id="45"/>
    </w:p>
    <w:p w:rsidR="00C30C61" w:rsidRDefault="00C30C61" w:rsidP="00C30C61">
      <w:pPr>
        <w:jc w:val="both"/>
      </w:pPr>
      <w:r>
        <w:t xml:space="preserve">An investigation in to the breach has determined that names and addresses of individuals either currently employed or historically employed by the organisation were included in the above mentioned file.  It is currently unclear how accurate and up-to-date the information was at the time of the breach and we recognise, given the uncertainty that there is a risk of harm. </w:t>
      </w:r>
    </w:p>
    <w:p w:rsidR="00C30C61" w:rsidRDefault="00C30C61" w:rsidP="00C30C61">
      <w:pPr>
        <w:jc w:val="both"/>
      </w:pPr>
      <w:r>
        <w:t xml:space="preserve">As well as the single file storing employee details, the investigation showed that a number of health and sickness records, also relating to employees were stored on the desktop although it is understood that these files were </w:t>
      </w:r>
      <w:r w:rsidRPr="001F7967">
        <w:rPr>
          <w:b/>
        </w:rPr>
        <w:t>not</w:t>
      </w:r>
      <w:r>
        <w:t xml:space="preserve"> shared with the recipient.</w:t>
      </w:r>
    </w:p>
    <w:p w:rsidR="00C30C61" w:rsidRDefault="00C30C61" w:rsidP="00C30C61">
      <w:pPr>
        <w:jc w:val="both"/>
      </w:pPr>
      <w:r>
        <w:t>The above scenarios mean that GDPR is engaged and a number of principles violated, including but not limited to GDPR Article 5(1)(a) GDPR – Data is to be processed fairly, lawfully and transparently</w:t>
      </w:r>
    </w:p>
    <w:p w:rsidR="00C30C61" w:rsidRDefault="00C30C61" w:rsidP="00C30C61">
      <w:pPr>
        <w:jc w:val="both"/>
      </w:pPr>
    </w:p>
    <w:p w:rsidR="00C30C61" w:rsidRDefault="00C30C61" w:rsidP="00C30C61">
      <w:pPr>
        <w:jc w:val="both"/>
      </w:pPr>
    </w:p>
    <w:p w:rsidR="00C30C61" w:rsidRDefault="00C30C61" w:rsidP="00C30C61">
      <w:pPr>
        <w:jc w:val="both"/>
      </w:pPr>
    </w:p>
    <w:p w:rsidR="00C30C61" w:rsidRDefault="00C30C61" w:rsidP="00C30C61">
      <w:pPr>
        <w:jc w:val="both"/>
      </w:pPr>
    </w:p>
    <w:p w:rsidR="00C30C61" w:rsidRDefault="00C30C61" w:rsidP="00C30C61">
      <w:pPr>
        <w:pStyle w:val="Heading1"/>
        <w:jc w:val="both"/>
      </w:pPr>
      <w:bookmarkStart w:id="46" w:name="_Toc50666956"/>
      <w:r>
        <w:lastRenderedPageBreak/>
        <w:t>Implications and GDPR Principles</w:t>
      </w:r>
      <w:bookmarkEnd w:id="46"/>
    </w:p>
    <w:p w:rsidR="00C30C61" w:rsidRDefault="00C30C61" w:rsidP="00C30C61">
      <w:pPr>
        <w:jc w:val="both"/>
      </w:pPr>
      <w:r>
        <w:t xml:space="preserve">When considering the nature of both the data and the breach, it is clear that the following GDPR Article 5 principles have been </w:t>
      </w:r>
      <w:r w:rsidRPr="00F3021C">
        <w:t>violated</w:t>
      </w:r>
      <w:r>
        <w:t>.</w:t>
      </w:r>
    </w:p>
    <w:p w:rsidR="00C30C61" w:rsidRDefault="00C30C61" w:rsidP="00C30C61">
      <w:pPr>
        <w:jc w:val="both"/>
      </w:pPr>
    </w:p>
    <w:p w:rsidR="00C30C61" w:rsidRDefault="00C30C61" w:rsidP="00C30C61">
      <w:pPr>
        <w:pStyle w:val="Heading3"/>
        <w:jc w:val="both"/>
      </w:pPr>
      <w:bookmarkStart w:id="47" w:name="_Toc50666957"/>
      <w:r w:rsidRPr="00F3021C">
        <w:t>Principle A – Personal data shall be processed lawfully, fairly and in a transparent manner in relation to the data subject.</w:t>
      </w:r>
      <w:bookmarkEnd w:id="47"/>
    </w:p>
    <w:p w:rsidR="00C30C61" w:rsidRDefault="00C30C61" w:rsidP="00C30C61">
      <w:pPr>
        <w:jc w:val="both"/>
      </w:pPr>
      <w:r>
        <w:t>The information involved in the breach can be classified as “Personal Data” under GDPR Article 5 and therefore GDPR is engaged.  The data subjects were not made aware of, nor did they consent to data being stored or disseminated in this manner</w:t>
      </w:r>
    </w:p>
    <w:p w:rsidR="00C30C61" w:rsidRDefault="00C30C61" w:rsidP="00C30C61">
      <w:pPr>
        <w:jc w:val="both"/>
      </w:pPr>
    </w:p>
    <w:p w:rsidR="00C30C61" w:rsidRPr="00425E2C" w:rsidRDefault="00C30C61" w:rsidP="00C30C61">
      <w:pPr>
        <w:pStyle w:val="Heading3"/>
        <w:jc w:val="both"/>
      </w:pPr>
      <w:bookmarkStart w:id="48" w:name="_Toc50666958"/>
      <w:r w:rsidRPr="00425E2C">
        <w:t>Principle D –</w:t>
      </w:r>
      <w:r>
        <w:t xml:space="preserve"> </w:t>
      </w:r>
      <w:r w:rsidRPr="00F3021C">
        <w:t xml:space="preserve">Personal data shall be </w:t>
      </w:r>
      <w:r>
        <w:t>a</w:t>
      </w:r>
      <w:r w:rsidRPr="00425E2C">
        <w:t>ccurate and where necessary, kept up to date</w:t>
      </w:r>
      <w:bookmarkEnd w:id="48"/>
    </w:p>
    <w:p w:rsidR="00C30C61" w:rsidRDefault="00C30C61" w:rsidP="00C30C61">
      <w:pPr>
        <w:jc w:val="both"/>
      </w:pPr>
      <w:r>
        <w:t xml:space="preserve">The age and accuracy of the data within the file is currently unknown.  As such, it is possible that names and addresses were not up to date when the file was sent.  </w:t>
      </w:r>
    </w:p>
    <w:p w:rsidR="00C30C61" w:rsidRDefault="00C30C61" w:rsidP="00C30C61">
      <w:pPr>
        <w:jc w:val="both"/>
      </w:pPr>
      <w:r>
        <w:t>The IG team are considering the possibility that addresses stored in the file may no longer belong to the person/staff member(s) within the record.  This present possible risk to current staff members, previous staff members, as well as members of the public that have since taken up residence in an addresses included in the file.</w:t>
      </w:r>
    </w:p>
    <w:p w:rsidR="00C30C61" w:rsidRDefault="00C30C61" w:rsidP="00C30C61">
      <w:pPr>
        <w:jc w:val="both"/>
      </w:pPr>
    </w:p>
    <w:p w:rsidR="00C30C61" w:rsidRDefault="00C30C61" w:rsidP="00C30C61">
      <w:pPr>
        <w:pStyle w:val="Heading3"/>
        <w:jc w:val="both"/>
      </w:pPr>
      <w:bookmarkStart w:id="49" w:name="_Toc50666959"/>
      <w:r>
        <w:t xml:space="preserve">Principle E – </w:t>
      </w:r>
      <w:r w:rsidRPr="00F3021C">
        <w:t xml:space="preserve">Personal data shall be </w:t>
      </w:r>
      <w:r>
        <w:t>kept in identifiable form for no longer than necessary</w:t>
      </w:r>
      <w:bookmarkEnd w:id="49"/>
    </w:p>
    <w:p w:rsidR="00C30C61" w:rsidRDefault="00C30C61" w:rsidP="00C30C61">
      <w:pPr>
        <w:jc w:val="both"/>
      </w:pPr>
      <w:r>
        <w:t xml:space="preserve">Should the file contain historic data relating to previous staff members as detailed above, it could be considered to be held longer than necessary and would breach GDPR Article 5(1) principle E.  </w:t>
      </w:r>
    </w:p>
    <w:p w:rsidR="00C30C61" w:rsidRDefault="00C30C61" w:rsidP="00C30C61">
      <w:pPr>
        <w:jc w:val="both"/>
      </w:pPr>
    </w:p>
    <w:p w:rsidR="00C30C61" w:rsidRDefault="00C30C61" w:rsidP="00C30C61">
      <w:pPr>
        <w:pStyle w:val="Heading3"/>
        <w:jc w:val="both"/>
      </w:pPr>
      <w:bookmarkStart w:id="50" w:name="_Toc50666960"/>
      <w:r>
        <w:t xml:space="preserve">Principle F - </w:t>
      </w:r>
      <w:r w:rsidRPr="00F3021C">
        <w:t>Personal data shall be</w:t>
      </w:r>
      <w:r>
        <w:t xml:space="preserve"> processed securely</w:t>
      </w:r>
      <w:bookmarkEnd w:id="50"/>
    </w:p>
    <w:p w:rsidR="00C30C61" w:rsidRDefault="00C30C61" w:rsidP="00C30C61">
      <w:pPr>
        <w:jc w:val="both"/>
      </w:pPr>
      <w:r>
        <w:t>In light of both GDPR and organisational policy that dictate how information is to be processed, locally stored personal data on the desktop of a device is accessible not only to other employees who may not have a legitimate reason to view, but potentially to other members of the public should the device become lost or stolen.</w:t>
      </w:r>
    </w:p>
    <w:p w:rsidR="00C30C61" w:rsidRDefault="00C30C61" w:rsidP="00C30C61">
      <w:pPr>
        <w:jc w:val="both"/>
      </w:pPr>
    </w:p>
    <w:p w:rsidR="00C30C61" w:rsidRDefault="00C30C61" w:rsidP="00C30C61">
      <w:pPr>
        <w:pStyle w:val="Heading3"/>
        <w:jc w:val="both"/>
      </w:pPr>
      <w:bookmarkStart w:id="51" w:name="_Toc50666961"/>
      <w:r>
        <w:t>Other Principles: Article 5(2) – Accountability</w:t>
      </w:r>
      <w:bookmarkEnd w:id="51"/>
    </w:p>
    <w:p w:rsidR="00C30C61" w:rsidRDefault="00C30C61" w:rsidP="00C30C61">
      <w:pPr>
        <w:jc w:val="both"/>
      </w:pPr>
      <w:r>
        <w:t xml:space="preserve">Finally, Article 5(2) of the GDPR states that the data controller, considered in this case to be the organisation, shall be responsible for and be able to demonstrate compliance with the above mentioned GDPR principles, as well as principles B and C.  In violating principles A, D, E and F, the Accountability principle has inevitably been violated. </w:t>
      </w:r>
    </w:p>
    <w:p w:rsidR="00C30C61" w:rsidRDefault="00C30C61" w:rsidP="00C30C61">
      <w:pPr>
        <w:jc w:val="both"/>
      </w:pPr>
    </w:p>
    <w:p w:rsidR="00C30C61" w:rsidRPr="002E180B" w:rsidRDefault="00C30C61" w:rsidP="00C30C61">
      <w:pPr>
        <w:pStyle w:val="Heading3"/>
        <w:jc w:val="both"/>
      </w:pPr>
      <w:bookmarkStart w:id="52" w:name="_Toc50666962"/>
      <w:r>
        <w:t>Further Implications</w:t>
      </w:r>
      <w:bookmarkEnd w:id="52"/>
    </w:p>
    <w:p w:rsidR="00C30C61" w:rsidRDefault="00C30C61" w:rsidP="00C30C61">
      <w:pPr>
        <w:jc w:val="both"/>
      </w:pPr>
      <w:r>
        <w:t>Although organisational procedure dictates that data is not to be stored locally on devices, current storage mediums for staff personal data (e.g. ESR) can introduce complexity when trying to access this information.  This should be considered further and addressed as an organisation, with a view to improving the mechanisms for accessing required information.</w:t>
      </w:r>
    </w:p>
    <w:p w:rsidR="00C30C61" w:rsidRDefault="00C30C61" w:rsidP="00C30C61">
      <w:pPr>
        <w:pStyle w:val="Heading1"/>
        <w:jc w:val="both"/>
      </w:pPr>
      <w:bookmarkStart w:id="53" w:name="_Toc50666963"/>
      <w:r>
        <w:lastRenderedPageBreak/>
        <w:t>Data Protection Impact Assessment</w:t>
      </w:r>
      <w:bookmarkEnd w:id="53"/>
    </w:p>
    <w:p w:rsidR="00C30C61" w:rsidRDefault="00C30C61" w:rsidP="00C30C61">
      <w:pPr>
        <w:jc w:val="both"/>
      </w:pPr>
      <w:r>
        <w:t>A Data Protection Impact Assessment was carried out for the secure storage of staff information within the appropriate IT systems and was curated by the Information Governance and Caldicott guardians on behalf of the organisation.  Organisational policy also covers inappropriate storage and sharing of data in depth.</w:t>
      </w:r>
    </w:p>
    <w:p w:rsidR="00C30C61" w:rsidRDefault="00C30C61" w:rsidP="00C30C61">
      <w:pPr>
        <w:jc w:val="both"/>
      </w:pPr>
      <w:r>
        <w:t xml:space="preserve">All staff members are of course made aware of their responsibilities and the Information Security Policy detailing the Caldicott Principles is available on the organisation intranet site. </w:t>
      </w:r>
    </w:p>
    <w:p w:rsidR="00C30C61" w:rsidRDefault="00C30C61" w:rsidP="00C30C61">
      <w:pPr>
        <w:pStyle w:val="Heading1"/>
        <w:jc w:val="both"/>
      </w:pPr>
    </w:p>
    <w:p w:rsidR="00C30C61" w:rsidRDefault="00C30C61" w:rsidP="00C30C61">
      <w:pPr>
        <w:pStyle w:val="Heading1"/>
        <w:jc w:val="both"/>
      </w:pPr>
      <w:bookmarkStart w:id="54" w:name="_Toc50666964"/>
      <w:r>
        <w:t>Risk Exposure</w:t>
      </w:r>
      <w:bookmarkEnd w:id="54"/>
    </w:p>
    <w:p w:rsidR="00C30C61" w:rsidRDefault="00C30C61" w:rsidP="00C30C61">
      <w:pPr>
        <w:jc w:val="both"/>
      </w:pPr>
      <w:r>
        <w:t>A risk score of 15 has been calculated by the investigative team.  The below graphic indicates the severity of the risk score against a risk matrix.</w:t>
      </w:r>
    </w:p>
    <w:p w:rsidR="00C30C61" w:rsidRPr="00080B7C" w:rsidRDefault="00C30C61" w:rsidP="00C30C61">
      <w:pPr>
        <w:jc w:val="both"/>
        <w:rPr>
          <w:b/>
          <w:color w:val="FF0000"/>
        </w:rPr>
      </w:pPr>
      <w:r w:rsidRPr="00080B7C">
        <w:rPr>
          <w:b/>
          <w:color w:val="FF0000"/>
        </w:rPr>
        <w:t xml:space="preserve">Total Risk Exposure </w:t>
      </w:r>
      <w:r>
        <w:rPr>
          <w:b/>
          <w:color w:val="FF0000"/>
        </w:rPr>
        <w:t>Score: 15</w:t>
      </w:r>
      <w:r w:rsidRPr="00080B7C">
        <w:rPr>
          <w:b/>
          <w:color w:val="FF0000"/>
        </w:rPr>
        <w:t>/25</w:t>
      </w:r>
    </w:p>
    <w:tbl>
      <w:tblPr>
        <w:tblStyle w:val="TableGrid"/>
        <w:tblW w:w="9487" w:type="dxa"/>
        <w:tblLook w:val="04A0" w:firstRow="1" w:lastRow="0" w:firstColumn="1" w:lastColumn="0" w:noHBand="0" w:noVBand="1"/>
      </w:tblPr>
      <w:tblGrid>
        <w:gridCol w:w="591"/>
        <w:gridCol w:w="1672"/>
        <w:gridCol w:w="1311"/>
        <w:gridCol w:w="1492"/>
        <w:gridCol w:w="1342"/>
        <w:gridCol w:w="1491"/>
        <w:gridCol w:w="1588"/>
      </w:tblGrid>
      <w:tr w:rsidR="00C30C61" w:rsidTr="00C30C61">
        <w:trPr>
          <w:trHeight w:val="225"/>
        </w:trPr>
        <w:tc>
          <w:tcPr>
            <w:tcW w:w="2263" w:type="dxa"/>
            <w:gridSpan w:val="2"/>
            <w:vMerge w:val="restart"/>
            <w:vAlign w:val="center"/>
          </w:tcPr>
          <w:p w:rsidR="00C30C61" w:rsidRPr="00C24A75" w:rsidRDefault="00C30C61" w:rsidP="00C30C61">
            <w:pPr>
              <w:rPr>
                <w:sz w:val="20"/>
              </w:rPr>
            </w:pPr>
          </w:p>
        </w:tc>
        <w:tc>
          <w:tcPr>
            <w:tcW w:w="7224" w:type="dxa"/>
            <w:gridSpan w:val="5"/>
            <w:vAlign w:val="center"/>
          </w:tcPr>
          <w:p w:rsidR="00C30C61" w:rsidRPr="00C24A75" w:rsidRDefault="00C30C61" w:rsidP="00C30C61">
            <w:pPr>
              <w:jc w:val="center"/>
              <w:rPr>
                <w:b/>
                <w:sz w:val="20"/>
              </w:rPr>
            </w:pPr>
            <w:r w:rsidRPr="00C24A75">
              <w:rPr>
                <w:b/>
                <w:sz w:val="20"/>
              </w:rPr>
              <w:t>Likelihood</w:t>
            </w:r>
          </w:p>
        </w:tc>
      </w:tr>
      <w:tr w:rsidR="00C30C61" w:rsidTr="00C30C61">
        <w:trPr>
          <w:trHeight w:val="235"/>
        </w:trPr>
        <w:tc>
          <w:tcPr>
            <w:tcW w:w="2263" w:type="dxa"/>
            <w:gridSpan w:val="2"/>
            <w:vMerge/>
            <w:vAlign w:val="center"/>
          </w:tcPr>
          <w:p w:rsidR="00C30C61" w:rsidRPr="00C24A75" w:rsidRDefault="00C30C61" w:rsidP="00C30C61">
            <w:pPr>
              <w:rPr>
                <w:sz w:val="20"/>
              </w:rPr>
            </w:pPr>
          </w:p>
        </w:tc>
        <w:tc>
          <w:tcPr>
            <w:tcW w:w="1311" w:type="dxa"/>
            <w:vAlign w:val="center"/>
          </w:tcPr>
          <w:p w:rsidR="00C30C61" w:rsidRPr="00C24A75" w:rsidRDefault="00C30C61" w:rsidP="00C30C61">
            <w:pPr>
              <w:jc w:val="center"/>
              <w:rPr>
                <w:b/>
                <w:sz w:val="20"/>
              </w:rPr>
            </w:pPr>
            <w:r w:rsidRPr="00C24A75">
              <w:rPr>
                <w:b/>
                <w:sz w:val="20"/>
              </w:rPr>
              <w:t>1</w:t>
            </w:r>
          </w:p>
        </w:tc>
        <w:tc>
          <w:tcPr>
            <w:tcW w:w="1492" w:type="dxa"/>
            <w:vAlign w:val="center"/>
          </w:tcPr>
          <w:p w:rsidR="00C30C61" w:rsidRPr="00C24A75" w:rsidRDefault="00C30C61" w:rsidP="00C30C61">
            <w:pPr>
              <w:jc w:val="center"/>
              <w:rPr>
                <w:b/>
                <w:sz w:val="20"/>
              </w:rPr>
            </w:pPr>
            <w:r w:rsidRPr="00C24A75">
              <w:rPr>
                <w:b/>
                <w:sz w:val="20"/>
              </w:rPr>
              <w:t>2</w:t>
            </w:r>
          </w:p>
        </w:tc>
        <w:tc>
          <w:tcPr>
            <w:tcW w:w="1342" w:type="dxa"/>
            <w:vAlign w:val="center"/>
          </w:tcPr>
          <w:p w:rsidR="00C30C61" w:rsidRPr="00C24A75" w:rsidRDefault="00C30C61" w:rsidP="00C30C61">
            <w:pPr>
              <w:jc w:val="center"/>
              <w:rPr>
                <w:b/>
                <w:sz w:val="20"/>
              </w:rPr>
            </w:pPr>
            <w:r w:rsidRPr="00C24A75">
              <w:rPr>
                <w:b/>
                <w:sz w:val="20"/>
              </w:rPr>
              <w:t>3</w:t>
            </w:r>
          </w:p>
        </w:tc>
        <w:tc>
          <w:tcPr>
            <w:tcW w:w="1491" w:type="dxa"/>
            <w:vAlign w:val="center"/>
          </w:tcPr>
          <w:p w:rsidR="00C30C61" w:rsidRPr="00C24A75" w:rsidRDefault="00C30C61" w:rsidP="00C30C61">
            <w:pPr>
              <w:jc w:val="center"/>
              <w:rPr>
                <w:b/>
                <w:sz w:val="20"/>
              </w:rPr>
            </w:pPr>
            <w:r w:rsidRPr="00C24A75">
              <w:rPr>
                <w:b/>
                <w:sz w:val="20"/>
              </w:rPr>
              <w:t>4</w:t>
            </w:r>
          </w:p>
        </w:tc>
        <w:tc>
          <w:tcPr>
            <w:tcW w:w="1588" w:type="dxa"/>
            <w:vAlign w:val="center"/>
          </w:tcPr>
          <w:p w:rsidR="00C30C61" w:rsidRPr="00C24A75" w:rsidRDefault="00C30C61" w:rsidP="00C30C61">
            <w:pPr>
              <w:jc w:val="center"/>
              <w:rPr>
                <w:b/>
                <w:sz w:val="20"/>
              </w:rPr>
            </w:pPr>
            <w:r w:rsidRPr="00C24A75">
              <w:rPr>
                <w:b/>
                <w:sz w:val="20"/>
              </w:rPr>
              <w:t>5</w:t>
            </w:r>
          </w:p>
        </w:tc>
      </w:tr>
      <w:tr w:rsidR="00C30C61" w:rsidTr="00C30C61">
        <w:trPr>
          <w:trHeight w:val="471"/>
        </w:trPr>
        <w:tc>
          <w:tcPr>
            <w:tcW w:w="2263" w:type="dxa"/>
            <w:gridSpan w:val="2"/>
            <w:vMerge/>
            <w:vAlign w:val="center"/>
          </w:tcPr>
          <w:p w:rsidR="00C30C61" w:rsidRPr="00C24A75" w:rsidRDefault="00C30C61" w:rsidP="00C30C61">
            <w:pPr>
              <w:rPr>
                <w:sz w:val="20"/>
              </w:rPr>
            </w:pPr>
          </w:p>
        </w:tc>
        <w:tc>
          <w:tcPr>
            <w:tcW w:w="1311" w:type="dxa"/>
            <w:vAlign w:val="center"/>
          </w:tcPr>
          <w:p w:rsidR="00C30C61" w:rsidRPr="00C24A75" w:rsidRDefault="00C30C61" w:rsidP="00C30C61">
            <w:pPr>
              <w:jc w:val="center"/>
              <w:rPr>
                <w:b/>
                <w:sz w:val="20"/>
              </w:rPr>
            </w:pPr>
            <w:r w:rsidRPr="00C24A75">
              <w:rPr>
                <w:b/>
                <w:sz w:val="20"/>
              </w:rPr>
              <w:t>Rare</w:t>
            </w:r>
          </w:p>
        </w:tc>
        <w:tc>
          <w:tcPr>
            <w:tcW w:w="1492" w:type="dxa"/>
            <w:vAlign w:val="center"/>
          </w:tcPr>
          <w:p w:rsidR="00C30C61" w:rsidRPr="00C24A75" w:rsidRDefault="00C30C61" w:rsidP="00C30C61">
            <w:pPr>
              <w:jc w:val="center"/>
              <w:rPr>
                <w:b/>
                <w:sz w:val="20"/>
              </w:rPr>
            </w:pPr>
            <w:r w:rsidRPr="00C24A75">
              <w:rPr>
                <w:b/>
                <w:sz w:val="20"/>
              </w:rPr>
              <w:t>Unlikely</w:t>
            </w:r>
          </w:p>
        </w:tc>
        <w:tc>
          <w:tcPr>
            <w:tcW w:w="1342" w:type="dxa"/>
            <w:vAlign w:val="center"/>
          </w:tcPr>
          <w:p w:rsidR="00C30C61" w:rsidRPr="00C24A75" w:rsidRDefault="00C30C61" w:rsidP="00C30C61">
            <w:pPr>
              <w:jc w:val="center"/>
              <w:rPr>
                <w:b/>
                <w:sz w:val="20"/>
              </w:rPr>
            </w:pPr>
            <w:r w:rsidRPr="00C24A75">
              <w:rPr>
                <w:b/>
                <w:sz w:val="20"/>
              </w:rPr>
              <w:t>Possible</w:t>
            </w:r>
          </w:p>
        </w:tc>
        <w:tc>
          <w:tcPr>
            <w:tcW w:w="1491" w:type="dxa"/>
            <w:vAlign w:val="center"/>
          </w:tcPr>
          <w:p w:rsidR="00C30C61" w:rsidRPr="00C24A75" w:rsidRDefault="00C30C61" w:rsidP="00C30C61">
            <w:pPr>
              <w:jc w:val="center"/>
              <w:rPr>
                <w:b/>
                <w:sz w:val="20"/>
              </w:rPr>
            </w:pPr>
            <w:r w:rsidRPr="00C24A75">
              <w:rPr>
                <w:b/>
                <w:sz w:val="20"/>
              </w:rPr>
              <w:t>Likely</w:t>
            </w:r>
          </w:p>
        </w:tc>
        <w:tc>
          <w:tcPr>
            <w:tcW w:w="1588" w:type="dxa"/>
            <w:vAlign w:val="center"/>
          </w:tcPr>
          <w:p w:rsidR="00C30C61" w:rsidRPr="00C24A75" w:rsidRDefault="00C30C61" w:rsidP="00C30C61">
            <w:pPr>
              <w:jc w:val="center"/>
              <w:rPr>
                <w:b/>
                <w:sz w:val="20"/>
              </w:rPr>
            </w:pPr>
            <w:r w:rsidRPr="00C24A75">
              <w:rPr>
                <w:b/>
                <w:sz w:val="20"/>
              </w:rPr>
              <w:t>Almost Certain</w:t>
            </w:r>
          </w:p>
        </w:tc>
      </w:tr>
      <w:tr w:rsidR="00C30C61" w:rsidTr="00C30C61">
        <w:trPr>
          <w:trHeight w:val="225"/>
        </w:trPr>
        <w:tc>
          <w:tcPr>
            <w:tcW w:w="591" w:type="dxa"/>
            <w:vMerge w:val="restart"/>
            <w:textDirection w:val="btLr"/>
            <w:vAlign w:val="center"/>
          </w:tcPr>
          <w:p w:rsidR="00C30C61" w:rsidRPr="00C24A75" w:rsidRDefault="00C30C61" w:rsidP="00C30C61">
            <w:pPr>
              <w:ind w:left="113" w:right="113"/>
              <w:jc w:val="center"/>
              <w:rPr>
                <w:sz w:val="20"/>
              </w:rPr>
            </w:pPr>
            <w:r w:rsidRPr="00D90CB0">
              <w:rPr>
                <w:b/>
                <w:sz w:val="20"/>
              </w:rPr>
              <w:t>Impact</w:t>
            </w:r>
          </w:p>
        </w:tc>
        <w:tc>
          <w:tcPr>
            <w:tcW w:w="1672" w:type="dxa"/>
            <w:vAlign w:val="center"/>
          </w:tcPr>
          <w:p w:rsidR="00C30C61" w:rsidRPr="00C24A75" w:rsidRDefault="00C30C61" w:rsidP="00C30C61">
            <w:pPr>
              <w:rPr>
                <w:b/>
                <w:sz w:val="20"/>
              </w:rPr>
            </w:pPr>
            <w:r w:rsidRPr="00C24A75">
              <w:rPr>
                <w:b/>
                <w:sz w:val="20"/>
              </w:rPr>
              <w:t>5. Catastrophic</w:t>
            </w:r>
          </w:p>
        </w:tc>
        <w:tc>
          <w:tcPr>
            <w:tcW w:w="1311" w:type="dxa"/>
            <w:shd w:val="clear" w:color="auto" w:fill="FFE599" w:themeFill="accent4" w:themeFillTint="66"/>
            <w:vAlign w:val="center"/>
          </w:tcPr>
          <w:p w:rsidR="00C30C61" w:rsidRPr="00C24A75" w:rsidRDefault="00C30C61" w:rsidP="00C30C61">
            <w:pPr>
              <w:jc w:val="center"/>
              <w:rPr>
                <w:sz w:val="20"/>
              </w:rPr>
            </w:pPr>
            <w:r w:rsidRPr="00C24A75">
              <w:rPr>
                <w:sz w:val="20"/>
              </w:rPr>
              <w:t>5</w:t>
            </w:r>
          </w:p>
        </w:tc>
        <w:tc>
          <w:tcPr>
            <w:tcW w:w="1492" w:type="dxa"/>
            <w:shd w:val="clear" w:color="auto" w:fill="F7CAAC" w:themeFill="accent2" w:themeFillTint="66"/>
            <w:vAlign w:val="center"/>
          </w:tcPr>
          <w:p w:rsidR="00C30C61" w:rsidRPr="00C24A75" w:rsidRDefault="00C30C61" w:rsidP="00C30C61">
            <w:pPr>
              <w:jc w:val="center"/>
              <w:rPr>
                <w:sz w:val="20"/>
              </w:rPr>
            </w:pPr>
            <w:r w:rsidRPr="00C24A75">
              <w:rPr>
                <w:sz w:val="20"/>
              </w:rPr>
              <w:t>10</w:t>
            </w:r>
          </w:p>
        </w:tc>
        <w:tc>
          <w:tcPr>
            <w:tcW w:w="1342" w:type="dxa"/>
            <w:shd w:val="clear" w:color="auto" w:fill="FFAFAF"/>
            <w:vAlign w:val="center"/>
          </w:tcPr>
          <w:p w:rsidR="00C30C61" w:rsidRPr="00C24A75" w:rsidRDefault="00C30C61" w:rsidP="00C30C61">
            <w:pPr>
              <w:jc w:val="center"/>
              <w:rPr>
                <w:sz w:val="20"/>
              </w:rPr>
            </w:pPr>
            <w:r w:rsidRPr="00C24A75">
              <w:rPr>
                <w:noProof/>
                <w:sz w:val="20"/>
                <w:lang w:eastAsia="en-GB"/>
              </w:rPr>
              <mc:AlternateContent>
                <mc:Choice Requires="wps">
                  <w:drawing>
                    <wp:anchor distT="0" distB="0" distL="114300" distR="114300" simplePos="0" relativeHeight="251661312" behindDoc="0" locked="0" layoutInCell="1" allowOverlap="1" wp14:anchorId="2BA11F85" wp14:editId="5F430C0E">
                      <wp:simplePos x="0" y="0"/>
                      <wp:positionH relativeFrom="column">
                        <wp:posOffset>180340</wp:posOffset>
                      </wp:positionH>
                      <wp:positionV relativeFrom="paragraph">
                        <wp:posOffset>-5080</wp:posOffset>
                      </wp:positionV>
                      <wp:extent cx="350520" cy="175260"/>
                      <wp:effectExtent l="19050" t="19050" r="11430" b="15240"/>
                      <wp:wrapNone/>
                      <wp:docPr id="1" name="Oval 1"/>
                      <wp:cNvGraphicFramePr/>
                      <a:graphic xmlns:a="http://schemas.openxmlformats.org/drawingml/2006/main">
                        <a:graphicData uri="http://schemas.microsoft.com/office/word/2010/wordprocessingShape">
                          <wps:wsp>
                            <wps:cNvSpPr/>
                            <wps:spPr>
                              <a:xfrm>
                                <a:off x="0" y="0"/>
                                <a:ext cx="350520" cy="175260"/>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048B12" id="Oval 1" o:spid="_x0000_s1026" style="position:absolute;margin-left:14.2pt;margin-top:-.4pt;width:27.6pt;height:1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" filled="f" strokecolor="red" strokeweight="3pt">
                      <v:stroke joinstyle="miter"/>
                    </v:oval>
                  </w:pict>
                </mc:Fallback>
              </mc:AlternateContent>
            </w:r>
            <w:r w:rsidRPr="00C24A75">
              <w:rPr>
                <w:sz w:val="20"/>
              </w:rPr>
              <w:t>15</w:t>
            </w:r>
          </w:p>
        </w:tc>
        <w:tc>
          <w:tcPr>
            <w:tcW w:w="1491" w:type="dxa"/>
            <w:shd w:val="clear" w:color="auto" w:fill="FFAFAF"/>
            <w:vAlign w:val="center"/>
          </w:tcPr>
          <w:p w:rsidR="00C30C61" w:rsidRPr="00C24A75" w:rsidRDefault="00C30C61" w:rsidP="00C30C61">
            <w:pPr>
              <w:jc w:val="center"/>
              <w:rPr>
                <w:sz w:val="20"/>
              </w:rPr>
            </w:pPr>
            <w:r w:rsidRPr="00C24A75">
              <w:rPr>
                <w:sz w:val="20"/>
              </w:rPr>
              <w:t>20</w:t>
            </w:r>
          </w:p>
        </w:tc>
        <w:tc>
          <w:tcPr>
            <w:tcW w:w="1588" w:type="dxa"/>
            <w:shd w:val="clear" w:color="auto" w:fill="FFAFAF"/>
            <w:vAlign w:val="center"/>
          </w:tcPr>
          <w:p w:rsidR="00C30C61" w:rsidRPr="00C24A75" w:rsidRDefault="00C30C61" w:rsidP="00C30C61">
            <w:pPr>
              <w:jc w:val="center"/>
              <w:rPr>
                <w:sz w:val="20"/>
              </w:rPr>
            </w:pPr>
            <w:r w:rsidRPr="00C24A75">
              <w:rPr>
                <w:sz w:val="20"/>
              </w:rPr>
              <w:t>25</w:t>
            </w:r>
          </w:p>
        </w:tc>
      </w:tr>
      <w:tr w:rsidR="00C30C61" w:rsidTr="00C30C61">
        <w:trPr>
          <w:trHeight w:val="23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4. Major</w:t>
            </w:r>
          </w:p>
        </w:tc>
        <w:tc>
          <w:tcPr>
            <w:tcW w:w="1311" w:type="dxa"/>
            <w:shd w:val="clear" w:color="auto" w:fill="FFE599" w:themeFill="accent4" w:themeFillTint="66"/>
            <w:vAlign w:val="center"/>
          </w:tcPr>
          <w:p w:rsidR="00C30C61" w:rsidRPr="00C24A75" w:rsidRDefault="00C30C61" w:rsidP="00C30C61">
            <w:pPr>
              <w:jc w:val="center"/>
              <w:rPr>
                <w:sz w:val="20"/>
              </w:rPr>
            </w:pPr>
            <w:r w:rsidRPr="00C24A75">
              <w:rPr>
                <w:sz w:val="20"/>
              </w:rPr>
              <w:t>4</w:t>
            </w:r>
          </w:p>
        </w:tc>
        <w:tc>
          <w:tcPr>
            <w:tcW w:w="1492" w:type="dxa"/>
            <w:shd w:val="clear" w:color="auto" w:fill="F7CAAC" w:themeFill="accent2" w:themeFillTint="66"/>
            <w:vAlign w:val="center"/>
          </w:tcPr>
          <w:p w:rsidR="00C30C61" w:rsidRPr="00C24A75" w:rsidRDefault="00C30C61" w:rsidP="00C30C61">
            <w:pPr>
              <w:jc w:val="center"/>
              <w:rPr>
                <w:sz w:val="20"/>
              </w:rPr>
            </w:pPr>
            <w:r w:rsidRPr="00C24A75">
              <w:rPr>
                <w:sz w:val="20"/>
              </w:rPr>
              <w:t>8</w:t>
            </w:r>
          </w:p>
        </w:tc>
        <w:tc>
          <w:tcPr>
            <w:tcW w:w="1342" w:type="dxa"/>
            <w:shd w:val="clear" w:color="auto" w:fill="F7CAAC" w:themeFill="accent2" w:themeFillTint="66"/>
            <w:vAlign w:val="center"/>
          </w:tcPr>
          <w:p w:rsidR="00C30C61" w:rsidRPr="00C24A75" w:rsidRDefault="00C30C61" w:rsidP="00C30C61">
            <w:pPr>
              <w:jc w:val="center"/>
              <w:rPr>
                <w:sz w:val="20"/>
              </w:rPr>
            </w:pPr>
            <w:r w:rsidRPr="00C24A75">
              <w:rPr>
                <w:sz w:val="20"/>
              </w:rPr>
              <w:t>12</w:t>
            </w:r>
          </w:p>
        </w:tc>
        <w:tc>
          <w:tcPr>
            <w:tcW w:w="1491" w:type="dxa"/>
            <w:shd w:val="clear" w:color="auto" w:fill="FFAFAF"/>
            <w:vAlign w:val="center"/>
          </w:tcPr>
          <w:p w:rsidR="00C30C61" w:rsidRPr="00C24A75" w:rsidRDefault="00C30C61" w:rsidP="00C30C61">
            <w:pPr>
              <w:jc w:val="center"/>
              <w:rPr>
                <w:sz w:val="20"/>
              </w:rPr>
            </w:pPr>
            <w:r w:rsidRPr="00C24A75">
              <w:rPr>
                <w:sz w:val="20"/>
              </w:rPr>
              <w:t>16</w:t>
            </w:r>
          </w:p>
        </w:tc>
        <w:tc>
          <w:tcPr>
            <w:tcW w:w="1588" w:type="dxa"/>
            <w:shd w:val="clear" w:color="auto" w:fill="FFAFAF"/>
            <w:vAlign w:val="center"/>
          </w:tcPr>
          <w:p w:rsidR="00C30C61" w:rsidRPr="00C24A75" w:rsidRDefault="00C30C61" w:rsidP="00C30C61">
            <w:pPr>
              <w:jc w:val="center"/>
              <w:rPr>
                <w:sz w:val="20"/>
              </w:rPr>
            </w:pPr>
            <w:r w:rsidRPr="00C24A75">
              <w:rPr>
                <w:sz w:val="20"/>
              </w:rPr>
              <w:t>20</w:t>
            </w:r>
          </w:p>
        </w:tc>
      </w:tr>
      <w:tr w:rsidR="00C30C61" w:rsidTr="00C30C61">
        <w:trPr>
          <w:trHeight w:val="23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3. Moderate</w:t>
            </w:r>
          </w:p>
        </w:tc>
        <w:tc>
          <w:tcPr>
            <w:tcW w:w="1311" w:type="dxa"/>
            <w:shd w:val="clear" w:color="auto" w:fill="C5E0B3" w:themeFill="accent6" w:themeFillTint="66"/>
            <w:vAlign w:val="center"/>
          </w:tcPr>
          <w:p w:rsidR="00C30C61" w:rsidRPr="00C24A75" w:rsidRDefault="00C30C61" w:rsidP="00C30C61">
            <w:pPr>
              <w:jc w:val="center"/>
              <w:rPr>
                <w:sz w:val="20"/>
              </w:rPr>
            </w:pPr>
            <w:r w:rsidRPr="00C24A75">
              <w:rPr>
                <w:sz w:val="20"/>
              </w:rPr>
              <w:t>3</w:t>
            </w:r>
          </w:p>
        </w:tc>
        <w:tc>
          <w:tcPr>
            <w:tcW w:w="1492" w:type="dxa"/>
            <w:shd w:val="clear" w:color="auto" w:fill="FFE599" w:themeFill="accent4" w:themeFillTint="66"/>
            <w:vAlign w:val="center"/>
          </w:tcPr>
          <w:p w:rsidR="00C30C61" w:rsidRPr="00C24A75" w:rsidRDefault="00C30C61" w:rsidP="00C30C61">
            <w:pPr>
              <w:jc w:val="center"/>
              <w:rPr>
                <w:sz w:val="20"/>
              </w:rPr>
            </w:pPr>
            <w:r w:rsidRPr="00C24A75">
              <w:rPr>
                <w:sz w:val="20"/>
              </w:rPr>
              <w:t>6</w:t>
            </w:r>
          </w:p>
        </w:tc>
        <w:tc>
          <w:tcPr>
            <w:tcW w:w="1342" w:type="dxa"/>
            <w:shd w:val="clear" w:color="auto" w:fill="F7CAAC" w:themeFill="accent2" w:themeFillTint="66"/>
            <w:vAlign w:val="center"/>
          </w:tcPr>
          <w:p w:rsidR="00C30C61" w:rsidRPr="00C24A75" w:rsidRDefault="00C30C61" w:rsidP="00C30C61">
            <w:pPr>
              <w:jc w:val="center"/>
              <w:rPr>
                <w:sz w:val="20"/>
              </w:rPr>
            </w:pPr>
            <w:r w:rsidRPr="00C24A75">
              <w:rPr>
                <w:sz w:val="20"/>
              </w:rPr>
              <w:t>9</w:t>
            </w:r>
          </w:p>
        </w:tc>
        <w:tc>
          <w:tcPr>
            <w:tcW w:w="1491" w:type="dxa"/>
            <w:shd w:val="clear" w:color="auto" w:fill="F7CAAC" w:themeFill="accent2" w:themeFillTint="66"/>
            <w:vAlign w:val="center"/>
          </w:tcPr>
          <w:p w:rsidR="00C30C61" w:rsidRPr="00C24A75" w:rsidRDefault="00C30C61" w:rsidP="00C30C61">
            <w:pPr>
              <w:jc w:val="center"/>
              <w:rPr>
                <w:sz w:val="20"/>
              </w:rPr>
            </w:pPr>
            <w:r w:rsidRPr="00C24A75">
              <w:rPr>
                <w:sz w:val="20"/>
              </w:rPr>
              <w:t>12</w:t>
            </w:r>
          </w:p>
        </w:tc>
        <w:tc>
          <w:tcPr>
            <w:tcW w:w="1588" w:type="dxa"/>
            <w:shd w:val="clear" w:color="auto" w:fill="FFAFAF"/>
            <w:vAlign w:val="center"/>
          </w:tcPr>
          <w:p w:rsidR="00C30C61" w:rsidRPr="00C24A75" w:rsidRDefault="00C30C61" w:rsidP="00C30C61">
            <w:pPr>
              <w:jc w:val="center"/>
              <w:rPr>
                <w:sz w:val="20"/>
              </w:rPr>
            </w:pPr>
            <w:r w:rsidRPr="00C24A75">
              <w:rPr>
                <w:sz w:val="20"/>
              </w:rPr>
              <w:t>15</w:t>
            </w:r>
          </w:p>
        </w:tc>
      </w:tr>
      <w:tr w:rsidR="00C30C61" w:rsidTr="00C30C61">
        <w:trPr>
          <w:trHeight w:val="24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2. Minor</w:t>
            </w:r>
          </w:p>
        </w:tc>
        <w:tc>
          <w:tcPr>
            <w:tcW w:w="1311" w:type="dxa"/>
            <w:shd w:val="clear" w:color="auto" w:fill="C5E0B3" w:themeFill="accent6" w:themeFillTint="66"/>
            <w:vAlign w:val="center"/>
          </w:tcPr>
          <w:p w:rsidR="00C30C61" w:rsidRPr="00C24A75" w:rsidRDefault="00C30C61" w:rsidP="00C30C61">
            <w:pPr>
              <w:jc w:val="center"/>
              <w:rPr>
                <w:sz w:val="20"/>
              </w:rPr>
            </w:pPr>
            <w:r w:rsidRPr="00C24A75">
              <w:rPr>
                <w:sz w:val="20"/>
              </w:rPr>
              <w:t>2</w:t>
            </w:r>
          </w:p>
        </w:tc>
        <w:tc>
          <w:tcPr>
            <w:tcW w:w="1492" w:type="dxa"/>
            <w:shd w:val="clear" w:color="auto" w:fill="FFE599" w:themeFill="accent4" w:themeFillTint="66"/>
            <w:vAlign w:val="center"/>
          </w:tcPr>
          <w:p w:rsidR="00C30C61" w:rsidRPr="00C24A75" w:rsidRDefault="00C30C61" w:rsidP="00C30C61">
            <w:pPr>
              <w:jc w:val="center"/>
              <w:rPr>
                <w:sz w:val="20"/>
              </w:rPr>
            </w:pPr>
            <w:r w:rsidRPr="00C24A75">
              <w:rPr>
                <w:sz w:val="20"/>
              </w:rPr>
              <w:t>4</w:t>
            </w:r>
          </w:p>
        </w:tc>
        <w:tc>
          <w:tcPr>
            <w:tcW w:w="1342" w:type="dxa"/>
            <w:shd w:val="clear" w:color="auto" w:fill="FFE599" w:themeFill="accent4" w:themeFillTint="66"/>
            <w:vAlign w:val="center"/>
          </w:tcPr>
          <w:p w:rsidR="00C30C61" w:rsidRPr="00C24A75" w:rsidRDefault="00C30C61" w:rsidP="00C30C61">
            <w:pPr>
              <w:jc w:val="center"/>
              <w:rPr>
                <w:sz w:val="20"/>
              </w:rPr>
            </w:pPr>
            <w:r w:rsidRPr="00C24A75">
              <w:rPr>
                <w:sz w:val="20"/>
              </w:rPr>
              <w:t>6</w:t>
            </w:r>
          </w:p>
        </w:tc>
        <w:tc>
          <w:tcPr>
            <w:tcW w:w="1491" w:type="dxa"/>
            <w:shd w:val="clear" w:color="auto" w:fill="F7CAAC" w:themeFill="accent2" w:themeFillTint="66"/>
            <w:vAlign w:val="center"/>
          </w:tcPr>
          <w:p w:rsidR="00C30C61" w:rsidRPr="00C24A75" w:rsidRDefault="00C30C61" w:rsidP="00C30C61">
            <w:pPr>
              <w:jc w:val="center"/>
              <w:rPr>
                <w:sz w:val="20"/>
              </w:rPr>
            </w:pPr>
            <w:r w:rsidRPr="00C24A75">
              <w:rPr>
                <w:sz w:val="20"/>
              </w:rPr>
              <w:t>8</w:t>
            </w:r>
          </w:p>
        </w:tc>
        <w:tc>
          <w:tcPr>
            <w:tcW w:w="1588" w:type="dxa"/>
            <w:shd w:val="clear" w:color="auto" w:fill="F7CAAC" w:themeFill="accent2" w:themeFillTint="66"/>
            <w:vAlign w:val="center"/>
          </w:tcPr>
          <w:p w:rsidR="00C30C61" w:rsidRPr="00C24A75" w:rsidRDefault="00C30C61" w:rsidP="00C30C61">
            <w:pPr>
              <w:jc w:val="center"/>
              <w:rPr>
                <w:sz w:val="20"/>
              </w:rPr>
            </w:pPr>
            <w:r w:rsidRPr="00C24A75">
              <w:rPr>
                <w:sz w:val="20"/>
              </w:rPr>
              <w:t>10</w:t>
            </w:r>
          </w:p>
        </w:tc>
      </w:tr>
      <w:tr w:rsidR="00C30C61" w:rsidTr="00C30C61">
        <w:trPr>
          <w:trHeight w:val="235"/>
        </w:trPr>
        <w:tc>
          <w:tcPr>
            <w:tcW w:w="591" w:type="dxa"/>
            <w:vMerge/>
            <w:vAlign w:val="center"/>
          </w:tcPr>
          <w:p w:rsidR="00C30C61" w:rsidRPr="00C24A75" w:rsidRDefault="00C30C61" w:rsidP="00C30C61">
            <w:pPr>
              <w:rPr>
                <w:sz w:val="20"/>
              </w:rPr>
            </w:pPr>
          </w:p>
        </w:tc>
        <w:tc>
          <w:tcPr>
            <w:tcW w:w="1672" w:type="dxa"/>
            <w:vAlign w:val="center"/>
          </w:tcPr>
          <w:p w:rsidR="00C30C61" w:rsidRPr="00C24A75" w:rsidRDefault="00C30C61" w:rsidP="00C30C61">
            <w:pPr>
              <w:rPr>
                <w:b/>
                <w:sz w:val="20"/>
              </w:rPr>
            </w:pPr>
            <w:r w:rsidRPr="00C24A75">
              <w:rPr>
                <w:b/>
                <w:sz w:val="20"/>
              </w:rPr>
              <w:t>1. Negligible</w:t>
            </w:r>
          </w:p>
        </w:tc>
        <w:tc>
          <w:tcPr>
            <w:tcW w:w="1311" w:type="dxa"/>
            <w:shd w:val="clear" w:color="auto" w:fill="C5E0B3" w:themeFill="accent6" w:themeFillTint="66"/>
            <w:vAlign w:val="center"/>
          </w:tcPr>
          <w:p w:rsidR="00C30C61" w:rsidRPr="00C24A75" w:rsidRDefault="00C30C61" w:rsidP="00C30C61">
            <w:pPr>
              <w:jc w:val="center"/>
              <w:rPr>
                <w:sz w:val="20"/>
              </w:rPr>
            </w:pPr>
            <w:r w:rsidRPr="00C24A75">
              <w:rPr>
                <w:sz w:val="20"/>
              </w:rPr>
              <w:t>1</w:t>
            </w:r>
          </w:p>
        </w:tc>
        <w:tc>
          <w:tcPr>
            <w:tcW w:w="1492" w:type="dxa"/>
            <w:shd w:val="clear" w:color="auto" w:fill="C5E0B3" w:themeFill="accent6" w:themeFillTint="66"/>
            <w:vAlign w:val="center"/>
          </w:tcPr>
          <w:p w:rsidR="00C30C61" w:rsidRPr="00C24A75" w:rsidRDefault="00C30C61" w:rsidP="00C30C61">
            <w:pPr>
              <w:jc w:val="center"/>
              <w:rPr>
                <w:sz w:val="20"/>
              </w:rPr>
            </w:pPr>
            <w:r w:rsidRPr="00C24A75">
              <w:rPr>
                <w:sz w:val="20"/>
              </w:rPr>
              <w:t>2</w:t>
            </w:r>
          </w:p>
        </w:tc>
        <w:tc>
          <w:tcPr>
            <w:tcW w:w="1342" w:type="dxa"/>
            <w:shd w:val="clear" w:color="auto" w:fill="C5E0B3" w:themeFill="accent6" w:themeFillTint="66"/>
            <w:vAlign w:val="center"/>
          </w:tcPr>
          <w:p w:rsidR="00C30C61" w:rsidRPr="00C24A75" w:rsidRDefault="00C30C61" w:rsidP="00C30C61">
            <w:pPr>
              <w:jc w:val="center"/>
              <w:rPr>
                <w:sz w:val="20"/>
              </w:rPr>
            </w:pPr>
            <w:r w:rsidRPr="00C24A75">
              <w:rPr>
                <w:sz w:val="20"/>
              </w:rPr>
              <w:t>3</w:t>
            </w:r>
          </w:p>
        </w:tc>
        <w:tc>
          <w:tcPr>
            <w:tcW w:w="1491" w:type="dxa"/>
            <w:shd w:val="clear" w:color="auto" w:fill="FFE599" w:themeFill="accent4" w:themeFillTint="66"/>
            <w:vAlign w:val="center"/>
          </w:tcPr>
          <w:p w:rsidR="00C30C61" w:rsidRPr="00C24A75" w:rsidRDefault="00C30C61" w:rsidP="00C30C61">
            <w:pPr>
              <w:jc w:val="center"/>
              <w:rPr>
                <w:sz w:val="20"/>
              </w:rPr>
            </w:pPr>
            <w:r w:rsidRPr="00C24A75">
              <w:rPr>
                <w:sz w:val="20"/>
              </w:rPr>
              <w:t>4</w:t>
            </w:r>
          </w:p>
        </w:tc>
        <w:tc>
          <w:tcPr>
            <w:tcW w:w="1588" w:type="dxa"/>
            <w:shd w:val="clear" w:color="auto" w:fill="FFE599" w:themeFill="accent4" w:themeFillTint="66"/>
            <w:vAlign w:val="center"/>
          </w:tcPr>
          <w:p w:rsidR="00C30C61" w:rsidRPr="00C24A75" w:rsidRDefault="00C30C61" w:rsidP="00C30C61">
            <w:pPr>
              <w:jc w:val="center"/>
              <w:rPr>
                <w:sz w:val="20"/>
              </w:rPr>
            </w:pPr>
            <w:r w:rsidRPr="00C24A75">
              <w:rPr>
                <w:sz w:val="20"/>
              </w:rPr>
              <w:t>5</w:t>
            </w:r>
          </w:p>
        </w:tc>
      </w:tr>
    </w:tbl>
    <w:tbl>
      <w:tblPr>
        <w:tblStyle w:val="TableGrid"/>
        <w:tblpPr w:leftFromText="180" w:rightFromText="180" w:vertAnchor="text" w:tblpY="247"/>
        <w:tblW w:w="2947" w:type="dxa"/>
        <w:tblLook w:val="04A0" w:firstRow="1" w:lastRow="0" w:firstColumn="1" w:lastColumn="0" w:noHBand="0" w:noVBand="1"/>
      </w:tblPr>
      <w:tblGrid>
        <w:gridCol w:w="421"/>
        <w:gridCol w:w="850"/>
        <w:gridCol w:w="1676"/>
      </w:tblGrid>
      <w:tr w:rsidR="00C30C61" w:rsidTr="00C30C61">
        <w:trPr>
          <w:trHeight w:val="249"/>
        </w:trPr>
        <w:tc>
          <w:tcPr>
            <w:tcW w:w="421" w:type="dxa"/>
            <w:shd w:val="clear" w:color="auto" w:fill="FFAFAF"/>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15 - 25</w:t>
            </w:r>
          </w:p>
        </w:tc>
        <w:tc>
          <w:tcPr>
            <w:tcW w:w="1676" w:type="dxa"/>
          </w:tcPr>
          <w:p w:rsidR="00C30C61" w:rsidRPr="00C24A75" w:rsidRDefault="00C30C61" w:rsidP="00C30C61">
            <w:pPr>
              <w:rPr>
                <w:sz w:val="18"/>
              </w:rPr>
            </w:pPr>
            <w:r w:rsidRPr="00C24A75">
              <w:rPr>
                <w:sz w:val="18"/>
              </w:rPr>
              <w:t>Extreme Risk</w:t>
            </w:r>
          </w:p>
        </w:tc>
      </w:tr>
      <w:tr w:rsidR="00C30C61" w:rsidTr="00C30C61">
        <w:trPr>
          <w:trHeight w:val="249"/>
        </w:trPr>
        <w:tc>
          <w:tcPr>
            <w:tcW w:w="421" w:type="dxa"/>
            <w:shd w:val="clear" w:color="auto" w:fill="F7CAAC" w:themeFill="accent2" w:themeFillTint="66"/>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8 – 12</w:t>
            </w:r>
          </w:p>
        </w:tc>
        <w:tc>
          <w:tcPr>
            <w:tcW w:w="1676" w:type="dxa"/>
          </w:tcPr>
          <w:p w:rsidR="00C30C61" w:rsidRPr="00C24A75" w:rsidRDefault="00C30C61" w:rsidP="00C30C61">
            <w:pPr>
              <w:rPr>
                <w:sz w:val="18"/>
              </w:rPr>
            </w:pPr>
            <w:r w:rsidRPr="00C24A75">
              <w:rPr>
                <w:sz w:val="18"/>
              </w:rPr>
              <w:t>High Risk</w:t>
            </w:r>
          </w:p>
        </w:tc>
      </w:tr>
      <w:tr w:rsidR="00C30C61" w:rsidTr="00C30C61">
        <w:trPr>
          <w:trHeight w:val="260"/>
        </w:trPr>
        <w:tc>
          <w:tcPr>
            <w:tcW w:w="421" w:type="dxa"/>
            <w:shd w:val="clear" w:color="auto" w:fill="FFE599" w:themeFill="accent4" w:themeFillTint="66"/>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4 – 6</w:t>
            </w:r>
          </w:p>
        </w:tc>
        <w:tc>
          <w:tcPr>
            <w:tcW w:w="1676" w:type="dxa"/>
          </w:tcPr>
          <w:p w:rsidR="00C30C61" w:rsidRPr="00C24A75" w:rsidRDefault="00C30C61" w:rsidP="00C30C61">
            <w:pPr>
              <w:rPr>
                <w:sz w:val="18"/>
              </w:rPr>
            </w:pPr>
            <w:r w:rsidRPr="00C24A75">
              <w:rPr>
                <w:sz w:val="18"/>
              </w:rPr>
              <w:t>Moderate Risk</w:t>
            </w:r>
          </w:p>
        </w:tc>
      </w:tr>
      <w:tr w:rsidR="00C30C61" w:rsidTr="00C30C61">
        <w:trPr>
          <w:trHeight w:val="249"/>
        </w:trPr>
        <w:tc>
          <w:tcPr>
            <w:tcW w:w="421" w:type="dxa"/>
            <w:shd w:val="clear" w:color="auto" w:fill="C5E0B3" w:themeFill="accent6" w:themeFillTint="66"/>
          </w:tcPr>
          <w:p w:rsidR="00C30C61" w:rsidRPr="00C24A75" w:rsidRDefault="00C30C61" w:rsidP="00C30C61">
            <w:pPr>
              <w:rPr>
                <w:sz w:val="18"/>
              </w:rPr>
            </w:pPr>
          </w:p>
        </w:tc>
        <w:tc>
          <w:tcPr>
            <w:tcW w:w="850" w:type="dxa"/>
          </w:tcPr>
          <w:p w:rsidR="00C30C61" w:rsidRPr="00C24A75" w:rsidRDefault="00C30C61" w:rsidP="00C30C61">
            <w:pPr>
              <w:jc w:val="center"/>
              <w:rPr>
                <w:sz w:val="18"/>
              </w:rPr>
            </w:pPr>
            <w:r w:rsidRPr="00C24A75">
              <w:rPr>
                <w:sz w:val="18"/>
              </w:rPr>
              <w:t>1- 3</w:t>
            </w:r>
          </w:p>
        </w:tc>
        <w:tc>
          <w:tcPr>
            <w:tcW w:w="1676" w:type="dxa"/>
          </w:tcPr>
          <w:p w:rsidR="00C30C61" w:rsidRPr="00C24A75" w:rsidRDefault="00C30C61" w:rsidP="00C30C61">
            <w:pPr>
              <w:rPr>
                <w:sz w:val="18"/>
              </w:rPr>
            </w:pPr>
            <w:r w:rsidRPr="00C24A75">
              <w:rPr>
                <w:sz w:val="18"/>
              </w:rPr>
              <w:t>Low Risk</w:t>
            </w:r>
          </w:p>
        </w:tc>
      </w:tr>
    </w:tbl>
    <w:p w:rsidR="00C30C61" w:rsidRDefault="00C30C61" w:rsidP="00C30C61"/>
    <w:p w:rsidR="00C30C61" w:rsidRDefault="00C30C61" w:rsidP="00C30C61"/>
    <w:p w:rsidR="00C30C61" w:rsidRPr="008F147A" w:rsidRDefault="00C30C61" w:rsidP="00C30C61"/>
    <w:p w:rsidR="00C30C61" w:rsidRDefault="00C30C61" w:rsidP="00C30C61"/>
    <w:p w:rsidR="00C30C61" w:rsidRDefault="00C30C61" w:rsidP="00C30C61">
      <w:pPr>
        <w:jc w:val="both"/>
      </w:pPr>
      <w:r>
        <w:t>Given the nature of the data, the potential unknown volume and accuracy and the potential for harm, the impact assessment placed the breach in the catastrophic category with a score of 5.  This is based on:</w:t>
      </w:r>
    </w:p>
    <w:p w:rsidR="00C30C61" w:rsidRDefault="00C30C61" w:rsidP="00C30C61">
      <w:pPr>
        <w:pStyle w:val="ListParagraph"/>
        <w:numPr>
          <w:ilvl w:val="0"/>
          <w:numId w:val="6"/>
        </w:numPr>
        <w:jc w:val="both"/>
      </w:pPr>
      <w:r>
        <w:t>The danger that the breached data is passed on to persons of immoral social standing and/or bad character</w:t>
      </w:r>
    </w:p>
    <w:p w:rsidR="00C30C61" w:rsidRDefault="00C30C61" w:rsidP="00C30C61">
      <w:pPr>
        <w:pStyle w:val="ListParagraph"/>
        <w:numPr>
          <w:ilvl w:val="0"/>
          <w:numId w:val="6"/>
        </w:numPr>
        <w:jc w:val="both"/>
      </w:pPr>
      <w:r>
        <w:t>The impact of inaccurate data.  It is possible that addresses in the list are now occupied by members of the general public</w:t>
      </w:r>
    </w:p>
    <w:p w:rsidR="00C30C61" w:rsidRDefault="00C30C61" w:rsidP="00C30C61">
      <w:pPr>
        <w:pStyle w:val="ListParagraph"/>
        <w:numPr>
          <w:ilvl w:val="0"/>
          <w:numId w:val="6"/>
        </w:numPr>
        <w:jc w:val="both"/>
      </w:pPr>
      <w:r>
        <w:t>The risk that the data is accidentally passed on further to persons unauthorised to view it.</w:t>
      </w:r>
    </w:p>
    <w:p w:rsidR="00C30C61" w:rsidRDefault="00C30C61" w:rsidP="00C30C61">
      <w:pPr>
        <w:pStyle w:val="ListParagraph"/>
        <w:numPr>
          <w:ilvl w:val="0"/>
          <w:numId w:val="6"/>
        </w:numPr>
        <w:jc w:val="both"/>
      </w:pPr>
      <w:r>
        <w:t>The reputational hazard that this breach presents to the organisation</w:t>
      </w:r>
    </w:p>
    <w:p w:rsidR="00C30C61" w:rsidRDefault="00C30C61" w:rsidP="00C30C61">
      <w:pPr>
        <w:pStyle w:val="ListParagraph"/>
        <w:numPr>
          <w:ilvl w:val="0"/>
          <w:numId w:val="6"/>
        </w:numPr>
        <w:jc w:val="both"/>
      </w:pPr>
      <w:r>
        <w:t>The risk that other members of staff may make the same error, either intentionally or unintentionally</w:t>
      </w:r>
    </w:p>
    <w:p w:rsidR="00C30C61" w:rsidRDefault="00C30C61" w:rsidP="00C30C61">
      <w:pPr>
        <w:jc w:val="both"/>
      </w:pPr>
    </w:p>
    <w:p w:rsidR="00C30C61" w:rsidRDefault="00C30C61" w:rsidP="00C30C61">
      <w:pPr>
        <w:jc w:val="both"/>
      </w:pPr>
    </w:p>
    <w:p w:rsidR="00C30C61" w:rsidRDefault="00C30C61" w:rsidP="00C30C61">
      <w:pPr>
        <w:jc w:val="both"/>
      </w:pPr>
    </w:p>
    <w:p w:rsidR="00C30C61" w:rsidRPr="00557EDB" w:rsidRDefault="00C30C61" w:rsidP="00C30C61">
      <w:pPr>
        <w:jc w:val="both"/>
      </w:pPr>
      <w:r>
        <w:lastRenderedPageBreak/>
        <w:t>In relation to the nature of the incident and the impact of the risks identified above, it is entirely possible for the breach to have catastrophic implications.  To that end, the breach was given a likelihood score of 3. Possible.</w:t>
      </w:r>
    </w:p>
    <w:p w:rsidR="00C30C61" w:rsidRDefault="00C30C61" w:rsidP="00C30C61"/>
    <w:p w:rsidR="00C30C61" w:rsidRDefault="00C30C61" w:rsidP="00C30C61">
      <w:pPr>
        <w:pStyle w:val="Heading1"/>
        <w:jc w:val="both"/>
      </w:pPr>
      <w:bookmarkStart w:id="55" w:name="_Toc50666965"/>
      <w:r>
        <w:t>Actions to Mitigate Future Risk</w:t>
      </w:r>
      <w:bookmarkEnd w:id="55"/>
    </w:p>
    <w:p w:rsidR="00C30C61" w:rsidRDefault="00C30C61" w:rsidP="00C30C61">
      <w:pPr>
        <w:jc w:val="both"/>
      </w:pPr>
      <w:r>
        <w:t>The Information Governance team recommend the following actions be taken as an organisation:</w:t>
      </w:r>
    </w:p>
    <w:p w:rsidR="00C30C61" w:rsidRDefault="00C30C61" w:rsidP="00C30C61">
      <w:pPr>
        <w:pStyle w:val="ListParagraph"/>
        <w:numPr>
          <w:ilvl w:val="0"/>
          <w:numId w:val="2"/>
        </w:numPr>
        <w:jc w:val="both"/>
      </w:pPr>
      <w:r>
        <w:t>Increase PR around data governance and employee responsibility</w:t>
      </w:r>
      <w:r>
        <w:br/>
        <w:t>This will improve the chances of information security compliance throughout the organisation.</w:t>
      </w:r>
    </w:p>
    <w:p w:rsidR="00C30C61" w:rsidRDefault="00C30C61" w:rsidP="00C30C61">
      <w:pPr>
        <w:pStyle w:val="ListParagraph"/>
        <w:numPr>
          <w:ilvl w:val="0"/>
          <w:numId w:val="2"/>
        </w:numPr>
        <w:jc w:val="both"/>
      </w:pPr>
      <w:r>
        <w:t>Review/access current procedures on storing data</w:t>
      </w:r>
      <w:r>
        <w:br/>
        <w:t>To ensure that they are up-to-date, accurate and include all aspects of the GDPR and ICO mandates.</w:t>
      </w:r>
    </w:p>
    <w:p w:rsidR="00C30C61" w:rsidRDefault="00C30C61" w:rsidP="00C30C61">
      <w:pPr>
        <w:pStyle w:val="ListParagraph"/>
        <w:numPr>
          <w:ilvl w:val="0"/>
          <w:numId w:val="2"/>
        </w:numPr>
        <w:jc w:val="both"/>
      </w:pPr>
      <w:r>
        <w:t>Introduce more stringent device scans at a more regular basis</w:t>
      </w:r>
      <w:r>
        <w:br/>
        <w:t>This will help to identify potential hazards before a breach occurs</w:t>
      </w:r>
    </w:p>
    <w:p w:rsidR="00C30C61" w:rsidRDefault="00C30C61" w:rsidP="00C30C61">
      <w:pPr>
        <w:pStyle w:val="ListParagraph"/>
        <w:numPr>
          <w:ilvl w:val="0"/>
          <w:numId w:val="2"/>
        </w:numPr>
        <w:jc w:val="both"/>
      </w:pPr>
      <w:r>
        <w:t>Adjust staff training methods and include real-world examples of the consequences of poor data processing/security in online training material and classroom presentations.</w:t>
      </w:r>
      <w:r>
        <w:br/>
        <w:t>Understanding that actions have significant implications to both themselves and the data subjects could reduce the risk of improper data processing.</w:t>
      </w:r>
    </w:p>
    <w:p w:rsidR="00C30C61" w:rsidRDefault="00C30C61" w:rsidP="00C30C61">
      <w:pPr>
        <w:pStyle w:val="ListParagraph"/>
        <w:numPr>
          <w:ilvl w:val="0"/>
          <w:numId w:val="2"/>
        </w:numPr>
        <w:jc w:val="both"/>
      </w:pPr>
      <w:r>
        <w:t xml:space="preserve">Implement appropriate HR/disciplinary procedures to ensure that data security is taken seriously </w:t>
      </w:r>
    </w:p>
    <w:p w:rsidR="00C30C61" w:rsidRDefault="00C30C61" w:rsidP="00C30C61">
      <w:pPr>
        <w:jc w:val="both"/>
      </w:pPr>
    </w:p>
    <w:p w:rsidR="00C30C61" w:rsidRDefault="00C30C61" w:rsidP="00C30C61">
      <w:pPr>
        <w:pStyle w:val="Heading1"/>
        <w:jc w:val="both"/>
      </w:pPr>
      <w:bookmarkStart w:id="56" w:name="_Toc50666966"/>
      <w:r>
        <w:t>Further Issues</w:t>
      </w:r>
      <w:bookmarkEnd w:id="56"/>
    </w:p>
    <w:p w:rsidR="00C30C61" w:rsidRDefault="00C30C61" w:rsidP="00C30C61">
      <w:pPr>
        <w:jc w:val="both"/>
      </w:pPr>
      <w:r>
        <w:t xml:space="preserve">As well as the above detailed data breach, investigation of the employee’s computer showed that a number of scanned copies of staff sickness notes and occupational health records were also stored on the desktop.  </w:t>
      </w:r>
    </w:p>
    <w:p w:rsidR="00C30C61" w:rsidRDefault="00C30C61" w:rsidP="00C30C61">
      <w:pPr>
        <w:jc w:val="both"/>
      </w:pPr>
      <w:r>
        <w:t>Upon further inspection of how and why these files existed, it became apparent that a local scanner attached to the computer saves files directly to the desktop initially.  The user then copies the files to the appropriate network storage area but has failed to delete the original copies.</w:t>
      </w:r>
      <w:r>
        <w:br/>
      </w:r>
    </w:p>
    <w:p w:rsidR="00C30C61" w:rsidRDefault="00C30C61" w:rsidP="00C30C61">
      <w:pPr>
        <w:pStyle w:val="Heading2"/>
      </w:pPr>
      <w:bookmarkStart w:id="57" w:name="_Toc50666967"/>
      <w:r>
        <w:t>Further Recommendations</w:t>
      </w:r>
      <w:bookmarkEnd w:id="57"/>
    </w:p>
    <w:p w:rsidR="00C30C61" w:rsidRDefault="00C30C61" w:rsidP="00C30C61">
      <w:pPr>
        <w:pStyle w:val="ListParagraph"/>
        <w:numPr>
          <w:ilvl w:val="0"/>
          <w:numId w:val="4"/>
        </w:numPr>
        <w:jc w:val="both"/>
      </w:pPr>
      <w:r>
        <w:t>Preventing the saving of files to local folders on the devices would drastically reduce the chance of future error such as this.  However, it is recognised that the complete lockdown of the local folder structure could introduce other complexities and force staff to use other methods (e.g. printing personal data where not necessary or permitted)</w:t>
      </w:r>
    </w:p>
    <w:p w:rsidR="00C30C61" w:rsidRDefault="00C30C61" w:rsidP="00C30C61">
      <w:pPr>
        <w:pStyle w:val="ListParagraph"/>
        <w:numPr>
          <w:ilvl w:val="0"/>
          <w:numId w:val="4"/>
        </w:numPr>
        <w:jc w:val="both"/>
      </w:pPr>
      <w:r>
        <w:t>Given the severity of the incident and the outcome of the risk exposure assessment, it should be reported to the ICO within 72 hours of the breach being reported.</w:t>
      </w:r>
    </w:p>
    <w:p w:rsidR="00C30C61" w:rsidRPr="000F239F" w:rsidRDefault="00C30C61" w:rsidP="00C30C61">
      <w:pPr>
        <w:pStyle w:val="ListParagraph"/>
        <w:numPr>
          <w:ilvl w:val="0"/>
          <w:numId w:val="4"/>
        </w:numPr>
        <w:jc w:val="both"/>
      </w:pPr>
      <w:r>
        <w:t>More time is needed to further investigate other potential breaches and address concerns that the data subjects may present.</w:t>
      </w:r>
    </w:p>
    <w:p w:rsidR="00C30C61" w:rsidRDefault="00C30C61" w:rsidP="00C30C61">
      <w:pPr>
        <w:pStyle w:val="Heading1"/>
      </w:pPr>
    </w:p>
    <w:p w:rsidR="00C30C61" w:rsidRDefault="00C30C61">
      <w:pPr>
        <w:rPr>
          <w:rFonts w:asciiTheme="majorHAnsi" w:eastAsiaTheme="majorEastAsia" w:hAnsiTheme="majorHAnsi" w:cstheme="majorBidi"/>
          <w:color w:val="2E74B5" w:themeColor="accent1" w:themeShade="BF"/>
          <w:sz w:val="32"/>
          <w:szCs w:val="32"/>
        </w:rPr>
      </w:pPr>
      <w:r>
        <w:br w:type="page"/>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986"/>
      </w:tblGrid>
      <w:tr w:rsidR="00C30C61" w:rsidTr="00C30C61">
        <w:trPr>
          <w:trHeight w:val="13550"/>
          <w:jc w:val="center"/>
        </w:trPr>
        <w:tc>
          <w:tcPr>
            <w:tcW w:w="8986" w:type="dxa"/>
            <w:vAlign w:val="center"/>
          </w:tcPr>
          <w:p w:rsidR="00C30C61" w:rsidRPr="00C30C61" w:rsidRDefault="00C30C61" w:rsidP="00C30C61">
            <w:pPr>
              <w:jc w:val="center"/>
              <w:rPr>
                <w:color w:val="A6A6A6" w:themeColor="background1" w:themeShade="A6"/>
                <w:sz w:val="72"/>
              </w:rPr>
            </w:pPr>
            <w:r>
              <w:rPr>
                <w:color w:val="A6A6A6" w:themeColor="background1" w:themeShade="A6"/>
                <w:sz w:val="72"/>
              </w:rPr>
              <w:lastRenderedPageBreak/>
              <w:t>Page</w:t>
            </w:r>
          </w:p>
          <w:p w:rsidR="00C30C61" w:rsidRPr="00C30C61" w:rsidRDefault="00C30C61" w:rsidP="00C30C61">
            <w:pPr>
              <w:jc w:val="center"/>
              <w:rPr>
                <w:color w:val="A6A6A6" w:themeColor="background1" w:themeShade="A6"/>
                <w:sz w:val="72"/>
              </w:rPr>
            </w:pPr>
            <w:r>
              <w:rPr>
                <w:color w:val="A6A6A6" w:themeColor="background1" w:themeShade="A6"/>
                <w:sz w:val="72"/>
              </w:rPr>
              <w:t>Intentionally</w:t>
            </w:r>
          </w:p>
          <w:p w:rsidR="00C30C61" w:rsidRDefault="00C30C61" w:rsidP="00C30C61">
            <w:pPr>
              <w:jc w:val="center"/>
              <w:rPr>
                <w:color w:val="A6A6A6" w:themeColor="background1" w:themeShade="A6"/>
                <w:sz w:val="72"/>
              </w:rPr>
            </w:pPr>
            <w:r>
              <w:rPr>
                <w:color w:val="A6A6A6" w:themeColor="background1" w:themeShade="A6"/>
                <w:sz w:val="72"/>
              </w:rPr>
              <w:t xml:space="preserve">Left </w:t>
            </w:r>
          </w:p>
          <w:p w:rsidR="00C30C61" w:rsidRDefault="00C30C61" w:rsidP="00C30C61">
            <w:pPr>
              <w:jc w:val="center"/>
            </w:pPr>
            <w:r>
              <w:rPr>
                <w:color w:val="A6A6A6" w:themeColor="background1" w:themeShade="A6"/>
                <w:sz w:val="72"/>
              </w:rPr>
              <w:t>Blank</w:t>
            </w:r>
          </w:p>
        </w:tc>
      </w:tr>
    </w:tbl>
    <w:p w:rsidR="00C30C61" w:rsidRDefault="00C30C61">
      <w:pPr>
        <w:rPr>
          <w:rFonts w:asciiTheme="majorHAnsi" w:eastAsiaTheme="majorEastAsia" w:hAnsiTheme="majorHAnsi" w:cstheme="majorBidi"/>
          <w:color w:val="2E74B5" w:themeColor="accent1" w:themeShade="BF"/>
          <w:sz w:val="32"/>
          <w:szCs w:val="32"/>
        </w:rPr>
      </w:pPr>
      <w:r>
        <w:br w:type="page"/>
      </w:r>
    </w:p>
    <w:p w:rsidR="00C30C61" w:rsidRDefault="00C30C61" w:rsidP="00C30C61">
      <w:pPr>
        <w:pStyle w:val="Heading1"/>
      </w:pPr>
      <w:bookmarkStart w:id="58" w:name="_Toc50666968"/>
      <w:r>
        <w:lastRenderedPageBreak/>
        <w:t>Report 3 – Information Governance Committee</w:t>
      </w:r>
      <w:bookmarkEnd w:id="58"/>
    </w:p>
    <w:p w:rsidR="00C30C61" w:rsidRDefault="00C30C61" w:rsidP="00C30C61">
      <w:pPr>
        <w:jc w:val="both"/>
      </w:pPr>
      <w:r>
        <w:br/>
        <w:t>Data Breach from Operational Manager</w:t>
      </w:r>
    </w:p>
    <w:p w:rsidR="00C30C61" w:rsidRDefault="00C30C61" w:rsidP="00C30C61">
      <w:pPr>
        <w:jc w:val="both"/>
      </w:pPr>
      <w:r>
        <w:t>A recent breach of personal staff data in an operational department has violated a number of GDPR principles:</w:t>
      </w:r>
    </w:p>
    <w:p w:rsidR="00C30C61" w:rsidRDefault="00C30C61" w:rsidP="00C30C61">
      <w:pPr>
        <w:pStyle w:val="ListParagraph"/>
        <w:numPr>
          <w:ilvl w:val="0"/>
          <w:numId w:val="7"/>
        </w:numPr>
        <w:jc w:val="both"/>
      </w:pPr>
      <w:r w:rsidRPr="00DA7DA5">
        <w:rPr>
          <w:b/>
        </w:rPr>
        <w:t>Principle A</w:t>
      </w:r>
      <w:r w:rsidRPr="00DA7DA5">
        <w:t xml:space="preserve"> – Personal data shall be processed lawfully, fairly and in a transparent manner </w:t>
      </w:r>
      <w:r>
        <w:t>in relation to the data subject</w:t>
      </w:r>
    </w:p>
    <w:p w:rsidR="00C30C61" w:rsidRDefault="00C30C61" w:rsidP="00C30C61">
      <w:pPr>
        <w:pStyle w:val="ListParagraph"/>
        <w:numPr>
          <w:ilvl w:val="1"/>
          <w:numId w:val="7"/>
        </w:numPr>
        <w:jc w:val="both"/>
      </w:pPr>
      <w:r>
        <w:t>Personal data as defined by GDPR was shared with an unauthorised person and without explicit consent from the data subjects</w:t>
      </w:r>
    </w:p>
    <w:p w:rsidR="00C30C61" w:rsidRDefault="00C30C61" w:rsidP="00C30C61">
      <w:pPr>
        <w:pStyle w:val="ListParagraph"/>
        <w:numPr>
          <w:ilvl w:val="0"/>
          <w:numId w:val="7"/>
        </w:numPr>
        <w:jc w:val="both"/>
      </w:pPr>
      <w:r w:rsidRPr="00DA7DA5">
        <w:rPr>
          <w:b/>
        </w:rPr>
        <w:t>Principle D</w:t>
      </w:r>
      <w:r w:rsidRPr="00DA7DA5">
        <w:t xml:space="preserve"> – Personal data shall be accurate and where necessary, kept up to date</w:t>
      </w:r>
    </w:p>
    <w:p w:rsidR="00C30C61" w:rsidRDefault="00C30C61" w:rsidP="00C30C61">
      <w:pPr>
        <w:pStyle w:val="ListParagraph"/>
        <w:numPr>
          <w:ilvl w:val="1"/>
          <w:numId w:val="7"/>
        </w:numPr>
        <w:jc w:val="both"/>
      </w:pPr>
      <w:r>
        <w:t>The data was gathered over a period of time and not likely kept up to date.  Therefore, the risk to persons outside of the organisation increases</w:t>
      </w:r>
    </w:p>
    <w:p w:rsidR="00C30C61" w:rsidRDefault="00C30C61" w:rsidP="00C30C61">
      <w:pPr>
        <w:pStyle w:val="ListParagraph"/>
        <w:numPr>
          <w:ilvl w:val="0"/>
          <w:numId w:val="7"/>
        </w:numPr>
        <w:jc w:val="both"/>
      </w:pPr>
      <w:r w:rsidRPr="008252C8">
        <w:rPr>
          <w:b/>
        </w:rPr>
        <w:t>Principle E</w:t>
      </w:r>
      <w:r w:rsidRPr="008252C8">
        <w:t xml:space="preserve"> – Personal data shall be kept in identifiable form for no longer than necessary</w:t>
      </w:r>
    </w:p>
    <w:p w:rsidR="00C30C61" w:rsidRDefault="00C30C61" w:rsidP="00C30C61">
      <w:pPr>
        <w:pStyle w:val="ListParagraph"/>
        <w:numPr>
          <w:ilvl w:val="1"/>
          <w:numId w:val="7"/>
        </w:numPr>
        <w:jc w:val="both"/>
      </w:pPr>
      <w:r>
        <w:t>In relation to principle D, some data within the file could be considered historic and therefore in breach of principle E.  No effort was made to previous employee names addresses or to maintain the data within the file</w:t>
      </w:r>
    </w:p>
    <w:p w:rsidR="00C30C61" w:rsidRDefault="00C30C61" w:rsidP="00C30C61">
      <w:pPr>
        <w:pStyle w:val="ListParagraph"/>
        <w:numPr>
          <w:ilvl w:val="0"/>
          <w:numId w:val="7"/>
        </w:numPr>
        <w:jc w:val="both"/>
      </w:pPr>
      <w:r w:rsidRPr="008252C8">
        <w:rPr>
          <w:b/>
        </w:rPr>
        <w:t>Principle F</w:t>
      </w:r>
      <w:r w:rsidRPr="008252C8">
        <w:t xml:space="preserve"> - Personal data shall be processed securely</w:t>
      </w:r>
    </w:p>
    <w:p w:rsidR="00C30C61" w:rsidRDefault="00C30C61" w:rsidP="00C30C61">
      <w:pPr>
        <w:pStyle w:val="ListParagraph"/>
        <w:numPr>
          <w:ilvl w:val="1"/>
          <w:numId w:val="7"/>
        </w:numPr>
        <w:jc w:val="both"/>
      </w:pPr>
      <w:r w:rsidRPr="008252C8">
        <w:t xml:space="preserve">The nature of </w:t>
      </w:r>
      <w:r>
        <w:t>storing data on a local desktop inherently means that it is not secure according to organisational policy, GDPR as well as ICO mandates</w:t>
      </w:r>
    </w:p>
    <w:p w:rsidR="00C30C61" w:rsidRPr="008252C8" w:rsidRDefault="00C30C61" w:rsidP="00C30C61">
      <w:pPr>
        <w:pStyle w:val="ListParagraph"/>
        <w:numPr>
          <w:ilvl w:val="0"/>
          <w:numId w:val="7"/>
        </w:numPr>
        <w:jc w:val="both"/>
        <w:rPr>
          <w:b/>
        </w:rPr>
      </w:pPr>
      <w:r w:rsidRPr="008252C8">
        <w:rPr>
          <w:b/>
        </w:rPr>
        <w:t>Article 5(2) – Accountability</w:t>
      </w:r>
    </w:p>
    <w:p w:rsidR="00C30C61" w:rsidRDefault="00C30C61" w:rsidP="00C30C61">
      <w:pPr>
        <w:pStyle w:val="ListParagraph"/>
        <w:numPr>
          <w:ilvl w:val="1"/>
          <w:numId w:val="7"/>
        </w:numPr>
        <w:jc w:val="both"/>
      </w:pPr>
      <w:r>
        <w:t>In violating the above principles, the GDPR principle around accountability has been breached.  A number of key responsibilities of information users as stated in the organisations IS policy have also been infringed upon including, but not limited to:</w:t>
      </w:r>
    </w:p>
    <w:p w:rsidR="00C30C61" w:rsidRDefault="00C30C61" w:rsidP="00C30C61">
      <w:pPr>
        <w:pStyle w:val="ListParagraph"/>
        <w:numPr>
          <w:ilvl w:val="2"/>
          <w:numId w:val="7"/>
        </w:numPr>
        <w:jc w:val="both"/>
      </w:pPr>
      <w:r>
        <w:t xml:space="preserve">3.6. </w:t>
      </w:r>
      <w:r w:rsidRPr="008252C8">
        <w:t>All staff are personally responsible for ensuring that no actual or potential security breaches occur as a result of their actions.</w:t>
      </w:r>
    </w:p>
    <w:p w:rsidR="00C30C61" w:rsidRDefault="00C30C61" w:rsidP="00C30C61">
      <w:pPr>
        <w:jc w:val="both"/>
      </w:pPr>
    </w:p>
    <w:p w:rsidR="00C30C61" w:rsidRPr="008252C8" w:rsidRDefault="00C30C61" w:rsidP="00C30C61">
      <w:pPr>
        <w:jc w:val="both"/>
      </w:pPr>
      <w:r>
        <w:t>Furthermore, a number of staff health files including occupational health reports were found on the employee’s desktop.  It is not currently the view of investigating officers that any further breaches have occurred, however removal of the device and investigation in to historic activity is advised.</w:t>
      </w:r>
    </w:p>
    <w:p w:rsidR="00C30C61" w:rsidRDefault="00C30C61" w:rsidP="00C30C61">
      <w:pPr>
        <w:jc w:val="both"/>
      </w:pPr>
    </w:p>
    <w:p w:rsidR="00C30C61" w:rsidRPr="00CD3B25" w:rsidRDefault="00C30C61" w:rsidP="00C30C61">
      <w:pPr>
        <w:pStyle w:val="Heading1"/>
        <w:jc w:val="both"/>
      </w:pPr>
      <w:bookmarkStart w:id="59" w:name="_Toc50666969"/>
      <w:r>
        <w:t>Details of the B</w:t>
      </w:r>
      <w:r w:rsidRPr="00CD3B25">
        <w:t>reach</w:t>
      </w:r>
      <w:bookmarkEnd w:id="59"/>
    </w:p>
    <w:p w:rsidR="00C30C61" w:rsidRDefault="00C30C61" w:rsidP="00C30C61">
      <w:pPr>
        <w:jc w:val="both"/>
      </w:pPr>
      <w:r>
        <w:t>The breach involved the names and addresses of staff members being accidentally sent via email to a single member of the public.  It is understood that in order to make tasks more efficient, a file was populated with staff records originally held on the organisations purpose-designed ESR and stored in the root desktop folder of the manager’s computer along with other work related files.  When emailing a member of the public, the manager accidentally attached the incorrect file containing the personal data and upon realising the error, immediately submitted an incident reporting form.</w:t>
      </w:r>
    </w:p>
    <w:p w:rsidR="00C30C61" w:rsidRDefault="00C30C61" w:rsidP="00C30C61">
      <w:pPr>
        <w:jc w:val="both"/>
      </w:pPr>
      <w:r>
        <w:t xml:space="preserve">The investigation revealed other work related personal documentation stored on the manager’s desktop, also classified as “personal data” by the GDPR, including </w:t>
      </w:r>
      <w:r w:rsidR="00834561">
        <w:t>sick notes</w:t>
      </w:r>
      <w:r>
        <w:t xml:space="preserve"> and occupational health records.</w:t>
      </w:r>
    </w:p>
    <w:p w:rsidR="00C30C61" w:rsidRDefault="00C30C61" w:rsidP="00C30C61">
      <w:pPr>
        <w:jc w:val="both"/>
      </w:pPr>
      <w:r>
        <w:t>The incident is not believed to have been malicious.</w:t>
      </w:r>
    </w:p>
    <w:p w:rsidR="00C30C61" w:rsidRDefault="00C30C61" w:rsidP="00C30C61">
      <w:pPr>
        <w:pStyle w:val="Heading1"/>
        <w:jc w:val="both"/>
      </w:pPr>
      <w:bookmarkStart w:id="60" w:name="_Toc50666970"/>
      <w:r>
        <w:lastRenderedPageBreak/>
        <w:t>Actions Submitted to Executive Board to Mitigate Future Risk</w:t>
      </w:r>
      <w:bookmarkEnd w:id="60"/>
    </w:p>
    <w:p w:rsidR="00C30C61" w:rsidRDefault="00C30C61" w:rsidP="00C30C61">
      <w:pPr>
        <w:jc w:val="both"/>
      </w:pPr>
      <w:r>
        <w:t xml:space="preserve">The risk exposure assessment returned a risk score of 15.  This sits in the red zone of the risk matrix under </w:t>
      </w:r>
      <w:r w:rsidRPr="000B6343">
        <w:rPr>
          <w:b/>
        </w:rPr>
        <w:t>possible</w:t>
      </w:r>
      <w:r>
        <w:t xml:space="preserve"> likelihood of consequences that could be considered </w:t>
      </w:r>
      <w:r w:rsidRPr="000B6343">
        <w:rPr>
          <w:b/>
        </w:rPr>
        <w:t>catastrophic</w:t>
      </w:r>
      <w:r>
        <w:t xml:space="preserve">.  </w:t>
      </w:r>
    </w:p>
    <w:p w:rsidR="00C30C61" w:rsidRDefault="00C30C61" w:rsidP="00C30C61">
      <w:pPr>
        <w:jc w:val="both"/>
      </w:pPr>
      <w:r>
        <w:t>The information governance team will recommend the following actions to the executive board.  The list of actions is open to discussion among the committee and further actions may be added:</w:t>
      </w:r>
    </w:p>
    <w:p w:rsidR="00C30C61" w:rsidRDefault="00C30C61" w:rsidP="00C30C61">
      <w:pPr>
        <w:pStyle w:val="ListParagraph"/>
        <w:numPr>
          <w:ilvl w:val="0"/>
          <w:numId w:val="2"/>
        </w:numPr>
        <w:jc w:val="both"/>
      </w:pPr>
      <w:r>
        <w:t>Increase PR around data governance and employee responsibility</w:t>
      </w:r>
      <w:r>
        <w:br/>
        <w:t>This will improve the chances of information security compliance throughout the organisation.</w:t>
      </w:r>
    </w:p>
    <w:p w:rsidR="00C30C61" w:rsidRDefault="00C30C61" w:rsidP="00C30C61">
      <w:pPr>
        <w:pStyle w:val="ListParagraph"/>
        <w:numPr>
          <w:ilvl w:val="0"/>
          <w:numId w:val="2"/>
        </w:numPr>
        <w:jc w:val="both"/>
      </w:pPr>
      <w:r>
        <w:t>Review/access current procedures on storing data</w:t>
      </w:r>
      <w:r>
        <w:br/>
        <w:t>To ensure that they are up-to-date, accurate and include all aspects of the GDPR and ICO mandates.</w:t>
      </w:r>
    </w:p>
    <w:p w:rsidR="00C30C61" w:rsidRDefault="00C30C61" w:rsidP="00C30C61">
      <w:pPr>
        <w:pStyle w:val="ListParagraph"/>
        <w:numPr>
          <w:ilvl w:val="0"/>
          <w:numId w:val="2"/>
        </w:numPr>
        <w:jc w:val="both"/>
      </w:pPr>
      <w:r>
        <w:t>Introduce more stringent device scans at a more regular basis</w:t>
      </w:r>
      <w:r>
        <w:br/>
        <w:t>This will help to identify potential hazards before a breach occurs</w:t>
      </w:r>
    </w:p>
    <w:p w:rsidR="00C30C61" w:rsidRDefault="00C30C61" w:rsidP="00C30C61">
      <w:pPr>
        <w:pStyle w:val="ListParagraph"/>
        <w:numPr>
          <w:ilvl w:val="0"/>
          <w:numId w:val="2"/>
        </w:numPr>
        <w:jc w:val="both"/>
      </w:pPr>
      <w:r>
        <w:t>Adjust staff training methods and include real-world examples of the consequences of poor data processing/security in online training material and classroom presentations.</w:t>
      </w:r>
      <w:r>
        <w:br/>
        <w:t>Understanding that actions have significant implications to both themselves and the data subjects could reduce the risk of improper data processing.</w:t>
      </w:r>
    </w:p>
    <w:p w:rsidR="00C30C61" w:rsidRDefault="00C30C61" w:rsidP="00C30C61">
      <w:pPr>
        <w:pStyle w:val="ListParagraph"/>
        <w:numPr>
          <w:ilvl w:val="0"/>
          <w:numId w:val="2"/>
        </w:numPr>
        <w:jc w:val="both"/>
      </w:pPr>
      <w:r>
        <w:t xml:space="preserve">Implement appropriate HR/disciplinary procedures to ensure that data security is taken seriously </w:t>
      </w:r>
    </w:p>
    <w:p w:rsidR="00C30C61" w:rsidRDefault="00C30C61" w:rsidP="00C30C61">
      <w:pPr>
        <w:jc w:val="both"/>
      </w:pPr>
      <w:r>
        <w:t>The following points have been suggested as part of the Information Governance investigation to be actioned by the head of IG:</w:t>
      </w:r>
    </w:p>
    <w:p w:rsidR="00C30C61" w:rsidRDefault="00C30C61" w:rsidP="00C30C61">
      <w:pPr>
        <w:pStyle w:val="ListParagraph"/>
        <w:numPr>
          <w:ilvl w:val="0"/>
          <w:numId w:val="2"/>
        </w:numPr>
        <w:jc w:val="both"/>
      </w:pPr>
      <w:r>
        <w:t>Increase PR around data governance and employee responsibility</w:t>
      </w:r>
    </w:p>
    <w:p w:rsidR="00C30C61" w:rsidRDefault="00C30C61" w:rsidP="00C30C61">
      <w:pPr>
        <w:pStyle w:val="ListParagraph"/>
        <w:numPr>
          <w:ilvl w:val="1"/>
          <w:numId w:val="2"/>
        </w:numPr>
        <w:jc w:val="both"/>
      </w:pPr>
      <w:r>
        <w:t>Organisation wide communication</w:t>
      </w:r>
    </w:p>
    <w:p w:rsidR="00C30C61" w:rsidRDefault="00C30C61" w:rsidP="00C30C61">
      <w:pPr>
        <w:pStyle w:val="ListParagraph"/>
        <w:numPr>
          <w:ilvl w:val="1"/>
          <w:numId w:val="2"/>
        </w:numPr>
        <w:jc w:val="both"/>
      </w:pPr>
      <w:r>
        <w:t>Posters</w:t>
      </w:r>
    </w:p>
    <w:p w:rsidR="00C30C61" w:rsidRDefault="00C30C61" w:rsidP="00C30C61">
      <w:pPr>
        <w:pStyle w:val="ListParagraph"/>
        <w:numPr>
          <w:ilvl w:val="1"/>
          <w:numId w:val="2"/>
        </w:numPr>
        <w:jc w:val="both"/>
      </w:pPr>
      <w:r>
        <w:t>Higher availability of training</w:t>
      </w:r>
    </w:p>
    <w:p w:rsidR="00C30C61" w:rsidRDefault="00C30C61" w:rsidP="00C30C61">
      <w:pPr>
        <w:pStyle w:val="ListParagraph"/>
        <w:numPr>
          <w:ilvl w:val="0"/>
          <w:numId w:val="2"/>
        </w:numPr>
        <w:jc w:val="both"/>
      </w:pPr>
      <w:r>
        <w:t>Review/access current procedures on storing data</w:t>
      </w:r>
    </w:p>
    <w:p w:rsidR="00C30C61" w:rsidRDefault="00C30C61" w:rsidP="00C30C61">
      <w:pPr>
        <w:pStyle w:val="ListParagraph"/>
        <w:numPr>
          <w:ilvl w:val="0"/>
          <w:numId w:val="2"/>
        </w:numPr>
        <w:jc w:val="both"/>
      </w:pPr>
      <w:r>
        <w:t>Discuss with cyber security team what can be done to prevent improper storage on organisational devices</w:t>
      </w:r>
    </w:p>
    <w:p w:rsidR="00C30C61" w:rsidRDefault="00C30C61" w:rsidP="00C30C61">
      <w:pPr>
        <w:pStyle w:val="ListParagraph"/>
        <w:numPr>
          <w:ilvl w:val="0"/>
          <w:numId w:val="2"/>
        </w:numPr>
        <w:jc w:val="both"/>
      </w:pPr>
      <w:r>
        <w:t>Further investigation in to operational department procedures to ensure the correct people are handling the data</w:t>
      </w:r>
    </w:p>
    <w:p w:rsidR="00C30C61" w:rsidRDefault="00C30C61" w:rsidP="00C30C61">
      <w:pPr>
        <w:pStyle w:val="ListParagraph"/>
        <w:numPr>
          <w:ilvl w:val="1"/>
          <w:numId w:val="2"/>
        </w:numPr>
        <w:jc w:val="both"/>
      </w:pPr>
      <w:r>
        <w:t>Review risk exposure after further investigation</w:t>
      </w:r>
    </w:p>
    <w:p w:rsidR="00C30C61" w:rsidRDefault="00C30C61" w:rsidP="00C30C61">
      <w:pPr>
        <w:pStyle w:val="ListParagraph"/>
        <w:numPr>
          <w:ilvl w:val="0"/>
          <w:numId w:val="2"/>
        </w:numPr>
        <w:jc w:val="both"/>
      </w:pPr>
      <w:r>
        <w:t>Review of staff training status and reminders that IG training is mandatory</w:t>
      </w:r>
    </w:p>
    <w:p w:rsidR="00C30C61" w:rsidRDefault="00C30C61" w:rsidP="00C30C61">
      <w:pPr>
        <w:pStyle w:val="ListParagraph"/>
        <w:numPr>
          <w:ilvl w:val="0"/>
          <w:numId w:val="2"/>
        </w:numPr>
        <w:jc w:val="both"/>
      </w:pPr>
      <w:r>
        <w:t>Report incident to the ICO</w:t>
      </w:r>
    </w:p>
    <w:p w:rsidR="00C30C61" w:rsidRDefault="00C30C61" w:rsidP="00C30C61">
      <w:pPr>
        <w:pStyle w:val="ListParagraph"/>
        <w:numPr>
          <w:ilvl w:val="0"/>
          <w:numId w:val="2"/>
        </w:numPr>
        <w:jc w:val="both"/>
      </w:pPr>
      <w:r>
        <w:t>Full audit of files locally stored throughout the organisation</w:t>
      </w:r>
    </w:p>
    <w:p w:rsidR="00C30C61" w:rsidRDefault="00C30C61" w:rsidP="00C30C61">
      <w:pPr>
        <w:pStyle w:val="ListParagraph"/>
        <w:numPr>
          <w:ilvl w:val="1"/>
          <w:numId w:val="2"/>
        </w:numPr>
        <w:jc w:val="both"/>
      </w:pPr>
      <w:r>
        <w:t>Carried out using tools employed by the IT department to detect potential inappropriate data storage</w:t>
      </w:r>
    </w:p>
    <w:p w:rsidR="00C30C61" w:rsidRDefault="00C30C61" w:rsidP="00C30C61">
      <w:pPr>
        <w:pStyle w:val="ListParagraph"/>
        <w:numPr>
          <w:ilvl w:val="0"/>
          <w:numId w:val="2"/>
        </w:numPr>
        <w:jc w:val="both"/>
      </w:pPr>
      <w:r>
        <w:t xml:space="preserve">Removal and full investigation of the operational manager’s recent activity to ensure no further breaches have taken place </w:t>
      </w:r>
    </w:p>
    <w:p w:rsidR="00C30C61" w:rsidRDefault="00C30C61" w:rsidP="00C30C61">
      <w:pPr>
        <w:pStyle w:val="ListParagraph"/>
        <w:numPr>
          <w:ilvl w:val="0"/>
          <w:numId w:val="2"/>
        </w:numPr>
        <w:jc w:val="both"/>
      </w:pPr>
      <w:r>
        <w:t xml:space="preserve">Consider future implications of complexity that current IT system offer and the temptation for staff to circumnavigate these systems.  </w:t>
      </w:r>
    </w:p>
    <w:p w:rsidR="00C30C61" w:rsidRDefault="00C30C61" w:rsidP="00C30C61">
      <w:pPr>
        <w:pStyle w:val="ListParagraph"/>
        <w:numPr>
          <w:ilvl w:val="0"/>
          <w:numId w:val="2"/>
        </w:numPr>
        <w:jc w:val="both"/>
      </w:pPr>
      <w:r>
        <w:t>Review DPIA</w:t>
      </w:r>
    </w:p>
    <w:p w:rsidR="00C30C61" w:rsidRDefault="00C30C61" w:rsidP="00C30C61">
      <w:pPr>
        <w:pStyle w:val="ListParagraph"/>
        <w:numPr>
          <w:ilvl w:val="0"/>
          <w:numId w:val="2"/>
        </w:numPr>
        <w:jc w:val="both"/>
      </w:pPr>
      <w:r>
        <w:t>Implement appropriate HR/disciplinary actions in relation to the operational manager</w:t>
      </w:r>
    </w:p>
    <w:p w:rsidR="00C30C61" w:rsidRDefault="00C30C61" w:rsidP="00C30C61">
      <w:pPr>
        <w:jc w:val="both"/>
      </w:pPr>
    </w:p>
    <w:p w:rsidR="00C30C61" w:rsidRDefault="00C30C61" w:rsidP="00C30C61">
      <w:pPr>
        <w:jc w:val="both"/>
      </w:pPr>
    </w:p>
    <w:p w:rsidR="00C30C61" w:rsidRDefault="00C30C61" w:rsidP="00C30C61">
      <w:pPr>
        <w:pStyle w:val="Heading1"/>
        <w:jc w:val="both"/>
      </w:pPr>
      <w:bookmarkStart w:id="61" w:name="_Toc50666971"/>
      <w:r>
        <w:lastRenderedPageBreak/>
        <w:t>Actions – In respect of the data subjects</w:t>
      </w:r>
      <w:bookmarkEnd w:id="61"/>
      <w:r>
        <w:t xml:space="preserve"> </w:t>
      </w:r>
    </w:p>
    <w:p w:rsidR="00C30C61" w:rsidRDefault="00C30C61" w:rsidP="00C30C61">
      <w:pPr>
        <w:jc w:val="both"/>
      </w:pPr>
      <w:r>
        <w:t>The Information Governance team recommend the following actions in respect of the data subjects (staff members affected):</w:t>
      </w:r>
    </w:p>
    <w:p w:rsidR="00C30C61" w:rsidRDefault="00C30C61" w:rsidP="00C30C61">
      <w:pPr>
        <w:pStyle w:val="ListParagraph"/>
        <w:numPr>
          <w:ilvl w:val="0"/>
          <w:numId w:val="3"/>
        </w:numPr>
        <w:jc w:val="both"/>
      </w:pPr>
      <w:r>
        <w:t>Inform data subjects about potential breach</w:t>
      </w:r>
    </w:p>
    <w:p w:rsidR="00C30C61" w:rsidRDefault="00C30C61" w:rsidP="00C30C61">
      <w:pPr>
        <w:pStyle w:val="ListParagraph"/>
        <w:numPr>
          <w:ilvl w:val="0"/>
          <w:numId w:val="3"/>
        </w:numPr>
        <w:jc w:val="both"/>
      </w:pPr>
      <w:r>
        <w:t>Assure that all actions are being taken in the interest of protecting them from further or future harm</w:t>
      </w:r>
    </w:p>
    <w:p w:rsidR="00C30C61" w:rsidRDefault="00C30C61" w:rsidP="00C30C61">
      <w:pPr>
        <w:pStyle w:val="ListParagraph"/>
        <w:numPr>
          <w:ilvl w:val="0"/>
          <w:numId w:val="3"/>
        </w:numPr>
        <w:jc w:val="both"/>
      </w:pPr>
      <w:r>
        <w:t>Inform data subjects of the investigation, progress and intentions</w:t>
      </w:r>
    </w:p>
    <w:p w:rsidR="00C30C61" w:rsidRDefault="00C30C61" w:rsidP="00C30C61">
      <w:pPr>
        <w:jc w:val="both"/>
      </w:pPr>
      <w:r>
        <w:t xml:space="preserve"> </w:t>
      </w:r>
    </w:p>
    <w:p w:rsidR="00C30C61" w:rsidRDefault="00C30C61" w:rsidP="00C30C61">
      <w:pPr>
        <w:pStyle w:val="Heading2"/>
      </w:pPr>
      <w:bookmarkStart w:id="62" w:name="_Toc50666972"/>
      <w:r>
        <w:t>Further Actions suggested: open to discussion</w:t>
      </w:r>
      <w:bookmarkEnd w:id="62"/>
    </w:p>
    <w:p w:rsidR="00C30C61" w:rsidRDefault="00C30C61" w:rsidP="00C30C61">
      <w:pPr>
        <w:pStyle w:val="ListParagraph"/>
        <w:numPr>
          <w:ilvl w:val="0"/>
          <w:numId w:val="4"/>
        </w:numPr>
        <w:jc w:val="both"/>
      </w:pPr>
      <w:r>
        <w:t>IT Support instructed to modify the default save directory of the scanner; from the local desktop to the network storage area</w:t>
      </w:r>
    </w:p>
    <w:p w:rsidR="00C30C61" w:rsidRDefault="00C30C61" w:rsidP="00C30C61">
      <w:pPr>
        <w:pStyle w:val="ListParagraph"/>
        <w:numPr>
          <w:ilvl w:val="0"/>
          <w:numId w:val="4"/>
        </w:numPr>
        <w:jc w:val="both"/>
      </w:pPr>
      <w:r>
        <w:t xml:space="preserve">Manager instructed on how to </w:t>
      </w:r>
      <w:r w:rsidRPr="000F239F">
        <w:rPr>
          <w:b/>
        </w:rPr>
        <w:t>cut and paste</w:t>
      </w:r>
      <w:r>
        <w:t xml:space="preserve"> rather than </w:t>
      </w:r>
      <w:r w:rsidRPr="000F239F">
        <w:rPr>
          <w:b/>
        </w:rPr>
        <w:t>copy and paste</w:t>
      </w:r>
      <w:r>
        <w:t xml:space="preserve">, or </w:t>
      </w:r>
      <w:r w:rsidRPr="000F239F">
        <w:rPr>
          <w:b/>
        </w:rPr>
        <w:t>copy and paste</w:t>
      </w:r>
      <w:r>
        <w:t xml:space="preserve"> before </w:t>
      </w:r>
      <w:r w:rsidRPr="000F239F">
        <w:rPr>
          <w:b/>
        </w:rPr>
        <w:t>immediately deleting the file</w:t>
      </w:r>
      <w:r>
        <w:t>, in case future files do accumulate on the desktop</w:t>
      </w:r>
    </w:p>
    <w:p w:rsidR="00C30C61" w:rsidRPr="000F239F" w:rsidRDefault="00C30C61" w:rsidP="00C30C61">
      <w:pPr>
        <w:pStyle w:val="ListParagraph"/>
        <w:numPr>
          <w:ilvl w:val="0"/>
          <w:numId w:val="4"/>
        </w:numPr>
        <w:jc w:val="both"/>
      </w:pPr>
      <w:r>
        <w:t>Manager explicitly reminded of the implications of future data breaches of this severity and advised to retake the Information Governance training.</w:t>
      </w:r>
    </w:p>
    <w:p w:rsidR="00C30C61" w:rsidRPr="00C30C61" w:rsidRDefault="00C30C61" w:rsidP="00C30C61"/>
    <w:sectPr w:rsidR="00C30C61" w:rsidRPr="00C30C6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A348A" w:rsidRDefault="005A348A" w:rsidP="00C30C61">
      <w:pPr>
        <w:spacing w:after="0" w:line="240" w:lineRule="auto"/>
      </w:pPr>
      <w:r>
        <w:separator/>
      </w:r>
    </w:p>
  </w:endnote>
  <w:endnote w:type="continuationSeparator" w:id="0">
    <w:p w:rsidR="005A348A" w:rsidRDefault="005A348A" w:rsidP="00C30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0C61" w:rsidRDefault="00C30C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0C61" w:rsidRDefault="00C30C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0C61" w:rsidRDefault="00C30C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A348A" w:rsidRDefault="005A348A" w:rsidP="00C30C61">
      <w:pPr>
        <w:spacing w:after="0" w:line="240" w:lineRule="auto"/>
      </w:pPr>
      <w:r>
        <w:separator/>
      </w:r>
    </w:p>
  </w:footnote>
  <w:footnote w:type="continuationSeparator" w:id="0">
    <w:p w:rsidR="005A348A" w:rsidRDefault="005A348A" w:rsidP="00C30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0C61" w:rsidRDefault="00C30C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0C61" w:rsidRDefault="00C30C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30C61" w:rsidRDefault="00C30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242749"/>
    <w:multiLevelType w:val="hybridMultilevel"/>
    <w:tmpl w:val="9302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12F88"/>
    <w:multiLevelType w:val="hybridMultilevel"/>
    <w:tmpl w:val="54DAC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35E1E"/>
    <w:multiLevelType w:val="hybridMultilevel"/>
    <w:tmpl w:val="CF0A3E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F51FB"/>
    <w:multiLevelType w:val="hybridMultilevel"/>
    <w:tmpl w:val="A1BAE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79043E"/>
    <w:multiLevelType w:val="hybridMultilevel"/>
    <w:tmpl w:val="DF7AD6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16163B"/>
    <w:multiLevelType w:val="hybridMultilevel"/>
    <w:tmpl w:val="1F649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710DF9"/>
    <w:multiLevelType w:val="hybridMultilevel"/>
    <w:tmpl w:val="5B3C60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5"/>
  </w:num>
  <w:num w:numId="5">
    <w:abstractNumId w:val="1"/>
  </w:num>
  <w:num w:numId="6">
    <w:abstractNumId w:val="3"/>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0C61"/>
    <w:rsid w:val="00312862"/>
    <w:rsid w:val="005A348A"/>
    <w:rsid w:val="00834561"/>
    <w:rsid w:val="00C30C61"/>
    <w:rsid w:val="00C53AFD"/>
    <w:rsid w:val="00D51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A8A9D0"/>
  <w15:chartTrackingRefBased/>
  <w15:docId w15:val="{130DC802-F0DE-4AD0-9445-183C76A49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0C61"/>
  </w:style>
  <w:style w:type="paragraph" w:styleId="Heading1">
    <w:name w:val="heading 1"/>
    <w:basedOn w:val="Normal"/>
    <w:next w:val="Normal"/>
    <w:link w:val="Heading1Char"/>
    <w:uiPriority w:val="9"/>
    <w:qFormat/>
    <w:rsid w:val="00C30C6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0C6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0C6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C61"/>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C30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30C61"/>
    <w:pPr>
      <w:outlineLvl w:val="9"/>
    </w:pPr>
    <w:rPr>
      <w:lang w:val="en-US"/>
    </w:rPr>
  </w:style>
  <w:style w:type="paragraph" w:styleId="TOC2">
    <w:name w:val="toc 2"/>
    <w:basedOn w:val="Normal"/>
    <w:next w:val="Normal"/>
    <w:autoRedefine/>
    <w:uiPriority w:val="39"/>
    <w:unhideWhenUsed/>
    <w:rsid w:val="00C30C6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30C61"/>
    <w:pPr>
      <w:spacing w:after="100"/>
    </w:pPr>
    <w:rPr>
      <w:rFonts w:eastAsiaTheme="minorEastAsia" w:cs="Times New Roman"/>
      <w:lang w:val="en-US"/>
    </w:rPr>
  </w:style>
  <w:style w:type="paragraph" w:styleId="TOC3">
    <w:name w:val="toc 3"/>
    <w:basedOn w:val="Normal"/>
    <w:next w:val="Normal"/>
    <w:autoRedefine/>
    <w:uiPriority w:val="39"/>
    <w:unhideWhenUsed/>
    <w:rsid w:val="00C30C61"/>
    <w:pPr>
      <w:spacing w:after="100"/>
      <w:ind w:left="440"/>
    </w:pPr>
    <w:rPr>
      <w:rFonts w:eastAsiaTheme="minorEastAsia" w:cs="Times New Roman"/>
      <w:lang w:val="en-US"/>
    </w:rPr>
  </w:style>
  <w:style w:type="character" w:styleId="Hyperlink">
    <w:name w:val="Hyperlink"/>
    <w:basedOn w:val="DefaultParagraphFont"/>
    <w:uiPriority w:val="99"/>
    <w:unhideWhenUsed/>
    <w:rsid w:val="00C30C61"/>
    <w:rPr>
      <w:color w:val="0563C1" w:themeColor="hyperlink"/>
      <w:u w:val="single"/>
    </w:rPr>
  </w:style>
  <w:style w:type="character" w:customStyle="1" w:styleId="vanity-name">
    <w:name w:val="vanity-name"/>
    <w:basedOn w:val="DefaultParagraphFont"/>
    <w:rsid w:val="00C30C61"/>
  </w:style>
  <w:style w:type="character" w:customStyle="1" w:styleId="Heading2Char">
    <w:name w:val="Heading 2 Char"/>
    <w:basedOn w:val="DefaultParagraphFont"/>
    <w:link w:val="Heading2"/>
    <w:uiPriority w:val="9"/>
    <w:rsid w:val="00C30C6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30C61"/>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C30C61"/>
    <w:pPr>
      <w:ind w:left="720"/>
      <w:contextualSpacing/>
    </w:pPr>
  </w:style>
  <w:style w:type="paragraph" w:styleId="Header">
    <w:name w:val="header"/>
    <w:basedOn w:val="Normal"/>
    <w:link w:val="HeaderChar"/>
    <w:uiPriority w:val="99"/>
    <w:unhideWhenUsed/>
    <w:rsid w:val="00C30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C61"/>
  </w:style>
  <w:style w:type="paragraph" w:styleId="Footer">
    <w:name w:val="footer"/>
    <w:basedOn w:val="Normal"/>
    <w:link w:val="FooterChar"/>
    <w:uiPriority w:val="99"/>
    <w:unhideWhenUsed/>
    <w:rsid w:val="00C30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17</Pages>
  <Words>4323</Words>
  <Characters>24645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28911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Wakelyn (Swansea Bay UHB - Renal)</dc:creator>
  <cp:keywords/>
  <dc:description/>
  <cp:lastModifiedBy>Mike Wakelyn (Swansea Bay UHB - Renal)</cp:lastModifiedBy>
  <cp:revision>3</cp:revision>
  <dcterms:created xsi:type="dcterms:W3CDTF">2020-09-10T20:35:00Z</dcterms:created>
  <dcterms:modified xsi:type="dcterms:W3CDTF">2020-09-10T20:50:00Z</dcterms:modified>
</cp:coreProperties>
</file>