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 xml:space="preserve"> </w:t>
      </w:r>
      <w:r>
        <w:rPr>
          <w:rFonts w:hint="default" w:ascii="Times New Roman" w:hAnsi="Times New Roman" w:cs="Times New Roman"/>
          <w:sz w:val="24"/>
          <w:szCs w:val="24"/>
          <w:lang w:val="en-US" w:eastAsia="zh-CN"/>
        </w:rPr>
        <w:t xml:space="preserve"> </w:t>
      </w:r>
    </w:p>
    <w:p>
      <w:pPr>
        <w:spacing w:line="360" w:lineRule="auto"/>
        <w:jc w:val="center"/>
        <w:rPr>
          <w:rFonts w:hint="default" w:ascii="Times New Roman" w:hAnsi="Times New Roman" w:cs="Times New Roman"/>
          <w:b/>
          <w:sz w:val="28"/>
          <w:szCs w:val="28"/>
          <w:lang w:val="en-US" w:eastAsia="zh-CN"/>
        </w:rPr>
      </w:pPr>
      <w:r>
        <w:rPr>
          <w:rFonts w:hint="default" w:ascii="Times New Roman" w:hAnsi="Times New Roman" w:cs="Times New Roman"/>
          <w:b/>
          <w:sz w:val="28"/>
          <w:szCs w:val="28"/>
          <w:lang w:val="en-US" w:eastAsia="zh-CN"/>
        </w:rPr>
        <w:t>Research Proposal</w:t>
      </w:r>
    </w:p>
    <w:p>
      <w:pPr>
        <w:rPr>
          <w:rFonts w:hint="eastAsia"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effect of Digital Marketing on Traditional Produce market traders</w:t>
      </w:r>
    </w:p>
    <w:p>
      <w:pPr>
        <w:rPr>
          <w:rFonts w:hint="default" w:ascii="Times New Roman" w:hAnsi="Times New Roman" w:cs="Times New Roman"/>
          <w:sz w:val="28"/>
          <w:szCs w:val="28"/>
          <w:lang w:val="en-US" w:eastAsia="zh-CN"/>
        </w:rPr>
      </w:pPr>
    </w:p>
    <w:p>
      <w:pPr>
        <w:spacing w:line="360" w:lineRule="auto"/>
        <w:jc w:val="center"/>
        <w:rPr>
          <w:rFonts w:hint="default" w:ascii="Times New Roman" w:hAnsi="Times New Roman" w:cs="Times New Roman"/>
          <w:b/>
          <w:sz w:val="28"/>
          <w:szCs w:val="28"/>
          <w:lang w:val="en-US" w:eastAsia="zh-CN"/>
        </w:rPr>
      </w:pPr>
      <w:r>
        <w:rPr>
          <w:rFonts w:hint="default" w:ascii="Times New Roman" w:hAnsi="Times New Roman" w:cs="Times New Roman"/>
          <w:b/>
          <w:sz w:val="28"/>
          <w:szCs w:val="28"/>
          <w:lang w:val="en-US" w:eastAsia="zh-CN"/>
        </w:rPr>
        <w:t>2008082</w:t>
      </w:r>
    </w:p>
    <w:p>
      <w:pPr>
        <w:spacing w:line="360" w:lineRule="auto"/>
        <w:jc w:val="center"/>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Deng Yixuan</w:t>
      </w:r>
    </w:p>
    <w:p>
      <w:pPr>
        <w:spacing w:line="360" w:lineRule="auto"/>
        <w:jc w:val="center"/>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Submitted data: 29</w:t>
      </w:r>
      <w:r>
        <w:rPr>
          <w:rFonts w:hint="eastAsia" w:ascii="Times New Roman" w:hAnsi="Times New Roman" w:cs="Times New Roman"/>
          <w:b/>
          <w:sz w:val="28"/>
          <w:szCs w:val="28"/>
          <w:vertAlign w:val="superscript"/>
          <w:lang w:val="en-US" w:eastAsia="zh-CN"/>
        </w:rPr>
        <w:t>th</w:t>
      </w:r>
      <w:r>
        <w:rPr>
          <w:rFonts w:hint="eastAsia" w:ascii="Times New Roman" w:hAnsi="Times New Roman" w:cs="Times New Roman"/>
          <w:b/>
          <w:sz w:val="28"/>
          <w:szCs w:val="28"/>
          <w:lang w:val="en-US" w:eastAsia="zh-CN"/>
        </w:rPr>
        <w:t xml:space="preserve"> November,2020</w:t>
      </w:r>
    </w:p>
    <w:p>
      <w:pPr>
        <w:spacing w:line="360" w:lineRule="auto"/>
        <w:jc w:val="center"/>
        <w:rPr>
          <w:rFonts w:hint="default"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For Caroline Jaward</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p>
    <w:p>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University of Wales Trinity Saint David</w:t>
      </w:r>
    </w:p>
    <w:p>
      <w:pPr>
        <w:spacing w:line="360" w:lineRule="auto"/>
        <w:jc w:val="center"/>
        <w:rPr>
          <w:rFonts w:hint="default" w:ascii="Times New Roman" w:hAnsi="Times New Roman" w:cs="Times New Roman" w:eastAsiaTheme="minorEastAsia"/>
          <w:b/>
          <w:sz w:val="28"/>
          <w:szCs w:val="28"/>
          <w:lang w:val="en-US" w:eastAsia="zh-CN"/>
        </w:rPr>
      </w:pPr>
      <w:r>
        <w:rPr>
          <w:rFonts w:hint="default" w:ascii="Times New Roman" w:hAnsi="Times New Roman" w:cs="Times New Roman"/>
          <w:b/>
          <w:sz w:val="28"/>
          <w:szCs w:val="28"/>
        </w:rPr>
        <w:t xml:space="preserve">BA </w:t>
      </w:r>
      <w:r>
        <w:rPr>
          <w:rFonts w:hint="default" w:ascii="Times New Roman" w:hAnsi="Times New Roman" w:cs="Times New Roman"/>
          <w:b/>
          <w:sz w:val="28"/>
          <w:szCs w:val="28"/>
          <w:lang w:val="en-US" w:eastAsia="zh-CN"/>
        </w:rPr>
        <w:t>international finance</w:t>
      </w:r>
    </w:p>
    <w:p>
      <w:pPr>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p>
    <w:p>
      <w:pPr>
        <w:ind w:firstLine="2800" w:firstLineChars="100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Table of contents</w:t>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TOC \o "1-1" \h \u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_Toc24501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1.0 Title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_Toc24501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_Toc15133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2.0 The research question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_Toc15133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_Toc2733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3.0 background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_Toc29206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3.1 the need of market competition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_Toc29206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_Toc1859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3.2 The conflict between supply and demand reality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_Toc15474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3.3 The development of emerging industries is inevitable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_Toc31222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4.0 The mainly aim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_Toc31222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_Toc14503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4.1 The analyze current situation of produce industry promotion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_Toc14503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_Toc11146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4.2 Studies produce industry promotion to the sale influences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_Toc11146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_Toc18409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4.3 Suggestions are given to strengthen the combination of online and offline promotion of produce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_Toc18409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_Toc19938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5.0 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_Toc15401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6.0 Research technology method and principle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_Toc31862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6.1 survey method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_Toc31862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_Toc14103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6.2 observational method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_Toc32203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6.3. field survey method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_Toc32203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_Toc19034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6.4. comparative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_Toc19034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4"/>
        <w:tabs>
          <w:tab w:val="right" w:leader="middleDot" w:pos="8306"/>
        </w:tabs>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_Toc13654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7.0 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_Toc13654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Cs w:val="28"/>
          <w:lang w:val="en-US" w:eastAsia="zh-CN"/>
        </w:rPr>
        <w:fldChar w:fldCharType="end"/>
      </w: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0" w:name="_Toc24501"/>
      <w:r>
        <w:rPr>
          <w:rFonts w:hint="default" w:ascii="Times New Roman" w:hAnsi="Times New Roman" w:cs="Times New Roman"/>
          <w:sz w:val="28"/>
          <w:szCs w:val="28"/>
          <w:lang w:val="en-US" w:eastAsia="zh-CN"/>
        </w:rPr>
        <w:t>1.0 Title</w:t>
      </w:r>
      <w:bookmarkEnd w:id="0"/>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effect of Digital Marketing</w:t>
      </w:r>
      <w:r>
        <w:rPr>
          <w:rFonts w:hint="default" w:ascii="Times New Roman" w:hAnsi="Times New Roman" w:cs="Times New Roman"/>
          <w:sz w:val="24"/>
          <w:szCs w:val="24"/>
          <w:lang w:val="en-US" w:eastAsia="zh-CN"/>
        </w:rPr>
        <w:t xml:space="preserve"> on </w:t>
      </w:r>
      <w:r>
        <w:rPr>
          <w:rFonts w:hint="eastAsia" w:ascii="Times New Roman" w:hAnsi="Times New Roman" w:cs="Times New Roman"/>
          <w:sz w:val="24"/>
          <w:szCs w:val="24"/>
          <w:lang w:val="en-US" w:eastAsia="zh-CN"/>
        </w:rPr>
        <w:t>Traditional Produce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market </w:t>
      </w:r>
      <w:r>
        <w:rPr>
          <w:rFonts w:hint="default" w:ascii="Times New Roman" w:hAnsi="Times New Roman" w:cs="Times New Roman"/>
          <w:sz w:val="24"/>
          <w:szCs w:val="24"/>
          <w:lang w:val="en-US" w:eastAsia="zh-CN"/>
        </w:rPr>
        <w:t>trad</w:t>
      </w:r>
      <w:r>
        <w:rPr>
          <w:rFonts w:hint="eastAsia" w:ascii="Times New Roman" w:hAnsi="Times New Roman" w:cs="Times New Roman"/>
          <w:sz w:val="24"/>
          <w:szCs w:val="24"/>
          <w:lang w:val="en-US" w:eastAsia="zh-CN"/>
        </w:rPr>
        <w:t>ers</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 w:name="_Toc15133"/>
      <w:r>
        <w:rPr>
          <w:rFonts w:hint="default" w:ascii="Times New Roman" w:hAnsi="Times New Roman" w:cs="Times New Roman"/>
          <w:sz w:val="28"/>
          <w:szCs w:val="28"/>
          <w:lang w:val="en-US" w:eastAsia="zh-CN"/>
        </w:rPr>
        <w:t>2.0 The research question</w:t>
      </w:r>
      <w:bookmarkEnd w:id="1"/>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Research on produce market online and offline promotion</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2" w:name="_Toc2733"/>
      <w:r>
        <w:rPr>
          <w:rFonts w:hint="default" w:ascii="Times New Roman" w:hAnsi="Times New Roman" w:cs="Times New Roman"/>
          <w:sz w:val="28"/>
          <w:szCs w:val="28"/>
          <w:lang w:val="en-US" w:eastAsia="zh-CN"/>
        </w:rPr>
        <w:t>3.0 background</w:t>
      </w:r>
      <w:bookmarkEnd w:id="2"/>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nt of </w:t>
      </w:r>
      <w:r>
        <w:rPr>
          <w:rFonts w:hint="eastAsia" w:ascii="Times New Roman" w:hAnsi="Times New Roman" w:cs="Times New Roman"/>
          <w:sz w:val="24"/>
          <w:szCs w:val="24"/>
          <w:lang w:val="en-US" w:eastAsia="zh-CN"/>
        </w:rPr>
        <w:t>network technology revolution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Internet communication has joined the media camp, making today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society an ocean of information. The dissemination of information has broken the limits of hell, broken through the inherent thinking mode, and innovated the business philosophy. Premier Li Keqiang put forward the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Internet Plus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action plan for the first time at the National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Congress in 2015.</w:t>
      </w: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3" w:name="_Toc29206"/>
      <w:r>
        <w:rPr>
          <w:rFonts w:hint="default" w:ascii="Times New Roman" w:hAnsi="Times New Roman" w:cs="Times New Roman"/>
          <w:sz w:val="28"/>
          <w:szCs w:val="28"/>
          <w:lang w:val="en-US" w:eastAsia="zh-CN"/>
        </w:rPr>
        <w:t>3.1 the need of market competition</w:t>
      </w:r>
      <w:bookmarkEnd w:id="3"/>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Produces not only to face the choice of consumers, but also face competition of the same industry and similar products competition. Weather it can win the competition, weather brand standing for a longer time,about the production, management, promotion and so on like other goods, quality, service, price not less. There is a not ignore, the process of winning the competition is the process of brand competition.</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4" w:name="_Toc1859"/>
      <w:r>
        <w:rPr>
          <w:rFonts w:hint="default" w:ascii="Times New Roman" w:hAnsi="Times New Roman" w:cs="Times New Roman"/>
          <w:sz w:val="28"/>
          <w:szCs w:val="28"/>
          <w:lang w:val="en-US" w:eastAsia="zh-CN"/>
        </w:rPr>
        <w:t>3.2 The conflict between supply and demand reality</w:t>
      </w:r>
      <w:bookmarkEnd w:id="4"/>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product producer and runs can provide kind of products consumed by all kinds of people. One side is rich, high quality producer, the other is not equity, there is a information between production and consumption of fault, causing a large number of product deep street, The farmers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hard worker go to waste. Only increase awareness of marketing produce, through combination of online and offline promotion, breaking the information communication obstacles to let product information go before the product, let sales follow closely after the promotion,let the flow of market information more rapid, pace in order to avoid crops heap rot.</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5" w:name="_Toc15474"/>
      <w:r>
        <w:rPr>
          <w:rFonts w:hint="default" w:ascii="Times New Roman" w:hAnsi="Times New Roman" w:cs="Times New Roman"/>
          <w:sz w:val="28"/>
          <w:szCs w:val="28"/>
          <w:lang w:val="en-US" w:eastAsia="zh-CN"/>
        </w:rPr>
        <w:t>3.3 The development of emerging industries is inevitable</w:t>
      </w:r>
      <w:bookmarkEnd w:id="5"/>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Emerging channels such as electronic business and network marketing, suddney almost cover all categories of acommodities, make with new marketing produces, open up new markets and formats are urgent, is of great significance.</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Cs w:val="24"/>
          <w:lang w:val="en-US" w:eastAsia="zh-CN"/>
        </w:rPr>
      </w:pPr>
      <w:bookmarkStart w:id="6" w:name="_Toc31222"/>
      <w:r>
        <w:rPr>
          <w:rFonts w:hint="default" w:ascii="Times New Roman" w:hAnsi="Times New Roman" w:cs="Times New Roman"/>
          <w:sz w:val="28"/>
          <w:szCs w:val="28"/>
          <w:lang w:val="en-US" w:eastAsia="zh-CN"/>
        </w:rPr>
        <w:t>4.0 The mainly aim</w:t>
      </w:r>
      <w:bookmarkEnd w:id="6"/>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7" w:name="_Toc14503"/>
      <w:r>
        <w:rPr>
          <w:rFonts w:hint="default" w:ascii="Times New Roman" w:hAnsi="Times New Roman" w:cs="Times New Roman"/>
          <w:sz w:val="28"/>
          <w:szCs w:val="28"/>
          <w:lang w:val="en-US" w:eastAsia="zh-CN"/>
        </w:rPr>
        <w:t>4.1 The analyze current situation of produce industry promotion</w:t>
      </w:r>
      <w:bookmarkEnd w:id="7"/>
      <w:r>
        <w:rPr>
          <w:rFonts w:hint="default" w:ascii="Times New Roman" w:hAnsi="Times New Roman" w:cs="Times New Roman"/>
          <w:sz w:val="28"/>
          <w:szCs w:val="28"/>
          <w:lang w:val="en-US" w:eastAsia="zh-CN"/>
        </w:rPr>
        <w:t xml:space="preserve"> </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LOOMIS and BEEGLE (1956), Rural Social Systems and Adult Education: A committee report, Rogers: Diffusion of innovation, such as published one after another. These scholars have played a very profound role in the development of agriculture.</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China, in the field of agricultural information, whether to collect, publish, or feedback, evaluation are pretty bay after demand of market and development of agricultural production. More is according to market for fine belt after reaction, so often appear garment product quality and price, should be the phenomenon of big ups and downs, a year after it is information, lack of information sharing, information platform of behind the bitter of course, the construction of our country attraches great importance to the agricultural value of breath early network, as early as the eighty. The agricultural information center has been established in the 1990s, the national agricultural information website also arrise at the historical moment. Subsequently, these agricultural network, popularization mode with the color of administrative system formed a three-level network of province city and country, and covered various information such as agricultural, forestry anymore animal husbandry vice, production, processing and circulation of agricultural products.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8" w:name="_Toc11146"/>
      <w:r>
        <w:rPr>
          <w:rFonts w:hint="default" w:ascii="Times New Roman" w:hAnsi="Times New Roman" w:cs="Times New Roman"/>
          <w:sz w:val="28"/>
          <w:szCs w:val="28"/>
          <w:lang w:val="en-US" w:eastAsia="zh-CN"/>
        </w:rPr>
        <w:t>4.2 Studies produce industry promotion to the sale influences</w:t>
      </w:r>
      <w:bookmarkEnd w:id="8"/>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Traditional marketing conception restricts development of agricultural product promotion in China. Many self-employed people use the way of network marketing to break the traditional store consciousness, the market in the eyes of operators is no longer regional, the flow of people and the concept of goods in and out. In the eyes of network marketers, websites, traffic, third-party payment, logistics speed is the business of modern business. </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But unfortunately, in the network marketing aspect, the city and the countryside are very different, this kind of difference not only refers to the network construction, the computer application, more is the network marketing consciousness.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the eyes of more rural people, games, news, movies are the Internet, doing business, trading or market can be relied on, this is the agricultural products network marketing difficulties. (Huo Wenzhuan, Li Shibao, 2006) </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On the one hand, agricultural producers need to change their awareness of agricultural marketing, actively contact with network marketing methods, and gradually use them skillfully. On the other hand, buyers of agricultural products also need to change the traditional way of thinking. And in cities, most people aren't </w:t>
      </w:r>
      <w:r>
        <w:rPr>
          <w:rFonts w:hint="eastAsia" w:ascii="Times New Roman" w:hAnsi="Times New Roman" w:cs="Times New Roman"/>
          <w:sz w:val="24"/>
          <w:szCs w:val="24"/>
          <w:lang w:val="en-US" w:eastAsia="zh-CN"/>
        </w:rPr>
        <w:t>adopt to</w:t>
      </w:r>
      <w:r>
        <w:rPr>
          <w:rFonts w:hint="default" w:ascii="Times New Roman" w:hAnsi="Times New Roman" w:cs="Times New Roman"/>
          <w:sz w:val="24"/>
          <w:szCs w:val="24"/>
          <w:lang w:val="en-US" w:eastAsia="zh-CN"/>
        </w:rPr>
        <w:t xml:space="preserve"> buying agricultural products by downloading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pp and other online software</w:t>
      </w:r>
      <w:r>
        <w:rPr>
          <w:rFonts w:hint="eastAsia" w:ascii="Times New Roman" w:hAnsi="Times New Roman" w:cs="Times New Roman"/>
          <w:sz w:val="24"/>
          <w:szCs w:val="24"/>
          <w:lang w:val="en-US" w:eastAsia="zh-CN"/>
        </w:rPr>
        <w:t>. In our mobile network software, you can see rice, seasoning and other storage time allowed agricultural products, and within two hours to deliver home, and then the promise of payment, but the volume has not been up, because the majority of agricultural products purchased through the Internet is young people, but young people consume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is little. Most people who really control the power of a household purchase don't like, don' t get used to, or even know how to buy online.The two aspects of sales and purchase are not enthusiastic attitude towards network marketing, which forms the gradual departure of purchase and marketing system and network. The strangeness of the two ends of the supply chain to the network platform and network channel is the main factor restricting the concept of agricultural product marketing.</w:t>
      </w: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9" w:name="_Toc18409"/>
      <w:r>
        <w:rPr>
          <w:rFonts w:hint="default" w:ascii="Times New Roman" w:hAnsi="Times New Roman" w:cs="Times New Roman"/>
          <w:sz w:val="28"/>
          <w:szCs w:val="28"/>
          <w:lang w:val="en-US" w:eastAsia="zh-CN"/>
        </w:rPr>
        <w:t>4.3 Suggestions are given to strengthen the combination of online and offline promotion of produce</w:t>
      </w:r>
      <w:bookmarkEnd w:id="9"/>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Fully consider the consumer's user experience, attract attention through online mode, import traffic, and then strengthen the consumer sense through offline physical stores</w:t>
      </w:r>
      <w:r>
        <w:rPr>
          <w:rFonts w:hint="eastAsia" w:ascii="Times New Roman" w:hAnsi="Times New Roman" w:cs="Times New Roman"/>
          <w:sz w:val="24"/>
          <w:szCs w:val="24"/>
          <w:lang w:val="en-US" w:eastAsia="zh-CN"/>
        </w:rPr>
        <w:t>.</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existence of physical stores can enhance consumers' sense of trust and enable consumers to determine where they buy products, which trust they need because they are usually related to health, is very important for marketing. (Chen Dingchun,2007)</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Physical stores are a good supplement to online stores, can strengthen the publicity effect, but also can take advantage of the advantages near the residents' life circle, actively carry out offline activities.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a transaction, starting online and completing offline, this is O2O(online to offline) simple explanation. For agricultural enterprises and operators, the existing offline resources are very rich, only to increase the physical stores near the consumer terminal, you can complete the middle and offline part of the O2O. What needs to be improved is the online part, not only the content displayed online, but also the online marketing ideas and means.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0" w:name="_Toc19938"/>
      <w:r>
        <w:rPr>
          <w:rFonts w:hint="default" w:ascii="Times New Roman" w:hAnsi="Times New Roman" w:cs="Times New Roman"/>
          <w:sz w:val="28"/>
          <w:szCs w:val="28"/>
          <w:lang w:val="en-US" w:eastAsia="zh-CN"/>
        </w:rPr>
        <w:t>5.0 Literature review</w:t>
      </w:r>
      <w:bookmarkEnd w:id="10"/>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The digitalized world brings new concepts with it in its way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(Association&amp;Resources,2018) As we all know, </w:t>
      </w:r>
      <w:r>
        <w:rPr>
          <w:rFonts w:hint="default" w:ascii="Times New Roman" w:hAnsi="Times New Roman" w:cs="Times New Roman"/>
          <w:sz w:val="24"/>
          <w:szCs w:val="24"/>
          <w:lang w:val="en-US" w:eastAsia="zh-CN"/>
        </w:rPr>
        <w:t>Caracota, Ravi and Andrew b. Winston</w:t>
      </w:r>
      <w:r>
        <w:rPr>
          <w:rFonts w:hint="eastAsia" w:ascii="Times New Roman" w:hAnsi="Times New Roman" w:cs="Times New Roman"/>
          <w:sz w:val="24"/>
          <w:szCs w:val="24"/>
          <w:lang w:val="en-US" w:eastAsia="zh-CN"/>
        </w:rPr>
        <w:t xml:space="preserve"> are famous scholars in the field of e-commerce in the United State, they jointly studied and published frontier of e-commerce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E-commerce is a modern business method, which can meet the needs of government organzations, manufacturers and consumers to reduce cost by improving the quality of products and services and increasing the speed of service delivery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this kind of view in the computer network to check the way of content information to be applied. In short, e-commercial links the information, products and services of both parties through the computer network, which is the only the current formal and the future development, we don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 know.</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recent years, American scholar f.markrup has studied the importance and presentation of information activities in economic activities, that is combination and promotion of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online and offline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between economic industry and media industry.</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Carlin Roma and other scholars have studied decision-making system and uses method of 020 e-commerce platform.</w:t>
      </w: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Jeff Hopkins studied relevant situations of the American farmers using the Internet and e-commerce for farmer management, including what kind of activities, farmers mainly carried out when they used Internet and e-commerce and some farmers preferred to connect cities and villages through Internet. Scholars focused on the differences in the utilization rate of the Internet, it also describes the future use of information technology in American farmers.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Love Lule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discussion mainly focuses on the significance of e-commerce for agricultural production、trade and the background of its application and development</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his research, Nick manderov pointed out three main factors that effect the application of e-commerce in produce, trade and circulation. They are industry structure, product complexity and high threshold of transaction.</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foreign countries, especially in agricultural developed country. The research on marketing promotion and e-commerce mode of produce, especially application of 020 in agricultural field, is mainly reflected in the support of the government, the research 、training and service of universities.</w:t>
      </w: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Jason Bowden</w:t>
      </w:r>
      <w:r>
        <w:rPr>
          <w:rFonts w:hint="eastAsia" w:ascii="Times New Roman" w:hAnsi="Times New Roman" w:cs="Times New Roman"/>
          <w:sz w:val="24"/>
          <w:szCs w:val="24"/>
          <w:lang w:val="en-US" w:eastAsia="zh-CN"/>
        </w:rPr>
        <w:t xml:space="preserve"> wrote an article on 9 June 2014 The title of article is Position yourself as a digital marketing specialist. He did research on online promotion methods</w:t>
      </w:r>
    </w:p>
    <w:p>
      <w:pPr>
        <w:pageBreakBefore w:val="0"/>
        <w:widowControl w:val="0"/>
        <w:numPr>
          <w:ilvl w:val="0"/>
          <w:numId w:val="1"/>
        </w:numPr>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Self-built website     2. Forum blog promotion 3.cooperate with other well-known websites  4. send emails in group     5.mobile phone information release  6.video information release  7.online activity planning 8. cooperate with well-known websites</w:t>
      </w:r>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1" w:name="_Toc15401"/>
      <w:r>
        <w:rPr>
          <w:rFonts w:hint="default" w:ascii="Times New Roman" w:hAnsi="Times New Roman" w:cs="Times New Roman"/>
          <w:sz w:val="28"/>
          <w:szCs w:val="28"/>
          <w:lang w:val="en-US" w:eastAsia="zh-CN"/>
        </w:rPr>
        <w:t>6.0 Research technology method and principle</w:t>
      </w:r>
      <w:bookmarkEnd w:id="11"/>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2" w:name="_Toc31862"/>
      <w:r>
        <w:rPr>
          <w:rFonts w:hint="default" w:ascii="Times New Roman" w:hAnsi="Times New Roman" w:cs="Times New Roman"/>
          <w:sz w:val="28"/>
          <w:szCs w:val="28"/>
          <w:lang w:val="en-US" w:eastAsia="zh-CN"/>
        </w:rPr>
        <w:t>6.1 survey method</w:t>
      </w:r>
      <w:bookmarkEnd w:id="12"/>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order to understand the facts of the promotion of agricultural products and analyze the facts to draw conclusions, confirm the problems existing in the actual operation, in order to put forward Suggestions for improvement in the research.</w:t>
      </w:r>
    </w:p>
    <w:p>
      <w:pPr>
        <w:pStyle w:val="2"/>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Cs w:val="24"/>
          <w:lang w:val="en-US" w:eastAsia="zh-CN"/>
        </w:rPr>
      </w:pPr>
      <w:bookmarkStart w:id="13" w:name="_Toc14103"/>
      <w:r>
        <w:rPr>
          <w:rFonts w:hint="default" w:ascii="Times New Roman" w:hAnsi="Times New Roman" w:cs="Times New Roman"/>
          <w:sz w:val="28"/>
          <w:szCs w:val="28"/>
          <w:lang w:val="en-US" w:eastAsia="zh-CN"/>
        </w:rPr>
        <w:t>6.2 observational method</w:t>
      </w:r>
      <w:bookmarkEnd w:id="13"/>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process of research, through collect a great deal of literature review, survey and observation relevant documents and data through agricultural sector.</w:t>
      </w: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4" w:name="_Toc32203"/>
      <w:r>
        <w:rPr>
          <w:rFonts w:hint="default" w:ascii="Times New Roman" w:hAnsi="Times New Roman" w:cs="Times New Roman"/>
          <w:sz w:val="28"/>
          <w:szCs w:val="28"/>
          <w:lang w:val="en-US" w:eastAsia="zh-CN"/>
        </w:rPr>
        <w:t>6.3. field survey method</w:t>
      </w:r>
      <w:bookmarkEnd w:id="14"/>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Visit some sector including website of Wuhan Agricultural Sector, Wuhan Radio and Television station, it adopt the method of quantitative and qualitative analysis combination. At first, collect a large number of datas, establish data mode to quantitative analyse. According to survey data, you can make judgement to relevant Internet platform and development direction.</w:t>
      </w:r>
    </w:p>
    <w:p>
      <w:pPr>
        <w:pStyle w:val="2"/>
        <w:pageBreakBefore w:val="0"/>
        <w:widowControl w:val="0"/>
        <w:kinsoku/>
        <w:wordWrap/>
        <w:overflowPunct/>
        <w:topLinePunct w:val="0"/>
        <w:autoSpaceDE/>
        <w:autoSpaceDN/>
        <w:bidi w:val="0"/>
        <w:adjustRightInd/>
        <w:snapToGrid/>
        <w:spacing w:line="30" w:lineRule="atLeast"/>
        <w:textAlignment w:val="auto"/>
        <w:rPr>
          <w:rFonts w:hint="eastAsia" w:ascii="Times New Roman" w:hAnsi="Times New Roman" w:cs="Times New Roman"/>
          <w:szCs w:val="24"/>
          <w:lang w:val="en-US" w:eastAsia="zh-CN"/>
        </w:rPr>
      </w:pPr>
      <w:bookmarkStart w:id="15" w:name="_Toc19034"/>
      <w:r>
        <w:rPr>
          <w:rFonts w:hint="default" w:ascii="Times New Roman" w:hAnsi="Times New Roman" w:cs="Times New Roman"/>
          <w:sz w:val="28"/>
          <w:szCs w:val="28"/>
          <w:lang w:val="en-US" w:eastAsia="zh-CN"/>
        </w:rPr>
        <w:t>6.4. comparative analysis</w:t>
      </w:r>
      <w:bookmarkEnd w:id="15"/>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Through the investigation of some farm enterprises in Yuancheng District of Wuhan City, the past and present situation are compared and analyzed.</w:t>
      </w:r>
    </w:p>
    <w:p>
      <w:pPr>
        <w:pageBreakBefore w:val="0"/>
        <w:widowControl w:val="0"/>
        <w:numPr>
          <w:ilvl w:val="0"/>
          <w:numId w:val="0"/>
        </w:numPr>
        <w:kinsoku/>
        <w:wordWrap/>
        <w:overflowPunct/>
        <w:topLinePunct w:val="0"/>
        <w:autoSpaceDE/>
        <w:autoSpaceDN/>
        <w:bidi w:val="0"/>
        <w:adjustRightInd/>
        <w:snapToGrid/>
        <w:spacing w:line="30" w:lineRule="atLeast"/>
        <w:textAlignment w:val="auto"/>
        <w:rPr>
          <w:rFonts w:hint="eastAsia"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8"/>
          <w:szCs w:val="28"/>
          <w:lang w:val="en-US" w:eastAsia="zh-CN"/>
        </w:rPr>
      </w:pPr>
      <w:bookmarkStart w:id="16" w:name="_Toc13654"/>
      <w:r>
        <w:rPr>
          <w:rFonts w:hint="default" w:ascii="Times New Roman" w:hAnsi="Times New Roman" w:cs="Times New Roman"/>
          <w:sz w:val="28"/>
          <w:szCs w:val="28"/>
          <w:lang w:val="en-US" w:eastAsia="zh-CN"/>
        </w:rPr>
        <w:t>7.0 References</w:t>
      </w:r>
      <w:bookmarkEnd w:id="16"/>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 LOOMIS and BEEGLE (1956) Rural Social Systems and Adult Education: A Committee Report by Charles F. Loomis, chairman, and J. Allan Beegle...</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Rogers</w:t>
      </w:r>
      <w:r>
        <w:rPr>
          <w:rFonts w:hint="eastAsia" w:ascii="Times New Roman" w:hAnsi="Times New Roman" w:cs="Times New Roman"/>
          <w:sz w:val="24"/>
          <w:szCs w:val="24"/>
          <w:lang w:val="en-US" w:eastAsia="zh-CN"/>
        </w:rPr>
        <w:t>(2002)</w:t>
      </w:r>
      <w:r>
        <w:rPr>
          <w:rFonts w:hint="default" w:ascii="Times New Roman" w:hAnsi="Times New Roman" w:cs="Times New Roman"/>
          <w:sz w:val="24"/>
          <w:szCs w:val="24"/>
          <w:lang w:val="en-US" w:eastAsia="zh-CN"/>
        </w:rPr>
        <w:t xml:space="preserve"> The Spread of Innovation</w:t>
      </w:r>
      <w:r>
        <w:rPr>
          <w:rFonts w:hint="eastAsia" w:ascii="Times New Roman" w:hAnsi="Times New Roman" w:cs="Times New Roman"/>
          <w:sz w:val="24"/>
          <w:szCs w:val="24"/>
          <w:lang w:val="en-US" w:eastAsia="zh-CN"/>
        </w:rPr>
        <w:t xml:space="preserve">  Volume 27(6) ， p.989-993</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Huo Wenzhuan, Li Shibao (2006 ) Existing Problems and Countermeasures of Agricultural Science and Technology Innovation in China [j] Agricultural Science and Technology Management </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default"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Chen Dinghua (2007)Market Analysis and Planning of Production and Marketing of Organic Agricultural Products Based on Food Safety Crisis</w:t>
      </w:r>
    </w:p>
    <w:p>
      <w:pPr>
        <w:pageBreakBefore w:val="0"/>
        <w:widowControl w:val="0"/>
        <w:kinsoku/>
        <w:wordWrap/>
        <w:overflowPunct/>
        <w:topLinePunct w:val="0"/>
        <w:autoSpaceDE/>
        <w:autoSpaceDN/>
        <w:bidi w:val="0"/>
        <w:adjustRightInd/>
        <w:snapToGrid/>
        <w:spacing w:line="30" w:lineRule="atLeast"/>
        <w:jc w:val="center"/>
        <w:textAlignment w:val="auto"/>
        <w:rPr>
          <w:rFonts w:hint="eastAsia" w:eastAsia="宋体" w:asciiTheme="minorHAnsi" w:hAnsiTheme="minorHAnsi" w:cstheme="minorHAnsi"/>
          <w:b/>
          <w:sz w:val="22"/>
          <w:szCs w:val="22"/>
          <w:lang w:val="en-US" w:eastAsia="zh-CN"/>
        </w:rPr>
      </w:pPr>
      <w:r>
        <w:rPr>
          <w:rFonts w:hint="eastAsia" w:eastAsia="宋体" w:asciiTheme="minorHAnsi" w:hAnsiTheme="minorHAnsi" w:cstheme="minorHAnsi"/>
          <w:b/>
          <w:sz w:val="22"/>
          <w:szCs w:val="22"/>
          <w:lang w:val="en-US" w:eastAsia="zh-CN"/>
        </w:rPr>
        <w:t xml:space="preserve"> </w:t>
      </w: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Jason Bowden</w:t>
      </w:r>
      <w:r>
        <w:rPr>
          <w:rFonts w:hint="eastAsia" w:ascii="Times New Roman" w:hAnsi="Times New Roman" w:cs="Times New Roman"/>
          <w:sz w:val="24"/>
          <w:szCs w:val="24"/>
          <w:lang w:val="en-US" w:eastAsia="zh-CN"/>
        </w:rPr>
        <w:t xml:space="preserve">（2014）The title of article is Position yourself as a digital marketing specialist </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Association and Resources. (2018). Regulating in a digital world. Retrieved 14 November 2019, from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"about:blank"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https://publications.parliament.uk/pa/ld201719/ldselect/ldcomuni/299/299.pdf</w:t>
      </w:r>
      <w:r>
        <w:rPr>
          <w:rFonts w:hint="eastAsia" w:ascii="Times New Roman" w:hAnsi="Times New Roman" w:cs="Times New Roman"/>
          <w:sz w:val="24"/>
          <w:szCs w:val="24"/>
          <w:lang w:val="en-US" w:eastAsia="zh-CN"/>
        </w:rPr>
        <w:fldChar w:fldCharType="end"/>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Keelson, S. (2012). The Evolution of the Marketing Concepts: Theoretically Different Roads Leading to Practically Same Destination!. Retrieved 14 November 2019, from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"about:blank"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https://pdfs.semanticscholar.org/c4fd/0cf9cdf5af0e9c8ce7574f7f095b67372c73.pdf</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Caracota, Ravi and Andrew b. Winston</w:t>
      </w:r>
      <w:r>
        <w:rPr>
          <w:rFonts w:hint="eastAsia" w:ascii="Times New Roman" w:hAnsi="Times New Roman" w:cs="Times New Roman"/>
          <w:sz w:val="24"/>
          <w:szCs w:val="24"/>
          <w:lang w:val="en-US" w:eastAsia="zh-CN"/>
        </w:rPr>
        <w:t xml:space="preserve"> (1996) </w:t>
      </w:r>
      <w:r>
        <w:rPr>
          <w:rFonts w:hint="default" w:ascii="Times New Roman" w:hAnsi="Times New Roman" w:cs="Times New Roman"/>
          <w:sz w:val="24"/>
          <w:szCs w:val="24"/>
          <w:lang w:val="en-US" w:eastAsia="zh-CN"/>
        </w:rPr>
        <w:t>The frontier of electronic commerce</w:t>
      </w:r>
      <w:r>
        <w:rPr>
          <w:rFonts w:hint="eastAsia" w:ascii="Times New Roman" w:hAnsi="Times New Roman" w:cs="Times New Roman"/>
          <w:sz w:val="24"/>
          <w:szCs w:val="24"/>
          <w:lang w:val="en-US" w:eastAsia="zh-CN"/>
        </w:rPr>
        <w:t xml:space="preserve"> he frontier of e-commerce. Addison p.isbn 0-20184520-2.pap. Wesley 1996.854 $49.44. This is academic... </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Rubin, H.J. and Rubin, I.S.(1995) Qualitative Interviewing: The Art of Hearing Data. 2</w:t>
      </w:r>
      <w:r>
        <w:rPr>
          <w:rFonts w:hint="eastAsia" w:ascii="Times New Roman" w:hAnsi="Times New Roman" w:cs="Times New Roman"/>
          <w:sz w:val="24"/>
          <w:szCs w:val="24"/>
          <w:vertAlign w:val="superscript"/>
          <w:lang w:val="en-US" w:eastAsia="zh-CN"/>
        </w:rPr>
        <w:t>nd</w:t>
      </w:r>
      <w:r>
        <w:rPr>
          <w:rFonts w:hint="eastAsia" w:ascii="Times New Roman" w:hAnsi="Times New Roman" w:cs="Times New Roman"/>
          <w:sz w:val="24"/>
          <w:szCs w:val="24"/>
          <w:lang w:val="en-US" w:eastAsia="zh-CN"/>
        </w:rPr>
        <w:t xml:space="preserve"> Edition, Sage Publications, London</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Ryan, F., Coughlan, M., &amp; Cronin, P. (2009). Interviewing in qualitative research: The one-to-one interview. International Journal of Therapy and Rehabilitation, 16(6), 309–314. doi: 10.12968/ijtr.2009.16.6.42433</w:t>
      </w: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default"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Sandy, &amp; John. (2012, May 14). The Qualitative Research Interview. Retrieved from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"about:blank"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https://papers.ssrn.com/sol3/papers.cfm?abstract_id=2058515</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pageBreakBefore w:val="0"/>
        <w:widowControl w:val="0"/>
        <w:numPr>
          <w:ilvl w:val="0"/>
          <w:numId w:val="0"/>
        </w:numPr>
        <w:kinsoku/>
        <w:wordWrap/>
        <w:overflowPunct/>
        <w:topLinePunct w:val="0"/>
        <w:autoSpaceDE/>
        <w:autoSpaceDN/>
        <w:bidi w:val="0"/>
        <w:adjustRightInd/>
        <w:snapToGrid/>
        <w:spacing w:line="30" w:lineRule="atLeast"/>
        <w:jc w:val="both"/>
        <w:textAlignment w:val="auto"/>
        <w:rPr>
          <w:rFonts w:hint="eastAsia" w:ascii="Times New Roman" w:hAnsi="Times New Roman" w:cs="Times New Roman"/>
          <w:sz w:val="24"/>
          <w:szCs w:val="24"/>
          <w:lang w:val="en-US" w:eastAsia="zh-CN"/>
        </w:rPr>
      </w:pPr>
    </w:p>
    <w:p>
      <w:pPr>
        <w:pageBreakBefore w:val="0"/>
        <w:widowControl w:val="0"/>
        <w:numPr>
          <w:ilvl w:val="0"/>
          <w:numId w:val="2"/>
        </w:numPr>
        <w:kinsoku/>
        <w:wordWrap/>
        <w:overflowPunct/>
        <w:topLinePunct w:val="0"/>
        <w:autoSpaceDE/>
        <w:autoSpaceDN/>
        <w:bidi w:val="0"/>
        <w:adjustRightInd/>
        <w:snapToGrid/>
        <w:spacing w:line="30" w:lineRule="atLeast"/>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Sanjari, M., Bahramnezhad, F., Fomani, F. K., Shoghi, M., &amp;Cheraghi, M. A. (2014, August 4). Ethical challenges of researchers in qualitative studies: the necessity to develop a specific guideline. Retrieved from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"about:blank"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https://www.ncbi.nlm.nih.gov/pmc/articles/PMC4263394/</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autoSpaceDE w:val="0"/>
        <w:autoSpaceDN w:val="0"/>
        <w:adjustRightInd w:val="0"/>
        <w:rPr>
          <w:color w:val="333333"/>
          <w:shd w:val="clear" w:color="auto" w:fill="FFFFFF"/>
        </w:rPr>
      </w:pP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default" w:ascii="Times New Roman" w:hAnsi="Times New Roman" w:cs="Times New Roman"/>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30" w:lineRule="atLeast"/>
        <w:ind w:leftChars="0"/>
        <w:textAlignment w:val="auto"/>
        <w:rPr>
          <w:rFonts w:hint="eastAsia" w:ascii="Times New Roman" w:hAnsi="Times New Roman" w:cs="Times New Roman"/>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30" w:lineRule="atLeast"/>
        <w:ind w:leftChars="0" w:firstLine="3300" w:firstLineChars="1500"/>
        <w:textAlignment w:val="auto"/>
        <w:rPr>
          <w:rFonts w:hint="default" w:hAnsi="Times New Roman" w:cs="Times New Roman" w:asciiTheme="minorAscii"/>
          <w:sz w:val="22"/>
          <w:szCs w:val="22"/>
          <w:lang w:val="en-US" w:eastAsia="zh-CN"/>
        </w:rPr>
      </w:pPr>
      <w:bookmarkStart w:id="17" w:name="_GoBack"/>
      <w:r>
        <w:rPr>
          <w:rFonts w:hint="default" w:hAnsi="Times New Roman" w:cs="Times New Roman" w:asciiTheme="minorAscii"/>
          <w:sz w:val="22"/>
          <w:szCs w:val="22"/>
          <w:lang w:val="en-US" w:eastAsia="zh-CN"/>
        </w:rPr>
        <w:t>gantt chart</w:t>
      </w:r>
    </w:p>
    <w:bookmarkEnd w:id="17"/>
    <w:p>
      <w:pPr>
        <w:pageBreakBefore w:val="0"/>
        <w:widowControl w:val="0"/>
        <w:kinsoku/>
        <w:wordWrap/>
        <w:overflowPunct/>
        <w:topLinePunct w:val="0"/>
        <w:autoSpaceDE/>
        <w:autoSpaceDN/>
        <w:bidi w:val="0"/>
        <w:adjustRightInd/>
        <w:snapToGrid/>
        <w:spacing w:line="30" w:lineRule="atLeast"/>
        <w:textAlignment w:val="auto"/>
        <w:rPr>
          <w:rFonts w:hint="default" w:ascii="Times New Roman" w:hAnsi="Times New Roman" w:cs="Times New Roman"/>
          <w:sz w:val="24"/>
          <w:szCs w:val="24"/>
          <w:lang w:val="en-US" w:eastAsia="zh-CN"/>
        </w:rPr>
      </w:pPr>
      <w:r>
        <w:drawing>
          <wp:inline distT="0" distB="0" distL="114300" distR="114300">
            <wp:extent cx="5871845" cy="3656330"/>
            <wp:effectExtent l="4445" t="4445" r="16510" b="952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A12F68"/>
    <w:multiLevelType w:val="singleLevel"/>
    <w:tmpl w:val="E2A12F68"/>
    <w:lvl w:ilvl="0" w:tentative="0">
      <w:start w:val="2"/>
      <w:numFmt w:val="decimal"/>
      <w:suff w:val="space"/>
      <w:lvlText w:val="%1."/>
      <w:lvlJc w:val="left"/>
    </w:lvl>
  </w:abstractNum>
  <w:abstractNum w:abstractNumId="1">
    <w:nsid w:val="0916CD65"/>
    <w:multiLevelType w:val="singleLevel"/>
    <w:tmpl w:val="0916CD65"/>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FD2883"/>
    <w:rsid w:val="00511C49"/>
    <w:rsid w:val="009D3FF6"/>
    <w:rsid w:val="00C43E00"/>
    <w:rsid w:val="017D375F"/>
    <w:rsid w:val="017F6E99"/>
    <w:rsid w:val="01845D5C"/>
    <w:rsid w:val="01A6187B"/>
    <w:rsid w:val="01D15024"/>
    <w:rsid w:val="01D238D7"/>
    <w:rsid w:val="01DC62A0"/>
    <w:rsid w:val="01FB7C1C"/>
    <w:rsid w:val="024A668B"/>
    <w:rsid w:val="033C7304"/>
    <w:rsid w:val="03CE2D0F"/>
    <w:rsid w:val="045D358C"/>
    <w:rsid w:val="051514E5"/>
    <w:rsid w:val="055E130C"/>
    <w:rsid w:val="056C1C62"/>
    <w:rsid w:val="057E650D"/>
    <w:rsid w:val="066B5A01"/>
    <w:rsid w:val="07B2448B"/>
    <w:rsid w:val="081A32D8"/>
    <w:rsid w:val="086359CE"/>
    <w:rsid w:val="08A02178"/>
    <w:rsid w:val="08D32AA7"/>
    <w:rsid w:val="08F6569E"/>
    <w:rsid w:val="0965743B"/>
    <w:rsid w:val="09ED5491"/>
    <w:rsid w:val="09FD2883"/>
    <w:rsid w:val="0A19614B"/>
    <w:rsid w:val="0A976721"/>
    <w:rsid w:val="0B2320EC"/>
    <w:rsid w:val="0B5A0591"/>
    <w:rsid w:val="0B834FC3"/>
    <w:rsid w:val="0BD61CA8"/>
    <w:rsid w:val="0CA40B1A"/>
    <w:rsid w:val="0CCB3BCD"/>
    <w:rsid w:val="0D470D6D"/>
    <w:rsid w:val="0DC92876"/>
    <w:rsid w:val="0E493920"/>
    <w:rsid w:val="0E9B298B"/>
    <w:rsid w:val="0EFC413C"/>
    <w:rsid w:val="0F54549D"/>
    <w:rsid w:val="103C67D1"/>
    <w:rsid w:val="10A110AB"/>
    <w:rsid w:val="115B387F"/>
    <w:rsid w:val="115F77C3"/>
    <w:rsid w:val="11727317"/>
    <w:rsid w:val="117B74F2"/>
    <w:rsid w:val="11DA1614"/>
    <w:rsid w:val="11EB6BF0"/>
    <w:rsid w:val="12CB6780"/>
    <w:rsid w:val="130B38D9"/>
    <w:rsid w:val="133476C4"/>
    <w:rsid w:val="1351070D"/>
    <w:rsid w:val="13DD0AA3"/>
    <w:rsid w:val="142C3DDF"/>
    <w:rsid w:val="143037F3"/>
    <w:rsid w:val="144C4B7F"/>
    <w:rsid w:val="14A42A65"/>
    <w:rsid w:val="14AE7F07"/>
    <w:rsid w:val="14C668C5"/>
    <w:rsid w:val="15497E61"/>
    <w:rsid w:val="1652245E"/>
    <w:rsid w:val="1692451A"/>
    <w:rsid w:val="17574584"/>
    <w:rsid w:val="17621C06"/>
    <w:rsid w:val="176832B9"/>
    <w:rsid w:val="178B1792"/>
    <w:rsid w:val="17A91744"/>
    <w:rsid w:val="17E7190D"/>
    <w:rsid w:val="1810480B"/>
    <w:rsid w:val="1823713B"/>
    <w:rsid w:val="18A37F6C"/>
    <w:rsid w:val="18B90FA3"/>
    <w:rsid w:val="19EA069E"/>
    <w:rsid w:val="1A374599"/>
    <w:rsid w:val="1AB265CD"/>
    <w:rsid w:val="1ADF47C2"/>
    <w:rsid w:val="1B31731B"/>
    <w:rsid w:val="1BF43082"/>
    <w:rsid w:val="1D1F1538"/>
    <w:rsid w:val="1D675896"/>
    <w:rsid w:val="1DA2122C"/>
    <w:rsid w:val="1F792944"/>
    <w:rsid w:val="202E4EF3"/>
    <w:rsid w:val="20504B10"/>
    <w:rsid w:val="209E0DCD"/>
    <w:rsid w:val="20D97564"/>
    <w:rsid w:val="211408CE"/>
    <w:rsid w:val="21381DED"/>
    <w:rsid w:val="21C62B9B"/>
    <w:rsid w:val="225371C9"/>
    <w:rsid w:val="22723C91"/>
    <w:rsid w:val="22BE6D3B"/>
    <w:rsid w:val="22CE6D34"/>
    <w:rsid w:val="22E9565B"/>
    <w:rsid w:val="23DC1F24"/>
    <w:rsid w:val="246C2861"/>
    <w:rsid w:val="24CA58B1"/>
    <w:rsid w:val="24D44590"/>
    <w:rsid w:val="24F578D7"/>
    <w:rsid w:val="264600DC"/>
    <w:rsid w:val="269B155A"/>
    <w:rsid w:val="269B1A31"/>
    <w:rsid w:val="26EE0D00"/>
    <w:rsid w:val="27A15155"/>
    <w:rsid w:val="27A47889"/>
    <w:rsid w:val="27A83DBF"/>
    <w:rsid w:val="28606ECB"/>
    <w:rsid w:val="28F97522"/>
    <w:rsid w:val="2A2606AB"/>
    <w:rsid w:val="2AA245D4"/>
    <w:rsid w:val="2AB17FA6"/>
    <w:rsid w:val="2AB75ADF"/>
    <w:rsid w:val="2AD772A8"/>
    <w:rsid w:val="2B152C83"/>
    <w:rsid w:val="2BA82502"/>
    <w:rsid w:val="2BD772A4"/>
    <w:rsid w:val="2BF0166C"/>
    <w:rsid w:val="2C266B0C"/>
    <w:rsid w:val="2C3F0A01"/>
    <w:rsid w:val="2CC26B90"/>
    <w:rsid w:val="2D9A171E"/>
    <w:rsid w:val="2D9A2C3B"/>
    <w:rsid w:val="2DA669FD"/>
    <w:rsid w:val="2DC62605"/>
    <w:rsid w:val="2E111356"/>
    <w:rsid w:val="2ECA11AC"/>
    <w:rsid w:val="2F2E1D7F"/>
    <w:rsid w:val="2F491095"/>
    <w:rsid w:val="2F8934CA"/>
    <w:rsid w:val="314739D5"/>
    <w:rsid w:val="315C0525"/>
    <w:rsid w:val="319D25ED"/>
    <w:rsid w:val="31A30ACD"/>
    <w:rsid w:val="32506CF6"/>
    <w:rsid w:val="3294024C"/>
    <w:rsid w:val="32965CCA"/>
    <w:rsid w:val="33455517"/>
    <w:rsid w:val="33655203"/>
    <w:rsid w:val="33F17F41"/>
    <w:rsid w:val="33FF4F68"/>
    <w:rsid w:val="349C7000"/>
    <w:rsid w:val="34B16ACD"/>
    <w:rsid w:val="34D33EC3"/>
    <w:rsid w:val="34EF3357"/>
    <w:rsid w:val="356D465F"/>
    <w:rsid w:val="35D7055B"/>
    <w:rsid w:val="361863B3"/>
    <w:rsid w:val="36196145"/>
    <w:rsid w:val="369D4ABE"/>
    <w:rsid w:val="36B72AD3"/>
    <w:rsid w:val="36B9486B"/>
    <w:rsid w:val="3732156F"/>
    <w:rsid w:val="37B27C12"/>
    <w:rsid w:val="37B50B00"/>
    <w:rsid w:val="383C4475"/>
    <w:rsid w:val="383E046C"/>
    <w:rsid w:val="38811494"/>
    <w:rsid w:val="38E846BD"/>
    <w:rsid w:val="39D90615"/>
    <w:rsid w:val="3A5420CE"/>
    <w:rsid w:val="3B12030C"/>
    <w:rsid w:val="3B563E6E"/>
    <w:rsid w:val="3BAC17DE"/>
    <w:rsid w:val="3C482DF2"/>
    <w:rsid w:val="3C5E6BEB"/>
    <w:rsid w:val="3C732513"/>
    <w:rsid w:val="3C904E92"/>
    <w:rsid w:val="3D2B4F81"/>
    <w:rsid w:val="3E23617C"/>
    <w:rsid w:val="3E5C6F68"/>
    <w:rsid w:val="3F9472B9"/>
    <w:rsid w:val="3FC11E27"/>
    <w:rsid w:val="3FD2301F"/>
    <w:rsid w:val="3FDC368E"/>
    <w:rsid w:val="3FE94274"/>
    <w:rsid w:val="40006C76"/>
    <w:rsid w:val="40253AC4"/>
    <w:rsid w:val="40377A32"/>
    <w:rsid w:val="40CD7B04"/>
    <w:rsid w:val="41705228"/>
    <w:rsid w:val="41821F57"/>
    <w:rsid w:val="41FE3C0C"/>
    <w:rsid w:val="421D7A69"/>
    <w:rsid w:val="42463BCD"/>
    <w:rsid w:val="43240A79"/>
    <w:rsid w:val="43497188"/>
    <w:rsid w:val="435D14C7"/>
    <w:rsid w:val="43706F24"/>
    <w:rsid w:val="43942D62"/>
    <w:rsid w:val="43C71086"/>
    <w:rsid w:val="44A04E3F"/>
    <w:rsid w:val="44D47114"/>
    <w:rsid w:val="45623E17"/>
    <w:rsid w:val="45E41E99"/>
    <w:rsid w:val="46297709"/>
    <w:rsid w:val="464B20CB"/>
    <w:rsid w:val="4716730A"/>
    <w:rsid w:val="47B04765"/>
    <w:rsid w:val="48097E4E"/>
    <w:rsid w:val="48575EDE"/>
    <w:rsid w:val="48B54D7E"/>
    <w:rsid w:val="49296889"/>
    <w:rsid w:val="4978395F"/>
    <w:rsid w:val="49B05095"/>
    <w:rsid w:val="4A7E4068"/>
    <w:rsid w:val="4AD41A2C"/>
    <w:rsid w:val="4B476789"/>
    <w:rsid w:val="4B660826"/>
    <w:rsid w:val="4C1D40FA"/>
    <w:rsid w:val="4C6F6C0B"/>
    <w:rsid w:val="4CFE1CE1"/>
    <w:rsid w:val="4DA82B15"/>
    <w:rsid w:val="4DC32810"/>
    <w:rsid w:val="4DD862BF"/>
    <w:rsid w:val="4DFC025D"/>
    <w:rsid w:val="4E26022A"/>
    <w:rsid w:val="4E7201CD"/>
    <w:rsid w:val="4E7D141E"/>
    <w:rsid w:val="4E9E2C03"/>
    <w:rsid w:val="4EE51C5D"/>
    <w:rsid w:val="4EF02EDE"/>
    <w:rsid w:val="4F56204F"/>
    <w:rsid w:val="4FC16FF0"/>
    <w:rsid w:val="509C5E1E"/>
    <w:rsid w:val="50EF1074"/>
    <w:rsid w:val="510A0E70"/>
    <w:rsid w:val="510F2634"/>
    <w:rsid w:val="519D6B50"/>
    <w:rsid w:val="51A52D4B"/>
    <w:rsid w:val="5284707A"/>
    <w:rsid w:val="52920284"/>
    <w:rsid w:val="535E2ED2"/>
    <w:rsid w:val="535F1D5A"/>
    <w:rsid w:val="536C7958"/>
    <w:rsid w:val="53A4002A"/>
    <w:rsid w:val="53B243E2"/>
    <w:rsid w:val="54043547"/>
    <w:rsid w:val="54055E7D"/>
    <w:rsid w:val="54846A4D"/>
    <w:rsid w:val="54BE0F18"/>
    <w:rsid w:val="557C7E24"/>
    <w:rsid w:val="55D91D0C"/>
    <w:rsid w:val="55F7267F"/>
    <w:rsid w:val="56007B53"/>
    <w:rsid w:val="561C7965"/>
    <w:rsid w:val="56492A79"/>
    <w:rsid w:val="566E48C4"/>
    <w:rsid w:val="56C86CC6"/>
    <w:rsid w:val="574B1EA8"/>
    <w:rsid w:val="57A567BA"/>
    <w:rsid w:val="57AA406F"/>
    <w:rsid w:val="57C26D98"/>
    <w:rsid w:val="58CF1F29"/>
    <w:rsid w:val="599D45BB"/>
    <w:rsid w:val="5A637E0E"/>
    <w:rsid w:val="5A9B1038"/>
    <w:rsid w:val="5AB92373"/>
    <w:rsid w:val="5ABC072E"/>
    <w:rsid w:val="5B181410"/>
    <w:rsid w:val="5B6D1C4C"/>
    <w:rsid w:val="5B88588A"/>
    <w:rsid w:val="5BB14F56"/>
    <w:rsid w:val="5BBB1A54"/>
    <w:rsid w:val="5BE12C8F"/>
    <w:rsid w:val="5C145ED0"/>
    <w:rsid w:val="5C775083"/>
    <w:rsid w:val="5CB95B96"/>
    <w:rsid w:val="5D0A2ACF"/>
    <w:rsid w:val="5DAF0F74"/>
    <w:rsid w:val="5E024FF6"/>
    <w:rsid w:val="5E773D42"/>
    <w:rsid w:val="5FC032CC"/>
    <w:rsid w:val="601D7BAF"/>
    <w:rsid w:val="60260601"/>
    <w:rsid w:val="606372D8"/>
    <w:rsid w:val="608559AB"/>
    <w:rsid w:val="60F86B53"/>
    <w:rsid w:val="61377A40"/>
    <w:rsid w:val="613C46E7"/>
    <w:rsid w:val="62480399"/>
    <w:rsid w:val="62E56394"/>
    <w:rsid w:val="63142577"/>
    <w:rsid w:val="636B59C4"/>
    <w:rsid w:val="63944DCE"/>
    <w:rsid w:val="63B30902"/>
    <w:rsid w:val="63BE171E"/>
    <w:rsid w:val="648D0265"/>
    <w:rsid w:val="648D6FAA"/>
    <w:rsid w:val="64E503C1"/>
    <w:rsid w:val="65F86603"/>
    <w:rsid w:val="662A52DD"/>
    <w:rsid w:val="667D11BB"/>
    <w:rsid w:val="6697088F"/>
    <w:rsid w:val="67373175"/>
    <w:rsid w:val="67A83551"/>
    <w:rsid w:val="67B9073B"/>
    <w:rsid w:val="68BE468D"/>
    <w:rsid w:val="690F6901"/>
    <w:rsid w:val="6925261B"/>
    <w:rsid w:val="697B7CC4"/>
    <w:rsid w:val="698A3A66"/>
    <w:rsid w:val="69B17E5E"/>
    <w:rsid w:val="69CC1F08"/>
    <w:rsid w:val="69ED0455"/>
    <w:rsid w:val="69F665B2"/>
    <w:rsid w:val="6BB401AF"/>
    <w:rsid w:val="6BD86B66"/>
    <w:rsid w:val="6C417BE3"/>
    <w:rsid w:val="6C4A2FF8"/>
    <w:rsid w:val="6C531BD2"/>
    <w:rsid w:val="6D3706C2"/>
    <w:rsid w:val="6DF22CC2"/>
    <w:rsid w:val="6DF71FD7"/>
    <w:rsid w:val="6DF77B95"/>
    <w:rsid w:val="6EDB5EEE"/>
    <w:rsid w:val="6F0A2ABE"/>
    <w:rsid w:val="6F5C16D9"/>
    <w:rsid w:val="6F674798"/>
    <w:rsid w:val="6FCB23D6"/>
    <w:rsid w:val="70293053"/>
    <w:rsid w:val="70673568"/>
    <w:rsid w:val="708F7FFD"/>
    <w:rsid w:val="709A240E"/>
    <w:rsid w:val="70E73CFE"/>
    <w:rsid w:val="70F52FE6"/>
    <w:rsid w:val="71231C37"/>
    <w:rsid w:val="716143BD"/>
    <w:rsid w:val="71E2184C"/>
    <w:rsid w:val="7224143A"/>
    <w:rsid w:val="72B469DE"/>
    <w:rsid w:val="72D67130"/>
    <w:rsid w:val="73125201"/>
    <w:rsid w:val="73184B87"/>
    <w:rsid w:val="73464DE4"/>
    <w:rsid w:val="737305EB"/>
    <w:rsid w:val="73A5448B"/>
    <w:rsid w:val="73EA1B06"/>
    <w:rsid w:val="73EE7E95"/>
    <w:rsid w:val="74127D1D"/>
    <w:rsid w:val="74662FC9"/>
    <w:rsid w:val="74B305B7"/>
    <w:rsid w:val="753D3B5A"/>
    <w:rsid w:val="7572402F"/>
    <w:rsid w:val="75AA0B3A"/>
    <w:rsid w:val="75EC7F4F"/>
    <w:rsid w:val="765536DF"/>
    <w:rsid w:val="767E1089"/>
    <w:rsid w:val="769F1CCF"/>
    <w:rsid w:val="76A2086A"/>
    <w:rsid w:val="76E02CC8"/>
    <w:rsid w:val="76E46A14"/>
    <w:rsid w:val="775471AE"/>
    <w:rsid w:val="77BB6D19"/>
    <w:rsid w:val="77C34BDC"/>
    <w:rsid w:val="78034A38"/>
    <w:rsid w:val="78720CF5"/>
    <w:rsid w:val="78C06E49"/>
    <w:rsid w:val="78C6453D"/>
    <w:rsid w:val="78D877E1"/>
    <w:rsid w:val="78D94FD6"/>
    <w:rsid w:val="78EC3038"/>
    <w:rsid w:val="792637DE"/>
    <w:rsid w:val="79703B7F"/>
    <w:rsid w:val="79C83B0B"/>
    <w:rsid w:val="7A6A45E0"/>
    <w:rsid w:val="7AA41AD5"/>
    <w:rsid w:val="7AB50416"/>
    <w:rsid w:val="7AB811B1"/>
    <w:rsid w:val="7B303BAE"/>
    <w:rsid w:val="7C622F25"/>
    <w:rsid w:val="7C805289"/>
    <w:rsid w:val="7C90099B"/>
    <w:rsid w:val="7CC85E35"/>
    <w:rsid w:val="7D1A3B31"/>
    <w:rsid w:val="7D3539D1"/>
    <w:rsid w:val="7DA51897"/>
    <w:rsid w:val="7DC661C0"/>
    <w:rsid w:val="7DD83B0D"/>
    <w:rsid w:val="7DF95747"/>
    <w:rsid w:val="7E1F5055"/>
    <w:rsid w:val="7E66683A"/>
    <w:rsid w:val="7ECF7AA8"/>
    <w:rsid w:val="7F516DE4"/>
    <w:rsid w:val="7F5A4FCC"/>
    <w:rsid w:val="7F8301C1"/>
    <w:rsid w:val="7F9E592B"/>
    <w:rsid w:val="7FC61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toc 1"/>
    <w:basedOn w:val="1"/>
    <w:next w:val="1"/>
    <w:uiPriority w:val="0"/>
  </w:style>
  <w:style w:type="character" w:styleId="7">
    <w:name w:val="Hyperlink"/>
    <w:basedOn w:val="6"/>
    <w:uiPriority w:val="0"/>
    <w:rPr>
      <w:color w:val="0000FF"/>
      <w:u w:val="single"/>
    </w:rPr>
  </w:style>
  <w:style w:type="character" w:customStyle="1" w:styleId="8">
    <w:name w:val="标题 1 Char"/>
    <w:link w:val="2"/>
    <w:uiPriority w:val="0"/>
    <w:rPr>
      <w:b/>
      <w:kern w:val="44"/>
      <w:sz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37011;&#33402;&#29831;\Downloads\&#39033;&#30446;&#36827;&#24230;&#34920;&#29976;&#29305;&#2227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rPr lang="en-US" altLang="zh-CN" sz="1100"/>
              <a:t>Project progress chart</a:t>
            </a:r>
            <a:endParaRPr lang="en-US" altLang="zh-CN" sz="1100"/>
          </a:p>
        </c:rich>
      </c:tx>
      <c:layout/>
      <c:overlay val="0"/>
    </c:title>
    <c:autoTitleDeleted val="0"/>
    <c:plotArea>
      <c:layout>
        <c:manualLayout>
          <c:layoutTarget val="inner"/>
          <c:xMode val="edge"/>
          <c:yMode val="edge"/>
          <c:x val="0.193637340608015"/>
          <c:y val="0.247115981131729"/>
          <c:w val="0.668481091701061"/>
          <c:h val="0.637792705981682"/>
        </c:manualLayout>
      </c:layout>
      <c:barChart>
        <c:barDir val="bar"/>
        <c:grouping val="stacked"/>
        <c:varyColors val="0"/>
        <c:ser>
          <c:idx val="0"/>
          <c:order val="0"/>
          <c:tx>
            <c:strRef>
              <c:f>'[项目进度表甘特图(2).xlsx]Sheet1'!$D$4</c:f>
              <c:strCache>
                <c:ptCount val="1"/>
                <c:pt idx="0">
                  <c:v>开始时间</c:v>
                </c:pt>
              </c:strCache>
            </c:strRef>
          </c:tx>
          <c:spPr>
            <a:noFill/>
          </c:spPr>
          <c:invertIfNegative val="0"/>
          <c:dLbls>
            <c:delete val="1"/>
          </c:dLbls>
          <c:cat>
            <c:strRef>
              <c:f>'[项目进度表甘特图(2).xlsx]Sheet1'!$C$5:$C$11</c:f>
              <c:strCache>
                <c:ptCount val="7"/>
                <c:pt idx="0">
                  <c:v>Title</c:v>
                </c:pt>
                <c:pt idx="1">
                  <c:v>The research question</c:v>
                </c:pt>
                <c:pt idx="2">
                  <c:v>Background</c:v>
                </c:pt>
                <c:pt idx="3">
                  <c:v>The main aim</c:v>
                </c:pt>
                <c:pt idx="4">
                  <c:v>Literaturen review</c:v>
                </c:pt>
                <c:pt idx="5">
                  <c:v>Technology and principle</c:v>
                </c:pt>
                <c:pt idx="6">
                  <c:v>References</c:v>
                </c:pt>
              </c:strCache>
            </c:strRef>
          </c:cat>
          <c:val>
            <c:numRef>
              <c:f>'[项目进度表甘特图(2).xlsx]Sheet1'!$D$5:$D$11</c:f>
              <c:numCache>
                <c:formatCode>yyyy/m/d</c:formatCode>
                <c:ptCount val="7"/>
                <c:pt idx="0">
                  <c:v>44132</c:v>
                </c:pt>
                <c:pt idx="1">
                  <c:v>44136</c:v>
                </c:pt>
                <c:pt idx="2">
                  <c:v>44142</c:v>
                </c:pt>
                <c:pt idx="3">
                  <c:v>44148</c:v>
                </c:pt>
                <c:pt idx="4">
                  <c:v>44151</c:v>
                </c:pt>
                <c:pt idx="5">
                  <c:v>44155</c:v>
                </c:pt>
                <c:pt idx="6">
                  <c:v>44161</c:v>
                </c:pt>
              </c:numCache>
            </c:numRef>
          </c:val>
        </c:ser>
        <c:ser>
          <c:idx val="1"/>
          <c:order val="1"/>
          <c:tx>
            <c:strRef>
              <c:f>'[项目进度表甘特图(2).xlsx]Sheet1'!$E$4</c:f>
              <c:strCache>
                <c:ptCount val="1"/>
                <c:pt idx="0">
                  <c:v>Duration </c:v>
                </c:pt>
              </c:strCache>
            </c:strRef>
          </c:tx>
          <c:spPr>
            <a:solidFill>
              <a:schemeClr val="accent1">
                <a:lumMod val="75000"/>
              </a:schemeClr>
            </a:solidFill>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'[项目进度表甘特图(2).xlsx]Sheet1'!$C$5:$C$11</c:f>
              <c:strCache>
                <c:ptCount val="7"/>
                <c:pt idx="0">
                  <c:v>Title</c:v>
                </c:pt>
                <c:pt idx="1">
                  <c:v>The research question</c:v>
                </c:pt>
                <c:pt idx="2">
                  <c:v>Background</c:v>
                </c:pt>
                <c:pt idx="3">
                  <c:v>The main aim</c:v>
                </c:pt>
                <c:pt idx="4">
                  <c:v>Literaturen review</c:v>
                </c:pt>
                <c:pt idx="5">
                  <c:v>Technology and principle</c:v>
                </c:pt>
                <c:pt idx="6">
                  <c:v>References</c:v>
                </c:pt>
              </c:strCache>
            </c:strRef>
          </c:cat>
          <c:val>
            <c:numRef>
              <c:f>'[项目进度表甘特图(2).xlsx]Sheet1'!$E$5:$E$11</c:f>
              <c:numCache>
                <c:formatCode>0_);[Red]\(0\)</c:formatCode>
                <c:ptCount val="7"/>
                <c:pt idx="0">
                  <c:v>5</c:v>
                </c:pt>
                <c:pt idx="1">
                  <c:v>7</c:v>
                </c:pt>
                <c:pt idx="2">
                  <c:v>7</c:v>
                </c:pt>
                <c:pt idx="3">
                  <c:v>4</c:v>
                </c:pt>
                <c:pt idx="4">
                  <c:v>5</c:v>
                </c:pt>
                <c:pt idx="5">
                  <c:v>7</c:v>
                </c:pt>
                <c:pt idx="6">
                  <c:v>5</c:v>
                </c:pt>
              </c:numCache>
            </c:numRef>
          </c:val>
        </c:ser>
        <c:dLbls>
          <c:showLegendKey val="0"/>
          <c:showVal val="0"/>
          <c:showCatName val="0"/>
          <c:showSerName val="0"/>
          <c:showPercent val="0"/>
          <c:showBubbleSize val="0"/>
        </c:dLbls>
        <c:gapWidth val="150"/>
        <c:overlap val="100"/>
        <c:axId val="54630272"/>
        <c:axId val="54631808"/>
      </c:barChart>
      <c:catAx>
        <c:axId val="54630272"/>
        <c:scaling>
          <c:orientation val="maxMin"/>
        </c:scaling>
        <c:delete val="0"/>
        <c:axPos val="l"/>
        <c:majorTickMark val="out"/>
        <c:minorTickMark val="none"/>
        <c:tickLblPos val="nextTo"/>
        <c:txPr>
          <a:bodyPr rot="-60000000" spcFirstLastPara="0" vertOverflow="ellipsis" vert="horz" wrap="square" anchor="ctr" anchorCtr="1"/>
          <a:lstStyle/>
          <a:p>
            <a:pPr>
              <a:defRPr lang="zh-CN" sz="800" b="0" i="0" u="none" strike="noStrike" kern="1200" baseline="0">
                <a:solidFill>
                  <a:schemeClr val="tx1"/>
                </a:solidFill>
                <a:latin typeface="+mn-lt"/>
                <a:ea typeface="+mn-ea"/>
                <a:cs typeface="+mn-cs"/>
              </a:defRPr>
            </a:pPr>
          </a:p>
        </c:txPr>
        <c:crossAx val="54631808"/>
        <c:crosses val="autoZero"/>
        <c:auto val="1"/>
        <c:lblAlgn val="ctr"/>
        <c:lblOffset val="100"/>
        <c:noMultiLvlLbl val="0"/>
      </c:catAx>
      <c:valAx>
        <c:axId val="54631808"/>
        <c:scaling>
          <c:orientation val="minMax"/>
          <c:max val="44165"/>
          <c:min val="44132"/>
        </c:scaling>
        <c:delete val="0"/>
        <c:axPos val="t"/>
        <c:majorGridlines>
          <c:spPr>
            <a:ln w="9525"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ysDot"/>
              <a:round/>
            </a:ln>
          </c:spPr>
        </c:majorGridlines>
        <c:numFmt formatCode="m/d/yyyy"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4630272"/>
        <c:crosses val="autoZero"/>
        <c:crossBetween val="between"/>
        <c:majorUnit val="10"/>
        <c:minorUnit val="2"/>
      </c:valAx>
    </c:plotArea>
    <c:legend>
      <c:legendPos val="b"/>
      <c:legendEntry>
        <c:idx val="0"/>
        <c:delete val="1"/>
      </c:legendEntry>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2020-11-29T01:55:00Z</dcterms:created>
  <dc:creator>Fallen Leaves</dc:creator>
  <cp:lastModifiedBy>Fallen Leaves</cp:lastModifiedBy>
  <dcterms:modified xsi:type="dcterms:W3CDTF">2020-11-30T14:07:23Z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2052-11.1.0.9929</vt:lpwstr>
  </property>
</Properties>
</file>