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729459178"/>
        <w:docPartObj>
          <w:docPartGallery w:val="Cover Pages"/>
          <w:docPartUnique/>
        </w:docPartObj>
      </w:sdtPr>
      <w:sdtContent>
        <w:p w14:paraId="3B74E7CD" w14:textId="3F13EE63" w:rsidR="0064658D" w:rsidRPr="00F75477" w:rsidRDefault="00A41D94" w:rsidP="00F75477">
          <w:pPr>
            <w:spacing w:line="360" w:lineRule="auto"/>
            <w:jc w:val="both"/>
            <w:rPr>
              <w:rFonts w:ascii="Arial" w:hAnsi="Arial" w:cs="Arial"/>
            </w:rPr>
          </w:pPr>
          <w:r w:rsidRPr="00F75477">
            <w:rPr>
              <w:rFonts w:ascii="Arial" w:hAnsi="Arial" w:cs="Arial"/>
              <w:b/>
              <w:bCs/>
              <w:noProof/>
            </w:rPr>
            <w:drawing>
              <wp:anchor distT="0" distB="0" distL="114300" distR="114300" simplePos="0" relativeHeight="251662336" behindDoc="0" locked="0" layoutInCell="1" allowOverlap="1" wp14:anchorId="7AAD1C49" wp14:editId="16FB803E">
                <wp:simplePos x="0" y="0"/>
                <wp:positionH relativeFrom="margin">
                  <wp:align>center</wp:align>
                </wp:positionH>
                <wp:positionV relativeFrom="margin">
                  <wp:align>top</wp:align>
                </wp:positionV>
                <wp:extent cx="2743200" cy="1219200"/>
                <wp:effectExtent l="0" t="0" r="0" b="0"/>
                <wp:wrapSquare wrapText="bothSides"/>
                <wp:docPr id="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3200" cy="1219200"/>
                        </a:xfrm>
                        <a:prstGeom prst="rect">
                          <a:avLst/>
                        </a:prstGeom>
                        <a:noFill/>
                      </pic:spPr>
                    </pic:pic>
                  </a:graphicData>
                </a:graphic>
              </wp:anchor>
            </w:drawing>
          </w:r>
        </w:p>
        <w:p w14:paraId="4CB64941" w14:textId="35577C77" w:rsidR="0064658D" w:rsidRPr="00F75477" w:rsidRDefault="0064658D" w:rsidP="00F75477">
          <w:pPr>
            <w:spacing w:line="360" w:lineRule="auto"/>
            <w:jc w:val="both"/>
            <w:rPr>
              <w:rFonts w:ascii="Arial" w:hAnsi="Arial" w:cs="Arial"/>
            </w:rPr>
          </w:pPr>
          <w:r w:rsidRPr="00F75477">
            <w:rPr>
              <w:rFonts w:ascii="Arial" w:hAnsi="Arial" w:cs="Arial"/>
              <w:noProof/>
              <w:lang w:eastAsia="zh-CN"/>
            </w:rPr>
            <mc:AlternateContent>
              <mc:Choice Requires="wps">
                <w:drawing>
                  <wp:anchor distT="0" distB="0" distL="182880" distR="182880" simplePos="0" relativeHeight="251660288" behindDoc="0" locked="0" layoutInCell="1" allowOverlap="1" wp14:anchorId="49296982" wp14:editId="54C180A9">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75"/>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8E11CA" w14:textId="3394DAF1" w:rsidR="0064658D" w:rsidRDefault="00000000" w:rsidP="00F75477">
                                <w:pPr>
                                  <w:pStyle w:val="NoSpacing"/>
                                  <w:spacing w:before="40" w:after="560" w:line="216" w:lineRule="auto"/>
                                  <w:rPr>
                                    <w:color w:val="156082" w:themeColor="accent1"/>
                                    <w:sz w:val="72"/>
                                    <w:szCs w:val="72"/>
                                  </w:rPr>
                                </w:pPr>
                                <w:sdt>
                                  <w:sdtPr>
                                    <w:rPr>
                                      <w:rFonts w:eastAsiaTheme="minorHAnsi"/>
                                      <w:color w:val="156082" w:themeColor="accent1"/>
                                      <w:kern w:val="2"/>
                                      <w:sz w:val="72"/>
                                      <w:szCs w:val="72"/>
                                      <w:lang w:val="en-GB" w:eastAsia="en-US"/>
                                      <w14:ligatures w14:val="standardContextual"/>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F75477" w:rsidRPr="00F75477">
                                      <w:rPr>
                                        <w:rFonts w:eastAsiaTheme="minorHAnsi"/>
                                        <w:color w:val="156082" w:themeColor="accent1"/>
                                        <w:kern w:val="2"/>
                                        <w:sz w:val="72"/>
                                        <w:szCs w:val="72"/>
                                        <w:lang w:val="en-GB" w:eastAsia="en-US"/>
                                        <w14:ligatures w14:val="standardContextual"/>
                                      </w:rPr>
                                      <w:t>Component 2: Coursework:</w:t>
                                    </w:r>
                                    <w:r w:rsidR="00F75477">
                                      <w:rPr>
                                        <w:rFonts w:eastAsiaTheme="minorHAnsi"/>
                                        <w:color w:val="156082" w:themeColor="accent1"/>
                                        <w:kern w:val="2"/>
                                        <w:sz w:val="72"/>
                                        <w:szCs w:val="72"/>
                                        <w:lang w:val="en-GB" w:eastAsia="en-US"/>
                                        <w14:ligatures w14:val="standardContextual"/>
                                      </w:rPr>
                                      <w:t xml:space="preserve"> </w:t>
                                    </w:r>
                                    <w:r w:rsidR="00F75477" w:rsidRPr="00F75477">
                                      <w:rPr>
                                        <w:rFonts w:eastAsiaTheme="minorHAnsi"/>
                                        <w:color w:val="156082" w:themeColor="accent1"/>
                                        <w:kern w:val="2"/>
                                        <w:sz w:val="72"/>
                                        <w:szCs w:val="72"/>
                                        <w:lang w:val="en-GB" w:eastAsia="en-US"/>
                                        <w14:ligatures w14:val="standardContextual"/>
                                      </w:rPr>
                                      <w:t>Essay</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34D33B9" w14:textId="564BA46F" w:rsidR="0064658D" w:rsidRDefault="0064658D">
                                    <w:pPr>
                                      <w:pStyle w:val="NoSpacing"/>
                                      <w:spacing w:before="40" w:after="40"/>
                                      <w:rPr>
                                        <w:caps/>
                                        <w:color w:val="501549" w:themeColor="accent5" w:themeShade="80"/>
                                        <w:sz w:val="28"/>
                                        <w:szCs w:val="28"/>
                                      </w:rPr>
                                    </w:pPr>
                                    <w:r w:rsidRPr="0064658D">
                                      <w:rPr>
                                        <w:caps/>
                                        <w:color w:val="501549" w:themeColor="accent5" w:themeShade="80"/>
                                        <w:sz w:val="28"/>
                                        <w:szCs w:val="28"/>
                                      </w:rPr>
                                      <w:t>Project Management (LCBB6006</w:t>
                                    </w:r>
                                    <w:r>
                                      <w:rPr>
                                        <w:caps/>
                                        <w:color w:val="501549" w:themeColor="accent5" w:themeShade="80"/>
                                        <w:sz w:val="28"/>
                                        <w:szCs w:val="28"/>
                                      </w:rPr>
                                      <w:t>)</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3C602AB" w14:textId="53E004F4" w:rsidR="0064658D" w:rsidRDefault="0064658D">
                                    <w:pPr>
                                      <w:pStyle w:val="NoSpacing"/>
                                      <w:spacing w:before="80" w:after="40"/>
                                      <w:rPr>
                                        <w:caps/>
                                        <w:color w:val="A02B93" w:themeColor="accent5"/>
                                        <w:sz w:val="24"/>
                                        <w:szCs w:val="24"/>
                                      </w:rPr>
                                    </w:pPr>
                                    <w:r>
                                      <w:rPr>
                                        <w:caps/>
                                        <w:color w:val="A02B93" w:themeColor="accent5"/>
                                        <w:sz w:val="24"/>
                                        <w:szCs w:val="24"/>
                                      </w:rPr>
                                      <w:t>Ionut agrigoroaei (2247225)</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49296982" id="_x0000_t202" coordsize="21600,21600" o:spt="202" path="m,l,21600r21600,l21600,xe">
                    <v:stroke joinstyle="miter"/>
                    <v:path gradientshapeok="t" o:connecttype="rect"/>
                  </v:shapetype>
                  <v:shape id="Text Box 75" o:spid="_x0000_s1026" type="#_x0000_t202" style="position:absolute;left:0;text-align:left;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" filled="f" stroked="f" strokeweight=".5pt">
                    <v:textbox style="mso-fit-shape-to-text:t" inset="0,0,0,0">
                      <w:txbxContent>
                        <w:p w14:paraId="368E11CA" w14:textId="3394DAF1" w:rsidR="0064658D" w:rsidRDefault="00F75477" w:rsidP="00F75477">
                          <w:pPr>
                            <w:pStyle w:val="NoSpacing"/>
                            <w:spacing w:before="40" w:after="560" w:line="216" w:lineRule="auto"/>
                            <w:rPr>
                              <w:color w:val="156082" w:themeColor="accent1"/>
                              <w:sz w:val="72"/>
                              <w:szCs w:val="72"/>
                            </w:rPr>
                          </w:pPr>
                          <w:sdt>
                            <w:sdtPr>
                              <w:rPr>
                                <w:rFonts w:eastAsiaTheme="minorHAnsi"/>
                                <w:color w:val="156082" w:themeColor="accent1"/>
                                <w:kern w:val="2"/>
                                <w:sz w:val="72"/>
                                <w:szCs w:val="72"/>
                                <w:lang w:val="en-GB" w:eastAsia="en-US"/>
                                <w14:ligatures w14:val="standardContextual"/>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F75477">
                                <w:rPr>
                                  <w:rFonts w:eastAsiaTheme="minorHAnsi"/>
                                  <w:color w:val="156082" w:themeColor="accent1"/>
                                  <w:kern w:val="2"/>
                                  <w:sz w:val="72"/>
                                  <w:szCs w:val="72"/>
                                  <w:lang w:val="en-GB" w:eastAsia="en-US"/>
                                  <w14:ligatures w14:val="standardContextual"/>
                                </w:rPr>
                                <w:t>Component 2: Coursework:</w:t>
                              </w:r>
                              <w:r>
                                <w:rPr>
                                  <w:rFonts w:eastAsiaTheme="minorHAnsi"/>
                                  <w:color w:val="156082" w:themeColor="accent1"/>
                                  <w:kern w:val="2"/>
                                  <w:sz w:val="72"/>
                                  <w:szCs w:val="72"/>
                                  <w:lang w:val="en-GB" w:eastAsia="en-US"/>
                                  <w14:ligatures w14:val="standardContextual"/>
                                </w:rPr>
                                <w:t xml:space="preserve"> </w:t>
                              </w:r>
                              <w:r w:rsidRPr="00F75477">
                                <w:rPr>
                                  <w:rFonts w:eastAsiaTheme="minorHAnsi"/>
                                  <w:color w:val="156082" w:themeColor="accent1"/>
                                  <w:kern w:val="2"/>
                                  <w:sz w:val="72"/>
                                  <w:szCs w:val="72"/>
                                  <w:lang w:val="en-GB" w:eastAsia="en-US"/>
                                  <w14:ligatures w14:val="standardContextual"/>
                                </w:rPr>
                                <w:t>Essay</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34D33B9" w14:textId="564BA46F" w:rsidR="0064658D" w:rsidRDefault="0064658D">
                              <w:pPr>
                                <w:pStyle w:val="NoSpacing"/>
                                <w:spacing w:before="40" w:after="40"/>
                                <w:rPr>
                                  <w:caps/>
                                  <w:color w:val="501549" w:themeColor="accent5" w:themeShade="80"/>
                                  <w:sz w:val="28"/>
                                  <w:szCs w:val="28"/>
                                </w:rPr>
                              </w:pPr>
                              <w:r w:rsidRPr="0064658D">
                                <w:rPr>
                                  <w:caps/>
                                  <w:color w:val="501549" w:themeColor="accent5" w:themeShade="80"/>
                                  <w:sz w:val="28"/>
                                  <w:szCs w:val="28"/>
                                </w:rPr>
                                <w:t>Project Management (LCBB6006</w:t>
                              </w:r>
                              <w:r>
                                <w:rPr>
                                  <w:caps/>
                                  <w:color w:val="501549" w:themeColor="accent5" w:themeShade="80"/>
                                  <w:sz w:val="28"/>
                                  <w:szCs w:val="28"/>
                                </w:rPr>
                                <w:t>)</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3C602AB" w14:textId="53E004F4" w:rsidR="0064658D" w:rsidRDefault="0064658D">
                              <w:pPr>
                                <w:pStyle w:val="NoSpacing"/>
                                <w:spacing w:before="80" w:after="40"/>
                                <w:rPr>
                                  <w:caps/>
                                  <w:color w:val="A02B93" w:themeColor="accent5"/>
                                  <w:sz w:val="24"/>
                                  <w:szCs w:val="24"/>
                                </w:rPr>
                              </w:pPr>
                              <w:r>
                                <w:rPr>
                                  <w:caps/>
                                  <w:color w:val="A02B93" w:themeColor="accent5"/>
                                  <w:sz w:val="24"/>
                                  <w:szCs w:val="24"/>
                                </w:rPr>
                                <w:t>Ionut agrigoroaei (2247225)</w:t>
                              </w:r>
                            </w:p>
                          </w:sdtContent>
                        </w:sdt>
                      </w:txbxContent>
                    </v:textbox>
                    <w10:wrap type="square" anchorx="margin" anchory="page"/>
                  </v:shape>
                </w:pict>
              </mc:Fallback>
            </mc:AlternateContent>
          </w:r>
          <w:r w:rsidRPr="00F75477">
            <w:rPr>
              <w:rFonts w:ascii="Arial" w:hAnsi="Arial" w:cs="Arial"/>
            </w:rPr>
            <w:br w:type="page"/>
          </w:r>
        </w:p>
      </w:sdtContent>
    </w:sdt>
    <w:bookmarkStart w:id="0" w:name="_Toc238404291" w:displacedByCustomXml="next"/>
    <w:sdt>
      <w:sdtPr>
        <w:rPr>
          <w:rFonts w:ascii="Arial" w:eastAsiaTheme="minorHAnsi" w:hAnsi="Arial" w:cs="Arial"/>
          <w:color w:val="auto"/>
          <w:sz w:val="24"/>
          <w:szCs w:val="24"/>
        </w:rPr>
        <w:id w:val="-1097409457"/>
        <w:docPartObj>
          <w:docPartGallery w:val="Table of Contents"/>
          <w:docPartUnique/>
        </w:docPartObj>
      </w:sdtPr>
      <w:sdtEndPr>
        <w:rPr>
          <w:b/>
          <w:bCs/>
          <w:noProof/>
        </w:rPr>
      </w:sdtEndPr>
      <w:sdtContent>
        <w:p w14:paraId="19F60834" w14:textId="62B54601" w:rsidR="0064658D" w:rsidRPr="00F75477" w:rsidRDefault="0064658D" w:rsidP="00F75477">
          <w:pPr>
            <w:pStyle w:val="Heading1"/>
            <w:numPr>
              <w:ilvl w:val="0"/>
              <w:numId w:val="0"/>
            </w:numPr>
            <w:spacing w:line="360" w:lineRule="auto"/>
            <w:jc w:val="both"/>
            <w:rPr>
              <w:rFonts w:ascii="Arial" w:hAnsi="Arial" w:cs="Arial"/>
            </w:rPr>
          </w:pPr>
          <w:r w:rsidRPr="00F75477">
            <w:rPr>
              <w:rFonts w:ascii="Arial" w:hAnsi="Arial" w:cs="Arial"/>
            </w:rPr>
            <w:t>Table of Contents</w:t>
          </w:r>
          <w:bookmarkEnd w:id="0"/>
        </w:p>
        <w:p w14:paraId="05E4707A" w14:textId="76EFD2C7" w:rsidR="00F75477" w:rsidRDefault="0064658D">
          <w:pPr>
            <w:pStyle w:val="TOC1"/>
            <w:tabs>
              <w:tab w:val="right" w:leader="dot" w:pos="9016"/>
            </w:tabs>
            <w:rPr>
              <w:rFonts w:eastAsiaTheme="minorEastAsia"/>
              <w:b w:val="0"/>
              <w:bCs w:val="0"/>
              <w:i w:val="0"/>
              <w:iCs w:val="0"/>
              <w:noProof/>
              <w:lang w:eastAsia="en-GB"/>
            </w:rPr>
          </w:pPr>
          <w:r w:rsidRPr="00F75477">
            <w:rPr>
              <w:rFonts w:ascii="Arial" w:hAnsi="Arial" w:cs="Arial"/>
              <w:b w:val="0"/>
              <w:bCs w:val="0"/>
            </w:rPr>
            <w:fldChar w:fldCharType="begin"/>
          </w:r>
          <w:r w:rsidRPr="00F75477">
            <w:rPr>
              <w:rFonts w:ascii="Arial" w:hAnsi="Arial" w:cs="Arial"/>
            </w:rPr>
            <w:instrText xml:space="preserve"> TOC \o "1-3" \h \z \u </w:instrText>
          </w:r>
          <w:r w:rsidRPr="00F75477">
            <w:rPr>
              <w:rFonts w:ascii="Arial" w:hAnsi="Arial" w:cs="Arial"/>
              <w:b w:val="0"/>
              <w:bCs w:val="0"/>
            </w:rPr>
            <w:fldChar w:fldCharType="separate"/>
          </w:r>
          <w:hyperlink w:anchor="_Toc238404291" w:history="1">
            <w:r w:rsidR="00F75477" w:rsidRPr="002C214A">
              <w:rPr>
                <w:rStyle w:val="Hyperlink"/>
                <w:rFonts w:ascii="Arial" w:hAnsi="Arial" w:cs="Arial"/>
                <w:noProof/>
              </w:rPr>
              <w:t>Table of Contents</w:t>
            </w:r>
            <w:r w:rsidR="00F75477">
              <w:rPr>
                <w:noProof/>
                <w:webHidden/>
              </w:rPr>
              <w:tab/>
            </w:r>
            <w:r w:rsidR="00F75477">
              <w:rPr>
                <w:noProof/>
                <w:webHidden/>
              </w:rPr>
              <w:fldChar w:fldCharType="begin"/>
            </w:r>
            <w:r w:rsidR="00F75477">
              <w:rPr>
                <w:noProof/>
                <w:webHidden/>
              </w:rPr>
              <w:instrText xml:space="preserve"> PAGEREF _Toc238404291 \h </w:instrText>
            </w:r>
            <w:r w:rsidR="00F75477">
              <w:rPr>
                <w:noProof/>
                <w:webHidden/>
              </w:rPr>
            </w:r>
            <w:r w:rsidR="00F75477">
              <w:rPr>
                <w:noProof/>
                <w:webHidden/>
              </w:rPr>
              <w:fldChar w:fldCharType="separate"/>
            </w:r>
            <w:r w:rsidR="00F75477">
              <w:rPr>
                <w:noProof/>
                <w:webHidden/>
              </w:rPr>
              <w:t>1</w:t>
            </w:r>
            <w:r w:rsidR="00F75477">
              <w:rPr>
                <w:noProof/>
                <w:webHidden/>
              </w:rPr>
              <w:fldChar w:fldCharType="end"/>
            </w:r>
          </w:hyperlink>
        </w:p>
        <w:p w14:paraId="27BBBE9B" w14:textId="6F9DEF02" w:rsidR="00F75477" w:rsidRDefault="00F75477">
          <w:pPr>
            <w:pStyle w:val="TOC1"/>
            <w:tabs>
              <w:tab w:val="left" w:pos="480"/>
              <w:tab w:val="right" w:leader="dot" w:pos="9016"/>
            </w:tabs>
            <w:rPr>
              <w:rFonts w:eastAsiaTheme="minorEastAsia"/>
              <w:b w:val="0"/>
              <w:bCs w:val="0"/>
              <w:i w:val="0"/>
              <w:iCs w:val="0"/>
              <w:noProof/>
              <w:lang w:eastAsia="en-GB"/>
            </w:rPr>
          </w:pPr>
          <w:hyperlink w:anchor="_Toc238404292" w:history="1">
            <w:r w:rsidRPr="002C214A">
              <w:rPr>
                <w:rStyle w:val="Hyperlink"/>
                <w:rFonts w:ascii="Arial" w:hAnsi="Arial" w:cs="Arial"/>
                <w:noProof/>
              </w:rPr>
              <w:t>I.</w:t>
            </w:r>
            <w:r>
              <w:rPr>
                <w:rFonts w:eastAsiaTheme="minorEastAsia"/>
                <w:b w:val="0"/>
                <w:bCs w:val="0"/>
                <w:i w:val="0"/>
                <w:iCs w:val="0"/>
                <w:noProof/>
                <w:lang w:eastAsia="en-GB"/>
              </w:rPr>
              <w:tab/>
            </w:r>
            <w:r w:rsidRPr="002C214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_Toc238404292 \h </w:instrText>
            </w:r>
            <w:r>
              <w:rPr>
                <w:noProof/>
                <w:webHidden/>
              </w:rPr>
            </w:r>
            <w:r>
              <w:rPr>
                <w:noProof/>
                <w:webHidden/>
              </w:rPr>
              <w:fldChar w:fldCharType="separate"/>
            </w:r>
            <w:r>
              <w:rPr>
                <w:noProof/>
                <w:webHidden/>
              </w:rPr>
              <w:t>2</w:t>
            </w:r>
            <w:r>
              <w:rPr>
                <w:noProof/>
                <w:webHidden/>
              </w:rPr>
              <w:fldChar w:fldCharType="end"/>
            </w:r>
          </w:hyperlink>
        </w:p>
        <w:p w14:paraId="688C0251" w14:textId="71E6CB7D" w:rsidR="00F75477" w:rsidRDefault="00F75477">
          <w:pPr>
            <w:pStyle w:val="TOC1"/>
            <w:tabs>
              <w:tab w:val="left" w:pos="480"/>
              <w:tab w:val="right" w:leader="dot" w:pos="9016"/>
            </w:tabs>
            <w:rPr>
              <w:rFonts w:eastAsiaTheme="minorEastAsia"/>
              <w:b w:val="0"/>
              <w:bCs w:val="0"/>
              <w:i w:val="0"/>
              <w:iCs w:val="0"/>
              <w:noProof/>
              <w:lang w:eastAsia="en-GB"/>
            </w:rPr>
          </w:pPr>
          <w:hyperlink w:anchor="_Toc238404293" w:history="1">
            <w:r w:rsidRPr="002C214A">
              <w:rPr>
                <w:rStyle w:val="Hyperlink"/>
                <w:rFonts w:ascii="Arial" w:hAnsi="Arial" w:cs="Arial"/>
                <w:noProof/>
              </w:rPr>
              <w:t>II.</w:t>
            </w:r>
            <w:r>
              <w:rPr>
                <w:rFonts w:eastAsiaTheme="minorEastAsia"/>
                <w:b w:val="0"/>
                <w:bCs w:val="0"/>
                <w:i w:val="0"/>
                <w:iCs w:val="0"/>
                <w:noProof/>
                <w:lang w:eastAsia="en-GB"/>
              </w:rPr>
              <w:tab/>
            </w:r>
            <w:r w:rsidRPr="002C214A">
              <w:rPr>
                <w:rStyle w:val="Hyperlink"/>
                <w:rFonts w:ascii="Arial" w:hAnsi="Arial" w:cs="Arial"/>
                <w:noProof/>
              </w:rPr>
              <w:t>Turnkey Contracting</w:t>
            </w:r>
            <w:r>
              <w:rPr>
                <w:noProof/>
                <w:webHidden/>
              </w:rPr>
              <w:tab/>
            </w:r>
            <w:r>
              <w:rPr>
                <w:noProof/>
                <w:webHidden/>
              </w:rPr>
              <w:fldChar w:fldCharType="begin"/>
            </w:r>
            <w:r>
              <w:rPr>
                <w:noProof/>
                <w:webHidden/>
              </w:rPr>
              <w:instrText xml:space="preserve"> PAGEREF _Toc238404293 \h </w:instrText>
            </w:r>
            <w:r>
              <w:rPr>
                <w:noProof/>
                <w:webHidden/>
              </w:rPr>
            </w:r>
            <w:r>
              <w:rPr>
                <w:noProof/>
                <w:webHidden/>
              </w:rPr>
              <w:fldChar w:fldCharType="separate"/>
            </w:r>
            <w:r>
              <w:rPr>
                <w:noProof/>
                <w:webHidden/>
              </w:rPr>
              <w:t>2</w:t>
            </w:r>
            <w:r>
              <w:rPr>
                <w:noProof/>
                <w:webHidden/>
              </w:rPr>
              <w:fldChar w:fldCharType="end"/>
            </w:r>
          </w:hyperlink>
        </w:p>
        <w:p w14:paraId="5E41DE9A" w14:textId="718D55B2" w:rsidR="00F75477" w:rsidRDefault="00F75477">
          <w:pPr>
            <w:pStyle w:val="TOC1"/>
            <w:tabs>
              <w:tab w:val="left" w:pos="720"/>
              <w:tab w:val="right" w:leader="dot" w:pos="9016"/>
            </w:tabs>
            <w:rPr>
              <w:rFonts w:eastAsiaTheme="minorEastAsia"/>
              <w:b w:val="0"/>
              <w:bCs w:val="0"/>
              <w:i w:val="0"/>
              <w:iCs w:val="0"/>
              <w:noProof/>
              <w:lang w:eastAsia="en-GB"/>
            </w:rPr>
          </w:pPr>
          <w:hyperlink w:anchor="_Toc238404294" w:history="1">
            <w:r w:rsidRPr="002C214A">
              <w:rPr>
                <w:rStyle w:val="Hyperlink"/>
                <w:rFonts w:ascii="Arial" w:hAnsi="Arial" w:cs="Arial"/>
                <w:noProof/>
              </w:rPr>
              <w:t>III.</w:t>
            </w:r>
            <w:r>
              <w:rPr>
                <w:rFonts w:eastAsiaTheme="minorEastAsia"/>
                <w:b w:val="0"/>
                <w:bCs w:val="0"/>
                <w:i w:val="0"/>
                <w:iCs w:val="0"/>
                <w:noProof/>
                <w:lang w:eastAsia="en-GB"/>
              </w:rPr>
              <w:tab/>
            </w:r>
            <w:r w:rsidRPr="002C214A">
              <w:rPr>
                <w:rStyle w:val="Hyperlink"/>
                <w:rFonts w:ascii="Arial" w:hAnsi="Arial" w:cs="Arial"/>
                <w:noProof/>
              </w:rPr>
              <w:t>Multicontract Contracting</w:t>
            </w:r>
            <w:r>
              <w:rPr>
                <w:noProof/>
                <w:webHidden/>
              </w:rPr>
              <w:tab/>
            </w:r>
            <w:r>
              <w:rPr>
                <w:noProof/>
                <w:webHidden/>
              </w:rPr>
              <w:fldChar w:fldCharType="begin"/>
            </w:r>
            <w:r>
              <w:rPr>
                <w:noProof/>
                <w:webHidden/>
              </w:rPr>
              <w:instrText xml:space="preserve"> PAGEREF _Toc238404294 \h </w:instrText>
            </w:r>
            <w:r>
              <w:rPr>
                <w:noProof/>
                <w:webHidden/>
              </w:rPr>
            </w:r>
            <w:r>
              <w:rPr>
                <w:noProof/>
                <w:webHidden/>
              </w:rPr>
              <w:fldChar w:fldCharType="separate"/>
            </w:r>
            <w:r>
              <w:rPr>
                <w:noProof/>
                <w:webHidden/>
              </w:rPr>
              <w:t>3</w:t>
            </w:r>
            <w:r>
              <w:rPr>
                <w:noProof/>
                <w:webHidden/>
              </w:rPr>
              <w:fldChar w:fldCharType="end"/>
            </w:r>
          </w:hyperlink>
        </w:p>
        <w:p w14:paraId="2005997B" w14:textId="4787A76E" w:rsidR="00F75477" w:rsidRDefault="00F75477">
          <w:pPr>
            <w:pStyle w:val="TOC1"/>
            <w:tabs>
              <w:tab w:val="left" w:pos="720"/>
              <w:tab w:val="right" w:leader="dot" w:pos="9016"/>
            </w:tabs>
            <w:rPr>
              <w:rFonts w:eastAsiaTheme="minorEastAsia"/>
              <w:b w:val="0"/>
              <w:bCs w:val="0"/>
              <w:i w:val="0"/>
              <w:iCs w:val="0"/>
              <w:noProof/>
              <w:lang w:eastAsia="en-GB"/>
            </w:rPr>
          </w:pPr>
          <w:hyperlink w:anchor="_Toc238404295" w:history="1">
            <w:r w:rsidRPr="002C214A">
              <w:rPr>
                <w:rStyle w:val="Hyperlink"/>
                <w:rFonts w:ascii="Arial" w:hAnsi="Arial" w:cs="Arial"/>
                <w:noProof/>
              </w:rPr>
              <w:t>IV.</w:t>
            </w:r>
            <w:r>
              <w:rPr>
                <w:rFonts w:eastAsiaTheme="minorEastAsia"/>
                <w:b w:val="0"/>
                <w:bCs w:val="0"/>
                <w:i w:val="0"/>
                <w:iCs w:val="0"/>
                <w:noProof/>
                <w:lang w:eastAsia="en-GB"/>
              </w:rPr>
              <w:tab/>
            </w:r>
            <w:r w:rsidRPr="002C214A">
              <w:rPr>
                <w:rStyle w:val="Hyperlink"/>
                <w:rFonts w:ascii="Arial" w:hAnsi="Arial" w:cs="Arial"/>
                <w:noProof/>
              </w:rPr>
              <w:t>Do-It-Yourself (DIY) Contracting</w:t>
            </w:r>
            <w:r>
              <w:rPr>
                <w:noProof/>
                <w:webHidden/>
              </w:rPr>
              <w:tab/>
            </w:r>
            <w:r>
              <w:rPr>
                <w:noProof/>
                <w:webHidden/>
              </w:rPr>
              <w:fldChar w:fldCharType="begin"/>
            </w:r>
            <w:r>
              <w:rPr>
                <w:noProof/>
                <w:webHidden/>
              </w:rPr>
              <w:instrText xml:space="preserve"> PAGEREF _Toc238404295 \h </w:instrText>
            </w:r>
            <w:r>
              <w:rPr>
                <w:noProof/>
                <w:webHidden/>
              </w:rPr>
            </w:r>
            <w:r>
              <w:rPr>
                <w:noProof/>
                <w:webHidden/>
              </w:rPr>
              <w:fldChar w:fldCharType="separate"/>
            </w:r>
            <w:r>
              <w:rPr>
                <w:noProof/>
                <w:webHidden/>
              </w:rPr>
              <w:t>4</w:t>
            </w:r>
            <w:r>
              <w:rPr>
                <w:noProof/>
                <w:webHidden/>
              </w:rPr>
              <w:fldChar w:fldCharType="end"/>
            </w:r>
          </w:hyperlink>
        </w:p>
        <w:p w14:paraId="11DDCDDE" w14:textId="3ABF8D4E" w:rsidR="00F75477" w:rsidRDefault="00F75477">
          <w:pPr>
            <w:pStyle w:val="TOC1"/>
            <w:tabs>
              <w:tab w:val="left" w:pos="480"/>
              <w:tab w:val="right" w:leader="dot" w:pos="9016"/>
            </w:tabs>
            <w:rPr>
              <w:rFonts w:eastAsiaTheme="minorEastAsia"/>
              <w:b w:val="0"/>
              <w:bCs w:val="0"/>
              <w:i w:val="0"/>
              <w:iCs w:val="0"/>
              <w:noProof/>
              <w:lang w:eastAsia="en-GB"/>
            </w:rPr>
          </w:pPr>
          <w:hyperlink w:anchor="_Toc238404296" w:history="1">
            <w:r w:rsidRPr="002C214A">
              <w:rPr>
                <w:rStyle w:val="Hyperlink"/>
                <w:rFonts w:ascii="Arial" w:hAnsi="Arial" w:cs="Arial"/>
                <w:noProof/>
              </w:rPr>
              <w:t>V.</w:t>
            </w:r>
            <w:r>
              <w:rPr>
                <w:rFonts w:eastAsiaTheme="minorEastAsia"/>
                <w:b w:val="0"/>
                <w:bCs w:val="0"/>
                <w:i w:val="0"/>
                <w:iCs w:val="0"/>
                <w:noProof/>
                <w:lang w:eastAsia="en-GB"/>
              </w:rPr>
              <w:tab/>
            </w:r>
            <w:r w:rsidRPr="002C214A">
              <w:rPr>
                <w:rStyle w:val="Hyperlink"/>
                <w:rFonts w:ascii="Arial" w:hAnsi="Arial" w:cs="Arial"/>
                <w:noProof/>
              </w:rPr>
              <w:t>The Multi-contract + DIY Hybrid</w:t>
            </w:r>
            <w:r>
              <w:rPr>
                <w:noProof/>
                <w:webHidden/>
              </w:rPr>
              <w:tab/>
            </w:r>
            <w:r>
              <w:rPr>
                <w:noProof/>
                <w:webHidden/>
              </w:rPr>
              <w:fldChar w:fldCharType="begin"/>
            </w:r>
            <w:r>
              <w:rPr>
                <w:noProof/>
                <w:webHidden/>
              </w:rPr>
              <w:instrText xml:space="preserve"> PAGEREF _Toc238404296 \h </w:instrText>
            </w:r>
            <w:r>
              <w:rPr>
                <w:noProof/>
                <w:webHidden/>
              </w:rPr>
            </w:r>
            <w:r>
              <w:rPr>
                <w:noProof/>
                <w:webHidden/>
              </w:rPr>
              <w:fldChar w:fldCharType="separate"/>
            </w:r>
            <w:r>
              <w:rPr>
                <w:noProof/>
                <w:webHidden/>
              </w:rPr>
              <w:t>5</w:t>
            </w:r>
            <w:r>
              <w:rPr>
                <w:noProof/>
                <w:webHidden/>
              </w:rPr>
              <w:fldChar w:fldCharType="end"/>
            </w:r>
          </w:hyperlink>
        </w:p>
        <w:p w14:paraId="052F6A62" w14:textId="562944D2" w:rsidR="00F75477" w:rsidRDefault="00F75477">
          <w:pPr>
            <w:pStyle w:val="TOC1"/>
            <w:tabs>
              <w:tab w:val="left" w:pos="720"/>
              <w:tab w:val="right" w:leader="dot" w:pos="9016"/>
            </w:tabs>
            <w:rPr>
              <w:rFonts w:eastAsiaTheme="minorEastAsia"/>
              <w:b w:val="0"/>
              <w:bCs w:val="0"/>
              <w:i w:val="0"/>
              <w:iCs w:val="0"/>
              <w:noProof/>
              <w:lang w:eastAsia="en-GB"/>
            </w:rPr>
          </w:pPr>
          <w:hyperlink w:anchor="_Toc238404297" w:history="1">
            <w:r w:rsidRPr="002C214A">
              <w:rPr>
                <w:rStyle w:val="Hyperlink"/>
                <w:rFonts w:ascii="Arial" w:hAnsi="Arial" w:cs="Arial"/>
                <w:noProof/>
              </w:rPr>
              <w:t>VI.</w:t>
            </w:r>
            <w:r>
              <w:rPr>
                <w:rFonts w:eastAsiaTheme="minorEastAsia"/>
                <w:b w:val="0"/>
                <w:bCs w:val="0"/>
                <w:i w:val="0"/>
                <w:iCs w:val="0"/>
                <w:noProof/>
                <w:lang w:eastAsia="en-GB"/>
              </w:rPr>
              <w:tab/>
            </w:r>
            <w:r w:rsidRPr="002C214A">
              <w:rPr>
                <w:rStyle w:val="Hyperlink"/>
                <w:rFonts w:ascii="Arial" w:hAnsi="Arial" w:cs="Arial"/>
                <w:noProof/>
              </w:rPr>
              <w:t>Contextual Application: A UK Energy Supplier’s Smart Metering Programme</w:t>
            </w:r>
            <w:r>
              <w:rPr>
                <w:noProof/>
                <w:webHidden/>
              </w:rPr>
              <w:tab/>
            </w:r>
            <w:r>
              <w:rPr>
                <w:noProof/>
                <w:webHidden/>
              </w:rPr>
              <w:fldChar w:fldCharType="begin"/>
            </w:r>
            <w:r>
              <w:rPr>
                <w:noProof/>
                <w:webHidden/>
              </w:rPr>
              <w:instrText xml:space="preserve"> PAGEREF _Toc238404297 \h </w:instrText>
            </w:r>
            <w:r>
              <w:rPr>
                <w:noProof/>
                <w:webHidden/>
              </w:rPr>
            </w:r>
            <w:r>
              <w:rPr>
                <w:noProof/>
                <w:webHidden/>
              </w:rPr>
              <w:fldChar w:fldCharType="separate"/>
            </w:r>
            <w:r>
              <w:rPr>
                <w:noProof/>
                <w:webHidden/>
              </w:rPr>
              <w:t>6</w:t>
            </w:r>
            <w:r>
              <w:rPr>
                <w:noProof/>
                <w:webHidden/>
              </w:rPr>
              <w:fldChar w:fldCharType="end"/>
            </w:r>
          </w:hyperlink>
        </w:p>
        <w:p w14:paraId="0710F5F1" w14:textId="68E086ED" w:rsidR="00F75477" w:rsidRDefault="00F75477">
          <w:pPr>
            <w:pStyle w:val="TOC1"/>
            <w:tabs>
              <w:tab w:val="left" w:pos="720"/>
              <w:tab w:val="right" w:leader="dot" w:pos="9016"/>
            </w:tabs>
            <w:rPr>
              <w:rFonts w:eastAsiaTheme="minorEastAsia"/>
              <w:b w:val="0"/>
              <w:bCs w:val="0"/>
              <w:i w:val="0"/>
              <w:iCs w:val="0"/>
              <w:noProof/>
              <w:lang w:eastAsia="en-GB"/>
            </w:rPr>
          </w:pPr>
          <w:hyperlink w:anchor="_Toc238404298" w:history="1">
            <w:r w:rsidRPr="002C214A">
              <w:rPr>
                <w:rStyle w:val="Hyperlink"/>
                <w:rFonts w:ascii="Arial" w:hAnsi="Arial" w:cs="Arial"/>
                <w:noProof/>
              </w:rPr>
              <w:t>VII.</w:t>
            </w:r>
            <w:r>
              <w:rPr>
                <w:rFonts w:eastAsiaTheme="minorEastAsia"/>
                <w:b w:val="0"/>
                <w:bCs w:val="0"/>
                <w:i w:val="0"/>
                <w:iCs w:val="0"/>
                <w:noProof/>
                <w:lang w:eastAsia="en-GB"/>
              </w:rPr>
              <w:tab/>
            </w:r>
            <w:r w:rsidRPr="002C214A">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_Toc238404298 \h </w:instrText>
            </w:r>
            <w:r>
              <w:rPr>
                <w:noProof/>
                <w:webHidden/>
              </w:rPr>
            </w:r>
            <w:r>
              <w:rPr>
                <w:noProof/>
                <w:webHidden/>
              </w:rPr>
              <w:fldChar w:fldCharType="separate"/>
            </w:r>
            <w:r>
              <w:rPr>
                <w:noProof/>
                <w:webHidden/>
              </w:rPr>
              <w:t>6</w:t>
            </w:r>
            <w:r>
              <w:rPr>
                <w:noProof/>
                <w:webHidden/>
              </w:rPr>
              <w:fldChar w:fldCharType="end"/>
            </w:r>
          </w:hyperlink>
        </w:p>
        <w:p w14:paraId="30B7C4D7" w14:textId="3F322313" w:rsidR="00F75477" w:rsidRDefault="00F75477">
          <w:pPr>
            <w:pStyle w:val="TOC1"/>
            <w:tabs>
              <w:tab w:val="right" w:leader="dot" w:pos="9016"/>
            </w:tabs>
            <w:rPr>
              <w:rFonts w:eastAsiaTheme="minorEastAsia"/>
              <w:b w:val="0"/>
              <w:bCs w:val="0"/>
              <w:i w:val="0"/>
              <w:iCs w:val="0"/>
              <w:noProof/>
              <w:lang w:eastAsia="en-GB"/>
            </w:rPr>
          </w:pPr>
          <w:hyperlink w:anchor="_Toc238404299" w:history="1">
            <w:r w:rsidRPr="002C214A">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_Toc238404299 \h </w:instrText>
            </w:r>
            <w:r>
              <w:rPr>
                <w:noProof/>
                <w:webHidden/>
              </w:rPr>
            </w:r>
            <w:r>
              <w:rPr>
                <w:noProof/>
                <w:webHidden/>
              </w:rPr>
              <w:fldChar w:fldCharType="separate"/>
            </w:r>
            <w:r>
              <w:rPr>
                <w:noProof/>
                <w:webHidden/>
              </w:rPr>
              <w:t>8</w:t>
            </w:r>
            <w:r>
              <w:rPr>
                <w:noProof/>
                <w:webHidden/>
              </w:rPr>
              <w:fldChar w:fldCharType="end"/>
            </w:r>
          </w:hyperlink>
        </w:p>
        <w:p w14:paraId="0EA562FF" w14:textId="15073EFB" w:rsidR="0064658D" w:rsidRPr="00F75477" w:rsidRDefault="0064658D" w:rsidP="00F75477">
          <w:pPr>
            <w:spacing w:line="360" w:lineRule="auto"/>
            <w:jc w:val="both"/>
            <w:rPr>
              <w:rFonts w:ascii="Arial" w:hAnsi="Arial" w:cs="Arial"/>
            </w:rPr>
          </w:pPr>
          <w:r w:rsidRPr="00F75477">
            <w:rPr>
              <w:rFonts w:ascii="Arial" w:hAnsi="Arial" w:cs="Arial"/>
              <w:b/>
              <w:bCs/>
              <w:noProof/>
            </w:rPr>
            <w:fldChar w:fldCharType="end"/>
          </w:r>
        </w:p>
      </w:sdtContent>
    </w:sdt>
    <w:p w14:paraId="01B5DA60" w14:textId="70AFEBAD" w:rsidR="0064658D" w:rsidRPr="00F75477" w:rsidRDefault="0064658D" w:rsidP="00F75477">
      <w:pPr>
        <w:spacing w:line="360" w:lineRule="auto"/>
        <w:jc w:val="both"/>
        <w:rPr>
          <w:rFonts w:ascii="Arial" w:hAnsi="Arial" w:cs="Arial"/>
        </w:rPr>
      </w:pPr>
      <w:r w:rsidRPr="00F75477">
        <w:rPr>
          <w:rFonts w:ascii="Arial" w:hAnsi="Arial" w:cs="Arial"/>
        </w:rPr>
        <w:br w:type="page"/>
      </w:r>
    </w:p>
    <w:p w14:paraId="167E2F0B" w14:textId="77777777" w:rsidR="00074C0B" w:rsidRPr="00F75477" w:rsidRDefault="00074C0B" w:rsidP="00F75477">
      <w:pPr>
        <w:pStyle w:val="Heading1"/>
        <w:spacing w:line="360" w:lineRule="auto"/>
        <w:jc w:val="both"/>
        <w:rPr>
          <w:rFonts w:ascii="Arial" w:hAnsi="Arial" w:cs="Arial"/>
        </w:rPr>
      </w:pPr>
      <w:bookmarkStart w:id="1" w:name="_Toc238404292"/>
      <w:r w:rsidRPr="00F75477">
        <w:rPr>
          <w:rFonts w:ascii="Arial" w:hAnsi="Arial" w:cs="Arial"/>
        </w:rPr>
        <w:lastRenderedPageBreak/>
        <w:t>Introduction</w:t>
      </w:r>
      <w:bookmarkEnd w:id="1"/>
    </w:p>
    <w:p w14:paraId="14770A49" w14:textId="602D3E29" w:rsidR="00FD537C" w:rsidRPr="00F75477" w:rsidRDefault="00FD537C" w:rsidP="00F75477">
      <w:pPr>
        <w:spacing w:line="360" w:lineRule="auto"/>
        <w:jc w:val="both"/>
        <w:rPr>
          <w:rFonts w:ascii="Arial" w:hAnsi="Arial" w:cs="Arial"/>
        </w:rPr>
      </w:pPr>
      <w:r w:rsidRPr="00F75477">
        <w:rPr>
          <w:rFonts w:ascii="Arial" w:hAnsi="Arial" w:cs="Arial"/>
        </w:rPr>
        <w:t>Project management involves applying knowledge, skills, tools and techniques to deliver a unique product, service or outcome within agreed requirements for scope, time, cost and quality (PMI, 2021). Since projects are temporary and uncommon, sponsoring organisations often lack all the specialist expertise needed for delivery, as Larson and Gray (2014) explain. Contracting therefore enables clients to obtain external capabilities. According to APM (2019), a contract is a legally enforceable agreement that assigns duties, payment arrangements and risks between a client and one or more suppliers. The chosen contracting method determines the number of suppliers, their responsibilities and the level of delivery responsibility kept by the client.</w:t>
      </w:r>
    </w:p>
    <w:p w14:paraId="6F2CB59B" w14:textId="35D241A6" w:rsidR="00FD537C" w:rsidRPr="00F75477" w:rsidRDefault="00FD537C" w:rsidP="00F75477">
      <w:pPr>
        <w:spacing w:line="360" w:lineRule="auto"/>
        <w:jc w:val="both"/>
        <w:rPr>
          <w:rFonts w:ascii="Arial" w:hAnsi="Arial" w:cs="Arial"/>
        </w:rPr>
      </w:pPr>
      <w:r w:rsidRPr="00F75477">
        <w:rPr>
          <w:rFonts w:ascii="Arial" w:hAnsi="Arial" w:cs="Arial"/>
        </w:rPr>
        <w:t>This choice is strategic because it influences risk, collaboration and delivery outcomes. Williamson (1979) argues that organisations should consider asset specificity, uncertainty and transaction frequency when deciding whether to perform work internally or purchase it from the market. Work that is specialised and uncertain can be difficult to manage through contracts, while standardised work is often easier to outsource. El-Sayegh and Ahmed (2020) identify delivery-method selection as a crucial early owner decision, while Chen, Tang and Zhong (2022) show that unsuitable methods can cause coordination problems and rework despite contractor competence.</w:t>
      </w:r>
    </w:p>
    <w:p w14:paraId="133467F7" w14:textId="77777777" w:rsidR="00FD537C" w:rsidRPr="00F75477" w:rsidRDefault="00FD537C" w:rsidP="00F75477">
      <w:pPr>
        <w:spacing w:line="360" w:lineRule="auto"/>
        <w:jc w:val="both"/>
        <w:rPr>
          <w:rFonts w:ascii="Arial" w:hAnsi="Arial" w:cs="Arial"/>
        </w:rPr>
      </w:pPr>
      <w:r w:rsidRPr="00F75477">
        <w:rPr>
          <w:rFonts w:ascii="Arial" w:hAnsi="Arial" w:cs="Arial"/>
        </w:rPr>
        <w:t xml:space="preserve">This essay critically examines turnkey, multi-contract, do it yourself, and hybrid contracting methods. As Meredith </w:t>
      </w:r>
      <w:r w:rsidRPr="00545DEC">
        <w:rPr>
          <w:rFonts w:ascii="Arial" w:hAnsi="Arial" w:cs="Arial"/>
          <w:i/>
          <w:iCs/>
        </w:rPr>
        <w:t>et al.</w:t>
      </w:r>
      <w:r w:rsidRPr="00F75477">
        <w:rPr>
          <w:rFonts w:ascii="Arial" w:hAnsi="Arial" w:cs="Arial"/>
        </w:rPr>
        <w:t xml:space="preserve"> (2016) note, these approaches determine delivery responsibilities rather than payment arrangements. The discussion applies these methods to a UK smart metering programme and identifies appropriate selection criteria.</w:t>
      </w:r>
    </w:p>
    <w:p w14:paraId="01618781" w14:textId="24A2C38B" w:rsidR="00074C0B" w:rsidRPr="00F75477" w:rsidRDefault="00074C0B" w:rsidP="00F75477">
      <w:pPr>
        <w:pStyle w:val="Heading1"/>
        <w:spacing w:line="360" w:lineRule="auto"/>
        <w:jc w:val="both"/>
        <w:rPr>
          <w:rFonts w:ascii="Arial" w:hAnsi="Arial" w:cs="Arial"/>
        </w:rPr>
      </w:pPr>
      <w:bookmarkStart w:id="2" w:name="_Toc238404293"/>
      <w:r w:rsidRPr="00F75477">
        <w:rPr>
          <w:rFonts w:ascii="Arial" w:hAnsi="Arial" w:cs="Arial"/>
        </w:rPr>
        <w:t>Turnkey Contracting</w:t>
      </w:r>
      <w:bookmarkEnd w:id="2"/>
    </w:p>
    <w:p w14:paraId="1BFB0345" w14:textId="77777777" w:rsidR="00B17824" w:rsidRPr="00F75477" w:rsidRDefault="00B17824" w:rsidP="00F75477">
      <w:pPr>
        <w:spacing w:line="360" w:lineRule="auto"/>
        <w:jc w:val="both"/>
        <w:rPr>
          <w:rFonts w:ascii="Arial" w:hAnsi="Arial" w:cs="Arial"/>
        </w:rPr>
      </w:pPr>
      <w:r w:rsidRPr="00F75477">
        <w:rPr>
          <w:rFonts w:ascii="Arial" w:hAnsi="Arial" w:cs="Arial"/>
        </w:rPr>
        <w:t xml:space="preserve">Under a turnkey arrangement, one contractor manages the complete project lifecycle, including engineering, procurement and construction, before delivering a commissioned and operational asset to the client. As Jiang (2026) explains, the client should then only need to operate the completed facility. Responsibility for design problems, coordination issues and system integration </w:t>
      </w:r>
      <w:proofErr w:type="gramStart"/>
      <w:r w:rsidRPr="00F75477">
        <w:rPr>
          <w:rFonts w:ascii="Arial" w:hAnsi="Arial" w:cs="Arial"/>
        </w:rPr>
        <w:t>is</w:t>
      </w:r>
      <w:proofErr w:type="gramEnd"/>
      <w:r w:rsidRPr="00F75477">
        <w:rPr>
          <w:rFonts w:ascii="Arial" w:hAnsi="Arial" w:cs="Arial"/>
        </w:rPr>
        <w:t xml:space="preserve"> therefore placed with a single provider.</w:t>
      </w:r>
    </w:p>
    <w:p w14:paraId="07B9340E" w14:textId="77777777" w:rsidR="00B17824" w:rsidRPr="00F75477" w:rsidRDefault="00B17824" w:rsidP="00F75477">
      <w:pPr>
        <w:spacing w:line="360" w:lineRule="auto"/>
        <w:jc w:val="both"/>
        <w:rPr>
          <w:rFonts w:ascii="Arial" w:hAnsi="Arial" w:cs="Arial"/>
        </w:rPr>
      </w:pPr>
      <w:r w:rsidRPr="00F75477">
        <w:rPr>
          <w:rFonts w:ascii="Arial" w:hAnsi="Arial" w:cs="Arial"/>
        </w:rPr>
        <w:lastRenderedPageBreak/>
        <w:t xml:space="preserve">A key benefit is clear accountability because the contractor controls both design and construction, which reduces disputes between separate designers and builders when costs or schedules change. According to El-Sayegh and Ahmed (2020), integrating these activities can also shorten the project duration. This approach requires limited client management and is therefore useful where the owner has little internal project delivery expertise. Research by Ackah and </w:t>
      </w:r>
      <w:proofErr w:type="spellStart"/>
      <w:r w:rsidRPr="00F75477">
        <w:rPr>
          <w:rFonts w:ascii="Arial" w:hAnsi="Arial" w:cs="Arial"/>
        </w:rPr>
        <w:t>Sekyi</w:t>
      </w:r>
      <w:proofErr w:type="spellEnd"/>
      <w:r w:rsidRPr="00F75477">
        <w:rPr>
          <w:rFonts w:ascii="Arial" w:hAnsi="Arial" w:cs="Arial"/>
        </w:rPr>
        <w:t>-Ansah (2025) found that turnkey and EPC arrangements increased contractor accountability and reduced risks retained by petroleum project owners in Ghana. Risk allocation is also supported through contracts such as the FIDIC Silver Book, which assigns most project risks to the contractor on the basis that an experienced contractor can manage them effectively (</w:t>
      </w:r>
      <w:proofErr w:type="spellStart"/>
      <w:r w:rsidRPr="00F75477">
        <w:rPr>
          <w:rFonts w:ascii="Arial" w:hAnsi="Arial" w:cs="Arial"/>
        </w:rPr>
        <w:t>Varavenko</w:t>
      </w:r>
      <w:proofErr w:type="spellEnd"/>
      <w:r w:rsidRPr="00F75477">
        <w:rPr>
          <w:rFonts w:ascii="Arial" w:hAnsi="Arial" w:cs="Arial"/>
        </w:rPr>
        <w:t xml:space="preserve">, </w:t>
      </w:r>
      <w:proofErr w:type="spellStart"/>
      <w:r w:rsidRPr="00F75477">
        <w:rPr>
          <w:rFonts w:ascii="Arial" w:hAnsi="Arial" w:cs="Arial"/>
        </w:rPr>
        <w:t>Lyapustina</w:t>
      </w:r>
      <w:proofErr w:type="spellEnd"/>
      <w:r w:rsidRPr="00F75477">
        <w:rPr>
          <w:rFonts w:ascii="Arial" w:hAnsi="Arial" w:cs="Arial"/>
        </w:rPr>
        <w:t xml:space="preserve"> and Kovalev, 2022).</w:t>
      </w:r>
    </w:p>
    <w:p w14:paraId="7D44AE2A" w14:textId="670EA339" w:rsidR="00FD537C" w:rsidRPr="00F75477" w:rsidRDefault="00B17824" w:rsidP="00F75477">
      <w:pPr>
        <w:spacing w:line="360" w:lineRule="auto"/>
        <w:jc w:val="both"/>
        <w:rPr>
          <w:rFonts w:ascii="Arial" w:hAnsi="Arial" w:cs="Arial"/>
        </w:rPr>
      </w:pPr>
      <w:r w:rsidRPr="00F75477">
        <w:rPr>
          <w:rFonts w:ascii="Arial" w:hAnsi="Arial" w:cs="Arial"/>
        </w:rPr>
        <w:t>However, transferring risk increases the contract price because contractors include allowances for uncertain costs and liabilities (Jiang, 2026). Clients also have less influence over detailed design decisions, while late changes may become costly through formal variation procedures. Lee and Chong (2021) argue that contractual provisions alone cannot ensure successful performance in BIM-enabled EPC megaprojects, since trust and previous working relationships remain important. Turnkey delivery may therefore be less reliable when the supplier is unfamiliar to the client. Furthermore, excessive risk transfer can be harmful. The House of Commons Public Administration and Constitutional Affairs Committee (2018) found that government contracts associated with Carillion allocated risks that contractors could not realistically control, ultimately creating costs for the public sector. Turnkey contracting is consequently most appropriate for projects with stable specifications and established technology, including power plants, industrial facilities and process plants, whereas it is less suitable for projects with changing or unclear requirements.</w:t>
      </w:r>
    </w:p>
    <w:p w14:paraId="5DACB203" w14:textId="4535FEB9" w:rsidR="00074C0B" w:rsidRPr="00F75477" w:rsidRDefault="00074C0B" w:rsidP="00F75477">
      <w:pPr>
        <w:pStyle w:val="Heading1"/>
        <w:spacing w:line="360" w:lineRule="auto"/>
        <w:jc w:val="both"/>
        <w:rPr>
          <w:rFonts w:ascii="Arial" w:hAnsi="Arial" w:cs="Arial"/>
        </w:rPr>
      </w:pPr>
      <w:bookmarkStart w:id="3" w:name="_Toc238404294"/>
      <w:proofErr w:type="spellStart"/>
      <w:r w:rsidRPr="00F75477">
        <w:rPr>
          <w:rFonts w:ascii="Arial" w:hAnsi="Arial" w:cs="Arial"/>
        </w:rPr>
        <w:t>Multicontract</w:t>
      </w:r>
      <w:proofErr w:type="spellEnd"/>
      <w:r w:rsidRPr="00F75477">
        <w:rPr>
          <w:rFonts w:ascii="Arial" w:hAnsi="Arial" w:cs="Arial"/>
        </w:rPr>
        <w:t xml:space="preserve"> Contracting</w:t>
      </w:r>
      <w:bookmarkEnd w:id="3"/>
    </w:p>
    <w:p w14:paraId="51CE6ECF" w14:textId="77777777" w:rsidR="00B17824" w:rsidRPr="00F75477" w:rsidRDefault="00B17824" w:rsidP="00F75477">
      <w:pPr>
        <w:spacing w:line="360" w:lineRule="auto"/>
        <w:jc w:val="both"/>
        <w:rPr>
          <w:rFonts w:ascii="Arial" w:hAnsi="Arial" w:cs="Arial"/>
        </w:rPr>
      </w:pPr>
      <w:proofErr w:type="spellStart"/>
      <w:r w:rsidRPr="00F75477">
        <w:rPr>
          <w:rFonts w:ascii="Arial" w:hAnsi="Arial" w:cs="Arial"/>
        </w:rPr>
        <w:t>Multicontract</w:t>
      </w:r>
      <w:proofErr w:type="spellEnd"/>
      <w:r w:rsidRPr="00F75477">
        <w:rPr>
          <w:rFonts w:ascii="Arial" w:hAnsi="Arial" w:cs="Arial"/>
        </w:rPr>
        <w:t xml:space="preserve"> delivery separates a project into individual work packages, each awarded to a specialist contractor through a separate agreement. The client, or an appointed project manager, remains responsible for coordinating these contracts. For example, design, civil engineering, mechanical works and commissioning may be procured separately.</w:t>
      </w:r>
    </w:p>
    <w:p w14:paraId="777DCEAB" w14:textId="77777777" w:rsidR="00B17824" w:rsidRPr="00F75477" w:rsidRDefault="00B17824" w:rsidP="00F75477">
      <w:pPr>
        <w:spacing w:line="360" w:lineRule="auto"/>
        <w:jc w:val="both"/>
        <w:rPr>
          <w:rFonts w:ascii="Arial" w:hAnsi="Arial" w:cs="Arial"/>
        </w:rPr>
      </w:pPr>
      <w:r w:rsidRPr="00F75477">
        <w:rPr>
          <w:rFonts w:ascii="Arial" w:hAnsi="Arial" w:cs="Arial"/>
        </w:rPr>
        <w:lastRenderedPageBreak/>
        <w:t xml:space="preserve">Its main advantage is access to specialist competition because clients can appoint the most suitable supplier for each package and compare package costs through tendering. According to Andi, Sugianto and Lukas (2024), this can reduce costs and improve technical quality. The method also provides flexibility because packages can be tendered as designs develop, allowing some activities to begin before the full project scope is finalised. Clients retain control over design decisions and allocate risks to the parties best able to manage them. Tembo-Silungwe and </w:t>
      </w:r>
      <w:proofErr w:type="spellStart"/>
      <w:r w:rsidRPr="00F75477">
        <w:rPr>
          <w:rFonts w:ascii="Arial" w:hAnsi="Arial" w:cs="Arial"/>
        </w:rPr>
        <w:t>Khatleli</w:t>
      </w:r>
      <w:proofErr w:type="spellEnd"/>
      <w:r w:rsidRPr="00F75477">
        <w:rPr>
          <w:rFonts w:ascii="Arial" w:hAnsi="Arial" w:cs="Arial"/>
        </w:rPr>
        <w:t xml:space="preserve"> (2017) suggest that detailed and appropriate risk allocation improves outcomes, whereas broad risk transfer can lead to disputes and cost increases.</w:t>
      </w:r>
    </w:p>
    <w:p w14:paraId="2BCDCCC0" w14:textId="306E5D4C" w:rsidR="00B17824" w:rsidRPr="00F75477" w:rsidRDefault="00B17824" w:rsidP="00F75477">
      <w:pPr>
        <w:spacing w:line="360" w:lineRule="auto"/>
        <w:jc w:val="both"/>
        <w:rPr>
          <w:rFonts w:ascii="Arial" w:hAnsi="Arial" w:cs="Arial"/>
        </w:rPr>
      </w:pPr>
      <w:r w:rsidRPr="00F75477">
        <w:rPr>
          <w:rFonts w:ascii="Arial" w:hAnsi="Arial" w:cs="Arial"/>
        </w:rPr>
        <w:t xml:space="preserve">However, the client assumes responsibility for integrating all packages. Each contract interface can create delays, unclear responsibilities and disputes. An, Li and Zeng (2023) state that coordination demands increase rapidly as the number of separate contracts grows, particularly for clients with limited commercial expertise. The client must therefore have strong technical and commercial capability to prepare specifications, select contractors and monitor performance. The National Audit Office (2025) links many unsuccessful UK government digital procurements to weak internal client capability. </w:t>
      </w:r>
      <w:proofErr w:type="spellStart"/>
      <w:r w:rsidRPr="00F75477">
        <w:rPr>
          <w:rFonts w:ascii="Arial" w:hAnsi="Arial" w:cs="Arial"/>
        </w:rPr>
        <w:t>Multicontract</w:t>
      </w:r>
      <w:proofErr w:type="spellEnd"/>
      <w:r w:rsidRPr="00F75477">
        <w:rPr>
          <w:rFonts w:ascii="Arial" w:hAnsi="Arial" w:cs="Arial"/>
        </w:rPr>
        <w:t xml:space="preserve"> delivery is most suitable for experienced clients with effective project controls, particularly where work packages can be separated and design requirements are still developing. Typical examples include hospitals, university campuses, staged infrastructure programmes and refurbishment projects.</w:t>
      </w:r>
    </w:p>
    <w:p w14:paraId="7A21AB12" w14:textId="4DD8A1F7" w:rsidR="00074C0B" w:rsidRPr="00F75477" w:rsidRDefault="00074C0B" w:rsidP="00F75477">
      <w:pPr>
        <w:pStyle w:val="Heading1"/>
        <w:spacing w:line="360" w:lineRule="auto"/>
        <w:jc w:val="both"/>
        <w:rPr>
          <w:rFonts w:ascii="Arial" w:hAnsi="Arial" w:cs="Arial"/>
        </w:rPr>
      </w:pPr>
      <w:bookmarkStart w:id="4" w:name="_Toc238404295"/>
      <w:r w:rsidRPr="00F75477">
        <w:rPr>
          <w:rFonts w:ascii="Arial" w:hAnsi="Arial" w:cs="Arial"/>
        </w:rPr>
        <w:t>Do-It-Yourself (DIY) Contracting</w:t>
      </w:r>
      <w:bookmarkEnd w:id="4"/>
    </w:p>
    <w:p w14:paraId="387D91FC" w14:textId="77777777" w:rsidR="00F75477" w:rsidRPr="00F75477" w:rsidRDefault="00F75477" w:rsidP="00F75477">
      <w:pPr>
        <w:spacing w:line="360" w:lineRule="auto"/>
        <w:jc w:val="both"/>
        <w:rPr>
          <w:rFonts w:ascii="Arial" w:hAnsi="Arial" w:cs="Arial"/>
        </w:rPr>
      </w:pPr>
      <w:r w:rsidRPr="00F75477">
        <w:rPr>
          <w:rFonts w:ascii="Arial" w:hAnsi="Arial" w:cs="Arial"/>
        </w:rPr>
        <w:t>In the DIY approach, the client delivers the project through internal staff, resources and project management capabilities, while external purchasing is mainly limited to materials or standard goods rather than delivery responsibility.</w:t>
      </w:r>
    </w:p>
    <w:p w14:paraId="445639FA" w14:textId="1C1D6C2E" w:rsidR="00F75477" w:rsidRPr="00F75477" w:rsidRDefault="00F75477" w:rsidP="00F75477">
      <w:pPr>
        <w:spacing w:line="360" w:lineRule="auto"/>
        <w:jc w:val="both"/>
        <w:rPr>
          <w:rFonts w:ascii="Arial" w:hAnsi="Arial" w:cs="Arial"/>
        </w:rPr>
      </w:pPr>
      <w:r w:rsidRPr="00F75477">
        <w:rPr>
          <w:rFonts w:ascii="Arial" w:hAnsi="Arial" w:cs="Arial"/>
        </w:rPr>
        <w:t xml:space="preserve">This method can provide greater control, organisational learning and lower direct costs because it avoids contractor profit margins, risk allowances and tendering costs. Changes can also be managed internally without formal variation claims, which is valuable when requirements are likely to develop. Davies and </w:t>
      </w:r>
      <w:proofErr w:type="spellStart"/>
      <w:r w:rsidRPr="00F75477">
        <w:rPr>
          <w:rFonts w:ascii="Arial" w:hAnsi="Arial" w:cs="Arial"/>
        </w:rPr>
        <w:t>Denicol</w:t>
      </w:r>
      <w:proofErr w:type="spellEnd"/>
      <w:r w:rsidRPr="00F75477">
        <w:rPr>
          <w:rFonts w:ascii="Arial" w:hAnsi="Arial" w:cs="Arial"/>
        </w:rPr>
        <w:t xml:space="preserve"> (2022) argue that excessive outsourcing weakens an organisation’s ability to manage programmes and assess suppliers, whereas internal delivery develops lasting capability. Similarly, Williamson (1979) suggests that work which is highly specific to an organisation may be managed more efficiently within the organisation than through contracts.</w:t>
      </w:r>
    </w:p>
    <w:p w14:paraId="3C79E197" w14:textId="00E02716" w:rsidR="00B17824" w:rsidRPr="00F75477" w:rsidRDefault="00F75477" w:rsidP="00F75477">
      <w:pPr>
        <w:spacing w:line="360" w:lineRule="auto"/>
        <w:jc w:val="both"/>
        <w:rPr>
          <w:rFonts w:ascii="Arial" w:hAnsi="Arial" w:cs="Arial"/>
        </w:rPr>
      </w:pPr>
      <w:r w:rsidRPr="00F75477">
        <w:rPr>
          <w:rFonts w:ascii="Arial" w:hAnsi="Arial" w:cs="Arial"/>
        </w:rPr>
        <w:lastRenderedPageBreak/>
        <w:t>However, DIY requires sufficient internal expertise and capacity. Where specialist knowledge is unavailable, quality and delivery performance may decline, while all financial, technical and scheduling risks remain with the client. Project activities may also compete with normal operations for staff and attention. According to the Infrastructure and Projects Authority (2025), this pressure can reduce confidence in the delivery of major government projects. DIY is most suitable for smaller and knowledge-based activities, such as process improvement, internal system configuration, organisational change and research, but it is less appropriate for major construction projects requiring specialist equipment, licences and trades.</w:t>
      </w:r>
    </w:p>
    <w:p w14:paraId="390306CC" w14:textId="091B527F" w:rsidR="00074C0B" w:rsidRPr="00F75477" w:rsidRDefault="00074C0B" w:rsidP="00F75477">
      <w:pPr>
        <w:pStyle w:val="Heading1"/>
        <w:spacing w:line="360" w:lineRule="auto"/>
        <w:jc w:val="both"/>
        <w:rPr>
          <w:rFonts w:ascii="Arial" w:hAnsi="Arial" w:cs="Arial"/>
        </w:rPr>
      </w:pPr>
      <w:bookmarkStart w:id="5" w:name="_Toc238404296"/>
      <w:r w:rsidRPr="00F75477">
        <w:rPr>
          <w:rFonts w:ascii="Arial" w:hAnsi="Arial" w:cs="Arial"/>
        </w:rPr>
        <w:t xml:space="preserve">The </w:t>
      </w:r>
      <w:proofErr w:type="gramStart"/>
      <w:r w:rsidRPr="00F75477">
        <w:rPr>
          <w:rFonts w:ascii="Arial" w:hAnsi="Arial" w:cs="Arial"/>
        </w:rPr>
        <w:t>Multi</w:t>
      </w:r>
      <w:r w:rsidR="00F75477" w:rsidRPr="00F75477">
        <w:rPr>
          <w:rFonts w:ascii="Arial" w:hAnsi="Arial" w:cs="Arial"/>
        </w:rPr>
        <w:t>-</w:t>
      </w:r>
      <w:r w:rsidRPr="00F75477">
        <w:rPr>
          <w:rFonts w:ascii="Arial" w:hAnsi="Arial" w:cs="Arial"/>
        </w:rPr>
        <w:t>contract</w:t>
      </w:r>
      <w:proofErr w:type="gramEnd"/>
      <w:r w:rsidRPr="00F75477">
        <w:rPr>
          <w:rFonts w:ascii="Arial" w:hAnsi="Arial" w:cs="Arial"/>
        </w:rPr>
        <w:t xml:space="preserve"> + DIY Hybrid</w:t>
      </w:r>
      <w:bookmarkEnd w:id="5"/>
    </w:p>
    <w:p w14:paraId="524B151F" w14:textId="77777777" w:rsidR="00F75477" w:rsidRPr="00F75477" w:rsidRDefault="00F75477" w:rsidP="00F75477">
      <w:pPr>
        <w:spacing w:line="360" w:lineRule="auto"/>
        <w:jc w:val="both"/>
        <w:rPr>
          <w:rFonts w:ascii="Arial" w:hAnsi="Arial" w:cs="Arial"/>
        </w:rPr>
      </w:pPr>
      <w:r w:rsidRPr="00F75477">
        <w:rPr>
          <w:rFonts w:ascii="Arial" w:hAnsi="Arial" w:cs="Arial"/>
        </w:rPr>
        <w:t>The hybrid approach combines external specialist contracts with internally delivered activities, while the client retains responsibility for project integration and management. It applies make or buy decisions to individual work packages rather than to the entire project.</w:t>
      </w:r>
    </w:p>
    <w:p w14:paraId="257636E2" w14:textId="3C3315B7" w:rsidR="00F75477" w:rsidRPr="00F75477" w:rsidRDefault="00F75477" w:rsidP="00F75477">
      <w:pPr>
        <w:spacing w:line="360" w:lineRule="auto"/>
        <w:jc w:val="both"/>
        <w:rPr>
          <w:rFonts w:ascii="Arial" w:hAnsi="Arial" w:cs="Arial"/>
        </w:rPr>
      </w:pPr>
      <w:r w:rsidRPr="00F75477">
        <w:rPr>
          <w:rFonts w:ascii="Arial" w:hAnsi="Arial" w:cs="Arial"/>
        </w:rPr>
        <w:t xml:space="preserve">Its principal benefit is that internal expertise can focus on high value areas, including requirements, stakeholder engagement, data, integration and assurance, while highly specialised or resource intensive work is outsourced. According to El-Sayegh and Ahmed (2020), this arrangement can maintain organisational learning and reduce costs compared with complete outsourcing. As the client remains actively involved in delivery, information gaps are </w:t>
      </w:r>
      <w:proofErr w:type="gramStart"/>
      <w:r w:rsidRPr="00F75477">
        <w:rPr>
          <w:rFonts w:ascii="Arial" w:hAnsi="Arial" w:cs="Arial"/>
        </w:rPr>
        <w:t>reduced</w:t>
      </w:r>
      <w:proofErr w:type="gramEnd"/>
      <w:r w:rsidRPr="00F75477">
        <w:rPr>
          <w:rFonts w:ascii="Arial" w:hAnsi="Arial" w:cs="Arial"/>
        </w:rPr>
        <w:t xml:space="preserve"> and emerging problems may be identified earlier.</w:t>
      </w:r>
    </w:p>
    <w:p w14:paraId="2B84888B" w14:textId="15540DA6" w:rsidR="00F75477" w:rsidRPr="00F75477" w:rsidRDefault="00F75477" w:rsidP="00F75477">
      <w:pPr>
        <w:spacing w:line="360" w:lineRule="auto"/>
        <w:jc w:val="both"/>
        <w:rPr>
          <w:rFonts w:ascii="Arial" w:hAnsi="Arial" w:cs="Arial"/>
        </w:rPr>
      </w:pPr>
      <w:r w:rsidRPr="00F75477">
        <w:rPr>
          <w:rFonts w:ascii="Arial" w:hAnsi="Arial" w:cs="Arial"/>
        </w:rPr>
        <w:t>However, hybrid delivery creates significant management demands because the client must both complete internal work and supervise external suppliers. Responsibilities can become unclear when internal delays affect contracted work, which may lead to valid contractor claims and difficult disputes about responsibility. Chen, Tang and Zhong (2022) argue that hybrid arrangements perform well only when activity dependencies are assessed carefully and package boundaries are placed where connections are limited. This method is therefore appropriate for transformation and technology programmes where internal business knowledge is essential, while external technical expertise is also required.</w:t>
      </w:r>
    </w:p>
    <w:p w14:paraId="1B36C057" w14:textId="1E7D7C7C" w:rsidR="00FD537C" w:rsidRPr="00F75477" w:rsidRDefault="00FD537C" w:rsidP="00F75477">
      <w:pPr>
        <w:pStyle w:val="Heading1"/>
        <w:spacing w:line="360" w:lineRule="auto"/>
        <w:jc w:val="both"/>
        <w:rPr>
          <w:rFonts w:ascii="Arial" w:hAnsi="Arial" w:cs="Arial"/>
        </w:rPr>
      </w:pPr>
      <w:bookmarkStart w:id="6" w:name="_Toc238404297"/>
      <w:r w:rsidRPr="00F75477">
        <w:rPr>
          <w:rFonts w:ascii="Arial" w:hAnsi="Arial" w:cs="Arial"/>
        </w:rPr>
        <w:lastRenderedPageBreak/>
        <w:t>Contextual Application: A UK Energy Supplier’s Smart Metering Programme</w:t>
      </w:r>
      <w:bookmarkEnd w:id="6"/>
    </w:p>
    <w:p w14:paraId="4E728CC6" w14:textId="77777777" w:rsidR="00F75477" w:rsidRPr="00F75477" w:rsidRDefault="00F75477" w:rsidP="00F75477">
      <w:pPr>
        <w:spacing w:line="360" w:lineRule="auto"/>
        <w:jc w:val="both"/>
        <w:rPr>
          <w:rFonts w:ascii="Arial" w:hAnsi="Arial" w:cs="Arial"/>
        </w:rPr>
      </w:pPr>
      <w:r w:rsidRPr="00F75477">
        <w:rPr>
          <w:rFonts w:ascii="Arial" w:hAnsi="Arial" w:cs="Arial"/>
        </w:rPr>
        <w:t xml:space="preserve">A medium sized UK energy supplier implementing a smart metering programme must procure and install meters for household customers while linking meter data with billing and customer service systems. A turnkey contract could transfer regulatory delivery responsibilities to an experienced meter operator and reduce internal management needs. However, it would be unsuitable for customer focused activities because customer contact, tariff arrangements and complaint handling depend on knowledge specific to the supplier and cannot be fully defined for an external provider. Davies and </w:t>
      </w:r>
      <w:proofErr w:type="spellStart"/>
      <w:r w:rsidRPr="00F75477">
        <w:rPr>
          <w:rFonts w:ascii="Arial" w:hAnsi="Arial" w:cs="Arial"/>
        </w:rPr>
        <w:t>Denicol</w:t>
      </w:r>
      <w:proofErr w:type="spellEnd"/>
      <w:r w:rsidRPr="00F75477">
        <w:rPr>
          <w:rFonts w:ascii="Arial" w:hAnsi="Arial" w:cs="Arial"/>
        </w:rPr>
        <w:t xml:space="preserve"> (2022) also warn that outsourcing such work may reduce the organisation’s future operational knowledge.</w:t>
      </w:r>
    </w:p>
    <w:p w14:paraId="1B8F54A9" w14:textId="27E467C2" w:rsidR="00F75477" w:rsidRPr="00F75477" w:rsidRDefault="00F75477" w:rsidP="00F75477">
      <w:pPr>
        <w:spacing w:line="360" w:lineRule="auto"/>
        <w:jc w:val="both"/>
        <w:rPr>
          <w:rFonts w:ascii="Arial" w:hAnsi="Arial" w:cs="Arial"/>
        </w:rPr>
      </w:pPr>
      <w:r w:rsidRPr="00F75477">
        <w:rPr>
          <w:rFonts w:ascii="Arial" w:hAnsi="Arial" w:cs="Arial"/>
        </w:rPr>
        <w:t>A fully internal approach is unrealistic because large scale installation requires certified engineers, vehicles and storage facilities that the supplier may not possess. Although multi-contract delivery could provide competitive prices through separate contracts for meter supply, installation, communications and systems integration, it would create several interfaces for a small commercial team to manage within a regulatory deadline. According to the National Audit Office (2025), weak internal capability can undermine complex public procurement programmes.</w:t>
      </w:r>
    </w:p>
    <w:p w14:paraId="0E50E2C4" w14:textId="5BE629F4" w:rsidR="00F75477" w:rsidRPr="00F75477" w:rsidRDefault="00F75477" w:rsidP="00F75477">
      <w:pPr>
        <w:spacing w:line="360" w:lineRule="auto"/>
        <w:jc w:val="both"/>
        <w:rPr>
          <w:rFonts w:ascii="Arial" w:hAnsi="Arial" w:cs="Arial"/>
        </w:rPr>
      </w:pPr>
      <w:r w:rsidRPr="00F75477">
        <w:rPr>
          <w:rFonts w:ascii="Arial" w:hAnsi="Arial" w:cs="Arial"/>
        </w:rPr>
        <w:t xml:space="preserve">The hybrid approach is therefore the most suitable option. Meter supply and field installation can be competitively outsourced, while systems integration and customer communication remain internal because they rely on the supplier’s billing expertise. The supplier should retain programme integration, supported by clear interface agreements and package level risk registers (Tembo-Silungwe and </w:t>
      </w:r>
      <w:proofErr w:type="spellStart"/>
      <w:r w:rsidRPr="00F75477">
        <w:rPr>
          <w:rFonts w:ascii="Arial" w:hAnsi="Arial" w:cs="Arial"/>
        </w:rPr>
        <w:t>Khatleli</w:t>
      </w:r>
      <w:proofErr w:type="spellEnd"/>
      <w:r w:rsidRPr="00F75477">
        <w:rPr>
          <w:rFonts w:ascii="Arial" w:hAnsi="Arial" w:cs="Arial"/>
        </w:rPr>
        <w:t>, 2017). This choice accepts greater coordination responsibility in return for stronger customer control and retained organisational capability.</w:t>
      </w:r>
    </w:p>
    <w:p w14:paraId="77EFDCD7" w14:textId="47F81998" w:rsidR="00FD537C" w:rsidRPr="00F75477" w:rsidRDefault="00FD537C" w:rsidP="00F75477">
      <w:pPr>
        <w:pStyle w:val="Heading1"/>
        <w:spacing w:line="360" w:lineRule="auto"/>
        <w:jc w:val="both"/>
        <w:rPr>
          <w:rFonts w:ascii="Arial" w:hAnsi="Arial" w:cs="Arial"/>
        </w:rPr>
      </w:pPr>
      <w:bookmarkStart w:id="7" w:name="_Toc238404298"/>
      <w:r w:rsidRPr="00F75477">
        <w:rPr>
          <w:rFonts w:ascii="Arial" w:hAnsi="Arial" w:cs="Arial"/>
        </w:rPr>
        <w:t>Conclusion</w:t>
      </w:r>
      <w:bookmarkEnd w:id="7"/>
    </w:p>
    <w:p w14:paraId="12EDE232" w14:textId="028C0C9A" w:rsidR="00F75477" w:rsidRPr="00F75477" w:rsidRDefault="00F75477" w:rsidP="00F75477">
      <w:pPr>
        <w:spacing w:line="360" w:lineRule="auto"/>
        <w:jc w:val="both"/>
        <w:rPr>
          <w:rFonts w:ascii="Arial" w:hAnsi="Arial" w:cs="Arial"/>
        </w:rPr>
      </w:pPr>
      <w:r w:rsidRPr="00F75477">
        <w:rPr>
          <w:rFonts w:ascii="Arial" w:hAnsi="Arial" w:cs="Arial"/>
        </w:rPr>
        <w:t>The four contracting methods differ according to the degree of responsibility retained by the client. Turnkey delivery transfers most risk to one contractor and reduces client involvement, although it can be costly and less flexible, making it suitable for stable and clearly defined capital projects. Multi</w:t>
      </w:r>
      <w:r w:rsidR="00545DEC">
        <w:rPr>
          <w:rFonts w:ascii="Arial" w:hAnsi="Arial" w:cs="Arial"/>
        </w:rPr>
        <w:t>-</w:t>
      </w:r>
      <w:r w:rsidRPr="00F75477">
        <w:rPr>
          <w:rFonts w:ascii="Arial" w:hAnsi="Arial" w:cs="Arial"/>
        </w:rPr>
        <w:t xml:space="preserve">contract delivery offers specialist expertise </w:t>
      </w:r>
      <w:r w:rsidRPr="00F75477">
        <w:rPr>
          <w:rFonts w:ascii="Arial" w:hAnsi="Arial" w:cs="Arial"/>
        </w:rPr>
        <w:lastRenderedPageBreak/>
        <w:t>and competitive pricing but requires the client to manage complex interfaces effectively. DIY provides maximum control, flexibility and organisational learning, but depends on sufficient internal capacity and leaves all risks with the client. The hybrid approach can allocate capabilities efficiently, although it requires highly developed project management skills.</w:t>
      </w:r>
    </w:p>
    <w:p w14:paraId="6712E703" w14:textId="2DDC198D" w:rsidR="00F75477" w:rsidRPr="00F75477" w:rsidRDefault="00F75477" w:rsidP="00F75477">
      <w:pPr>
        <w:spacing w:line="360" w:lineRule="auto"/>
        <w:jc w:val="both"/>
        <w:rPr>
          <w:rFonts w:ascii="Arial" w:hAnsi="Arial" w:cs="Arial"/>
        </w:rPr>
      </w:pPr>
      <w:r w:rsidRPr="00F75477">
        <w:rPr>
          <w:rFonts w:ascii="Arial" w:hAnsi="Arial" w:cs="Arial"/>
        </w:rPr>
        <w:t>No approach is universally preferable because suitability depends on project scope, technological uncertainty, market conditions, client capability and risk appetite (El-Sayegh and Ahmed, 2020; An, Li and Zeng, 2023). Project managers should therefore select a method at project initiation after assessing package dependencies and determining which party can manage each risk most effectively. As the House of Commons PACAC (2018) shows through the Carillion case, transferring a risk to an incapable supplier postpones rather than removes it.</w:t>
      </w:r>
    </w:p>
    <w:p w14:paraId="553D8FA9" w14:textId="01DF70D2" w:rsidR="005C68CA" w:rsidRPr="00F75477" w:rsidRDefault="005C68CA" w:rsidP="00F75477">
      <w:pPr>
        <w:pStyle w:val="Heading1"/>
        <w:spacing w:line="360" w:lineRule="auto"/>
        <w:jc w:val="both"/>
        <w:rPr>
          <w:rFonts w:ascii="Arial" w:hAnsi="Arial" w:cs="Arial"/>
        </w:rPr>
      </w:pPr>
      <w:r w:rsidRPr="00F75477">
        <w:rPr>
          <w:rFonts w:ascii="Arial" w:hAnsi="Arial" w:cs="Arial"/>
        </w:rPr>
        <w:br w:type="page"/>
      </w:r>
    </w:p>
    <w:p w14:paraId="457CD0F6" w14:textId="46EEE114" w:rsidR="0064658D" w:rsidRPr="00F75477" w:rsidRDefault="0064658D" w:rsidP="00F75477">
      <w:pPr>
        <w:pStyle w:val="Heading1"/>
        <w:numPr>
          <w:ilvl w:val="0"/>
          <w:numId w:val="0"/>
        </w:numPr>
        <w:spacing w:line="360" w:lineRule="auto"/>
        <w:jc w:val="both"/>
        <w:rPr>
          <w:rFonts w:ascii="Arial" w:hAnsi="Arial" w:cs="Arial"/>
        </w:rPr>
      </w:pPr>
      <w:bookmarkStart w:id="8" w:name="_Toc238404299"/>
      <w:r w:rsidRPr="00F75477">
        <w:rPr>
          <w:rFonts w:ascii="Arial" w:hAnsi="Arial" w:cs="Arial"/>
        </w:rPr>
        <w:lastRenderedPageBreak/>
        <w:t>References</w:t>
      </w:r>
      <w:bookmarkEnd w:id="8"/>
    </w:p>
    <w:p w14:paraId="2692E2AD" w14:textId="273DA6D1" w:rsidR="0079619E" w:rsidRPr="00F75477" w:rsidRDefault="0079619E" w:rsidP="00F75477">
      <w:pPr>
        <w:pStyle w:val="FirstParagraph"/>
        <w:spacing w:line="360" w:lineRule="auto"/>
        <w:jc w:val="both"/>
        <w:rPr>
          <w:rFonts w:ascii="Arial" w:hAnsi="Arial" w:cs="Arial"/>
        </w:rPr>
      </w:pPr>
      <w:r w:rsidRPr="00F75477">
        <w:rPr>
          <w:rFonts w:ascii="Arial" w:hAnsi="Arial" w:cs="Arial"/>
        </w:rPr>
        <w:t xml:space="preserve">Ackah, D. and </w:t>
      </w:r>
      <w:proofErr w:type="spellStart"/>
      <w:r w:rsidRPr="00F75477">
        <w:rPr>
          <w:rFonts w:ascii="Arial" w:hAnsi="Arial" w:cs="Arial"/>
        </w:rPr>
        <w:t>Sekyi</w:t>
      </w:r>
      <w:proofErr w:type="spellEnd"/>
      <w:r w:rsidRPr="00F75477">
        <w:rPr>
          <w:rFonts w:ascii="Arial" w:hAnsi="Arial" w:cs="Arial"/>
        </w:rPr>
        <w:t xml:space="preserve">-Ansah, J. (2025) ‘Assessing the impact of procurement strategies on cost and schedule performance in petroleum engineering projects in Ghana’, </w:t>
      </w:r>
      <w:r w:rsidRPr="00F75477">
        <w:rPr>
          <w:rFonts w:ascii="Arial" w:hAnsi="Arial" w:cs="Arial"/>
          <w:i/>
          <w:iCs/>
        </w:rPr>
        <w:t>African Journal of Procurement, Logistics and Supply Chain Management</w:t>
      </w:r>
      <w:r w:rsidRPr="00F75477">
        <w:rPr>
          <w:rFonts w:ascii="Arial" w:hAnsi="Arial" w:cs="Arial"/>
        </w:rPr>
        <w:t xml:space="preserve">, 9(1). Available at: </w:t>
      </w:r>
      <w:hyperlink r:id="rId9" w:history="1">
        <w:r w:rsidRPr="00F75477">
          <w:rPr>
            <w:rStyle w:val="Hyperlink"/>
            <w:rFonts w:ascii="Arial" w:hAnsi="Arial" w:cs="Arial"/>
          </w:rPr>
          <w:t>https://www.ajol.info/index.php/ajplscm/article/view/324236</w:t>
        </w:r>
      </w:hyperlink>
      <w:r w:rsidRPr="00F75477">
        <w:rPr>
          <w:rFonts w:ascii="Arial" w:hAnsi="Arial" w:cs="Arial"/>
        </w:rPr>
        <w:t xml:space="preserve"> (Accessed: 9 August 2026).</w:t>
      </w:r>
    </w:p>
    <w:p w14:paraId="6C0EC9FB" w14:textId="1688206D" w:rsidR="0079619E" w:rsidRPr="00F75477" w:rsidRDefault="0079619E" w:rsidP="00F75477">
      <w:pPr>
        <w:pStyle w:val="BodyText"/>
        <w:spacing w:line="360" w:lineRule="auto"/>
        <w:jc w:val="both"/>
        <w:rPr>
          <w:rFonts w:ascii="Arial" w:hAnsi="Arial" w:cs="Arial"/>
        </w:rPr>
      </w:pPr>
      <w:r w:rsidRPr="00F75477">
        <w:rPr>
          <w:rFonts w:ascii="Arial" w:hAnsi="Arial" w:cs="Arial"/>
        </w:rPr>
        <w:t xml:space="preserve">An, X., Li, Y. and Zeng, Y. (2023) ‘A method of selecting project delivery system with Pythagorean fuzzy set group decision-making method and prospect theory’, </w:t>
      </w:r>
      <w:r w:rsidRPr="00F75477">
        <w:rPr>
          <w:rFonts w:ascii="Arial" w:hAnsi="Arial" w:cs="Arial"/>
          <w:i/>
          <w:iCs/>
        </w:rPr>
        <w:t>Advances in Civil Engineering</w:t>
      </w:r>
      <w:r w:rsidRPr="00F75477">
        <w:rPr>
          <w:rFonts w:ascii="Arial" w:hAnsi="Arial" w:cs="Arial"/>
        </w:rPr>
        <w:t xml:space="preserve">, 2023, 6658060. Available at: </w:t>
      </w:r>
      <w:hyperlink r:id="rId10" w:history="1">
        <w:r w:rsidRPr="00F75477">
          <w:rPr>
            <w:rStyle w:val="Hyperlink"/>
            <w:rFonts w:ascii="Arial" w:hAnsi="Arial" w:cs="Arial"/>
          </w:rPr>
          <w:t>https://downloads.hindawi.com/journals/ace/2023/6658060.pdf</w:t>
        </w:r>
      </w:hyperlink>
      <w:r w:rsidRPr="00F75477">
        <w:rPr>
          <w:rFonts w:ascii="Arial" w:hAnsi="Arial" w:cs="Arial"/>
        </w:rPr>
        <w:t xml:space="preserve"> (Accessed: 9 August 2026).</w:t>
      </w:r>
    </w:p>
    <w:p w14:paraId="0E6798CC" w14:textId="603DAF03" w:rsidR="0079619E" w:rsidRPr="00F75477" w:rsidRDefault="0079619E" w:rsidP="00F75477">
      <w:pPr>
        <w:pStyle w:val="BodyText"/>
        <w:spacing w:line="360" w:lineRule="auto"/>
        <w:jc w:val="both"/>
        <w:rPr>
          <w:rFonts w:ascii="Arial" w:hAnsi="Arial" w:cs="Arial"/>
        </w:rPr>
      </w:pPr>
      <w:r w:rsidRPr="00F75477">
        <w:rPr>
          <w:rFonts w:ascii="Arial" w:hAnsi="Arial" w:cs="Arial"/>
        </w:rPr>
        <w:t xml:space="preserve">Andi, A., Sugianto, S.E. and Lukas, Y.S. (2024) ‘Project delivery method selection criteria for building projects in Surabaya, Indonesia’, </w:t>
      </w:r>
      <w:r w:rsidRPr="00F75477">
        <w:rPr>
          <w:rFonts w:ascii="Arial" w:hAnsi="Arial" w:cs="Arial"/>
          <w:i/>
          <w:iCs/>
        </w:rPr>
        <w:t>Civil Engineering Dimension</w:t>
      </w:r>
      <w:r w:rsidRPr="00F75477">
        <w:rPr>
          <w:rFonts w:ascii="Arial" w:hAnsi="Arial" w:cs="Arial"/>
        </w:rPr>
        <w:t xml:space="preserve">, 26(2), pp. 111–119. Available at: </w:t>
      </w:r>
      <w:hyperlink r:id="rId11" w:history="1">
        <w:r w:rsidRPr="00F75477">
          <w:rPr>
            <w:rStyle w:val="Hyperlink"/>
            <w:rFonts w:ascii="Arial" w:hAnsi="Arial" w:cs="Arial"/>
          </w:rPr>
          <w:t>https://ced.petra.ac.id/index.php/civ/article/view/28280</w:t>
        </w:r>
      </w:hyperlink>
      <w:r w:rsidRPr="00F75477">
        <w:rPr>
          <w:rFonts w:ascii="Arial" w:hAnsi="Arial" w:cs="Arial"/>
        </w:rPr>
        <w:t xml:space="preserve"> (Accessed: 9 August 2026).</w:t>
      </w:r>
    </w:p>
    <w:p w14:paraId="375D9244" w14:textId="6D6E53F2" w:rsidR="0079619E" w:rsidRPr="00F75477" w:rsidRDefault="0079619E" w:rsidP="00F75477">
      <w:pPr>
        <w:pStyle w:val="BodyText"/>
        <w:spacing w:line="360" w:lineRule="auto"/>
        <w:jc w:val="both"/>
        <w:rPr>
          <w:rFonts w:ascii="Arial" w:hAnsi="Arial" w:cs="Arial"/>
        </w:rPr>
      </w:pPr>
      <w:r w:rsidRPr="00F75477">
        <w:rPr>
          <w:rFonts w:ascii="Arial" w:hAnsi="Arial" w:cs="Arial"/>
        </w:rPr>
        <w:t xml:space="preserve">APM (2019) </w:t>
      </w:r>
      <w:r w:rsidRPr="00F75477">
        <w:rPr>
          <w:rFonts w:ascii="Arial" w:hAnsi="Arial" w:cs="Arial"/>
          <w:i/>
          <w:iCs/>
        </w:rPr>
        <w:t>APM Body of Knowledge</w:t>
      </w:r>
      <w:r w:rsidRPr="00F75477">
        <w:rPr>
          <w:rFonts w:ascii="Arial" w:hAnsi="Arial" w:cs="Arial"/>
        </w:rPr>
        <w:t xml:space="preserve">. 7th </w:t>
      </w:r>
      <w:proofErr w:type="spellStart"/>
      <w:r w:rsidRPr="00F75477">
        <w:rPr>
          <w:rFonts w:ascii="Arial" w:hAnsi="Arial" w:cs="Arial"/>
        </w:rPr>
        <w:t>edn</w:t>
      </w:r>
      <w:proofErr w:type="spellEnd"/>
      <w:r w:rsidRPr="00F75477">
        <w:rPr>
          <w:rFonts w:ascii="Arial" w:hAnsi="Arial" w:cs="Arial"/>
        </w:rPr>
        <w:t xml:space="preserve">. Princes Risborough: Association for Project Management. Available at: </w:t>
      </w:r>
      <w:hyperlink r:id="rId12" w:history="1">
        <w:r w:rsidRPr="00F75477">
          <w:rPr>
            <w:rStyle w:val="Hyperlink"/>
            <w:rFonts w:ascii="Arial" w:hAnsi="Arial" w:cs="Arial"/>
          </w:rPr>
          <w:t>https://www.apm.org.uk/media/qpyau3pc/apm-body-of-knowledge-7th-edition-for-supporting-2025-consultation.pdf</w:t>
        </w:r>
      </w:hyperlink>
      <w:r w:rsidRPr="00F75477">
        <w:rPr>
          <w:rFonts w:ascii="Arial" w:hAnsi="Arial" w:cs="Arial"/>
        </w:rPr>
        <w:t xml:space="preserve"> (Accessed: 9 August 2026).</w:t>
      </w:r>
    </w:p>
    <w:p w14:paraId="1BC11179" w14:textId="3284FFE7" w:rsidR="0079619E" w:rsidRPr="00F75477" w:rsidRDefault="0079619E" w:rsidP="00F75477">
      <w:pPr>
        <w:pStyle w:val="BodyText"/>
        <w:spacing w:line="360" w:lineRule="auto"/>
        <w:jc w:val="both"/>
        <w:rPr>
          <w:rFonts w:ascii="Arial" w:hAnsi="Arial" w:cs="Arial"/>
        </w:rPr>
      </w:pPr>
      <w:r w:rsidRPr="00F75477">
        <w:rPr>
          <w:rFonts w:ascii="Arial" w:hAnsi="Arial" w:cs="Arial"/>
        </w:rPr>
        <w:t xml:space="preserve">Chen, C., Tang, H. and Zhong, Q. (2022) ‘A framework for selecting construction project delivery method using design structure matrix’, </w:t>
      </w:r>
      <w:r w:rsidRPr="00F75477">
        <w:rPr>
          <w:rFonts w:ascii="Arial" w:hAnsi="Arial" w:cs="Arial"/>
          <w:i/>
          <w:iCs/>
        </w:rPr>
        <w:t>Buildings</w:t>
      </w:r>
      <w:r w:rsidRPr="00F75477">
        <w:rPr>
          <w:rFonts w:ascii="Arial" w:hAnsi="Arial" w:cs="Arial"/>
        </w:rPr>
        <w:t xml:space="preserve">, 12(4), 443. Available at: </w:t>
      </w:r>
      <w:hyperlink r:id="rId13" w:history="1">
        <w:r w:rsidRPr="00F75477">
          <w:rPr>
            <w:rStyle w:val="Hyperlink"/>
            <w:rFonts w:ascii="Arial" w:hAnsi="Arial" w:cs="Arial"/>
          </w:rPr>
          <w:t>https://www.mdpi.com/2075-5309/12/4/443</w:t>
        </w:r>
      </w:hyperlink>
      <w:r w:rsidRPr="00F75477">
        <w:rPr>
          <w:rFonts w:ascii="Arial" w:hAnsi="Arial" w:cs="Arial"/>
        </w:rPr>
        <w:t xml:space="preserve"> (Accessed: 9 August 2026).</w:t>
      </w:r>
    </w:p>
    <w:p w14:paraId="58C80F78" w14:textId="43D18557" w:rsidR="0079619E" w:rsidRPr="00F75477" w:rsidRDefault="0079619E" w:rsidP="00F75477">
      <w:pPr>
        <w:pStyle w:val="BodyText"/>
        <w:spacing w:line="360" w:lineRule="auto"/>
        <w:jc w:val="both"/>
        <w:rPr>
          <w:rFonts w:ascii="Arial" w:hAnsi="Arial" w:cs="Arial"/>
        </w:rPr>
      </w:pPr>
      <w:r w:rsidRPr="00F75477">
        <w:rPr>
          <w:rFonts w:ascii="Arial" w:hAnsi="Arial" w:cs="Arial"/>
        </w:rPr>
        <w:t xml:space="preserve">Davies, A. and </w:t>
      </w:r>
      <w:proofErr w:type="spellStart"/>
      <w:r w:rsidRPr="00F75477">
        <w:rPr>
          <w:rFonts w:ascii="Arial" w:hAnsi="Arial" w:cs="Arial"/>
        </w:rPr>
        <w:t>Denicol</w:t>
      </w:r>
      <w:proofErr w:type="spellEnd"/>
      <w:r w:rsidRPr="00F75477">
        <w:rPr>
          <w:rFonts w:ascii="Arial" w:hAnsi="Arial" w:cs="Arial"/>
        </w:rPr>
        <w:t xml:space="preserve">, J. (2022) ‘The megaproject-based firm: building </w:t>
      </w:r>
      <w:proofErr w:type="spellStart"/>
      <w:r w:rsidRPr="00F75477">
        <w:rPr>
          <w:rFonts w:ascii="Arial" w:hAnsi="Arial" w:cs="Arial"/>
        </w:rPr>
        <w:t>programme</w:t>
      </w:r>
      <w:proofErr w:type="spellEnd"/>
      <w:r w:rsidRPr="00F75477">
        <w:rPr>
          <w:rFonts w:ascii="Arial" w:hAnsi="Arial" w:cs="Arial"/>
        </w:rPr>
        <w:t xml:space="preserve"> management capability to deliver megaprojects’, </w:t>
      </w:r>
      <w:r w:rsidRPr="00F75477">
        <w:rPr>
          <w:rFonts w:ascii="Arial" w:hAnsi="Arial" w:cs="Arial"/>
          <w:i/>
          <w:iCs/>
        </w:rPr>
        <w:t>International Journal of Project Management</w:t>
      </w:r>
      <w:r w:rsidRPr="00F75477">
        <w:rPr>
          <w:rFonts w:ascii="Arial" w:hAnsi="Arial" w:cs="Arial"/>
        </w:rPr>
        <w:t xml:space="preserve">, 40(5), pp. 505–516. Available at: </w:t>
      </w:r>
      <w:hyperlink r:id="rId14" w:history="1">
        <w:r w:rsidRPr="00F75477">
          <w:rPr>
            <w:rStyle w:val="Hyperlink"/>
            <w:rFonts w:ascii="Arial" w:hAnsi="Arial" w:cs="Arial"/>
          </w:rPr>
          <w:t>https://doi.org/10.1016/j.ijproman.2022.06.002</w:t>
        </w:r>
      </w:hyperlink>
      <w:r w:rsidRPr="00F75477">
        <w:rPr>
          <w:rFonts w:ascii="Arial" w:hAnsi="Arial" w:cs="Arial"/>
        </w:rPr>
        <w:t xml:space="preserve"> (Accessed: 9 August 2026).</w:t>
      </w:r>
    </w:p>
    <w:p w14:paraId="0E06577F" w14:textId="3273B60A" w:rsidR="0079619E" w:rsidRPr="00F75477" w:rsidRDefault="0079619E" w:rsidP="00F75477">
      <w:pPr>
        <w:pStyle w:val="BodyText"/>
        <w:spacing w:line="360" w:lineRule="auto"/>
        <w:jc w:val="both"/>
        <w:rPr>
          <w:rFonts w:ascii="Arial" w:hAnsi="Arial" w:cs="Arial"/>
        </w:rPr>
      </w:pPr>
      <w:r w:rsidRPr="00F75477">
        <w:rPr>
          <w:rFonts w:ascii="Arial" w:hAnsi="Arial" w:cs="Arial"/>
        </w:rPr>
        <w:t xml:space="preserve">El-Sayegh, S. and Ahmed, S. (2020) ‘Critical review of the evolution of project delivery methods in the construction industry’, </w:t>
      </w:r>
      <w:r w:rsidRPr="00F75477">
        <w:rPr>
          <w:rFonts w:ascii="Arial" w:hAnsi="Arial" w:cs="Arial"/>
          <w:i/>
          <w:iCs/>
        </w:rPr>
        <w:t>Buildings</w:t>
      </w:r>
      <w:r w:rsidRPr="00F75477">
        <w:rPr>
          <w:rFonts w:ascii="Arial" w:hAnsi="Arial" w:cs="Arial"/>
        </w:rPr>
        <w:t xml:space="preserve">, 11(1), 11. Available at: </w:t>
      </w:r>
      <w:hyperlink r:id="rId15" w:history="1">
        <w:r w:rsidRPr="00F75477">
          <w:rPr>
            <w:rStyle w:val="Hyperlink"/>
            <w:rFonts w:ascii="Arial" w:hAnsi="Arial" w:cs="Arial"/>
          </w:rPr>
          <w:t>https://www.mdpi.com/2075-5309/11/1/11</w:t>
        </w:r>
      </w:hyperlink>
      <w:r w:rsidRPr="00F75477">
        <w:rPr>
          <w:rFonts w:ascii="Arial" w:hAnsi="Arial" w:cs="Arial"/>
        </w:rPr>
        <w:t xml:space="preserve"> (Accessed: 9 August 2026).</w:t>
      </w:r>
    </w:p>
    <w:p w14:paraId="24576201" w14:textId="2B95B5A9" w:rsidR="0079619E" w:rsidRPr="00F75477" w:rsidRDefault="0079619E" w:rsidP="00F75477">
      <w:pPr>
        <w:pStyle w:val="BodyText"/>
        <w:spacing w:line="360" w:lineRule="auto"/>
        <w:jc w:val="both"/>
        <w:rPr>
          <w:rFonts w:ascii="Arial" w:hAnsi="Arial" w:cs="Arial"/>
        </w:rPr>
      </w:pPr>
      <w:r w:rsidRPr="00F75477">
        <w:rPr>
          <w:rFonts w:ascii="Arial" w:hAnsi="Arial" w:cs="Arial"/>
        </w:rPr>
        <w:lastRenderedPageBreak/>
        <w:t xml:space="preserve">House of Commons Public Administration and Constitutional Affairs Committee (2018) </w:t>
      </w:r>
      <w:r w:rsidRPr="00F75477">
        <w:rPr>
          <w:rFonts w:ascii="Arial" w:hAnsi="Arial" w:cs="Arial"/>
          <w:i/>
          <w:iCs/>
        </w:rPr>
        <w:t>After Carillion: public sector outsourcing and contracting</w:t>
      </w:r>
      <w:r w:rsidRPr="00F75477">
        <w:rPr>
          <w:rFonts w:ascii="Arial" w:hAnsi="Arial" w:cs="Arial"/>
        </w:rPr>
        <w:t xml:space="preserve">. Seventh Report of Session 2017–19. London: House of Commons. Available at: </w:t>
      </w:r>
      <w:hyperlink r:id="rId16" w:history="1">
        <w:r w:rsidRPr="00F75477">
          <w:rPr>
            <w:rStyle w:val="Hyperlink"/>
            <w:rFonts w:ascii="Arial" w:hAnsi="Arial" w:cs="Arial"/>
          </w:rPr>
          <w:t>https://publications.parliament.uk/pa/cm201719/cmselect/cmpubadm/748/74810.htm</w:t>
        </w:r>
      </w:hyperlink>
      <w:r w:rsidRPr="00F75477">
        <w:rPr>
          <w:rFonts w:ascii="Arial" w:hAnsi="Arial" w:cs="Arial"/>
        </w:rPr>
        <w:t xml:space="preserve"> (Accessed: 9 August 2026).</w:t>
      </w:r>
    </w:p>
    <w:p w14:paraId="4757830D" w14:textId="66330FEB" w:rsidR="0079619E" w:rsidRPr="00F75477" w:rsidRDefault="0079619E" w:rsidP="00F75477">
      <w:pPr>
        <w:pStyle w:val="BodyText"/>
        <w:spacing w:line="360" w:lineRule="auto"/>
        <w:jc w:val="both"/>
        <w:rPr>
          <w:rFonts w:ascii="Arial" w:hAnsi="Arial" w:cs="Arial"/>
        </w:rPr>
      </w:pPr>
      <w:r w:rsidRPr="00F75477">
        <w:rPr>
          <w:rFonts w:ascii="Arial" w:hAnsi="Arial" w:cs="Arial"/>
        </w:rPr>
        <w:t xml:space="preserve">Infrastructure and Projects Authority (2025) </w:t>
      </w:r>
      <w:r w:rsidRPr="00F75477">
        <w:rPr>
          <w:rFonts w:ascii="Arial" w:hAnsi="Arial" w:cs="Arial"/>
          <w:i/>
          <w:iCs/>
        </w:rPr>
        <w:t>Annual report on major projects 2023–24</w:t>
      </w:r>
      <w:r w:rsidRPr="00F75477">
        <w:rPr>
          <w:rFonts w:ascii="Arial" w:hAnsi="Arial" w:cs="Arial"/>
        </w:rPr>
        <w:t xml:space="preserve">. London: IPA. Available at: </w:t>
      </w:r>
      <w:hyperlink r:id="rId17" w:history="1">
        <w:r w:rsidRPr="00F75477">
          <w:rPr>
            <w:rStyle w:val="Hyperlink"/>
            <w:rFonts w:ascii="Arial" w:hAnsi="Arial" w:cs="Arial"/>
          </w:rPr>
          <w:t>https://www.gov.uk/government/publications/infrastructure-and-projects-authority-annual-report-2023-24</w:t>
        </w:r>
      </w:hyperlink>
      <w:r w:rsidRPr="00F75477">
        <w:rPr>
          <w:rFonts w:ascii="Arial" w:hAnsi="Arial" w:cs="Arial"/>
        </w:rPr>
        <w:t xml:space="preserve"> (Accessed: 9 August 2026).</w:t>
      </w:r>
    </w:p>
    <w:p w14:paraId="034B5687" w14:textId="49430942" w:rsidR="0079619E" w:rsidRPr="00F75477" w:rsidRDefault="0079619E" w:rsidP="00F75477">
      <w:pPr>
        <w:pStyle w:val="BodyText"/>
        <w:spacing w:line="360" w:lineRule="auto"/>
        <w:jc w:val="both"/>
        <w:rPr>
          <w:rFonts w:ascii="Arial" w:hAnsi="Arial" w:cs="Arial"/>
        </w:rPr>
      </w:pPr>
      <w:r w:rsidRPr="00F75477">
        <w:rPr>
          <w:rFonts w:ascii="Arial" w:hAnsi="Arial" w:cs="Arial"/>
        </w:rPr>
        <w:t xml:space="preserve">Jiang, H. (2026) ‘Research on the analysis of core clauses and risk prevention in EPC turnkey contracts’, </w:t>
      </w:r>
      <w:r w:rsidRPr="00F75477">
        <w:rPr>
          <w:rFonts w:ascii="Arial" w:hAnsi="Arial" w:cs="Arial"/>
          <w:i/>
          <w:iCs/>
        </w:rPr>
        <w:t>Advances in Engineering Sciences</w:t>
      </w:r>
      <w:r w:rsidRPr="00F75477">
        <w:rPr>
          <w:rFonts w:ascii="Arial" w:hAnsi="Arial" w:cs="Arial"/>
        </w:rPr>
        <w:t xml:space="preserve">, 6(4). Available at: </w:t>
      </w:r>
      <w:hyperlink r:id="rId18" w:history="1">
        <w:r w:rsidRPr="00F75477">
          <w:rPr>
            <w:rStyle w:val="Hyperlink"/>
            <w:rFonts w:ascii="Arial" w:hAnsi="Arial" w:cs="Arial"/>
          </w:rPr>
          <w:t>https://doi.org/10.32629/aes.v6i4.4790</w:t>
        </w:r>
      </w:hyperlink>
      <w:r w:rsidRPr="00F75477">
        <w:rPr>
          <w:rFonts w:ascii="Arial" w:hAnsi="Arial" w:cs="Arial"/>
        </w:rPr>
        <w:t xml:space="preserve"> (Accessed: 9 August 2026).</w:t>
      </w:r>
    </w:p>
    <w:p w14:paraId="7C43337C" w14:textId="77777777" w:rsidR="0079619E" w:rsidRPr="00F75477" w:rsidRDefault="0079619E" w:rsidP="00F75477">
      <w:pPr>
        <w:pStyle w:val="BodyText"/>
        <w:spacing w:line="360" w:lineRule="auto"/>
        <w:jc w:val="both"/>
        <w:rPr>
          <w:rFonts w:ascii="Arial" w:hAnsi="Arial" w:cs="Arial"/>
        </w:rPr>
      </w:pPr>
      <w:r w:rsidRPr="00F75477">
        <w:rPr>
          <w:rFonts w:ascii="Arial" w:hAnsi="Arial" w:cs="Arial"/>
          <w:sz w:val="26"/>
          <w:szCs w:val="26"/>
          <w:lang w:val="en-GB"/>
        </w:rPr>
        <w:t xml:space="preserve">Larson, E.W. and Gray, C.F. (2014) </w:t>
      </w:r>
      <w:r w:rsidRPr="00F75477">
        <w:rPr>
          <w:rFonts w:ascii="Arial" w:hAnsi="Arial" w:cs="Arial"/>
          <w:i/>
          <w:iCs/>
          <w:sz w:val="26"/>
          <w:szCs w:val="26"/>
          <w:lang w:val="en-GB"/>
        </w:rPr>
        <w:t xml:space="preserve">Project </w:t>
      </w:r>
      <w:proofErr w:type="gramStart"/>
      <w:r w:rsidRPr="00F75477">
        <w:rPr>
          <w:rFonts w:ascii="Arial" w:hAnsi="Arial" w:cs="Arial"/>
          <w:i/>
          <w:iCs/>
          <w:sz w:val="26"/>
          <w:szCs w:val="26"/>
          <w:lang w:val="en-GB"/>
        </w:rPr>
        <w:t>management :</w:t>
      </w:r>
      <w:proofErr w:type="gramEnd"/>
      <w:r w:rsidRPr="00F75477">
        <w:rPr>
          <w:rFonts w:ascii="Arial" w:hAnsi="Arial" w:cs="Arial"/>
          <w:i/>
          <w:iCs/>
          <w:sz w:val="26"/>
          <w:szCs w:val="26"/>
          <w:lang w:val="en-GB"/>
        </w:rPr>
        <w:t xml:space="preserve"> the managerial process. </w:t>
      </w:r>
      <w:r w:rsidRPr="00F75477">
        <w:rPr>
          <w:rFonts w:ascii="Arial" w:hAnsi="Arial" w:cs="Arial"/>
          <w:sz w:val="26"/>
          <w:szCs w:val="26"/>
          <w:lang w:val="en-GB"/>
        </w:rPr>
        <w:t xml:space="preserve">Sixth edition, </w:t>
      </w:r>
      <w:proofErr w:type="gramStart"/>
      <w:r w:rsidRPr="00F75477">
        <w:rPr>
          <w:rFonts w:ascii="Arial" w:hAnsi="Arial" w:cs="Arial"/>
          <w:sz w:val="26"/>
          <w:szCs w:val="26"/>
          <w:lang w:val="en-GB"/>
        </w:rPr>
        <w:t>International</w:t>
      </w:r>
      <w:proofErr w:type="gramEnd"/>
      <w:r w:rsidRPr="00F75477">
        <w:rPr>
          <w:rFonts w:ascii="Arial" w:hAnsi="Arial" w:cs="Arial"/>
          <w:sz w:val="26"/>
          <w:szCs w:val="26"/>
          <w:lang w:val="en-GB"/>
        </w:rPr>
        <w:t xml:space="preserve"> student edition. New York, NY: McGraw-Hill Education</w:t>
      </w:r>
      <w:r w:rsidRPr="00F75477">
        <w:rPr>
          <w:rFonts w:ascii="Arial" w:hAnsi="Arial" w:cs="Arial"/>
        </w:rPr>
        <w:t>.</w:t>
      </w:r>
    </w:p>
    <w:p w14:paraId="391B0FF7" w14:textId="184C1D7D" w:rsidR="0079619E" w:rsidRPr="00F75477" w:rsidRDefault="0079619E" w:rsidP="00F75477">
      <w:pPr>
        <w:pStyle w:val="BodyText"/>
        <w:spacing w:line="360" w:lineRule="auto"/>
        <w:jc w:val="both"/>
        <w:rPr>
          <w:rFonts w:ascii="Arial" w:hAnsi="Arial" w:cs="Arial"/>
        </w:rPr>
      </w:pPr>
      <w:r w:rsidRPr="00F75477">
        <w:rPr>
          <w:rFonts w:ascii="Arial" w:hAnsi="Arial" w:cs="Arial"/>
        </w:rPr>
        <w:t xml:space="preserve">Lee, C.-Y. and Chong, H.-Y. (2021) ‘Influence of prior ties on trust and contract functions for BIM-enabled EPC megaproject performance’, </w:t>
      </w:r>
      <w:r w:rsidRPr="00F75477">
        <w:rPr>
          <w:rFonts w:ascii="Arial" w:hAnsi="Arial" w:cs="Arial"/>
          <w:i/>
          <w:iCs/>
        </w:rPr>
        <w:t>Journal of Construction Engineering and Management</w:t>
      </w:r>
      <w:r w:rsidRPr="00F75477">
        <w:rPr>
          <w:rFonts w:ascii="Arial" w:hAnsi="Arial" w:cs="Arial"/>
        </w:rPr>
        <w:t xml:space="preserve">, 147(7). Available at: </w:t>
      </w:r>
      <w:hyperlink r:id="rId19" w:history="1">
        <w:r w:rsidRPr="00F75477">
          <w:rPr>
            <w:rStyle w:val="Hyperlink"/>
            <w:rFonts w:ascii="Arial" w:hAnsi="Arial" w:cs="Arial"/>
          </w:rPr>
          <w:t>https://doi.org/10.1061/(ASCE)CO.1943-7862.0002076</w:t>
        </w:r>
      </w:hyperlink>
      <w:r w:rsidRPr="00F75477">
        <w:rPr>
          <w:rFonts w:ascii="Arial" w:hAnsi="Arial" w:cs="Arial"/>
        </w:rPr>
        <w:t xml:space="preserve"> (Accessed: 9 August 2026).</w:t>
      </w:r>
    </w:p>
    <w:p w14:paraId="5E404122" w14:textId="2E11C228" w:rsidR="0079619E" w:rsidRPr="00F75477" w:rsidRDefault="0079619E" w:rsidP="00F75477">
      <w:pPr>
        <w:pStyle w:val="BodyText"/>
        <w:spacing w:line="360" w:lineRule="auto"/>
        <w:jc w:val="both"/>
        <w:rPr>
          <w:rFonts w:ascii="Arial" w:hAnsi="Arial" w:cs="Arial"/>
        </w:rPr>
      </w:pPr>
      <w:r w:rsidRPr="00F75477">
        <w:rPr>
          <w:rFonts w:ascii="Arial" w:hAnsi="Arial" w:cs="Arial"/>
        </w:rPr>
        <w:t xml:space="preserve">Meredith, J., Shafer, S., Mantel, S. and Sutton, M. (2016) </w:t>
      </w:r>
      <w:r w:rsidRPr="00F75477">
        <w:rPr>
          <w:rFonts w:ascii="Arial" w:hAnsi="Arial" w:cs="Arial"/>
          <w:i/>
          <w:iCs/>
        </w:rPr>
        <w:t xml:space="preserve">Project Management in Practice. </w:t>
      </w:r>
      <w:r w:rsidRPr="00F75477">
        <w:rPr>
          <w:rFonts w:ascii="Arial" w:hAnsi="Arial" w:cs="Arial"/>
        </w:rPr>
        <w:t xml:space="preserve">6th </w:t>
      </w:r>
      <w:proofErr w:type="spellStart"/>
      <w:r w:rsidRPr="00F75477">
        <w:rPr>
          <w:rFonts w:ascii="Arial" w:hAnsi="Arial" w:cs="Arial"/>
        </w:rPr>
        <w:t>edn</w:t>
      </w:r>
      <w:proofErr w:type="spellEnd"/>
      <w:r w:rsidRPr="00F75477">
        <w:rPr>
          <w:rFonts w:ascii="Arial" w:hAnsi="Arial" w:cs="Arial"/>
        </w:rPr>
        <w:t xml:space="preserve">. Wiley. Available at: </w:t>
      </w:r>
      <w:hyperlink r:id="rId20" w:history="1">
        <w:r w:rsidRPr="00F75477">
          <w:rPr>
            <w:rStyle w:val="Hyperlink"/>
            <w:rFonts w:ascii="Arial" w:hAnsi="Arial" w:cs="Arial"/>
          </w:rPr>
          <w:t>https://www.perlego.com/book/1646054</w:t>
        </w:r>
      </w:hyperlink>
      <w:r w:rsidRPr="00F75477">
        <w:rPr>
          <w:rFonts w:ascii="Arial" w:hAnsi="Arial" w:cs="Arial"/>
        </w:rPr>
        <w:t xml:space="preserve"> (Accessed: 9 August 2026).</w:t>
      </w:r>
    </w:p>
    <w:p w14:paraId="620F9D5A" w14:textId="690541FF" w:rsidR="0079619E" w:rsidRPr="00F75477" w:rsidRDefault="0079619E" w:rsidP="00F75477">
      <w:pPr>
        <w:pStyle w:val="BodyText"/>
        <w:spacing w:line="360" w:lineRule="auto"/>
        <w:jc w:val="both"/>
        <w:rPr>
          <w:rFonts w:ascii="Arial" w:hAnsi="Arial" w:cs="Arial"/>
        </w:rPr>
      </w:pPr>
      <w:r w:rsidRPr="00F75477">
        <w:rPr>
          <w:rFonts w:ascii="Arial" w:hAnsi="Arial" w:cs="Arial"/>
        </w:rPr>
        <w:t xml:space="preserve">National Audit Office (2025) </w:t>
      </w:r>
      <w:r w:rsidRPr="00F75477">
        <w:rPr>
          <w:rFonts w:ascii="Arial" w:hAnsi="Arial" w:cs="Arial"/>
          <w:i/>
          <w:iCs/>
        </w:rPr>
        <w:t>Government’s approach to technology suppliers: addressing the challenges</w:t>
      </w:r>
      <w:r w:rsidRPr="00F75477">
        <w:rPr>
          <w:rFonts w:ascii="Arial" w:hAnsi="Arial" w:cs="Arial"/>
        </w:rPr>
        <w:t xml:space="preserve">. London: NAO. Available at: </w:t>
      </w:r>
      <w:hyperlink r:id="rId21" w:history="1">
        <w:r w:rsidRPr="00F75477">
          <w:rPr>
            <w:rStyle w:val="Hyperlink"/>
            <w:rFonts w:ascii="Arial" w:hAnsi="Arial" w:cs="Arial"/>
          </w:rPr>
          <w:t>https://www.nao.org.uk/insights/governments-approach-to-technology-suppliers-addressing-the-challenges/</w:t>
        </w:r>
      </w:hyperlink>
      <w:r w:rsidRPr="00F75477">
        <w:rPr>
          <w:rFonts w:ascii="Arial" w:hAnsi="Arial" w:cs="Arial"/>
        </w:rPr>
        <w:t xml:space="preserve"> (Accessed: 9 August 2026).</w:t>
      </w:r>
    </w:p>
    <w:p w14:paraId="0C146409" w14:textId="390EC88B" w:rsidR="0079619E" w:rsidRPr="00F75477" w:rsidRDefault="00E21519" w:rsidP="00F75477">
      <w:pPr>
        <w:pStyle w:val="BodyText"/>
        <w:spacing w:line="360" w:lineRule="auto"/>
        <w:jc w:val="both"/>
        <w:rPr>
          <w:rFonts w:ascii="Arial" w:hAnsi="Arial" w:cs="Arial"/>
        </w:rPr>
      </w:pPr>
      <w:r>
        <w:rPr>
          <w:rFonts w:ascii="Arial" w:hAnsi="Arial" w:cs="Arial"/>
        </w:rPr>
        <w:t xml:space="preserve">PMI </w:t>
      </w:r>
      <w:r w:rsidR="00413BD8" w:rsidRPr="00F75477">
        <w:rPr>
          <w:rFonts w:ascii="Arial" w:hAnsi="Arial" w:cs="Arial"/>
        </w:rPr>
        <w:t xml:space="preserve">(2021) A Guide to the Project Management Body of Knowledge (PMBOK® Guide) – Seventh Edition and The Standard for Project Management (ENGLISH). 7th </w:t>
      </w:r>
      <w:proofErr w:type="spellStart"/>
      <w:r w:rsidR="00413BD8" w:rsidRPr="00F75477">
        <w:rPr>
          <w:rFonts w:ascii="Arial" w:hAnsi="Arial" w:cs="Arial"/>
        </w:rPr>
        <w:t>edn</w:t>
      </w:r>
      <w:proofErr w:type="spellEnd"/>
      <w:r w:rsidR="00413BD8" w:rsidRPr="00F75477">
        <w:rPr>
          <w:rFonts w:ascii="Arial" w:hAnsi="Arial" w:cs="Arial"/>
        </w:rPr>
        <w:t xml:space="preserve">. Project Management Institute. Available at: </w:t>
      </w:r>
      <w:hyperlink r:id="rId22" w:history="1">
        <w:r w:rsidR="00413BD8" w:rsidRPr="00F75477">
          <w:rPr>
            <w:rStyle w:val="Hyperlink"/>
            <w:rFonts w:ascii="Arial" w:hAnsi="Arial" w:cs="Arial"/>
          </w:rPr>
          <w:t>https://www.perlego.com/book/2825638</w:t>
        </w:r>
      </w:hyperlink>
      <w:r w:rsidR="00413BD8" w:rsidRPr="00F75477">
        <w:rPr>
          <w:rFonts w:ascii="Arial" w:hAnsi="Arial" w:cs="Arial"/>
        </w:rPr>
        <w:t xml:space="preserve"> (Accessed: 9 August 2026)</w:t>
      </w:r>
      <w:r w:rsidR="0079619E" w:rsidRPr="00F75477">
        <w:rPr>
          <w:rFonts w:ascii="Arial" w:hAnsi="Arial" w:cs="Arial"/>
        </w:rPr>
        <w:t>.</w:t>
      </w:r>
    </w:p>
    <w:p w14:paraId="054E54B0" w14:textId="20161B1D" w:rsidR="0079619E" w:rsidRPr="00F75477" w:rsidRDefault="0079619E" w:rsidP="00F75477">
      <w:pPr>
        <w:pStyle w:val="BodyText"/>
        <w:spacing w:line="360" w:lineRule="auto"/>
        <w:jc w:val="both"/>
        <w:rPr>
          <w:rFonts w:ascii="Arial" w:hAnsi="Arial" w:cs="Arial"/>
        </w:rPr>
      </w:pPr>
      <w:r w:rsidRPr="00F75477">
        <w:rPr>
          <w:rFonts w:ascii="Arial" w:hAnsi="Arial" w:cs="Arial"/>
        </w:rPr>
        <w:lastRenderedPageBreak/>
        <w:t xml:space="preserve">Tembo-Silungwe, C. and </w:t>
      </w:r>
      <w:proofErr w:type="spellStart"/>
      <w:r w:rsidRPr="00F75477">
        <w:rPr>
          <w:rFonts w:ascii="Arial" w:hAnsi="Arial" w:cs="Arial"/>
        </w:rPr>
        <w:t>Khatleli</w:t>
      </w:r>
      <w:proofErr w:type="spellEnd"/>
      <w:r w:rsidRPr="00F75477">
        <w:rPr>
          <w:rFonts w:ascii="Arial" w:hAnsi="Arial" w:cs="Arial"/>
        </w:rPr>
        <w:t xml:space="preserve">, N. (2017) ‘A conceptual model for risk allocation in the construction industry’, </w:t>
      </w:r>
      <w:r w:rsidRPr="00F75477">
        <w:rPr>
          <w:rFonts w:ascii="Arial" w:hAnsi="Arial" w:cs="Arial"/>
          <w:i/>
          <w:iCs/>
        </w:rPr>
        <w:t>American Journal of Applied Sciences</w:t>
      </w:r>
      <w:r w:rsidRPr="00F75477">
        <w:rPr>
          <w:rFonts w:ascii="Arial" w:hAnsi="Arial" w:cs="Arial"/>
        </w:rPr>
        <w:t xml:space="preserve">, 14(7), pp. 690–700. Available at: </w:t>
      </w:r>
      <w:hyperlink r:id="rId23" w:history="1">
        <w:r w:rsidRPr="00F75477">
          <w:rPr>
            <w:rStyle w:val="Hyperlink"/>
            <w:rFonts w:ascii="Arial" w:hAnsi="Arial" w:cs="Arial"/>
          </w:rPr>
          <w:t>https://doi.org/10.3844/ajassp.2017.690.700</w:t>
        </w:r>
      </w:hyperlink>
      <w:r w:rsidRPr="00F75477">
        <w:rPr>
          <w:rFonts w:ascii="Arial" w:hAnsi="Arial" w:cs="Arial"/>
        </w:rPr>
        <w:t xml:space="preserve"> (Accessed: 9 August 2026).</w:t>
      </w:r>
    </w:p>
    <w:p w14:paraId="291385E2" w14:textId="3C4A163F" w:rsidR="0079619E" w:rsidRPr="00F75477" w:rsidRDefault="0079619E" w:rsidP="00F75477">
      <w:pPr>
        <w:pStyle w:val="BodyText"/>
        <w:spacing w:line="360" w:lineRule="auto"/>
        <w:jc w:val="both"/>
        <w:rPr>
          <w:rFonts w:ascii="Arial" w:hAnsi="Arial" w:cs="Arial"/>
        </w:rPr>
      </w:pPr>
      <w:proofErr w:type="spellStart"/>
      <w:r w:rsidRPr="00F75477">
        <w:rPr>
          <w:rFonts w:ascii="Arial" w:hAnsi="Arial" w:cs="Arial"/>
        </w:rPr>
        <w:t>Varavenko</w:t>
      </w:r>
      <w:proofErr w:type="spellEnd"/>
      <w:r w:rsidRPr="00F75477">
        <w:rPr>
          <w:rFonts w:ascii="Arial" w:hAnsi="Arial" w:cs="Arial"/>
        </w:rPr>
        <w:t xml:space="preserve">, V.E., </w:t>
      </w:r>
      <w:proofErr w:type="spellStart"/>
      <w:r w:rsidRPr="00F75477">
        <w:rPr>
          <w:rFonts w:ascii="Arial" w:hAnsi="Arial" w:cs="Arial"/>
        </w:rPr>
        <w:t>Lyapustina</w:t>
      </w:r>
      <w:proofErr w:type="spellEnd"/>
      <w:r w:rsidRPr="00F75477">
        <w:rPr>
          <w:rFonts w:ascii="Arial" w:hAnsi="Arial" w:cs="Arial"/>
        </w:rPr>
        <w:t xml:space="preserve">, N.A. and Kovalev, D. (2022) ‘Means of mitigating the risks assigned to the contractor in the EPC contract’, </w:t>
      </w:r>
      <w:r w:rsidRPr="00F75477">
        <w:rPr>
          <w:rFonts w:ascii="Arial" w:hAnsi="Arial" w:cs="Arial"/>
          <w:i/>
          <w:iCs/>
        </w:rPr>
        <w:t>Legal Studies</w:t>
      </w:r>
      <w:r w:rsidRPr="00F75477">
        <w:rPr>
          <w:rFonts w:ascii="Arial" w:hAnsi="Arial" w:cs="Arial"/>
        </w:rPr>
        <w:t xml:space="preserve">, 2022(4). Available at: </w:t>
      </w:r>
      <w:hyperlink r:id="rId24" w:history="1">
        <w:r w:rsidRPr="00F75477">
          <w:rPr>
            <w:rStyle w:val="Hyperlink"/>
            <w:rFonts w:ascii="Arial" w:hAnsi="Arial" w:cs="Arial"/>
          </w:rPr>
          <w:t>https://doi.org/10.7256/2454-0706.2022.4.37863</w:t>
        </w:r>
      </w:hyperlink>
      <w:r w:rsidRPr="00F75477">
        <w:rPr>
          <w:rFonts w:ascii="Arial" w:hAnsi="Arial" w:cs="Arial"/>
        </w:rPr>
        <w:t xml:space="preserve"> (Accessed: 9 August 2026).</w:t>
      </w:r>
    </w:p>
    <w:p w14:paraId="5453313C" w14:textId="1DDEC410" w:rsidR="0064658D" w:rsidRPr="00F75477" w:rsidRDefault="0079619E" w:rsidP="00F75477">
      <w:pPr>
        <w:pStyle w:val="BodyText"/>
        <w:spacing w:line="360" w:lineRule="auto"/>
        <w:jc w:val="both"/>
        <w:rPr>
          <w:rFonts w:ascii="Arial" w:hAnsi="Arial" w:cs="Arial"/>
        </w:rPr>
      </w:pPr>
      <w:r w:rsidRPr="00F75477">
        <w:rPr>
          <w:rFonts w:ascii="Arial" w:hAnsi="Arial" w:cs="Arial"/>
        </w:rPr>
        <w:t xml:space="preserve">Williamson, O.E. (1979) ‘Transaction-cost economics: the governance of contractual relations’, </w:t>
      </w:r>
      <w:r w:rsidRPr="00F75477">
        <w:rPr>
          <w:rFonts w:ascii="Arial" w:hAnsi="Arial" w:cs="Arial"/>
          <w:i/>
          <w:iCs/>
        </w:rPr>
        <w:t>Journal of Law and Economics</w:t>
      </w:r>
      <w:r w:rsidRPr="00F75477">
        <w:rPr>
          <w:rFonts w:ascii="Arial" w:hAnsi="Arial" w:cs="Arial"/>
        </w:rPr>
        <w:t xml:space="preserve">, 22(2), pp. 233–261. Available at: </w:t>
      </w:r>
      <w:hyperlink r:id="rId25" w:history="1">
        <w:r w:rsidRPr="00F75477">
          <w:rPr>
            <w:rStyle w:val="Hyperlink"/>
            <w:rFonts w:ascii="Arial" w:hAnsi="Arial" w:cs="Arial"/>
            <w:color w:val="147DAD"/>
            <w:spacing w:val="2"/>
            <w:sz w:val="21"/>
            <w:szCs w:val="21"/>
          </w:rPr>
          <w:t>https://doi.org/10.1086/466942</w:t>
        </w:r>
      </w:hyperlink>
      <w:r w:rsidRPr="00F75477">
        <w:rPr>
          <w:rFonts w:ascii="Arial" w:hAnsi="Arial" w:cs="Arial"/>
        </w:rPr>
        <w:t>. (Accessed: 9 August 2026).</w:t>
      </w:r>
    </w:p>
    <w:sectPr w:rsidR="0064658D" w:rsidRPr="00F75477" w:rsidSect="005C68CA">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4EB47C" w14:textId="77777777" w:rsidR="002E3AF6" w:rsidRDefault="002E3AF6" w:rsidP="003D48DC">
      <w:r>
        <w:separator/>
      </w:r>
    </w:p>
  </w:endnote>
  <w:endnote w:type="continuationSeparator" w:id="0">
    <w:p w14:paraId="4C66AE1A" w14:textId="77777777" w:rsidR="002E3AF6" w:rsidRDefault="002E3AF6" w:rsidP="003D48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24142F" w14:textId="77777777" w:rsidR="002E3AF6" w:rsidRDefault="002E3AF6" w:rsidP="003D48DC">
      <w:r>
        <w:separator/>
      </w:r>
    </w:p>
  </w:footnote>
  <w:footnote w:type="continuationSeparator" w:id="0">
    <w:p w14:paraId="2D5F8171" w14:textId="77777777" w:rsidR="002E3AF6" w:rsidRDefault="002E3AF6" w:rsidP="003D48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CB23B9"/>
    <w:multiLevelType w:val="hybridMultilevel"/>
    <w:tmpl w:val="4FDAF36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577BE2"/>
    <w:multiLevelType w:val="hybridMultilevel"/>
    <w:tmpl w:val="A3A0D76E"/>
    <w:lvl w:ilvl="0" w:tplc="514C24E4">
      <w:start w:val="1"/>
      <w:numFmt w:val="decimal"/>
      <w:lvlText w:val="%1."/>
      <w:lvlJc w:val="left"/>
      <w:pPr>
        <w:ind w:left="560" w:hanging="280"/>
      </w:pPr>
    </w:lvl>
    <w:lvl w:ilvl="1" w:tplc="B712A53C">
      <w:numFmt w:val="decimal"/>
      <w:lvlText w:val=""/>
      <w:lvlJc w:val="left"/>
    </w:lvl>
    <w:lvl w:ilvl="2" w:tplc="5D5ABFC6">
      <w:numFmt w:val="decimal"/>
      <w:lvlText w:val=""/>
      <w:lvlJc w:val="left"/>
    </w:lvl>
    <w:lvl w:ilvl="3" w:tplc="C4DE29A2">
      <w:numFmt w:val="decimal"/>
      <w:lvlText w:val=""/>
      <w:lvlJc w:val="left"/>
    </w:lvl>
    <w:lvl w:ilvl="4" w:tplc="9C6C40B0">
      <w:numFmt w:val="decimal"/>
      <w:lvlText w:val=""/>
      <w:lvlJc w:val="left"/>
    </w:lvl>
    <w:lvl w:ilvl="5" w:tplc="EEDE410C">
      <w:numFmt w:val="decimal"/>
      <w:lvlText w:val=""/>
      <w:lvlJc w:val="left"/>
    </w:lvl>
    <w:lvl w:ilvl="6" w:tplc="C3645810">
      <w:numFmt w:val="decimal"/>
      <w:lvlText w:val=""/>
      <w:lvlJc w:val="left"/>
    </w:lvl>
    <w:lvl w:ilvl="7" w:tplc="B99E51CA">
      <w:numFmt w:val="decimal"/>
      <w:lvlText w:val=""/>
      <w:lvlJc w:val="left"/>
    </w:lvl>
    <w:lvl w:ilvl="8" w:tplc="2F1CD570">
      <w:numFmt w:val="decimal"/>
      <w:lvlText w:val=""/>
      <w:lvlJc w:val="left"/>
    </w:lvl>
  </w:abstractNum>
  <w:abstractNum w:abstractNumId="2" w15:restartNumberingAfterBreak="0">
    <w:nsid w:val="44791D95"/>
    <w:multiLevelType w:val="hybridMultilevel"/>
    <w:tmpl w:val="0ECAA2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627AEF"/>
    <w:multiLevelType w:val="hybridMultilevel"/>
    <w:tmpl w:val="DBA4D8C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5224228"/>
    <w:multiLevelType w:val="hybridMultilevel"/>
    <w:tmpl w:val="0456B9BE"/>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658F5FE5"/>
    <w:multiLevelType w:val="hybridMultilevel"/>
    <w:tmpl w:val="37064A9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8541D81"/>
    <w:multiLevelType w:val="multilevel"/>
    <w:tmpl w:val="5154676C"/>
    <w:lvl w:ilvl="0">
      <w:start w:val="1"/>
      <w:numFmt w:val="upperRoman"/>
      <w:pStyle w:val="Heading1"/>
      <w:lvlText w:val="%1."/>
      <w:lvlJc w:val="left"/>
      <w:pPr>
        <w:ind w:left="0" w:firstLine="0"/>
      </w:pPr>
    </w:lvl>
    <w:lvl w:ilvl="1">
      <w:start w:val="1"/>
      <w:numFmt w:val="decimal"/>
      <w:pStyle w:val="Heading2"/>
      <w:lvlText w:val="%2."/>
      <w:lvlJc w:val="left"/>
      <w:pPr>
        <w:ind w:left="1080" w:hanging="360"/>
      </w:pPr>
      <w:rPr>
        <w:rFonts w:hint="default"/>
      </w:rPr>
    </w:lvl>
    <w:lvl w:ilvl="2">
      <w:start w:val="1"/>
      <w:numFmt w:val="decimal"/>
      <w:pStyle w:val="Heading3"/>
      <w:lvlText w:val="%3."/>
      <w:lvlJc w:val="left"/>
      <w:pPr>
        <w:ind w:left="1440" w:firstLine="0"/>
      </w:pPr>
    </w:lvl>
    <w:lvl w:ilvl="3">
      <w:start w:val="1"/>
      <w:numFmt w:val="lowerLetter"/>
      <w:pStyle w:val="Heading4"/>
      <w:lvlText w:val="%4)"/>
      <w:lvlJc w:val="left"/>
      <w:pPr>
        <w:ind w:left="2160" w:firstLine="0"/>
      </w:pPr>
    </w:lvl>
    <w:lvl w:ilvl="4">
      <w:start w:val="1"/>
      <w:numFmt w:val="decimal"/>
      <w:pStyle w:val="Heading5"/>
      <w:lvlText w:val="(%5)"/>
      <w:lvlJc w:val="left"/>
      <w:pPr>
        <w:ind w:left="2880" w:firstLine="0"/>
      </w:pPr>
    </w:lvl>
    <w:lvl w:ilvl="5">
      <w:start w:val="1"/>
      <w:numFmt w:val="lowerLetter"/>
      <w:pStyle w:val="Heading6"/>
      <w:lvlText w:val="(%6)"/>
      <w:lvlJc w:val="left"/>
      <w:pPr>
        <w:ind w:left="3600" w:firstLine="0"/>
      </w:pPr>
    </w:lvl>
    <w:lvl w:ilvl="6">
      <w:start w:val="1"/>
      <w:numFmt w:val="lowerRoman"/>
      <w:pStyle w:val="Heading7"/>
      <w:lvlText w:val="(%7)"/>
      <w:lvlJc w:val="left"/>
      <w:pPr>
        <w:ind w:left="4320" w:firstLine="0"/>
      </w:pPr>
    </w:lvl>
    <w:lvl w:ilvl="7">
      <w:start w:val="1"/>
      <w:numFmt w:val="lowerLetter"/>
      <w:pStyle w:val="Heading8"/>
      <w:lvlText w:val="(%8)"/>
      <w:lvlJc w:val="left"/>
      <w:pPr>
        <w:ind w:left="5040" w:firstLine="0"/>
      </w:pPr>
    </w:lvl>
    <w:lvl w:ilvl="8">
      <w:start w:val="1"/>
      <w:numFmt w:val="lowerRoman"/>
      <w:pStyle w:val="Heading9"/>
      <w:lvlText w:val="(%9)"/>
      <w:lvlJc w:val="left"/>
      <w:pPr>
        <w:ind w:left="5760" w:firstLine="0"/>
      </w:pPr>
    </w:lvl>
  </w:abstractNum>
  <w:abstractNum w:abstractNumId="7" w15:restartNumberingAfterBreak="0">
    <w:nsid w:val="688D3EB4"/>
    <w:multiLevelType w:val="hybridMultilevel"/>
    <w:tmpl w:val="61BC026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F8E64F8"/>
    <w:multiLevelType w:val="hybridMultilevel"/>
    <w:tmpl w:val="7BA848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E2114AC"/>
    <w:multiLevelType w:val="hybridMultilevel"/>
    <w:tmpl w:val="7CD2F958"/>
    <w:lvl w:ilvl="0" w:tplc="2C46C9AC">
      <w:start w:val="1"/>
      <w:numFmt w:val="bullet"/>
      <w:lvlText w:val="•"/>
      <w:lvlJc w:val="left"/>
      <w:pPr>
        <w:ind w:left="560" w:hanging="280"/>
      </w:pPr>
    </w:lvl>
    <w:lvl w:ilvl="1" w:tplc="8A1E05E2">
      <w:numFmt w:val="decimal"/>
      <w:lvlText w:val=""/>
      <w:lvlJc w:val="left"/>
    </w:lvl>
    <w:lvl w:ilvl="2" w:tplc="2D3EF034">
      <w:numFmt w:val="decimal"/>
      <w:lvlText w:val=""/>
      <w:lvlJc w:val="left"/>
    </w:lvl>
    <w:lvl w:ilvl="3" w:tplc="96CC95B0">
      <w:numFmt w:val="decimal"/>
      <w:lvlText w:val=""/>
      <w:lvlJc w:val="left"/>
    </w:lvl>
    <w:lvl w:ilvl="4" w:tplc="20EE8E66">
      <w:numFmt w:val="decimal"/>
      <w:lvlText w:val=""/>
      <w:lvlJc w:val="left"/>
    </w:lvl>
    <w:lvl w:ilvl="5" w:tplc="77D0E226">
      <w:numFmt w:val="decimal"/>
      <w:lvlText w:val=""/>
      <w:lvlJc w:val="left"/>
    </w:lvl>
    <w:lvl w:ilvl="6" w:tplc="52E800DC">
      <w:numFmt w:val="decimal"/>
      <w:lvlText w:val=""/>
      <w:lvlJc w:val="left"/>
    </w:lvl>
    <w:lvl w:ilvl="7" w:tplc="682A9FAC">
      <w:numFmt w:val="decimal"/>
      <w:lvlText w:val=""/>
      <w:lvlJc w:val="left"/>
    </w:lvl>
    <w:lvl w:ilvl="8" w:tplc="1ACE9EAE">
      <w:numFmt w:val="decimal"/>
      <w:lvlText w:val=""/>
      <w:lvlJc w:val="left"/>
    </w:lvl>
  </w:abstractNum>
  <w:num w:numId="1" w16cid:durableId="518275158">
    <w:abstractNumId w:val="8"/>
  </w:num>
  <w:num w:numId="2" w16cid:durableId="1539246872">
    <w:abstractNumId w:val="2"/>
  </w:num>
  <w:num w:numId="3" w16cid:durableId="863128519">
    <w:abstractNumId w:val="5"/>
  </w:num>
  <w:num w:numId="4" w16cid:durableId="1558587133">
    <w:abstractNumId w:val="6"/>
  </w:num>
  <w:num w:numId="5" w16cid:durableId="123937431">
    <w:abstractNumId w:val="0"/>
  </w:num>
  <w:num w:numId="6" w16cid:durableId="126014230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527328419">
    <w:abstractNumId w:val="7"/>
  </w:num>
  <w:num w:numId="8" w16cid:durableId="333656672">
    <w:abstractNumId w:val="9"/>
    <w:lvlOverride w:ilvl="0">
      <w:startOverride w:val="1"/>
    </w:lvlOverride>
  </w:num>
  <w:num w:numId="9" w16cid:durableId="1763841006">
    <w:abstractNumId w:val="3"/>
  </w:num>
  <w:num w:numId="10" w16cid:durableId="1149595725">
    <w:abstractNumId w:val="4"/>
  </w:num>
  <w:num w:numId="11" w16cid:durableId="1583835309">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58D"/>
    <w:rsid w:val="00073697"/>
    <w:rsid w:val="00074C0B"/>
    <w:rsid w:val="00111B25"/>
    <w:rsid w:val="00187CE5"/>
    <w:rsid w:val="002E3AF6"/>
    <w:rsid w:val="00336AFD"/>
    <w:rsid w:val="003D48DC"/>
    <w:rsid w:val="00413BD8"/>
    <w:rsid w:val="00423743"/>
    <w:rsid w:val="005306AC"/>
    <w:rsid w:val="00545DEC"/>
    <w:rsid w:val="005C68CA"/>
    <w:rsid w:val="0064658D"/>
    <w:rsid w:val="006A511E"/>
    <w:rsid w:val="006E6CD2"/>
    <w:rsid w:val="00787839"/>
    <w:rsid w:val="0079619E"/>
    <w:rsid w:val="00A41D94"/>
    <w:rsid w:val="00B17824"/>
    <w:rsid w:val="00BD27BB"/>
    <w:rsid w:val="00BF069D"/>
    <w:rsid w:val="00C42469"/>
    <w:rsid w:val="00C825A6"/>
    <w:rsid w:val="00CC372B"/>
    <w:rsid w:val="00CD16BE"/>
    <w:rsid w:val="00CE3EFA"/>
    <w:rsid w:val="00D47C1C"/>
    <w:rsid w:val="00E21519"/>
    <w:rsid w:val="00F75477"/>
    <w:rsid w:val="00FD53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F43C3"/>
  <w15:chartTrackingRefBased/>
  <w15:docId w15:val="{46BABF97-08F3-8F4F-B531-AB8AE272DF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58D"/>
    <w:pPr>
      <w:keepNext/>
      <w:keepLines/>
      <w:numPr>
        <w:numId w:val="4"/>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658D"/>
    <w:pPr>
      <w:keepNext/>
      <w:keepLines/>
      <w:numPr>
        <w:ilvl w:val="1"/>
        <w:numId w:val="4"/>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658D"/>
    <w:pPr>
      <w:keepNext/>
      <w:keepLines/>
      <w:numPr>
        <w:ilvl w:val="2"/>
        <w:numId w:val="4"/>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58D"/>
    <w:pPr>
      <w:keepNext/>
      <w:keepLines/>
      <w:numPr>
        <w:ilvl w:val="3"/>
        <w:numId w:val="4"/>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58D"/>
    <w:pPr>
      <w:keepNext/>
      <w:keepLines/>
      <w:numPr>
        <w:ilvl w:val="4"/>
        <w:numId w:val="4"/>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58D"/>
    <w:pPr>
      <w:keepNext/>
      <w:keepLines/>
      <w:numPr>
        <w:ilvl w:val="5"/>
        <w:numId w:val="4"/>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58D"/>
    <w:pPr>
      <w:keepNext/>
      <w:keepLines/>
      <w:numPr>
        <w:ilvl w:val="6"/>
        <w:numId w:val="4"/>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58D"/>
    <w:pPr>
      <w:keepNext/>
      <w:keepLines/>
      <w:numPr>
        <w:ilvl w:val="7"/>
        <w:numId w:val="4"/>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58D"/>
    <w:pPr>
      <w:keepNext/>
      <w:keepLines/>
      <w:numPr>
        <w:ilvl w:val="8"/>
        <w:numId w:val="4"/>
      </w:numPr>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5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65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65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5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5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5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5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5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58D"/>
    <w:rPr>
      <w:rFonts w:eastAsiaTheme="majorEastAsia" w:cstheme="majorBidi"/>
      <w:color w:val="272727" w:themeColor="text1" w:themeTint="D8"/>
    </w:rPr>
  </w:style>
  <w:style w:type="paragraph" w:styleId="Title">
    <w:name w:val="Title"/>
    <w:basedOn w:val="Normal"/>
    <w:next w:val="Normal"/>
    <w:link w:val="TitleChar"/>
    <w:uiPriority w:val="10"/>
    <w:qFormat/>
    <w:rsid w:val="0064658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5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58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5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58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58D"/>
    <w:rPr>
      <w:i/>
      <w:iCs/>
      <w:color w:val="404040" w:themeColor="text1" w:themeTint="BF"/>
    </w:rPr>
  </w:style>
  <w:style w:type="paragraph" w:styleId="ListParagraph">
    <w:name w:val="List Paragraph"/>
    <w:basedOn w:val="Normal"/>
    <w:qFormat/>
    <w:rsid w:val="0064658D"/>
    <w:pPr>
      <w:ind w:left="720"/>
      <w:contextualSpacing/>
    </w:pPr>
  </w:style>
  <w:style w:type="character" w:styleId="IntenseEmphasis">
    <w:name w:val="Intense Emphasis"/>
    <w:basedOn w:val="DefaultParagraphFont"/>
    <w:uiPriority w:val="21"/>
    <w:qFormat/>
    <w:rsid w:val="0064658D"/>
    <w:rPr>
      <w:i/>
      <w:iCs/>
      <w:color w:val="0F4761" w:themeColor="accent1" w:themeShade="BF"/>
    </w:rPr>
  </w:style>
  <w:style w:type="paragraph" w:styleId="IntenseQuote">
    <w:name w:val="Intense Quote"/>
    <w:basedOn w:val="Normal"/>
    <w:next w:val="Normal"/>
    <w:link w:val="IntenseQuoteChar"/>
    <w:uiPriority w:val="30"/>
    <w:qFormat/>
    <w:rsid w:val="006465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58D"/>
    <w:rPr>
      <w:i/>
      <w:iCs/>
      <w:color w:val="0F4761" w:themeColor="accent1" w:themeShade="BF"/>
    </w:rPr>
  </w:style>
  <w:style w:type="character" w:styleId="IntenseReference">
    <w:name w:val="Intense Reference"/>
    <w:basedOn w:val="DefaultParagraphFont"/>
    <w:uiPriority w:val="32"/>
    <w:qFormat/>
    <w:rsid w:val="0064658D"/>
    <w:rPr>
      <w:b/>
      <w:bCs/>
      <w:smallCaps/>
      <w:color w:val="0F4761" w:themeColor="accent1" w:themeShade="BF"/>
      <w:spacing w:val="5"/>
    </w:rPr>
  </w:style>
  <w:style w:type="paragraph" w:styleId="NoSpacing">
    <w:name w:val="No Spacing"/>
    <w:link w:val="NoSpacingChar"/>
    <w:uiPriority w:val="1"/>
    <w:qFormat/>
    <w:rsid w:val="0064658D"/>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64658D"/>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64658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4658D"/>
    <w:pPr>
      <w:spacing w:before="120"/>
    </w:pPr>
    <w:rPr>
      <w:b/>
      <w:bCs/>
      <w:i/>
      <w:iCs/>
    </w:rPr>
  </w:style>
  <w:style w:type="paragraph" w:styleId="TOC2">
    <w:name w:val="toc 2"/>
    <w:basedOn w:val="Normal"/>
    <w:next w:val="Normal"/>
    <w:autoRedefine/>
    <w:uiPriority w:val="39"/>
    <w:unhideWhenUsed/>
    <w:rsid w:val="0064658D"/>
    <w:pPr>
      <w:spacing w:before="120"/>
      <w:ind w:left="240"/>
    </w:pPr>
    <w:rPr>
      <w:b/>
      <w:bCs/>
      <w:sz w:val="22"/>
      <w:szCs w:val="22"/>
    </w:rPr>
  </w:style>
  <w:style w:type="paragraph" w:styleId="TOC3">
    <w:name w:val="toc 3"/>
    <w:basedOn w:val="Normal"/>
    <w:next w:val="Normal"/>
    <w:autoRedefine/>
    <w:uiPriority w:val="39"/>
    <w:unhideWhenUsed/>
    <w:rsid w:val="0064658D"/>
    <w:pPr>
      <w:ind w:left="480"/>
    </w:pPr>
    <w:rPr>
      <w:sz w:val="20"/>
      <w:szCs w:val="20"/>
    </w:rPr>
  </w:style>
  <w:style w:type="paragraph" w:styleId="TOC4">
    <w:name w:val="toc 4"/>
    <w:basedOn w:val="Normal"/>
    <w:next w:val="Normal"/>
    <w:autoRedefine/>
    <w:uiPriority w:val="39"/>
    <w:semiHidden/>
    <w:unhideWhenUsed/>
    <w:rsid w:val="0064658D"/>
    <w:pPr>
      <w:ind w:left="720"/>
    </w:pPr>
    <w:rPr>
      <w:sz w:val="20"/>
      <w:szCs w:val="20"/>
    </w:rPr>
  </w:style>
  <w:style w:type="paragraph" w:styleId="TOC5">
    <w:name w:val="toc 5"/>
    <w:basedOn w:val="Normal"/>
    <w:next w:val="Normal"/>
    <w:autoRedefine/>
    <w:uiPriority w:val="39"/>
    <w:semiHidden/>
    <w:unhideWhenUsed/>
    <w:rsid w:val="0064658D"/>
    <w:pPr>
      <w:ind w:left="960"/>
    </w:pPr>
    <w:rPr>
      <w:sz w:val="20"/>
      <w:szCs w:val="20"/>
    </w:rPr>
  </w:style>
  <w:style w:type="paragraph" w:styleId="TOC6">
    <w:name w:val="toc 6"/>
    <w:basedOn w:val="Normal"/>
    <w:next w:val="Normal"/>
    <w:autoRedefine/>
    <w:uiPriority w:val="39"/>
    <w:semiHidden/>
    <w:unhideWhenUsed/>
    <w:rsid w:val="0064658D"/>
    <w:pPr>
      <w:ind w:left="1200"/>
    </w:pPr>
    <w:rPr>
      <w:sz w:val="20"/>
      <w:szCs w:val="20"/>
    </w:rPr>
  </w:style>
  <w:style w:type="paragraph" w:styleId="TOC7">
    <w:name w:val="toc 7"/>
    <w:basedOn w:val="Normal"/>
    <w:next w:val="Normal"/>
    <w:autoRedefine/>
    <w:uiPriority w:val="39"/>
    <w:semiHidden/>
    <w:unhideWhenUsed/>
    <w:rsid w:val="0064658D"/>
    <w:pPr>
      <w:ind w:left="1440"/>
    </w:pPr>
    <w:rPr>
      <w:sz w:val="20"/>
      <w:szCs w:val="20"/>
    </w:rPr>
  </w:style>
  <w:style w:type="paragraph" w:styleId="TOC8">
    <w:name w:val="toc 8"/>
    <w:basedOn w:val="Normal"/>
    <w:next w:val="Normal"/>
    <w:autoRedefine/>
    <w:uiPriority w:val="39"/>
    <w:semiHidden/>
    <w:unhideWhenUsed/>
    <w:rsid w:val="0064658D"/>
    <w:pPr>
      <w:ind w:left="1680"/>
    </w:pPr>
    <w:rPr>
      <w:sz w:val="20"/>
      <w:szCs w:val="20"/>
    </w:rPr>
  </w:style>
  <w:style w:type="paragraph" w:styleId="TOC9">
    <w:name w:val="toc 9"/>
    <w:basedOn w:val="Normal"/>
    <w:next w:val="Normal"/>
    <w:autoRedefine/>
    <w:uiPriority w:val="39"/>
    <w:semiHidden/>
    <w:unhideWhenUsed/>
    <w:rsid w:val="0064658D"/>
    <w:pPr>
      <w:ind w:left="1920"/>
    </w:pPr>
    <w:rPr>
      <w:sz w:val="20"/>
      <w:szCs w:val="20"/>
    </w:rPr>
  </w:style>
  <w:style w:type="character" w:styleId="Hyperlink">
    <w:name w:val="Hyperlink"/>
    <w:basedOn w:val="DefaultParagraphFont"/>
    <w:uiPriority w:val="99"/>
    <w:unhideWhenUsed/>
    <w:rsid w:val="0064658D"/>
    <w:rPr>
      <w:color w:val="467886" w:themeColor="hyperlink"/>
      <w:u w:val="single"/>
    </w:rPr>
  </w:style>
  <w:style w:type="character" w:customStyle="1" w:styleId="apple-converted-space">
    <w:name w:val="apple-converted-space"/>
    <w:basedOn w:val="DefaultParagraphFont"/>
    <w:rsid w:val="0064658D"/>
  </w:style>
  <w:style w:type="paragraph" w:styleId="Header">
    <w:name w:val="header"/>
    <w:basedOn w:val="Normal"/>
    <w:link w:val="HeaderChar"/>
    <w:uiPriority w:val="99"/>
    <w:unhideWhenUsed/>
    <w:rsid w:val="003D48DC"/>
    <w:pPr>
      <w:tabs>
        <w:tab w:val="center" w:pos="4513"/>
        <w:tab w:val="right" w:pos="9026"/>
      </w:tabs>
    </w:pPr>
  </w:style>
  <w:style w:type="character" w:customStyle="1" w:styleId="HeaderChar">
    <w:name w:val="Header Char"/>
    <w:basedOn w:val="DefaultParagraphFont"/>
    <w:link w:val="Header"/>
    <w:uiPriority w:val="99"/>
    <w:rsid w:val="003D48DC"/>
  </w:style>
  <w:style w:type="paragraph" w:styleId="Footer">
    <w:name w:val="footer"/>
    <w:basedOn w:val="Normal"/>
    <w:link w:val="FooterChar"/>
    <w:uiPriority w:val="99"/>
    <w:unhideWhenUsed/>
    <w:rsid w:val="003D48DC"/>
    <w:pPr>
      <w:tabs>
        <w:tab w:val="center" w:pos="4513"/>
        <w:tab w:val="right" w:pos="9026"/>
      </w:tabs>
    </w:pPr>
  </w:style>
  <w:style w:type="character" w:customStyle="1" w:styleId="FooterChar">
    <w:name w:val="Footer Char"/>
    <w:basedOn w:val="DefaultParagraphFont"/>
    <w:link w:val="Footer"/>
    <w:uiPriority w:val="99"/>
    <w:rsid w:val="003D48DC"/>
  </w:style>
  <w:style w:type="character" w:styleId="UnresolvedMention">
    <w:name w:val="Unresolved Mention"/>
    <w:basedOn w:val="DefaultParagraphFont"/>
    <w:uiPriority w:val="99"/>
    <w:semiHidden/>
    <w:unhideWhenUsed/>
    <w:rsid w:val="003D48DC"/>
    <w:rPr>
      <w:color w:val="605E5C"/>
      <w:shd w:val="clear" w:color="auto" w:fill="E1DFDD"/>
    </w:rPr>
  </w:style>
  <w:style w:type="character" w:styleId="LineNumber">
    <w:name w:val="line number"/>
    <w:basedOn w:val="DefaultParagraphFont"/>
    <w:uiPriority w:val="99"/>
    <w:semiHidden/>
    <w:unhideWhenUsed/>
    <w:rsid w:val="005C68CA"/>
  </w:style>
  <w:style w:type="paragraph" w:styleId="BodyText">
    <w:name w:val="Body Text"/>
    <w:basedOn w:val="Normal"/>
    <w:link w:val="BodyTextChar"/>
    <w:qFormat/>
    <w:rsid w:val="0079619E"/>
    <w:pPr>
      <w:spacing w:before="180" w:after="180"/>
    </w:pPr>
    <w:rPr>
      <w:kern w:val="0"/>
      <w:lang w:val="en-US"/>
      <w14:ligatures w14:val="none"/>
    </w:rPr>
  </w:style>
  <w:style w:type="character" w:customStyle="1" w:styleId="BodyTextChar">
    <w:name w:val="Body Text Char"/>
    <w:basedOn w:val="DefaultParagraphFont"/>
    <w:link w:val="BodyText"/>
    <w:rsid w:val="0079619E"/>
    <w:rPr>
      <w:kern w:val="0"/>
      <w:lang w:val="en-US"/>
      <w14:ligatures w14:val="none"/>
    </w:rPr>
  </w:style>
  <w:style w:type="paragraph" w:customStyle="1" w:styleId="FirstParagraph">
    <w:name w:val="First Paragraph"/>
    <w:basedOn w:val="BodyText"/>
    <w:next w:val="BodyText"/>
    <w:qFormat/>
    <w:rsid w:val="0079619E"/>
  </w:style>
  <w:style w:type="character" w:styleId="FollowedHyperlink">
    <w:name w:val="FollowedHyperlink"/>
    <w:basedOn w:val="DefaultParagraphFont"/>
    <w:uiPriority w:val="99"/>
    <w:semiHidden/>
    <w:unhideWhenUsed/>
    <w:rsid w:val="00E2151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9250340">
      <w:bodyDiv w:val="1"/>
      <w:marLeft w:val="0"/>
      <w:marRight w:val="0"/>
      <w:marTop w:val="0"/>
      <w:marBottom w:val="0"/>
      <w:divBdr>
        <w:top w:val="none" w:sz="0" w:space="0" w:color="auto"/>
        <w:left w:val="none" w:sz="0" w:space="0" w:color="auto"/>
        <w:bottom w:val="none" w:sz="0" w:space="0" w:color="auto"/>
        <w:right w:val="none" w:sz="0" w:space="0" w:color="auto"/>
      </w:divBdr>
    </w:div>
    <w:div w:id="684982797">
      <w:bodyDiv w:val="1"/>
      <w:marLeft w:val="0"/>
      <w:marRight w:val="0"/>
      <w:marTop w:val="0"/>
      <w:marBottom w:val="0"/>
      <w:divBdr>
        <w:top w:val="none" w:sz="0" w:space="0" w:color="auto"/>
        <w:left w:val="none" w:sz="0" w:space="0" w:color="auto"/>
        <w:bottom w:val="none" w:sz="0" w:space="0" w:color="auto"/>
        <w:right w:val="none" w:sz="0" w:space="0" w:color="auto"/>
      </w:divBdr>
      <w:divsChild>
        <w:div w:id="57940011">
          <w:marLeft w:val="0"/>
          <w:marRight w:val="0"/>
          <w:marTop w:val="0"/>
          <w:marBottom w:val="0"/>
          <w:divBdr>
            <w:top w:val="none" w:sz="0" w:space="0" w:color="auto"/>
            <w:left w:val="none" w:sz="0" w:space="0" w:color="auto"/>
            <w:bottom w:val="none" w:sz="0" w:space="0" w:color="auto"/>
            <w:right w:val="none" w:sz="0" w:space="0" w:color="auto"/>
          </w:divBdr>
          <w:divsChild>
            <w:div w:id="1738630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3042089">
      <w:bodyDiv w:val="1"/>
      <w:marLeft w:val="0"/>
      <w:marRight w:val="0"/>
      <w:marTop w:val="0"/>
      <w:marBottom w:val="0"/>
      <w:divBdr>
        <w:top w:val="none" w:sz="0" w:space="0" w:color="auto"/>
        <w:left w:val="none" w:sz="0" w:space="0" w:color="auto"/>
        <w:bottom w:val="none" w:sz="0" w:space="0" w:color="auto"/>
        <w:right w:val="none" w:sz="0" w:space="0" w:color="auto"/>
      </w:divBdr>
      <w:divsChild>
        <w:div w:id="1881552124">
          <w:marLeft w:val="0"/>
          <w:marRight w:val="0"/>
          <w:marTop w:val="0"/>
          <w:marBottom w:val="0"/>
          <w:divBdr>
            <w:top w:val="none" w:sz="0" w:space="0" w:color="auto"/>
            <w:left w:val="none" w:sz="0" w:space="0" w:color="auto"/>
            <w:bottom w:val="none" w:sz="0" w:space="0" w:color="auto"/>
            <w:right w:val="none" w:sz="0" w:space="0" w:color="auto"/>
          </w:divBdr>
          <w:divsChild>
            <w:div w:id="1441753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8280397">
      <w:bodyDiv w:val="1"/>
      <w:marLeft w:val="0"/>
      <w:marRight w:val="0"/>
      <w:marTop w:val="0"/>
      <w:marBottom w:val="0"/>
      <w:divBdr>
        <w:top w:val="none" w:sz="0" w:space="0" w:color="auto"/>
        <w:left w:val="none" w:sz="0" w:space="0" w:color="auto"/>
        <w:bottom w:val="none" w:sz="0" w:space="0" w:color="auto"/>
        <w:right w:val="none" w:sz="0" w:space="0" w:color="auto"/>
      </w:divBdr>
      <w:divsChild>
        <w:div w:id="1745226558">
          <w:marLeft w:val="0"/>
          <w:marRight w:val="0"/>
          <w:marTop w:val="0"/>
          <w:marBottom w:val="0"/>
          <w:divBdr>
            <w:top w:val="none" w:sz="0" w:space="0" w:color="auto"/>
            <w:left w:val="none" w:sz="0" w:space="0" w:color="auto"/>
            <w:bottom w:val="none" w:sz="0" w:space="0" w:color="auto"/>
            <w:right w:val="none" w:sz="0" w:space="0" w:color="auto"/>
          </w:divBdr>
          <w:divsChild>
            <w:div w:id="1072627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dpi.com/2075-5309/12/4/443" TargetMode="External"/><Relationship Id="rId18" Type="http://schemas.openxmlformats.org/officeDocument/2006/relationships/hyperlink" Target="https://doi.org/10.32629/aes.v6i4.4790"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nao.org.uk/insights/governments-approach-to-technology-suppliers-addressing-the-challenges/" TargetMode="External"/><Relationship Id="rId7" Type="http://schemas.openxmlformats.org/officeDocument/2006/relationships/endnotes" Target="endnotes.xml"/><Relationship Id="rId12" Type="http://schemas.openxmlformats.org/officeDocument/2006/relationships/hyperlink" Target="https://www.apm.org.uk/media/qpyau3pc/apm-body-of-knowledge-7th-edition-for-supporting-2025-consultation.pdf" TargetMode="External"/><Relationship Id="rId17" Type="http://schemas.openxmlformats.org/officeDocument/2006/relationships/hyperlink" Target="https://www.gov.uk/government/publications/infrastructure-and-projects-authority-annual-report-2023-24" TargetMode="External"/><Relationship Id="rId25" Type="http://schemas.openxmlformats.org/officeDocument/2006/relationships/hyperlink" Target="https://doi.org/10.1086/466942" TargetMode="External"/><Relationship Id="rId2" Type="http://schemas.openxmlformats.org/officeDocument/2006/relationships/numbering" Target="numbering.xml"/><Relationship Id="rId16" Type="http://schemas.openxmlformats.org/officeDocument/2006/relationships/hyperlink" Target="https://publications.parliament.uk/pa/cm201719/cmselect/cmpubadm/748/74810.htm" TargetMode="External"/><Relationship Id="rId20" Type="http://schemas.openxmlformats.org/officeDocument/2006/relationships/hyperlink" Target="https://www.perlego.com/book/164605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ed.petra.ac.id/index.php/civ/article/view/28280" TargetMode="External"/><Relationship Id="rId24" Type="http://schemas.openxmlformats.org/officeDocument/2006/relationships/hyperlink" Target="https://doi.org/10.7256/2454-0706.2022.4.37863" TargetMode="External"/><Relationship Id="rId5" Type="http://schemas.openxmlformats.org/officeDocument/2006/relationships/webSettings" Target="webSettings.xml"/><Relationship Id="rId15" Type="http://schemas.openxmlformats.org/officeDocument/2006/relationships/hyperlink" Target="https://www.mdpi.com/2075-5309/11/1/11" TargetMode="External"/><Relationship Id="rId23" Type="http://schemas.openxmlformats.org/officeDocument/2006/relationships/hyperlink" Target="https://doi.org/10.3844/ajassp.2017.690.700" TargetMode="External"/><Relationship Id="rId10" Type="http://schemas.openxmlformats.org/officeDocument/2006/relationships/hyperlink" Target="https://downloads.hindawi.com/journals/ace/2023/6658060.pdf" TargetMode="External"/><Relationship Id="rId19" Type="http://schemas.openxmlformats.org/officeDocument/2006/relationships/hyperlink" Target="https://doi.org/10.1061/(ASCE)CO.1943-7862.0002076" TargetMode="External"/><Relationship Id="rId4" Type="http://schemas.openxmlformats.org/officeDocument/2006/relationships/settings" Target="settings.xml"/><Relationship Id="rId9" Type="http://schemas.openxmlformats.org/officeDocument/2006/relationships/hyperlink" Target="https://www.ajol.info/index.php/ajplscm/article/view/324236" TargetMode="External"/><Relationship Id="rId14" Type="http://schemas.openxmlformats.org/officeDocument/2006/relationships/hyperlink" Target="https://doi.org/10.1016/j.ijproman.2022.06.002" TargetMode="External"/><Relationship Id="rId22" Type="http://schemas.openxmlformats.org/officeDocument/2006/relationships/hyperlink" Target="https://www.perlego.com/book/2825638"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E779C8-640D-FD43-B0FD-A8F226C74D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11</Pages>
  <Words>2885</Words>
  <Characters>16449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Component 1: Coursework: Essay</vt:lpstr>
    </vt:vector>
  </TitlesOfParts>
  <Company/>
  <LinksUpToDate>false</LinksUpToDate>
  <CharactersWithSpaces>19296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Coursework: Essay</dc:title>
  <dc:subject>Project Management (LCBB6006)</dc:subject>
  <dc:creator>Ionut agrigoroaei (2247225)</dc:creator>
  <cp:keywords/>
  <dc:description/>
  <cp:lastModifiedBy>Adelina Gabriela Stanciu (2245080)</cp:lastModifiedBy>
  <cp:revision>5</cp:revision>
  <dcterms:created xsi:type="dcterms:W3CDTF">2026-08-23T16:51:00Z</dcterms:created>
  <dcterms:modified xsi:type="dcterms:W3CDTF">2026-08-24T00:12:00Z</dcterms:modified>
</cp:coreProperties>
</file>