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6439564" w:displacedByCustomXml="next"/>
    <w:sdt>
      <w:sdtPr>
        <w:rPr>
          <w:rFonts w:ascii="Times New Roman" w:eastAsiaTheme="minorHAnsi" w:hAnsi="Times New Roman" w:cs="Times New Roman"/>
          <w:color w:val="auto"/>
          <w:sz w:val="24"/>
          <w:szCs w:val="24"/>
          <w:lang w:val="en-GB"/>
        </w:rPr>
        <w:id w:val="779303682"/>
        <w:docPartObj>
          <w:docPartGallery w:val="Table of Contents"/>
          <w:docPartUnique/>
        </w:docPartObj>
      </w:sdtPr>
      <w:sdtEndPr>
        <w:rPr>
          <w:rFonts w:asciiTheme="minorHAnsi" w:eastAsiaTheme="minorEastAsia" w:hAnsiTheme="minorHAnsi"/>
          <w:b/>
          <w:bCs/>
          <w:noProof/>
          <w:kern w:val="2"/>
          <w:lang w:eastAsia="zh-CN"/>
          <w14:ligatures w14:val="standardContextual"/>
        </w:rPr>
      </w:sdtEndPr>
      <w:sdtContent>
        <w:p w14:paraId="21389FC2" w14:textId="77777777" w:rsidR="00A829C7" w:rsidRDefault="00A829C7" w:rsidP="00004507">
          <w:pPr>
            <w:pStyle w:val="TOCHeading"/>
            <w:rPr>
              <w:rFonts w:ascii="Times New Roman" w:eastAsiaTheme="minorHAnsi" w:hAnsi="Times New Roman" w:cs="Times New Roman"/>
              <w:color w:val="auto"/>
              <w:sz w:val="24"/>
              <w:szCs w:val="24"/>
              <w:lang w:val="en-GB"/>
            </w:rPr>
          </w:pPr>
        </w:p>
        <w:p w14:paraId="304E6BFF" w14:textId="77777777" w:rsidR="00A829C7" w:rsidRDefault="00A829C7" w:rsidP="00004507">
          <w:pPr>
            <w:pStyle w:val="TOCHeading"/>
            <w:rPr>
              <w:rFonts w:ascii="Times New Roman" w:eastAsiaTheme="minorHAnsi" w:hAnsi="Times New Roman" w:cs="Times New Roman"/>
              <w:color w:val="auto"/>
              <w:sz w:val="24"/>
              <w:szCs w:val="24"/>
              <w:lang w:val="en-GB"/>
            </w:rPr>
          </w:pPr>
        </w:p>
        <w:p w14:paraId="351375BB" w14:textId="77777777" w:rsidR="00A829C7" w:rsidRDefault="00A829C7" w:rsidP="00004507">
          <w:pPr>
            <w:pStyle w:val="TOCHeading"/>
            <w:rPr>
              <w:rFonts w:ascii="Times New Roman" w:eastAsiaTheme="minorHAnsi" w:hAnsi="Times New Roman" w:cs="Times New Roman"/>
              <w:color w:val="auto"/>
              <w:sz w:val="24"/>
              <w:szCs w:val="24"/>
              <w:lang w:val="en-GB"/>
            </w:rPr>
          </w:pPr>
        </w:p>
        <w:p w14:paraId="255AD277" w14:textId="168005AD" w:rsidR="00A829C7" w:rsidRPr="00A829C7" w:rsidRDefault="00A829C7" w:rsidP="00A829C7">
          <w:pPr>
            <w:pStyle w:val="TOCHeading"/>
            <w:rPr>
              <w:rFonts w:ascii="Times New Roman" w:eastAsiaTheme="minorHAnsi" w:hAnsi="Times New Roman" w:cs="Times New Roman"/>
              <w:b/>
              <w:bCs/>
              <w:color w:val="auto"/>
              <w:lang w:val="en-GB"/>
            </w:rPr>
          </w:pPr>
          <w:r w:rsidRPr="00A829C7">
            <w:rPr>
              <w:rFonts w:ascii="Times New Roman" w:eastAsiaTheme="minorHAnsi" w:hAnsi="Times New Roman" w:cs="Times New Roman"/>
              <w:b/>
              <w:bCs/>
              <w:color w:val="auto"/>
              <w:lang w:val="en-GB"/>
            </w:rPr>
            <w:t xml:space="preserve">Student name: </w:t>
          </w:r>
          <w:r w:rsidRPr="00907EA3">
            <w:rPr>
              <w:rFonts w:ascii="Times New Roman" w:eastAsiaTheme="minorHAnsi" w:hAnsi="Times New Roman" w:cs="Times New Roman"/>
              <w:color w:val="auto"/>
              <w:lang w:val="en-GB"/>
            </w:rPr>
            <w:t>Viviana Del Carmen Cevallos Cajamarca</w:t>
          </w:r>
          <w:r>
            <w:rPr>
              <w:rFonts w:ascii="Times New Roman" w:eastAsiaTheme="minorHAnsi" w:hAnsi="Times New Roman" w:cs="Times New Roman"/>
              <w:b/>
              <w:bCs/>
              <w:color w:val="auto"/>
              <w:lang w:val="en-GB"/>
            </w:rPr>
            <w:t xml:space="preserve"> </w:t>
          </w:r>
        </w:p>
        <w:p w14:paraId="2848DEB2" w14:textId="0357A8C8" w:rsidR="00A829C7" w:rsidRPr="00907EA3" w:rsidRDefault="00A829C7" w:rsidP="00A829C7">
          <w:pPr>
            <w:pStyle w:val="TOCHeading"/>
            <w:rPr>
              <w:rFonts w:ascii="Times New Roman" w:eastAsiaTheme="minorHAnsi" w:hAnsi="Times New Roman" w:cs="Times New Roman"/>
              <w:color w:val="auto"/>
              <w:lang w:val="en-GB"/>
            </w:rPr>
          </w:pPr>
          <w:r w:rsidRPr="00A829C7">
            <w:rPr>
              <w:rFonts w:ascii="Times New Roman" w:eastAsiaTheme="minorHAnsi" w:hAnsi="Times New Roman" w:cs="Times New Roman"/>
              <w:b/>
              <w:bCs/>
              <w:color w:val="auto"/>
              <w:lang w:val="en-GB"/>
            </w:rPr>
            <w:t xml:space="preserve">Student ID: </w:t>
          </w:r>
          <w:r w:rsidRPr="00907EA3">
            <w:rPr>
              <w:rFonts w:ascii="Times New Roman" w:eastAsiaTheme="minorHAnsi" w:hAnsi="Times New Roman" w:cs="Times New Roman"/>
              <w:color w:val="auto"/>
              <w:lang w:val="en-GB"/>
            </w:rPr>
            <w:t>2229923</w:t>
          </w:r>
        </w:p>
        <w:p w14:paraId="0E9426BD" w14:textId="7033E338" w:rsidR="00A829C7" w:rsidRPr="00A829C7" w:rsidRDefault="00A829C7" w:rsidP="00A829C7">
          <w:pPr>
            <w:pStyle w:val="TOCHeading"/>
            <w:rPr>
              <w:rFonts w:ascii="Times New Roman" w:eastAsiaTheme="minorHAnsi" w:hAnsi="Times New Roman" w:cs="Times New Roman"/>
              <w:b/>
              <w:bCs/>
              <w:color w:val="auto"/>
              <w:lang w:val="en-GB"/>
            </w:rPr>
          </w:pPr>
          <w:r w:rsidRPr="00A829C7">
            <w:rPr>
              <w:rFonts w:ascii="Times New Roman" w:eastAsiaTheme="minorHAnsi" w:hAnsi="Times New Roman" w:cs="Times New Roman"/>
              <w:b/>
              <w:bCs/>
              <w:color w:val="auto"/>
              <w:lang w:val="en-GB"/>
            </w:rPr>
            <w:t xml:space="preserve">Module name:  </w:t>
          </w:r>
          <w:r w:rsidRPr="00907EA3">
            <w:rPr>
              <w:rFonts w:ascii="Times New Roman" w:eastAsiaTheme="minorHAnsi" w:hAnsi="Times New Roman" w:cs="Times New Roman"/>
              <w:color w:val="auto"/>
              <w:lang w:val="en-GB"/>
            </w:rPr>
            <w:t>Health, Wellbeing and Sustainable Development</w:t>
          </w:r>
          <w:r w:rsidRPr="00A829C7">
            <w:rPr>
              <w:rFonts w:ascii="Times New Roman" w:eastAsiaTheme="minorHAnsi" w:hAnsi="Times New Roman" w:cs="Times New Roman"/>
              <w:b/>
              <w:bCs/>
              <w:color w:val="auto"/>
              <w:lang w:val="en-GB"/>
            </w:rPr>
            <w:t xml:space="preserve"> </w:t>
          </w:r>
        </w:p>
        <w:p w14:paraId="649ECC7E" w14:textId="1229FF4D" w:rsidR="00A829C7" w:rsidRPr="00A829C7" w:rsidRDefault="00A829C7" w:rsidP="00A829C7">
          <w:pPr>
            <w:pStyle w:val="TOCHeading"/>
            <w:rPr>
              <w:rFonts w:ascii="Times New Roman" w:eastAsiaTheme="minorHAnsi" w:hAnsi="Times New Roman" w:cs="Times New Roman"/>
              <w:b/>
              <w:bCs/>
              <w:color w:val="auto"/>
              <w:lang w:val="en-GB"/>
            </w:rPr>
          </w:pPr>
          <w:r w:rsidRPr="00A829C7">
            <w:rPr>
              <w:rFonts w:ascii="Times New Roman" w:eastAsiaTheme="minorHAnsi" w:hAnsi="Times New Roman" w:cs="Times New Roman"/>
              <w:b/>
              <w:bCs/>
              <w:color w:val="auto"/>
              <w:lang w:val="en-GB"/>
            </w:rPr>
            <w:t>Module code</w:t>
          </w:r>
          <w:r w:rsidRPr="00907EA3">
            <w:rPr>
              <w:rFonts w:ascii="Times New Roman" w:eastAsiaTheme="minorHAnsi" w:hAnsi="Times New Roman" w:cs="Times New Roman"/>
              <w:color w:val="auto"/>
              <w:lang w:val="en-GB"/>
            </w:rPr>
            <w:t xml:space="preserve">: </w:t>
          </w:r>
          <w:r w:rsidRPr="00907EA3">
            <w:rPr>
              <w:rFonts w:ascii="Times New Roman" w:eastAsiaTheme="minorHAnsi" w:hAnsi="Times New Roman" w:cs="Times New Roman"/>
              <w:color w:val="auto"/>
              <w:lang w:val="en-GB"/>
            </w:rPr>
            <w:t>(</w:t>
          </w:r>
          <w:r w:rsidRPr="00907EA3">
            <w:rPr>
              <w:rFonts w:ascii="Times New Roman" w:eastAsiaTheme="minorHAnsi" w:hAnsi="Times New Roman" w:cs="Times New Roman"/>
              <w:color w:val="auto"/>
              <w:lang w:val="en-GB"/>
            </w:rPr>
            <w:t>BMHP6030_LON)</w:t>
          </w:r>
        </w:p>
        <w:p w14:paraId="5DC5891C" w14:textId="2F256774" w:rsidR="00A829C7" w:rsidRPr="00907EA3" w:rsidRDefault="00A829C7" w:rsidP="00A829C7">
          <w:pPr>
            <w:pStyle w:val="TOCHeading"/>
            <w:rPr>
              <w:rFonts w:ascii="Times New Roman" w:eastAsiaTheme="minorHAnsi" w:hAnsi="Times New Roman" w:cs="Times New Roman"/>
              <w:color w:val="auto"/>
              <w:lang w:val="en-GB"/>
            </w:rPr>
          </w:pPr>
          <w:r>
            <w:rPr>
              <w:rFonts w:ascii="Times New Roman" w:eastAsiaTheme="minorHAnsi" w:hAnsi="Times New Roman" w:cs="Times New Roman"/>
              <w:b/>
              <w:bCs/>
              <w:color w:val="auto"/>
              <w:lang w:val="en-GB"/>
            </w:rPr>
            <w:t>Lecture</w:t>
          </w:r>
          <w:r w:rsidR="00907EA3">
            <w:rPr>
              <w:rFonts w:ascii="Times New Roman" w:eastAsiaTheme="minorHAnsi" w:hAnsi="Times New Roman" w:cs="Times New Roman"/>
              <w:b/>
              <w:bCs/>
              <w:color w:val="auto"/>
              <w:lang w:val="en-GB"/>
            </w:rPr>
            <w:t>r’s</w:t>
          </w:r>
          <w:r>
            <w:rPr>
              <w:rFonts w:ascii="Times New Roman" w:eastAsiaTheme="minorHAnsi" w:hAnsi="Times New Roman" w:cs="Times New Roman"/>
              <w:b/>
              <w:bCs/>
              <w:color w:val="auto"/>
              <w:lang w:val="en-GB"/>
            </w:rPr>
            <w:t xml:space="preserve"> </w:t>
          </w:r>
          <w:r w:rsidRPr="00A829C7">
            <w:rPr>
              <w:rFonts w:ascii="Times New Roman" w:eastAsiaTheme="minorHAnsi" w:hAnsi="Times New Roman" w:cs="Times New Roman"/>
              <w:b/>
              <w:bCs/>
              <w:color w:val="auto"/>
              <w:lang w:val="en-GB"/>
            </w:rPr>
            <w:t>name:</w:t>
          </w:r>
          <w:r w:rsidR="00907EA3">
            <w:rPr>
              <w:rFonts w:ascii="Times New Roman" w:eastAsiaTheme="minorHAnsi" w:hAnsi="Times New Roman" w:cs="Times New Roman"/>
              <w:b/>
              <w:bCs/>
              <w:color w:val="auto"/>
              <w:lang w:val="en-GB"/>
            </w:rPr>
            <w:t xml:space="preserve"> </w:t>
          </w:r>
          <w:r w:rsidR="00907EA3" w:rsidRPr="00907EA3">
            <w:rPr>
              <w:rFonts w:ascii="Times New Roman" w:eastAsiaTheme="minorHAnsi" w:hAnsi="Times New Roman" w:cs="Times New Roman"/>
              <w:color w:val="auto"/>
              <w:lang w:val="en-GB"/>
            </w:rPr>
            <w:t>Shepherd Ziko</w:t>
          </w:r>
        </w:p>
        <w:p w14:paraId="7E57B8FA" w14:textId="2C15975D" w:rsidR="00A829C7" w:rsidRPr="00A829C7" w:rsidRDefault="00A829C7" w:rsidP="00A829C7">
          <w:pPr>
            <w:rPr>
              <w:lang w:eastAsia="en-US"/>
            </w:rPr>
          </w:pPr>
        </w:p>
        <w:p w14:paraId="45B28E19" w14:textId="77777777" w:rsidR="00A829C7" w:rsidRDefault="00A829C7" w:rsidP="00004507">
          <w:pPr>
            <w:pStyle w:val="TOCHeading"/>
            <w:rPr>
              <w:rFonts w:ascii="Times New Roman" w:eastAsiaTheme="minorHAnsi" w:hAnsi="Times New Roman" w:cs="Times New Roman"/>
              <w:color w:val="auto"/>
              <w:sz w:val="24"/>
              <w:szCs w:val="24"/>
              <w:lang w:val="en-GB"/>
            </w:rPr>
          </w:pPr>
        </w:p>
        <w:p w14:paraId="669960D0" w14:textId="77777777" w:rsidR="00A829C7" w:rsidRDefault="00A829C7" w:rsidP="00004507">
          <w:pPr>
            <w:pStyle w:val="TOCHeading"/>
            <w:rPr>
              <w:rFonts w:ascii="Times New Roman" w:hAnsi="Times New Roman" w:cs="Times New Roman"/>
              <w:sz w:val="24"/>
              <w:szCs w:val="24"/>
            </w:rPr>
          </w:pPr>
        </w:p>
        <w:p w14:paraId="7293B37E" w14:textId="77777777" w:rsidR="00A829C7" w:rsidRDefault="00A829C7" w:rsidP="00004507">
          <w:pPr>
            <w:pStyle w:val="TOCHeading"/>
            <w:rPr>
              <w:rFonts w:ascii="Times New Roman" w:hAnsi="Times New Roman" w:cs="Times New Roman"/>
              <w:sz w:val="24"/>
              <w:szCs w:val="24"/>
            </w:rPr>
          </w:pPr>
        </w:p>
        <w:p w14:paraId="3F45D0D3" w14:textId="77777777" w:rsidR="00A829C7" w:rsidRDefault="00A829C7" w:rsidP="00004507">
          <w:pPr>
            <w:pStyle w:val="TOCHeading"/>
            <w:rPr>
              <w:rFonts w:ascii="Times New Roman" w:hAnsi="Times New Roman" w:cs="Times New Roman"/>
              <w:sz w:val="24"/>
              <w:szCs w:val="24"/>
            </w:rPr>
          </w:pPr>
        </w:p>
        <w:p w14:paraId="6EE2A95D" w14:textId="6FC2BA56" w:rsidR="00004507" w:rsidRPr="002C0FC4" w:rsidRDefault="00004507" w:rsidP="00004507">
          <w:pPr>
            <w:pStyle w:val="TOCHeading"/>
            <w:rPr>
              <w:rFonts w:ascii="Times New Roman" w:hAnsi="Times New Roman" w:cs="Times New Roman"/>
              <w:sz w:val="24"/>
              <w:szCs w:val="24"/>
            </w:rPr>
          </w:pPr>
          <w:r w:rsidRPr="002C0FC4">
            <w:rPr>
              <w:rFonts w:ascii="Times New Roman" w:hAnsi="Times New Roman" w:cs="Times New Roman"/>
              <w:sz w:val="24"/>
              <w:szCs w:val="24"/>
            </w:rPr>
            <w:t>Table of Contents</w:t>
          </w:r>
        </w:p>
        <w:p w14:paraId="088842DC" w14:textId="77777777" w:rsidR="00004507" w:rsidRPr="002C0FC4" w:rsidRDefault="00004507" w:rsidP="00004507">
          <w:pPr>
            <w:pStyle w:val="TOC1"/>
            <w:tabs>
              <w:tab w:val="right" w:leader="dot" w:pos="9350"/>
            </w:tabs>
            <w:rPr>
              <w:rFonts w:cs="Times New Roman"/>
              <w:noProof/>
              <w:szCs w:val="24"/>
            </w:rPr>
          </w:pPr>
          <w:r w:rsidRPr="002C0FC4">
            <w:rPr>
              <w:rFonts w:cs="Times New Roman"/>
              <w:szCs w:val="24"/>
            </w:rPr>
            <w:fldChar w:fldCharType="begin"/>
          </w:r>
          <w:r w:rsidRPr="002C0FC4">
            <w:rPr>
              <w:rFonts w:cs="Times New Roman"/>
              <w:szCs w:val="24"/>
            </w:rPr>
            <w:instrText xml:space="preserve"> TOC \o "1-3" \h \z \u </w:instrText>
          </w:r>
          <w:r w:rsidRPr="002C0FC4">
            <w:rPr>
              <w:rFonts w:cs="Times New Roman"/>
              <w:szCs w:val="24"/>
            </w:rPr>
            <w:fldChar w:fldCharType="separate"/>
          </w:r>
          <w:hyperlink w:anchor="_Toc216442981" w:history="1">
            <w:r w:rsidRPr="002C0FC4">
              <w:rPr>
                <w:rStyle w:val="Hyperlink"/>
                <w:rFonts w:cs="Times New Roman"/>
                <w:noProof/>
                <w:szCs w:val="24"/>
              </w:rPr>
              <w:t>Introduction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_Toc216442981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2</w:t>
            </w:r>
            <w:r w:rsidRPr="002C0FC4">
              <w:rPr>
                <w:rFonts w:cs="Times New Roman"/>
                <w:noProof/>
                <w:webHidden/>
                <w:szCs w:val="24"/>
              </w:rPr>
              <w:fldChar w:fldCharType="end"/>
            </w:r>
          </w:hyperlink>
        </w:p>
        <w:p w14:paraId="6E799EF4" w14:textId="77777777" w:rsidR="00004507" w:rsidRPr="002C0FC4" w:rsidRDefault="00004507" w:rsidP="00004507">
          <w:pPr>
            <w:pStyle w:val="TOC1"/>
            <w:tabs>
              <w:tab w:val="right" w:leader="dot" w:pos="9350"/>
            </w:tabs>
            <w:rPr>
              <w:rFonts w:cs="Times New Roman"/>
              <w:noProof/>
              <w:szCs w:val="24"/>
            </w:rPr>
          </w:pPr>
          <w:hyperlink w:anchor="_Toc216442982" w:history="1">
            <w:r w:rsidRPr="002C0FC4">
              <w:rPr>
                <w:rStyle w:val="Hyperlink"/>
                <w:rFonts w:cs="Times New Roman"/>
                <w:noProof/>
                <w:szCs w:val="24"/>
              </w:rPr>
              <w:t>Goal 3: Sustainable Development Goal 3: Good Health and Wellbeing.</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_Toc216442982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2</w:t>
            </w:r>
            <w:r w:rsidRPr="002C0FC4">
              <w:rPr>
                <w:rFonts w:cs="Times New Roman"/>
                <w:noProof/>
                <w:webHidden/>
                <w:szCs w:val="24"/>
              </w:rPr>
              <w:fldChar w:fldCharType="end"/>
            </w:r>
          </w:hyperlink>
        </w:p>
        <w:p w14:paraId="4AD3D6D9" w14:textId="77777777" w:rsidR="00004507" w:rsidRPr="002C0FC4" w:rsidRDefault="00004507" w:rsidP="00004507">
          <w:pPr>
            <w:pStyle w:val="TOC2"/>
            <w:tabs>
              <w:tab w:val="right" w:leader="dot" w:pos="9350"/>
            </w:tabs>
            <w:rPr>
              <w:rFonts w:cs="Times New Roman"/>
              <w:noProof/>
              <w:szCs w:val="24"/>
            </w:rPr>
          </w:pPr>
          <w:hyperlink w:anchor="_Toc216442983" w:history="1">
            <w:r w:rsidRPr="002C0FC4">
              <w:rPr>
                <w:rStyle w:val="Hyperlink"/>
                <w:rFonts w:cs="Times New Roman"/>
                <w:noProof/>
                <w:szCs w:val="24"/>
              </w:rPr>
              <w:t>Affect on Wellbeing and Health of Citizens.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_Toc216442983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2</w:t>
            </w:r>
            <w:r w:rsidRPr="002C0FC4">
              <w:rPr>
                <w:rFonts w:cs="Times New Roman"/>
                <w:noProof/>
                <w:webHidden/>
                <w:szCs w:val="24"/>
              </w:rPr>
              <w:fldChar w:fldCharType="end"/>
            </w:r>
          </w:hyperlink>
        </w:p>
        <w:p w14:paraId="3BE6255D" w14:textId="77777777" w:rsidR="00004507" w:rsidRPr="002C0FC4" w:rsidRDefault="00004507" w:rsidP="00004507">
          <w:pPr>
            <w:pStyle w:val="TOC2"/>
            <w:tabs>
              <w:tab w:val="right" w:leader="dot" w:pos="9350"/>
            </w:tabs>
            <w:rPr>
              <w:rFonts w:cs="Times New Roman"/>
              <w:noProof/>
              <w:szCs w:val="24"/>
            </w:rPr>
          </w:pPr>
          <w:hyperlink w:anchor="_Toc216442984" w:history="1">
            <w:r w:rsidRPr="002C0FC4">
              <w:rPr>
                <w:rStyle w:val="Hyperlink"/>
                <w:rFonts w:cs="Times New Roman"/>
                <w:noProof/>
                <w:szCs w:val="24"/>
              </w:rPr>
              <w:t>Discussion Successes and Challenges.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_Toc216442984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3</w:t>
            </w:r>
            <w:r w:rsidRPr="002C0FC4">
              <w:rPr>
                <w:rFonts w:cs="Times New Roman"/>
                <w:noProof/>
                <w:webHidden/>
                <w:szCs w:val="24"/>
              </w:rPr>
              <w:fldChar w:fldCharType="end"/>
            </w:r>
          </w:hyperlink>
        </w:p>
        <w:p w14:paraId="07343529" w14:textId="77777777" w:rsidR="00004507" w:rsidRPr="002C0FC4" w:rsidRDefault="00004507" w:rsidP="00004507">
          <w:pPr>
            <w:pStyle w:val="TOC1"/>
            <w:tabs>
              <w:tab w:val="right" w:leader="dot" w:pos="9350"/>
            </w:tabs>
            <w:rPr>
              <w:rFonts w:cs="Times New Roman"/>
              <w:noProof/>
              <w:szCs w:val="24"/>
            </w:rPr>
          </w:pPr>
          <w:hyperlink w:anchor="_Toc216442985" w:history="1">
            <w:r w:rsidRPr="002C0FC4">
              <w:rPr>
                <w:rStyle w:val="Hyperlink"/>
                <w:rFonts w:cs="Times New Roman"/>
                <w:noProof/>
                <w:szCs w:val="24"/>
              </w:rPr>
              <w:t>Sustainable Development Goal: SDG 13 - Climate Action.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_Toc216442985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4</w:t>
            </w:r>
            <w:r w:rsidRPr="002C0FC4">
              <w:rPr>
                <w:rFonts w:cs="Times New Roman"/>
                <w:noProof/>
                <w:webHidden/>
                <w:szCs w:val="24"/>
              </w:rPr>
              <w:fldChar w:fldCharType="end"/>
            </w:r>
          </w:hyperlink>
        </w:p>
        <w:p w14:paraId="78E8073C" w14:textId="77777777" w:rsidR="00004507" w:rsidRPr="002C0FC4" w:rsidRDefault="00004507" w:rsidP="00004507">
          <w:pPr>
            <w:pStyle w:val="TOC2"/>
            <w:tabs>
              <w:tab w:val="right" w:leader="dot" w:pos="9350"/>
            </w:tabs>
            <w:rPr>
              <w:rFonts w:cs="Times New Roman"/>
              <w:noProof/>
              <w:szCs w:val="24"/>
            </w:rPr>
          </w:pPr>
          <w:hyperlink w:anchor="_Toc216442986" w:history="1">
            <w:r w:rsidRPr="002C0FC4">
              <w:rPr>
                <w:rStyle w:val="Hyperlink"/>
                <w:rFonts w:cs="Times New Roman"/>
                <w:noProof/>
                <w:szCs w:val="24"/>
              </w:rPr>
              <w:t>Affect on Wellbeing and Health of Citizens.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_Toc216442986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4</w:t>
            </w:r>
            <w:r w:rsidRPr="002C0FC4">
              <w:rPr>
                <w:rFonts w:cs="Times New Roman"/>
                <w:noProof/>
                <w:webHidden/>
                <w:szCs w:val="24"/>
              </w:rPr>
              <w:fldChar w:fldCharType="end"/>
            </w:r>
          </w:hyperlink>
        </w:p>
        <w:p w14:paraId="786A827A" w14:textId="77777777" w:rsidR="00004507" w:rsidRPr="002C0FC4" w:rsidRDefault="00004507" w:rsidP="00004507">
          <w:pPr>
            <w:pStyle w:val="TOC2"/>
            <w:tabs>
              <w:tab w:val="right" w:leader="dot" w:pos="9350"/>
            </w:tabs>
            <w:rPr>
              <w:rFonts w:cs="Times New Roman"/>
              <w:noProof/>
              <w:szCs w:val="24"/>
            </w:rPr>
          </w:pPr>
          <w:hyperlink w:anchor="_Toc216442987" w:history="1">
            <w:r w:rsidRPr="002C0FC4">
              <w:rPr>
                <w:rStyle w:val="Hyperlink"/>
                <w:rFonts w:cs="Times New Roman"/>
                <w:noProof/>
                <w:szCs w:val="24"/>
              </w:rPr>
              <w:t>Effectiveness and Interconnectedness Discussion.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_Toc216442987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5</w:t>
            </w:r>
            <w:r w:rsidRPr="002C0FC4">
              <w:rPr>
                <w:rFonts w:cs="Times New Roman"/>
                <w:noProof/>
                <w:webHidden/>
                <w:szCs w:val="24"/>
              </w:rPr>
              <w:fldChar w:fldCharType="end"/>
            </w:r>
          </w:hyperlink>
        </w:p>
        <w:p w14:paraId="291C81ED" w14:textId="77777777" w:rsidR="00004507" w:rsidRPr="002C0FC4" w:rsidRDefault="00004507" w:rsidP="00004507">
          <w:pPr>
            <w:pStyle w:val="TOC1"/>
            <w:tabs>
              <w:tab w:val="right" w:leader="dot" w:pos="9350"/>
            </w:tabs>
            <w:rPr>
              <w:rFonts w:cs="Times New Roman"/>
              <w:noProof/>
              <w:szCs w:val="24"/>
            </w:rPr>
          </w:pPr>
          <w:hyperlink w:anchor="_Toc216442988" w:history="1">
            <w:r w:rsidRPr="002C0FC4">
              <w:rPr>
                <w:rStyle w:val="Hyperlink"/>
                <w:rFonts w:cs="Times New Roman"/>
                <w:noProof/>
                <w:szCs w:val="24"/>
              </w:rPr>
              <w:t>National Wellbeing Initiative.</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_Toc216442988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5</w:t>
            </w:r>
            <w:r w:rsidRPr="002C0FC4">
              <w:rPr>
                <w:rFonts w:cs="Times New Roman"/>
                <w:noProof/>
                <w:webHidden/>
                <w:szCs w:val="24"/>
              </w:rPr>
              <w:fldChar w:fldCharType="end"/>
            </w:r>
          </w:hyperlink>
        </w:p>
        <w:p w14:paraId="45B12176" w14:textId="77777777" w:rsidR="00004507" w:rsidRPr="002C0FC4" w:rsidRDefault="00004507" w:rsidP="00004507">
          <w:pPr>
            <w:pStyle w:val="TOC2"/>
            <w:tabs>
              <w:tab w:val="right" w:leader="dot" w:pos="9350"/>
            </w:tabs>
            <w:rPr>
              <w:rFonts w:cs="Times New Roman"/>
              <w:noProof/>
              <w:szCs w:val="24"/>
            </w:rPr>
          </w:pPr>
          <w:hyperlink w:anchor="_Toc216442989" w:history="1">
            <w:r w:rsidRPr="002C0FC4">
              <w:rPr>
                <w:rStyle w:val="Hyperlink"/>
                <w:rFonts w:cs="Times New Roman"/>
                <w:noProof/>
                <w:szCs w:val="24"/>
              </w:rPr>
              <w:t>Evaluation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_Toc216442989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6</w:t>
            </w:r>
            <w:r w:rsidRPr="002C0FC4">
              <w:rPr>
                <w:rFonts w:cs="Times New Roman"/>
                <w:noProof/>
                <w:webHidden/>
                <w:szCs w:val="24"/>
              </w:rPr>
              <w:fldChar w:fldCharType="end"/>
            </w:r>
          </w:hyperlink>
        </w:p>
        <w:p w14:paraId="375D86D5" w14:textId="77777777" w:rsidR="00004507" w:rsidRPr="002C0FC4" w:rsidRDefault="00004507" w:rsidP="00004507">
          <w:pPr>
            <w:pStyle w:val="TOC2"/>
            <w:tabs>
              <w:tab w:val="right" w:leader="dot" w:pos="9350"/>
            </w:tabs>
            <w:rPr>
              <w:rFonts w:cs="Times New Roman"/>
              <w:noProof/>
              <w:szCs w:val="24"/>
            </w:rPr>
          </w:pPr>
          <w:hyperlink w:anchor="_Toc216442990" w:history="1">
            <w:r w:rsidRPr="002C0FC4">
              <w:rPr>
                <w:rStyle w:val="Hyperlink"/>
                <w:rFonts w:cs="Times New Roman"/>
                <w:noProof/>
                <w:szCs w:val="24"/>
              </w:rPr>
              <w:t>Recommendations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_Toc216442990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6</w:t>
            </w:r>
            <w:r w:rsidRPr="002C0FC4">
              <w:rPr>
                <w:rFonts w:cs="Times New Roman"/>
                <w:noProof/>
                <w:webHidden/>
                <w:szCs w:val="24"/>
              </w:rPr>
              <w:fldChar w:fldCharType="end"/>
            </w:r>
          </w:hyperlink>
        </w:p>
        <w:p w14:paraId="1A0A607D" w14:textId="77777777" w:rsidR="00004507" w:rsidRPr="002C0FC4" w:rsidRDefault="00004507" w:rsidP="00004507">
          <w:pPr>
            <w:pStyle w:val="TOC1"/>
            <w:tabs>
              <w:tab w:val="right" w:leader="dot" w:pos="9350"/>
            </w:tabs>
            <w:rPr>
              <w:rFonts w:cs="Times New Roman"/>
              <w:noProof/>
              <w:szCs w:val="24"/>
            </w:rPr>
          </w:pPr>
          <w:hyperlink w:anchor="_Toc216442991" w:history="1">
            <w:r w:rsidRPr="002C0FC4">
              <w:rPr>
                <w:rStyle w:val="Hyperlink"/>
                <w:rFonts w:cs="Times New Roman"/>
                <w:noProof/>
                <w:szCs w:val="24"/>
              </w:rPr>
              <w:t>Local Wellbeing Initiative</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_Toc216442991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6</w:t>
            </w:r>
            <w:r w:rsidRPr="002C0FC4">
              <w:rPr>
                <w:rFonts w:cs="Times New Roman"/>
                <w:noProof/>
                <w:webHidden/>
                <w:szCs w:val="24"/>
              </w:rPr>
              <w:fldChar w:fldCharType="end"/>
            </w:r>
          </w:hyperlink>
        </w:p>
        <w:p w14:paraId="1B245D5A" w14:textId="77777777" w:rsidR="00004507" w:rsidRPr="002C0FC4" w:rsidRDefault="00004507" w:rsidP="00004507">
          <w:pPr>
            <w:pStyle w:val="TOC2"/>
            <w:tabs>
              <w:tab w:val="right" w:leader="dot" w:pos="9350"/>
            </w:tabs>
            <w:rPr>
              <w:rFonts w:cs="Times New Roman"/>
              <w:noProof/>
              <w:szCs w:val="24"/>
            </w:rPr>
          </w:pPr>
          <w:hyperlink w:anchor="_Toc216442992" w:history="1">
            <w:r w:rsidRPr="002C0FC4">
              <w:rPr>
                <w:rStyle w:val="Hyperlink"/>
                <w:rFonts w:cs="Times New Roman"/>
                <w:noProof/>
                <w:szCs w:val="24"/>
              </w:rPr>
              <w:t>Evaluation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_Toc216442992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7</w:t>
            </w:r>
            <w:r w:rsidRPr="002C0FC4">
              <w:rPr>
                <w:rFonts w:cs="Times New Roman"/>
                <w:noProof/>
                <w:webHidden/>
                <w:szCs w:val="24"/>
              </w:rPr>
              <w:fldChar w:fldCharType="end"/>
            </w:r>
          </w:hyperlink>
        </w:p>
        <w:p w14:paraId="5D1DF32D" w14:textId="77777777" w:rsidR="00004507" w:rsidRPr="002C0FC4" w:rsidRDefault="00004507" w:rsidP="00004507">
          <w:pPr>
            <w:pStyle w:val="TOC2"/>
            <w:tabs>
              <w:tab w:val="right" w:leader="dot" w:pos="9350"/>
            </w:tabs>
            <w:rPr>
              <w:rFonts w:cs="Times New Roman"/>
              <w:noProof/>
              <w:szCs w:val="24"/>
            </w:rPr>
          </w:pPr>
          <w:hyperlink w:anchor="_Toc216442993" w:history="1">
            <w:r w:rsidRPr="002C0FC4">
              <w:rPr>
                <w:rStyle w:val="Hyperlink"/>
                <w:rFonts w:cs="Times New Roman"/>
                <w:noProof/>
                <w:szCs w:val="24"/>
              </w:rPr>
              <w:t>Recommendations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_Toc216442993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7</w:t>
            </w:r>
            <w:r w:rsidRPr="002C0FC4">
              <w:rPr>
                <w:rFonts w:cs="Times New Roman"/>
                <w:noProof/>
                <w:webHidden/>
                <w:szCs w:val="24"/>
              </w:rPr>
              <w:fldChar w:fldCharType="end"/>
            </w:r>
          </w:hyperlink>
        </w:p>
        <w:p w14:paraId="6106E900" w14:textId="77777777" w:rsidR="00004507" w:rsidRPr="002C0FC4" w:rsidRDefault="00004507" w:rsidP="00004507">
          <w:pPr>
            <w:pStyle w:val="TOC1"/>
            <w:tabs>
              <w:tab w:val="right" w:leader="dot" w:pos="9350"/>
            </w:tabs>
            <w:rPr>
              <w:rFonts w:cs="Times New Roman"/>
              <w:noProof/>
              <w:szCs w:val="24"/>
            </w:rPr>
          </w:pPr>
          <w:hyperlink w:anchor="_Toc216442994" w:history="1">
            <w:r w:rsidRPr="002C0FC4">
              <w:rPr>
                <w:rStyle w:val="Hyperlink"/>
                <w:rFonts w:cs="Times New Roman"/>
                <w:noProof/>
                <w:szCs w:val="24"/>
              </w:rPr>
              <w:t>Conclusion</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_Toc216442994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7</w:t>
            </w:r>
            <w:r w:rsidRPr="002C0FC4">
              <w:rPr>
                <w:rFonts w:cs="Times New Roman"/>
                <w:noProof/>
                <w:webHidden/>
                <w:szCs w:val="24"/>
              </w:rPr>
              <w:fldChar w:fldCharType="end"/>
            </w:r>
          </w:hyperlink>
        </w:p>
        <w:p w14:paraId="6125952A" w14:textId="77777777" w:rsidR="00004507" w:rsidRPr="002C0FC4" w:rsidRDefault="00004507" w:rsidP="00004507">
          <w:pPr>
            <w:pStyle w:val="TOC1"/>
            <w:tabs>
              <w:tab w:val="right" w:leader="dot" w:pos="9350"/>
            </w:tabs>
            <w:rPr>
              <w:rFonts w:cs="Times New Roman"/>
              <w:noProof/>
              <w:szCs w:val="24"/>
            </w:rPr>
          </w:pPr>
          <w:hyperlink w:anchor="_Toc216442995" w:history="1">
            <w:r w:rsidRPr="002C0FC4">
              <w:rPr>
                <w:rStyle w:val="Hyperlink"/>
                <w:rFonts w:cs="Times New Roman"/>
                <w:noProof/>
                <w:szCs w:val="24"/>
              </w:rPr>
              <w:t>References</w:t>
            </w:r>
            <w:r w:rsidRPr="002C0FC4">
              <w:rPr>
                <w:rFonts w:cs="Times New Roman"/>
                <w:noProof/>
                <w:webHidden/>
                <w:szCs w:val="24"/>
              </w:rPr>
              <w:tab/>
            </w:r>
            <w:r w:rsidRPr="002C0FC4">
              <w:rPr>
                <w:rFonts w:cs="Times New Roman"/>
                <w:noProof/>
                <w:webHidden/>
                <w:szCs w:val="24"/>
              </w:rPr>
              <w:fldChar w:fldCharType="begin"/>
            </w:r>
            <w:r w:rsidRPr="002C0FC4">
              <w:rPr>
                <w:rFonts w:cs="Times New Roman"/>
                <w:noProof/>
                <w:webHidden/>
                <w:szCs w:val="24"/>
              </w:rPr>
              <w:instrText xml:space="preserve"> PAGEREF _Toc216442995 \h </w:instrText>
            </w:r>
            <w:r w:rsidRPr="002C0FC4">
              <w:rPr>
                <w:rFonts w:cs="Times New Roman"/>
                <w:noProof/>
                <w:webHidden/>
                <w:szCs w:val="24"/>
              </w:rPr>
            </w:r>
            <w:r w:rsidRPr="002C0FC4">
              <w:rPr>
                <w:rFonts w:cs="Times New Roman"/>
                <w:noProof/>
                <w:webHidden/>
                <w:szCs w:val="24"/>
              </w:rPr>
              <w:fldChar w:fldCharType="separate"/>
            </w:r>
            <w:r w:rsidRPr="002C0FC4">
              <w:rPr>
                <w:rFonts w:cs="Times New Roman"/>
                <w:noProof/>
                <w:webHidden/>
                <w:szCs w:val="24"/>
              </w:rPr>
              <w:t>9</w:t>
            </w:r>
            <w:r w:rsidRPr="002C0FC4">
              <w:rPr>
                <w:rFonts w:cs="Times New Roman"/>
                <w:noProof/>
                <w:webHidden/>
                <w:szCs w:val="24"/>
              </w:rPr>
              <w:fldChar w:fldCharType="end"/>
            </w:r>
          </w:hyperlink>
        </w:p>
        <w:p w14:paraId="664B6A26" w14:textId="77777777" w:rsidR="00907EA3" w:rsidRDefault="00004507" w:rsidP="00907EA3">
          <w:pPr>
            <w:rPr>
              <w:rFonts w:cs="Times New Roman"/>
              <w:b/>
              <w:bCs/>
              <w:noProof/>
            </w:rPr>
          </w:pPr>
          <w:r w:rsidRPr="002C0FC4">
            <w:rPr>
              <w:rFonts w:cs="Times New Roman"/>
              <w:b/>
              <w:bCs/>
              <w:noProof/>
            </w:rPr>
            <w:lastRenderedPageBreak/>
            <w:fldChar w:fldCharType="end"/>
          </w:r>
        </w:p>
      </w:sdtContent>
    </w:sdt>
    <w:bookmarkEnd w:id="0" w:displacedByCustomXml="prev"/>
    <w:p w14:paraId="2900FBD8" w14:textId="6C391E47" w:rsidR="00004507" w:rsidRPr="00907EA3" w:rsidRDefault="00004507" w:rsidP="00907EA3">
      <w:pPr>
        <w:spacing w:line="360" w:lineRule="auto"/>
        <w:rPr>
          <w:rFonts w:ascii="Arial" w:hAnsi="Arial" w:cs="Arial"/>
          <w:b/>
          <w:bCs/>
          <w:noProof/>
        </w:rPr>
      </w:pPr>
      <w:r w:rsidRPr="00907EA3">
        <w:rPr>
          <w:rFonts w:ascii="Arial" w:hAnsi="Arial" w:cs="Arial"/>
          <w:b/>
          <w:bCs/>
        </w:rPr>
        <w:t>Introduction</w:t>
      </w:r>
    </w:p>
    <w:p w14:paraId="5CC5D571" w14:textId="25CA52DB" w:rsidR="00004507" w:rsidRPr="00907EA3" w:rsidRDefault="00004507" w:rsidP="00907EA3">
      <w:pPr>
        <w:spacing w:line="360" w:lineRule="auto"/>
        <w:jc w:val="both"/>
        <w:rPr>
          <w:rFonts w:ascii="Arial" w:hAnsi="Arial" w:cs="Arial"/>
          <w:sz w:val="22"/>
          <w:szCs w:val="22"/>
        </w:rPr>
      </w:pPr>
      <w:r w:rsidRPr="00907EA3">
        <w:rPr>
          <w:rFonts w:ascii="Arial" w:hAnsi="Arial" w:cs="Arial"/>
          <w:sz w:val="22"/>
          <w:szCs w:val="22"/>
        </w:rPr>
        <w:t>The policies of health, wellbeing, and sustainability play an important role in determining the quality of life of citizens in global, national, and local settings (United Nations, 2025). Sustainable development frameworks, specifically, the Sustainable Development Goals (SDGs) offer a roadmap to ensure a reduction of health inequalities, enhance access to key services, and long-term wellbeing (WHO, 2025a). This report critically analyses SDG 3 (Good Health and Wellbeing) and another SDG, making comparison of how these goals impact the health outcomes of the citizens. It also evaluates both national and local activities, which should have accomplished and failed, and renders recommendations to enhance the policy efficiency and robustness in the face of health and environmental predicaments (World Bank, 2025).</w:t>
      </w:r>
    </w:p>
    <w:p w14:paraId="348A5BDE" w14:textId="77777777" w:rsidR="00004507" w:rsidRPr="00907EA3" w:rsidRDefault="00004507" w:rsidP="00907EA3">
      <w:pPr>
        <w:spacing w:line="360" w:lineRule="auto"/>
        <w:jc w:val="both"/>
        <w:rPr>
          <w:rFonts w:ascii="Arial" w:hAnsi="Arial" w:cs="Arial"/>
          <w:b/>
          <w:bCs/>
        </w:rPr>
      </w:pPr>
    </w:p>
    <w:p w14:paraId="01D91939" w14:textId="77777777" w:rsidR="00004507" w:rsidRPr="00907EA3" w:rsidRDefault="00004507" w:rsidP="00907EA3">
      <w:pPr>
        <w:spacing w:line="360" w:lineRule="auto"/>
        <w:jc w:val="both"/>
        <w:rPr>
          <w:rFonts w:ascii="Arial" w:hAnsi="Arial" w:cs="Arial"/>
          <w:b/>
          <w:bCs/>
        </w:rPr>
      </w:pPr>
      <w:r w:rsidRPr="00907EA3">
        <w:rPr>
          <w:rFonts w:ascii="Arial" w:hAnsi="Arial" w:cs="Arial"/>
          <w:b/>
          <w:bCs/>
        </w:rPr>
        <w:t>Goal 3: Sustainable Development Goal 3: Good Health and Wellbeing.</w:t>
      </w:r>
    </w:p>
    <w:p w14:paraId="71DB1B73" w14:textId="38A84DD7" w:rsidR="00004507" w:rsidRPr="00907EA3" w:rsidRDefault="00004507" w:rsidP="00907EA3">
      <w:pPr>
        <w:spacing w:line="360" w:lineRule="auto"/>
        <w:jc w:val="both"/>
        <w:rPr>
          <w:rFonts w:ascii="Arial" w:hAnsi="Arial" w:cs="Arial"/>
          <w:sz w:val="22"/>
          <w:szCs w:val="22"/>
        </w:rPr>
      </w:pPr>
      <w:r w:rsidRPr="00907EA3">
        <w:rPr>
          <w:rFonts w:ascii="Arial" w:hAnsi="Arial" w:cs="Arial"/>
          <w:sz w:val="22"/>
          <w:szCs w:val="22"/>
        </w:rPr>
        <w:t xml:space="preserve">The United Nations sustainable development </w:t>
      </w:r>
      <w:proofErr w:type="gramStart"/>
      <w:r w:rsidRPr="00907EA3">
        <w:rPr>
          <w:rFonts w:ascii="Arial" w:hAnsi="Arial" w:cs="Arial"/>
          <w:sz w:val="22"/>
          <w:szCs w:val="22"/>
        </w:rPr>
        <w:t>goals</w:t>
      </w:r>
      <w:proofErr w:type="gramEnd"/>
      <w:r w:rsidRPr="00907EA3">
        <w:rPr>
          <w:rFonts w:ascii="Arial" w:hAnsi="Arial" w:cs="Arial"/>
          <w:sz w:val="22"/>
          <w:szCs w:val="22"/>
        </w:rPr>
        <w:t xml:space="preserve"> goal 3 (SDG 3) seeks to guarantee healthy living and wellbeing of all people of all ages, bearing in mind that good health is a pillar of sustainable development and prosperity in humanity (United Nations, 2025). It relates to an extensive list of goals that can cover communicable and </w:t>
      </w:r>
      <w:proofErr w:type="spellStart"/>
      <w:r w:rsidRPr="00907EA3">
        <w:rPr>
          <w:rFonts w:ascii="Arial" w:hAnsi="Arial" w:cs="Arial"/>
          <w:sz w:val="22"/>
          <w:szCs w:val="22"/>
        </w:rPr>
        <w:t>non communicable</w:t>
      </w:r>
      <w:proofErr w:type="spellEnd"/>
      <w:r w:rsidRPr="00907EA3">
        <w:rPr>
          <w:rFonts w:ascii="Arial" w:hAnsi="Arial" w:cs="Arial"/>
          <w:sz w:val="22"/>
          <w:szCs w:val="22"/>
        </w:rPr>
        <w:t xml:space="preserve"> diseases, child and maternal health, mental wellness, the use of drugs and substances, universal coverage, and provision of essential medicines and vaccines by 2030 (WHO, 2025a). The high-level targets involve a reduction in the world maternal mortality rate to less than 70 per 100,000 live births, eliminating the preventable deaths of newborns and children under five years of age, eliminating the epidemics of AIDS, tuberculosis, malaria and the </w:t>
      </w:r>
      <w:r w:rsidR="00907EA3" w:rsidRPr="00907EA3">
        <w:rPr>
          <w:rFonts w:ascii="Arial" w:hAnsi="Arial" w:cs="Arial"/>
          <w:sz w:val="22"/>
          <w:szCs w:val="22"/>
        </w:rPr>
        <w:t>neglected</w:t>
      </w:r>
      <w:r w:rsidRPr="00907EA3">
        <w:rPr>
          <w:rFonts w:ascii="Arial" w:hAnsi="Arial" w:cs="Arial"/>
          <w:sz w:val="22"/>
          <w:szCs w:val="22"/>
        </w:rPr>
        <w:t xml:space="preserve"> tropical diseases, and a third of premature deaths or mortality due to </w:t>
      </w:r>
      <w:proofErr w:type="spellStart"/>
      <w:r w:rsidRPr="00907EA3">
        <w:rPr>
          <w:rFonts w:ascii="Arial" w:hAnsi="Arial" w:cs="Arial"/>
          <w:sz w:val="22"/>
          <w:szCs w:val="22"/>
        </w:rPr>
        <w:t>non communicable</w:t>
      </w:r>
      <w:proofErr w:type="spellEnd"/>
      <w:r w:rsidRPr="00907EA3">
        <w:rPr>
          <w:rFonts w:ascii="Arial" w:hAnsi="Arial" w:cs="Arial"/>
          <w:sz w:val="22"/>
          <w:szCs w:val="22"/>
        </w:rPr>
        <w:t xml:space="preserve"> diseases (United Nations, 2025; WHO, 2025b).</w:t>
      </w:r>
    </w:p>
    <w:p w14:paraId="1DE8EFA9" w14:textId="77777777" w:rsidR="00004507" w:rsidRPr="00907EA3" w:rsidRDefault="00004507" w:rsidP="00907EA3">
      <w:pPr>
        <w:spacing w:line="360" w:lineRule="auto"/>
        <w:jc w:val="both"/>
        <w:rPr>
          <w:rFonts w:ascii="Arial" w:hAnsi="Arial" w:cs="Arial"/>
          <w:b/>
          <w:bCs/>
          <w:sz w:val="22"/>
          <w:szCs w:val="22"/>
        </w:rPr>
      </w:pPr>
      <w:proofErr w:type="spellStart"/>
      <w:r w:rsidRPr="00907EA3">
        <w:rPr>
          <w:rFonts w:ascii="Arial" w:hAnsi="Arial" w:cs="Arial"/>
          <w:b/>
          <w:bCs/>
          <w:sz w:val="22"/>
          <w:szCs w:val="22"/>
        </w:rPr>
        <w:t>Affect</w:t>
      </w:r>
      <w:proofErr w:type="spellEnd"/>
      <w:r w:rsidRPr="00907EA3">
        <w:rPr>
          <w:rFonts w:ascii="Arial" w:hAnsi="Arial" w:cs="Arial"/>
          <w:b/>
          <w:bCs/>
          <w:sz w:val="22"/>
          <w:szCs w:val="22"/>
        </w:rPr>
        <w:t xml:space="preserve"> on Wellbeing and Health of Citizens.</w:t>
      </w:r>
    </w:p>
    <w:p w14:paraId="0C3EFA9E" w14:textId="77777777" w:rsidR="00004507" w:rsidRPr="00907EA3" w:rsidRDefault="00004507" w:rsidP="00907EA3">
      <w:pPr>
        <w:spacing w:line="360" w:lineRule="auto"/>
        <w:jc w:val="both"/>
        <w:rPr>
          <w:rFonts w:ascii="Arial" w:hAnsi="Arial" w:cs="Arial"/>
          <w:sz w:val="22"/>
          <w:szCs w:val="22"/>
        </w:rPr>
      </w:pPr>
      <w:r w:rsidRPr="00907EA3">
        <w:rPr>
          <w:rFonts w:ascii="Arial" w:hAnsi="Arial" w:cs="Arial"/>
          <w:sz w:val="22"/>
          <w:szCs w:val="22"/>
        </w:rPr>
        <w:t xml:space="preserve">On the global level, development of SDG 3 has seen significant mortality decrease and a rise in life expectancy during the past 20 years. As a case in point, the number of child deaths dropped by almost half to nearly 5 million between 2000 and 2022, compared to 9.9 million in the same period, due to an increased level of vaccination, nutrition, and access to more health services (United Nations, 2025). However, the number of maternal deaths only continues to be elevated in most areas, wherein there are still dissimilarities among low and middle-income nations on the grounds of low access to skilled birth attendant and peri-partum emergency </w:t>
      </w:r>
      <w:r w:rsidRPr="00907EA3">
        <w:rPr>
          <w:rFonts w:ascii="Arial" w:hAnsi="Arial" w:cs="Arial"/>
          <w:sz w:val="22"/>
          <w:szCs w:val="22"/>
        </w:rPr>
        <w:lastRenderedPageBreak/>
        <w:t>care (</w:t>
      </w:r>
      <w:proofErr w:type="spellStart"/>
      <w:r w:rsidRPr="00907EA3">
        <w:rPr>
          <w:rFonts w:ascii="Arial" w:hAnsi="Arial" w:cs="Arial"/>
          <w:sz w:val="22"/>
          <w:szCs w:val="22"/>
        </w:rPr>
        <w:t>ISGlobal</w:t>
      </w:r>
      <w:proofErr w:type="spellEnd"/>
      <w:r w:rsidRPr="00907EA3">
        <w:rPr>
          <w:rFonts w:ascii="Arial" w:hAnsi="Arial" w:cs="Arial"/>
          <w:sz w:val="22"/>
          <w:szCs w:val="22"/>
        </w:rPr>
        <w:t>, 2025). The current battle against communicable diseases that has been continued to be weakened by the hindrances observed during the COVID 19 pandemic, including the interrupted malaria and tuberculosis services is a further testament to the frailty of the world-systems health, and the necessity of a long-term investment (World Bank, 2025).</w:t>
      </w:r>
    </w:p>
    <w:p w14:paraId="6721392B" w14:textId="77777777" w:rsidR="00004507" w:rsidRPr="00907EA3" w:rsidRDefault="00004507" w:rsidP="00907EA3">
      <w:pPr>
        <w:spacing w:line="360" w:lineRule="auto"/>
        <w:jc w:val="both"/>
        <w:rPr>
          <w:rFonts w:ascii="Arial" w:hAnsi="Arial" w:cs="Arial"/>
          <w:sz w:val="22"/>
          <w:szCs w:val="22"/>
        </w:rPr>
      </w:pPr>
      <w:r w:rsidRPr="00907EA3">
        <w:rPr>
          <w:rFonts w:ascii="Arial" w:hAnsi="Arial" w:cs="Arial"/>
          <w:sz w:val="22"/>
          <w:szCs w:val="22"/>
        </w:rPr>
        <w:t xml:space="preserve">At national level, countries incorporate SDG 3 in policy boards </w:t>
      </w:r>
      <w:proofErr w:type="gramStart"/>
      <w:r w:rsidRPr="00907EA3">
        <w:rPr>
          <w:rFonts w:ascii="Arial" w:hAnsi="Arial" w:cs="Arial"/>
          <w:sz w:val="22"/>
          <w:szCs w:val="22"/>
        </w:rPr>
        <w:t>in order to</w:t>
      </w:r>
      <w:proofErr w:type="gramEnd"/>
      <w:r w:rsidRPr="00907EA3">
        <w:rPr>
          <w:rFonts w:ascii="Arial" w:hAnsi="Arial" w:cs="Arial"/>
          <w:sz w:val="22"/>
          <w:szCs w:val="22"/>
        </w:rPr>
        <w:t xml:space="preserve"> increase access to healthcare, prevention, and population-wide health promotion. As an example, the National Health Service (NHS) in the United Kingdom has been embracing a </w:t>
      </w:r>
      <w:proofErr w:type="gramStart"/>
      <w:r w:rsidRPr="00907EA3">
        <w:rPr>
          <w:rFonts w:ascii="Arial" w:hAnsi="Arial" w:cs="Arial"/>
          <w:sz w:val="22"/>
          <w:szCs w:val="22"/>
        </w:rPr>
        <w:t>long term</w:t>
      </w:r>
      <w:proofErr w:type="gramEnd"/>
      <w:r w:rsidRPr="00907EA3">
        <w:rPr>
          <w:rFonts w:ascii="Arial" w:hAnsi="Arial" w:cs="Arial"/>
          <w:sz w:val="22"/>
          <w:szCs w:val="22"/>
        </w:rPr>
        <w:t xml:space="preserve"> strategic plan which focuses on ensuring that care is no longer in the hospital but in the community and in preventative care, the enhancement of digital access, and the boosting of mental health services provision (NHS England, 2019). Its priorities are the elimination of maternal and neonatal deaths, chronic diseases, and enhanced prevention mechanisms through smoking quitting and diabetes prevention (Alderwick, 2019). Public health programs like Change4Life, are created to curb the issue of obesity along with promoting a healthy living in the whole country through propagation of a nutritious diet and physical exercise to counter significant risk factors of non-communicable diseases like cardiovascular disease and diabetes (Wikipedia, 2025).</w:t>
      </w:r>
    </w:p>
    <w:p w14:paraId="4C00E93D" w14:textId="009B0230" w:rsidR="00004507" w:rsidRPr="00907EA3" w:rsidRDefault="00004507" w:rsidP="00907EA3">
      <w:pPr>
        <w:spacing w:line="360" w:lineRule="auto"/>
        <w:jc w:val="both"/>
        <w:rPr>
          <w:rFonts w:ascii="Arial" w:hAnsi="Arial" w:cs="Arial"/>
          <w:sz w:val="22"/>
          <w:szCs w:val="22"/>
        </w:rPr>
      </w:pPr>
      <w:r w:rsidRPr="00907EA3">
        <w:rPr>
          <w:rFonts w:ascii="Arial" w:hAnsi="Arial" w:cs="Arial"/>
          <w:sz w:val="22"/>
          <w:szCs w:val="22"/>
        </w:rPr>
        <w:t xml:space="preserve">At the local level, </w:t>
      </w:r>
      <w:proofErr w:type="gramStart"/>
      <w:r w:rsidRPr="00907EA3">
        <w:rPr>
          <w:rFonts w:ascii="Arial" w:hAnsi="Arial" w:cs="Arial"/>
          <w:sz w:val="22"/>
          <w:szCs w:val="22"/>
        </w:rPr>
        <w:t>community based</w:t>
      </w:r>
      <w:proofErr w:type="gramEnd"/>
      <w:r w:rsidRPr="00907EA3">
        <w:rPr>
          <w:rFonts w:ascii="Arial" w:hAnsi="Arial" w:cs="Arial"/>
          <w:sz w:val="22"/>
          <w:szCs w:val="22"/>
        </w:rPr>
        <w:t xml:space="preserve"> programmes have a direct impact on the health and wellbeing outcomes. Vaccination campaigns, nutrition and early detection of diseases such as diabetes and hypertension, and psychological </w:t>
      </w:r>
      <w:proofErr w:type="spellStart"/>
      <w:r w:rsidRPr="00907EA3">
        <w:rPr>
          <w:rFonts w:ascii="Arial" w:hAnsi="Arial" w:cs="Arial"/>
          <w:sz w:val="22"/>
          <w:szCs w:val="22"/>
        </w:rPr>
        <w:t>counseling</w:t>
      </w:r>
      <w:proofErr w:type="spellEnd"/>
      <w:r w:rsidRPr="00907EA3">
        <w:rPr>
          <w:rFonts w:ascii="Arial" w:hAnsi="Arial" w:cs="Arial"/>
          <w:sz w:val="22"/>
          <w:szCs w:val="22"/>
        </w:rPr>
        <w:t xml:space="preserve"> are done in the local clinics and outreach programs. These community-based services are especially important in accessing marginalised groups that experience a disadvantage in accessing care like poverty, geographic, or cultural exclusion (World Bank, 2025). Community health education and preventive services promote behaviour change and health literacy which is important in the minimization of disease burden and quality of life.</w:t>
      </w:r>
    </w:p>
    <w:p w14:paraId="1B1AC769" w14:textId="77777777" w:rsidR="00004507" w:rsidRPr="00907EA3" w:rsidRDefault="00004507" w:rsidP="00907EA3">
      <w:pPr>
        <w:spacing w:line="360" w:lineRule="auto"/>
        <w:jc w:val="both"/>
        <w:rPr>
          <w:rFonts w:ascii="Arial" w:hAnsi="Arial" w:cs="Arial"/>
          <w:b/>
          <w:bCs/>
          <w:sz w:val="22"/>
          <w:szCs w:val="22"/>
        </w:rPr>
      </w:pPr>
      <w:r w:rsidRPr="00907EA3">
        <w:rPr>
          <w:rFonts w:ascii="Arial" w:hAnsi="Arial" w:cs="Arial"/>
          <w:b/>
          <w:bCs/>
          <w:sz w:val="22"/>
          <w:szCs w:val="22"/>
        </w:rPr>
        <w:t>Discussion Successes and Challenges.</w:t>
      </w:r>
    </w:p>
    <w:p w14:paraId="3E498702" w14:textId="6D60DA03" w:rsidR="00004507" w:rsidRPr="00907EA3" w:rsidRDefault="00004507" w:rsidP="00907EA3">
      <w:pPr>
        <w:spacing w:line="360" w:lineRule="auto"/>
        <w:jc w:val="both"/>
        <w:rPr>
          <w:rFonts w:ascii="Arial" w:hAnsi="Arial" w:cs="Arial"/>
          <w:sz w:val="22"/>
          <w:szCs w:val="22"/>
        </w:rPr>
      </w:pPr>
      <w:proofErr w:type="gramStart"/>
      <w:r w:rsidRPr="00907EA3">
        <w:rPr>
          <w:rFonts w:ascii="Arial" w:hAnsi="Arial" w:cs="Arial"/>
          <w:sz w:val="22"/>
          <w:szCs w:val="22"/>
        </w:rPr>
        <w:t>In spite of</w:t>
      </w:r>
      <w:proofErr w:type="gramEnd"/>
      <w:r w:rsidRPr="00907EA3">
        <w:rPr>
          <w:rFonts w:ascii="Arial" w:hAnsi="Arial" w:cs="Arial"/>
          <w:sz w:val="22"/>
          <w:szCs w:val="22"/>
        </w:rPr>
        <w:t xml:space="preserve"> quantifiable improvements, the SDG 3 implementation continues to suffer many challenges. Regional developments are not consistent and persistent health inequalities are led by socioeconomic disparities, poor health infrastructure as well as funding constraints to most </w:t>
      </w:r>
      <w:proofErr w:type="gramStart"/>
      <w:r w:rsidRPr="00907EA3">
        <w:rPr>
          <w:rFonts w:ascii="Arial" w:hAnsi="Arial" w:cs="Arial"/>
          <w:sz w:val="22"/>
          <w:szCs w:val="22"/>
        </w:rPr>
        <w:t>low income</w:t>
      </w:r>
      <w:proofErr w:type="gramEnd"/>
      <w:r w:rsidRPr="00907EA3">
        <w:rPr>
          <w:rFonts w:ascii="Arial" w:hAnsi="Arial" w:cs="Arial"/>
          <w:sz w:val="22"/>
          <w:szCs w:val="22"/>
        </w:rPr>
        <w:t xml:space="preserve"> nations (United Nations, 2025). COVID 19 pandemic undid part of the progress by interfering with immunisation and disease control programmes and overburdening the healthcare workers and facilities (World Bank, 2025). In addition, other social determinants like educational, income inequality and other environmental issues like air pollution continue to be highly interrelated with health outcomes, thus necessitating multi sector intervention that the SDG 3 achievement cannot be solely achieved through the health sector.</w:t>
      </w:r>
    </w:p>
    <w:p w14:paraId="7A017915" w14:textId="77777777" w:rsidR="004A11D3" w:rsidRPr="00907EA3" w:rsidRDefault="004A11D3" w:rsidP="00907EA3">
      <w:pPr>
        <w:spacing w:line="360" w:lineRule="auto"/>
        <w:jc w:val="both"/>
        <w:rPr>
          <w:rFonts w:ascii="Arial" w:hAnsi="Arial" w:cs="Arial"/>
          <w:b/>
          <w:bCs/>
          <w:sz w:val="22"/>
          <w:szCs w:val="22"/>
        </w:rPr>
      </w:pPr>
    </w:p>
    <w:p w14:paraId="7F3BA128" w14:textId="77777777" w:rsidR="004A11D3" w:rsidRPr="00907EA3" w:rsidRDefault="004A11D3" w:rsidP="00907EA3">
      <w:pPr>
        <w:spacing w:line="360" w:lineRule="auto"/>
        <w:jc w:val="both"/>
        <w:rPr>
          <w:rFonts w:ascii="Arial" w:hAnsi="Arial" w:cs="Arial"/>
          <w:b/>
          <w:bCs/>
          <w:sz w:val="22"/>
          <w:szCs w:val="22"/>
        </w:rPr>
      </w:pPr>
    </w:p>
    <w:p w14:paraId="4C114DC0" w14:textId="258F22ED" w:rsidR="004A11D3" w:rsidRPr="00907EA3" w:rsidRDefault="004A11D3" w:rsidP="00907EA3">
      <w:pPr>
        <w:spacing w:line="360" w:lineRule="auto"/>
        <w:jc w:val="both"/>
        <w:rPr>
          <w:rFonts w:ascii="Arial" w:hAnsi="Arial" w:cs="Arial"/>
          <w:b/>
          <w:bCs/>
          <w:sz w:val="22"/>
          <w:szCs w:val="22"/>
        </w:rPr>
      </w:pPr>
      <w:r w:rsidRPr="00907EA3">
        <w:rPr>
          <w:rFonts w:ascii="Arial" w:hAnsi="Arial" w:cs="Arial"/>
          <w:b/>
          <w:bCs/>
          <w:sz w:val="22"/>
          <w:szCs w:val="22"/>
        </w:rPr>
        <w:t>Sustainable Development Goal: SDG 13 - Climate Action.</w:t>
      </w:r>
    </w:p>
    <w:p w14:paraId="7235D5D6" w14:textId="4EE09A63"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 xml:space="preserve">Sustainable Development Goal 13 (SDG 13) is working to act urgently </w:t>
      </w:r>
      <w:proofErr w:type="gramStart"/>
      <w:r w:rsidRPr="00907EA3">
        <w:rPr>
          <w:rFonts w:ascii="Arial" w:hAnsi="Arial" w:cs="Arial"/>
          <w:sz w:val="22"/>
          <w:szCs w:val="22"/>
        </w:rPr>
        <w:t>in order to</w:t>
      </w:r>
      <w:proofErr w:type="gramEnd"/>
      <w:r w:rsidRPr="00907EA3">
        <w:rPr>
          <w:rFonts w:ascii="Arial" w:hAnsi="Arial" w:cs="Arial"/>
          <w:sz w:val="22"/>
          <w:szCs w:val="22"/>
        </w:rPr>
        <w:t xml:space="preserve"> fight climate change and its effects. It acknowledges the fact that the issue of climate change is one of the biggest challenges to the overall global wellbeing and development, in terms of impacting on ecosystems and livelihoods, as well as human health (United Nations, 2025). The targets of the goal are to enhance resilience and adaptive capacity towards climate related risks and natural disasters (Target 13.1); to enjoy climate change measures in national policies and plans (Target 13.2); and support education, awareness and institutional capacity on climate mitigation and adaptation (Target 13.3) (United Nations, 2025).</w:t>
      </w:r>
    </w:p>
    <w:p w14:paraId="0F34BF25" w14:textId="77777777" w:rsidR="004A11D3" w:rsidRPr="00907EA3" w:rsidRDefault="004A11D3" w:rsidP="00907EA3">
      <w:pPr>
        <w:spacing w:line="360" w:lineRule="auto"/>
        <w:jc w:val="both"/>
        <w:rPr>
          <w:rFonts w:ascii="Arial" w:hAnsi="Arial" w:cs="Arial"/>
          <w:b/>
          <w:bCs/>
          <w:sz w:val="22"/>
          <w:szCs w:val="22"/>
        </w:rPr>
      </w:pPr>
      <w:proofErr w:type="spellStart"/>
      <w:r w:rsidRPr="00907EA3">
        <w:rPr>
          <w:rFonts w:ascii="Arial" w:hAnsi="Arial" w:cs="Arial"/>
          <w:b/>
          <w:bCs/>
          <w:sz w:val="22"/>
          <w:szCs w:val="22"/>
        </w:rPr>
        <w:t>Affect</w:t>
      </w:r>
      <w:proofErr w:type="spellEnd"/>
      <w:r w:rsidRPr="00907EA3">
        <w:rPr>
          <w:rFonts w:ascii="Arial" w:hAnsi="Arial" w:cs="Arial"/>
          <w:b/>
          <w:bCs/>
          <w:sz w:val="22"/>
          <w:szCs w:val="22"/>
        </w:rPr>
        <w:t xml:space="preserve"> on Wellbeing and Health of Citizens.</w:t>
      </w:r>
    </w:p>
    <w:p w14:paraId="7595ADE7" w14:textId="77777777"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 xml:space="preserve">Climate change has significantly changed the health and wellbeing of humans at the global level. Increased health risks, which include heat stress, food and water insecurity, and vector borne diseases and mental health issues are brought about by increased temperatures, extreme weather conditions including heatwaves, floods, and droughts, and altered precipitation patterns (World Health Organization [WHO], 2023). WHO estimates that climate change is likely to result in about 250,000 more deaths each year between 2030 and 2050 due to malnutrition, malaria, diarrhoea, and heat stress alone one current </w:t>
      </w:r>
      <w:proofErr w:type="gramStart"/>
      <w:r w:rsidRPr="00907EA3">
        <w:rPr>
          <w:rFonts w:ascii="Arial" w:hAnsi="Arial" w:cs="Arial"/>
          <w:sz w:val="22"/>
          <w:szCs w:val="22"/>
        </w:rPr>
        <w:t>trends</w:t>
      </w:r>
      <w:proofErr w:type="gramEnd"/>
      <w:r w:rsidRPr="00907EA3">
        <w:rPr>
          <w:rFonts w:ascii="Arial" w:hAnsi="Arial" w:cs="Arial"/>
          <w:sz w:val="22"/>
          <w:szCs w:val="22"/>
        </w:rPr>
        <w:t xml:space="preserve"> are followed (WHO, 2023). In addition, the climatic hazards have a disproportionate impact on the vulnerable group, especially the low-income nations with poor health standards that are incapable of adjusting to the climatic stress (WHO, 2023). These climate-related health effects globally demonstrate the extent to which climate stability and the overall health of the population are combined, and it further validates the fact that climate action is the core of sustainable wellbeing (Lindgren et al, 2025).</w:t>
      </w:r>
    </w:p>
    <w:p w14:paraId="0A3D715B" w14:textId="77777777"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On the national level, health risks relating to climate change can be averted extensively by the countries that have implemented the climate policies. As an instance, carbon emissions policies lead to the reduction of air quality hence decreasing respiratory and cardiovascular diseases that are brought about by air pollution. A transition to more renewable energy sources and to cleaner transport systems reduces the level of particulate pollution and brings direct health benefits to the citizens (WHO, 2022).</w:t>
      </w:r>
    </w:p>
    <w:p w14:paraId="6F896CE0" w14:textId="72325C0A"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 xml:space="preserve">Urban planning and environmental design at the local level is a key aspect that contributes to the benefits of health and wellbeing in the changing climate. Urban settings designed by putting green spaces into the forefront, tree canopy, and conveniently located parks assist in the moderation of urban heat islands, reduction in temperatures, as well as encourage outdoor </w:t>
      </w:r>
      <w:r w:rsidRPr="00907EA3">
        <w:rPr>
          <w:rFonts w:ascii="Arial" w:hAnsi="Arial" w:cs="Arial"/>
          <w:sz w:val="22"/>
          <w:szCs w:val="22"/>
        </w:rPr>
        <w:lastRenderedPageBreak/>
        <w:t>physical activities, all of which are beneficial to physical and mental health (WHO, 2024). Localized emission reduction initiatives include promoting cycling, walking paths, and sustainable transport, which lower the pollution exposure and increase the active lifestyles and socialization, improving the wellbeing of the community level (WHO, 2024). Cities that introduce climate adaptation technologies such as flood resilient infrastructure also decrease the vulnerability of the community to climate disasters and reduce health disruptions as well as economic damages.</w:t>
      </w:r>
    </w:p>
    <w:p w14:paraId="439B16C9" w14:textId="77777777" w:rsidR="004A11D3" w:rsidRPr="00907EA3" w:rsidRDefault="004A11D3" w:rsidP="00907EA3">
      <w:pPr>
        <w:spacing w:line="360" w:lineRule="auto"/>
        <w:jc w:val="both"/>
        <w:rPr>
          <w:rFonts w:ascii="Arial" w:hAnsi="Arial" w:cs="Arial"/>
          <w:b/>
          <w:bCs/>
        </w:rPr>
      </w:pPr>
      <w:r w:rsidRPr="00907EA3">
        <w:rPr>
          <w:rFonts w:ascii="Arial" w:hAnsi="Arial" w:cs="Arial"/>
          <w:b/>
          <w:bCs/>
        </w:rPr>
        <w:t>Effectiveness and Interconnectedness Discussion.</w:t>
      </w:r>
    </w:p>
    <w:p w14:paraId="0B896300" w14:textId="2FC5EA32"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 xml:space="preserve">Although there is an improvement on climate policies in most countries, there are still problems (Helne, and </w:t>
      </w:r>
      <w:proofErr w:type="spellStart"/>
      <w:r w:rsidRPr="00907EA3">
        <w:rPr>
          <w:rFonts w:ascii="Arial" w:hAnsi="Arial" w:cs="Arial"/>
          <w:sz w:val="22"/>
          <w:szCs w:val="22"/>
        </w:rPr>
        <w:t>Hirvilammi</w:t>
      </w:r>
      <w:proofErr w:type="spellEnd"/>
      <w:r w:rsidRPr="00907EA3">
        <w:rPr>
          <w:rFonts w:ascii="Arial" w:hAnsi="Arial" w:cs="Arial"/>
          <w:sz w:val="22"/>
          <w:szCs w:val="22"/>
        </w:rPr>
        <w:t>, 2015). The global greenhouse gas emissions are constantly increasing, and the climate change impacts the food and water systems, leads to forced migration, and to the transmission of infectious diseases (WHO, 2023). SDG 13 success depends not just on mitigation, but on proper inclusion of health consideration in climate policy, and this explains its relationship with SDG 3 on health and wellbeing. The existing benefits of effective climate action are resilience, minimized health hazards due to climate stressors, and enhancement of sustainable development at large, and these show that safeguarding the environment is unquestionably closely connected with safeguarding human health.</w:t>
      </w:r>
    </w:p>
    <w:p w14:paraId="3834FFDC" w14:textId="77777777" w:rsidR="004A11D3" w:rsidRPr="00907EA3" w:rsidRDefault="004A11D3" w:rsidP="00907EA3">
      <w:pPr>
        <w:spacing w:line="360" w:lineRule="auto"/>
        <w:jc w:val="both"/>
        <w:rPr>
          <w:rFonts w:ascii="Arial" w:hAnsi="Arial" w:cs="Arial"/>
          <w:b/>
          <w:bCs/>
          <w:sz w:val="22"/>
          <w:szCs w:val="22"/>
        </w:rPr>
      </w:pPr>
      <w:r w:rsidRPr="00907EA3">
        <w:rPr>
          <w:rFonts w:ascii="Arial" w:hAnsi="Arial" w:cs="Arial"/>
          <w:b/>
          <w:bCs/>
          <w:sz w:val="22"/>
          <w:szCs w:val="22"/>
        </w:rPr>
        <w:t>National Wellbeing Initiative.</w:t>
      </w:r>
    </w:p>
    <w:p w14:paraId="14B3130C" w14:textId="6448767B" w:rsidR="004A11D3" w:rsidRPr="00907EA3" w:rsidRDefault="004A11D3" w:rsidP="00907EA3">
      <w:pPr>
        <w:spacing w:line="360" w:lineRule="auto"/>
        <w:jc w:val="both"/>
        <w:rPr>
          <w:rFonts w:ascii="Arial" w:hAnsi="Arial" w:cs="Arial"/>
          <w:sz w:val="22"/>
          <w:szCs w:val="22"/>
        </w:rPr>
      </w:pPr>
      <w:r w:rsidRPr="00907EA3">
        <w:rPr>
          <w:rFonts w:ascii="Arial" w:hAnsi="Arial" w:cs="Arial"/>
          <w:sz w:val="22"/>
          <w:szCs w:val="22"/>
        </w:rPr>
        <w:t xml:space="preserve">The NHS Health and Wellbeing Programmes in the UK and the Healthy People 2030 in the USA are two emerging national tools aimed at enhancing health and wellbeing. The NHS programmes prioritize the areas of preventive care, chronic disease, and mental health support and are related to SDG 3 as they minimize health disparities and increase access to healthcare services (NHS England, 2019). According to Healthy People 2030, the data-based goals are determined </w:t>
      </w:r>
      <w:proofErr w:type="gramStart"/>
      <w:r w:rsidRPr="00907EA3">
        <w:rPr>
          <w:rFonts w:ascii="Arial" w:hAnsi="Arial" w:cs="Arial"/>
          <w:sz w:val="22"/>
          <w:szCs w:val="22"/>
        </w:rPr>
        <w:t>in order to</w:t>
      </w:r>
      <w:proofErr w:type="gramEnd"/>
      <w:r w:rsidRPr="00907EA3">
        <w:rPr>
          <w:rFonts w:ascii="Arial" w:hAnsi="Arial" w:cs="Arial"/>
          <w:sz w:val="22"/>
          <w:szCs w:val="22"/>
        </w:rPr>
        <w:t xml:space="preserve"> advance the health outcomes, prevent diseases, and reduce the gap between communities, especially in those that are marginalized (Office of Disease Prevention and Health Promotion [ODPHP], 2020).</w:t>
      </w:r>
    </w:p>
    <w:p w14:paraId="7AA85059" w14:textId="77777777" w:rsidR="004A11D3" w:rsidRPr="00907EA3" w:rsidRDefault="004A11D3" w:rsidP="00907EA3">
      <w:pPr>
        <w:spacing w:line="360" w:lineRule="auto"/>
        <w:jc w:val="both"/>
        <w:rPr>
          <w:rFonts w:ascii="Arial" w:hAnsi="Arial" w:cs="Arial"/>
          <w:b/>
          <w:bCs/>
          <w:sz w:val="22"/>
          <w:szCs w:val="22"/>
        </w:rPr>
      </w:pPr>
      <w:r w:rsidRPr="00907EA3">
        <w:rPr>
          <w:rFonts w:ascii="Arial" w:hAnsi="Arial" w:cs="Arial"/>
          <w:b/>
          <w:bCs/>
          <w:sz w:val="22"/>
          <w:szCs w:val="22"/>
        </w:rPr>
        <w:t>Evaluation</w:t>
      </w:r>
    </w:p>
    <w:p w14:paraId="0FD9C5C6" w14:textId="77777777"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t>Both the initiatives have shown tremendous achievements (Corbin et al, 2021). NHS Long Term Plan has increased community-based services, preventive programmes, and mental health support which was leading to tangible changes in chronic disease management and patient outcomes (Alderwick, 2019). Through evidence-based interventions, Healthy People 2030 has enhanced population health awareness concerning health risks and made sure more individuals are vaccinated and perform healthy behaviours within the nation (ODPHP, 2020).</w:t>
      </w:r>
    </w:p>
    <w:p w14:paraId="40E093CC" w14:textId="30850862"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lastRenderedPageBreak/>
        <w:t>However, limitations remain. Financial inequalities and geographical inequities are also still present, specifically in the rural and socioeconomically underprivileged regions (NHS England, 2019). Moreover, it is still difficult to adjust to the emerging health risks, including pandemics or environmental risks, because of the insufficiency of resources and bureaucracies (World Bank, 2025).</w:t>
      </w:r>
    </w:p>
    <w:p w14:paraId="22713339" w14:textId="77777777" w:rsidR="004A11D3" w:rsidRPr="00907EA3" w:rsidRDefault="004A11D3" w:rsidP="00907EA3">
      <w:pPr>
        <w:spacing w:line="360" w:lineRule="auto"/>
        <w:jc w:val="both"/>
        <w:rPr>
          <w:rFonts w:ascii="Arial" w:hAnsi="Arial" w:cs="Arial"/>
          <w:sz w:val="22"/>
          <w:szCs w:val="22"/>
        </w:rPr>
      </w:pPr>
    </w:p>
    <w:p w14:paraId="227B474B" w14:textId="77777777" w:rsidR="004A11D3" w:rsidRPr="00907EA3" w:rsidRDefault="004A11D3" w:rsidP="00907EA3">
      <w:pPr>
        <w:spacing w:line="360" w:lineRule="auto"/>
        <w:jc w:val="both"/>
        <w:rPr>
          <w:rFonts w:ascii="Arial" w:hAnsi="Arial" w:cs="Arial"/>
          <w:b/>
          <w:bCs/>
          <w:sz w:val="22"/>
          <w:szCs w:val="22"/>
        </w:rPr>
      </w:pPr>
      <w:r w:rsidRPr="00907EA3">
        <w:rPr>
          <w:rFonts w:ascii="Arial" w:hAnsi="Arial" w:cs="Arial"/>
          <w:b/>
          <w:bCs/>
          <w:sz w:val="22"/>
          <w:szCs w:val="22"/>
        </w:rPr>
        <w:t>Recommendations</w:t>
      </w:r>
    </w:p>
    <w:p w14:paraId="45141BE6" w14:textId="6E6AC66F" w:rsidR="004A11D3" w:rsidRPr="00907EA3" w:rsidRDefault="004A11D3" w:rsidP="00907EA3">
      <w:pPr>
        <w:spacing w:line="360" w:lineRule="auto"/>
        <w:jc w:val="both"/>
        <w:rPr>
          <w:rFonts w:ascii="Arial" w:hAnsi="Arial" w:cs="Arial"/>
          <w:sz w:val="22"/>
          <w:szCs w:val="22"/>
        </w:rPr>
      </w:pPr>
      <w:proofErr w:type="gramStart"/>
      <w:r w:rsidRPr="00907EA3">
        <w:rPr>
          <w:rFonts w:ascii="Arial" w:hAnsi="Arial" w:cs="Arial"/>
          <w:sz w:val="22"/>
          <w:szCs w:val="22"/>
        </w:rPr>
        <w:t>In order to</w:t>
      </w:r>
      <w:proofErr w:type="gramEnd"/>
      <w:r w:rsidRPr="00907EA3">
        <w:rPr>
          <w:rFonts w:ascii="Arial" w:hAnsi="Arial" w:cs="Arial"/>
          <w:sz w:val="22"/>
          <w:szCs w:val="22"/>
        </w:rPr>
        <w:t xml:space="preserve"> increase efficiency, the national programs ought to target the fair distribution of resources so that those regions under-serviced can receive crucial services (WHO, 2023). Participatory health campaigns may help strengthen the community engagement, promote programme uptake, and health literacy (United Nations, 2025). Moreover, the inclusion of digital health technologies, including telemedicine and health apps, will help to reach more people, take the burden off the healthcare facilities, and improve data gathering to develop improved policies (WHO, 2023).</w:t>
      </w:r>
    </w:p>
    <w:p w14:paraId="593606B2" w14:textId="77777777" w:rsidR="009E1D81" w:rsidRPr="00907EA3" w:rsidRDefault="009E1D81" w:rsidP="00907EA3">
      <w:pPr>
        <w:spacing w:line="360" w:lineRule="auto"/>
        <w:jc w:val="both"/>
        <w:rPr>
          <w:rFonts w:ascii="Arial" w:hAnsi="Arial" w:cs="Arial"/>
          <w:b/>
          <w:bCs/>
          <w:sz w:val="22"/>
          <w:szCs w:val="22"/>
        </w:rPr>
      </w:pPr>
      <w:r w:rsidRPr="00907EA3">
        <w:rPr>
          <w:rFonts w:ascii="Arial" w:hAnsi="Arial" w:cs="Arial"/>
          <w:b/>
          <w:bCs/>
          <w:sz w:val="22"/>
          <w:szCs w:val="22"/>
        </w:rPr>
        <w:t>Local Wellbeing Initiative</w:t>
      </w:r>
    </w:p>
    <w:p w14:paraId="74B1B439" w14:textId="08ABD327"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t xml:space="preserve">On the local level, other programs like Community Mental Health Program and Local Environmental Health Initiatives are very important in enhancing the </w:t>
      </w:r>
      <w:proofErr w:type="spellStart"/>
      <w:r w:rsidRPr="00907EA3">
        <w:rPr>
          <w:rFonts w:ascii="Arial" w:hAnsi="Arial" w:cs="Arial"/>
          <w:sz w:val="22"/>
          <w:szCs w:val="22"/>
        </w:rPr>
        <w:t>well being</w:t>
      </w:r>
      <w:proofErr w:type="spellEnd"/>
      <w:r w:rsidRPr="00907EA3">
        <w:rPr>
          <w:rFonts w:ascii="Arial" w:hAnsi="Arial" w:cs="Arial"/>
          <w:sz w:val="22"/>
          <w:szCs w:val="22"/>
        </w:rPr>
        <w:t xml:space="preserve"> of the citizens. Community Mental Health Programs are mental-health specific counselling, workshops, and support groups that directly target the needs of the mentally ill and lower the stigma levels (WHO, 2023). Local Environmental Health Initiatives such as clean air movements, urban gardens, and recreational parks/facilities are used to support physical activity, minimize exposure to pollution and promote social communication, which is in line with SDG 13 and SDG 3 goals (United Nations, 2025).</w:t>
      </w:r>
    </w:p>
    <w:p w14:paraId="30B77262" w14:textId="77777777" w:rsidR="009E1D81" w:rsidRPr="00907EA3" w:rsidRDefault="009E1D81" w:rsidP="00907EA3">
      <w:pPr>
        <w:spacing w:line="360" w:lineRule="auto"/>
        <w:jc w:val="both"/>
        <w:rPr>
          <w:rFonts w:ascii="Arial" w:hAnsi="Arial" w:cs="Arial"/>
          <w:b/>
          <w:bCs/>
          <w:sz w:val="22"/>
          <w:szCs w:val="22"/>
        </w:rPr>
      </w:pPr>
      <w:r w:rsidRPr="00907EA3">
        <w:rPr>
          <w:rFonts w:ascii="Arial" w:hAnsi="Arial" w:cs="Arial"/>
          <w:b/>
          <w:bCs/>
          <w:sz w:val="22"/>
          <w:szCs w:val="22"/>
        </w:rPr>
        <w:t>Evaluation</w:t>
      </w:r>
    </w:p>
    <w:p w14:paraId="08ABE463" w14:textId="77777777"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t>Such projects have reported some significant successes. Mental health programs have also contributed to better older populations through community mental health programs through awareness creation, accessibility to support the vulnerable populations (WHO, 2023). Environmental health interventions can help in improving wellbeing by providing green spaces, better air quality, and healthy lifestyles in the communities (WHO, 2024).</w:t>
      </w:r>
    </w:p>
    <w:p w14:paraId="48A6B071" w14:textId="456558B8"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t>Although these were successful, there are challenges. Most of the local programs do not have long-term financing or workforce, which restricts sustainability and the continuity of programs (World Bank, 2025). Also, smaller amounts of data collected will make it hard to measure the long-term effect and modify interventions appropriately (WHO, 2024).</w:t>
      </w:r>
    </w:p>
    <w:p w14:paraId="7162487B" w14:textId="77777777" w:rsidR="009E1D81" w:rsidRPr="00907EA3" w:rsidRDefault="009E1D81" w:rsidP="00907EA3">
      <w:pPr>
        <w:spacing w:line="360" w:lineRule="auto"/>
        <w:jc w:val="both"/>
        <w:rPr>
          <w:rFonts w:ascii="Arial" w:hAnsi="Arial" w:cs="Arial"/>
          <w:sz w:val="22"/>
          <w:szCs w:val="22"/>
        </w:rPr>
      </w:pPr>
    </w:p>
    <w:p w14:paraId="23E2A88C" w14:textId="77777777" w:rsidR="009E1D81" w:rsidRPr="00907EA3" w:rsidRDefault="009E1D81" w:rsidP="00907EA3">
      <w:pPr>
        <w:spacing w:line="360" w:lineRule="auto"/>
        <w:jc w:val="both"/>
        <w:rPr>
          <w:rFonts w:ascii="Arial" w:hAnsi="Arial" w:cs="Arial"/>
          <w:sz w:val="22"/>
          <w:szCs w:val="22"/>
        </w:rPr>
      </w:pPr>
    </w:p>
    <w:p w14:paraId="671A47D9" w14:textId="0A4C1588" w:rsidR="009E1D81" w:rsidRPr="00907EA3" w:rsidRDefault="009E1D81" w:rsidP="00907EA3">
      <w:pPr>
        <w:spacing w:line="360" w:lineRule="auto"/>
        <w:jc w:val="both"/>
        <w:rPr>
          <w:rFonts w:ascii="Arial" w:hAnsi="Arial" w:cs="Arial"/>
          <w:b/>
          <w:bCs/>
          <w:sz w:val="22"/>
          <w:szCs w:val="22"/>
        </w:rPr>
      </w:pPr>
      <w:r w:rsidRPr="00907EA3">
        <w:rPr>
          <w:rFonts w:ascii="Arial" w:hAnsi="Arial" w:cs="Arial"/>
          <w:b/>
          <w:bCs/>
          <w:sz w:val="22"/>
          <w:szCs w:val="22"/>
        </w:rPr>
        <w:t>Recommendations</w:t>
      </w:r>
    </w:p>
    <w:p w14:paraId="6DB90EC7" w14:textId="61D52C87" w:rsidR="009E1D81" w:rsidRPr="00907EA3" w:rsidRDefault="009E1D81" w:rsidP="00907EA3">
      <w:pPr>
        <w:spacing w:line="360" w:lineRule="auto"/>
        <w:jc w:val="both"/>
        <w:rPr>
          <w:rFonts w:ascii="Arial" w:hAnsi="Arial" w:cs="Arial"/>
          <w:sz w:val="22"/>
          <w:szCs w:val="22"/>
        </w:rPr>
      </w:pPr>
      <w:proofErr w:type="gramStart"/>
      <w:r w:rsidRPr="00907EA3">
        <w:rPr>
          <w:rFonts w:ascii="Arial" w:hAnsi="Arial" w:cs="Arial"/>
          <w:sz w:val="22"/>
          <w:szCs w:val="22"/>
        </w:rPr>
        <w:t>In order to</w:t>
      </w:r>
      <w:proofErr w:type="gramEnd"/>
      <w:r w:rsidRPr="00907EA3">
        <w:rPr>
          <w:rFonts w:ascii="Arial" w:hAnsi="Arial" w:cs="Arial"/>
          <w:sz w:val="22"/>
          <w:szCs w:val="22"/>
        </w:rPr>
        <w:t xml:space="preserve"> empower local programs, they can be supported with financial and technical resources provided by partnership with NGOs and the private sector to promote their sustainability in the long-term perspective (United Nations, 2025). Improved data gathering and surveillance are mandatory to measure the results, pinpoint weaknesses, and change strategies to suit the community requirements (WHO, 2024). Lastly, the participation can be enhanced through awareness campaigns that are equipped with the local demographic profiles, and the citizens can become the owners of their health and wellbeing (World Bank, 2025).</w:t>
      </w:r>
    </w:p>
    <w:p w14:paraId="53C594C8" w14:textId="77777777" w:rsidR="009E1D81" w:rsidRPr="00907EA3" w:rsidRDefault="009E1D81" w:rsidP="00907EA3">
      <w:pPr>
        <w:spacing w:line="360" w:lineRule="auto"/>
        <w:jc w:val="both"/>
        <w:rPr>
          <w:rFonts w:ascii="Arial" w:hAnsi="Arial" w:cs="Arial"/>
          <w:sz w:val="22"/>
          <w:szCs w:val="22"/>
        </w:rPr>
      </w:pPr>
    </w:p>
    <w:p w14:paraId="10CFC7DF" w14:textId="77777777" w:rsidR="009E1D81" w:rsidRPr="00907EA3" w:rsidRDefault="009E1D81" w:rsidP="00907EA3">
      <w:pPr>
        <w:spacing w:line="360" w:lineRule="auto"/>
        <w:jc w:val="both"/>
        <w:rPr>
          <w:rFonts w:ascii="Arial" w:hAnsi="Arial" w:cs="Arial"/>
          <w:b/>
          <w:bCs/>
          <w:sz w:val="22"/>
          <w:szCs w:val="22"/>
        </w:rPr>
      </w:pPr>
      <w:r w:rsidRPr="00907EA3">
        <w:rPr>
          <w:rFonts w:ascii="Arial" w:hAnsi="Arial" w:cs="Arial"/>
          <w:b/>
          <w:bCs/>
          <w:sz w:val="22"/>
          <w:szCs w:val="22"/>
        </w:rPr>
        <w:t>Conclusion</w:t>
      </w:r>
    </w:p>
    <w:p w14:paraId="6502FA86" w14:textId="0E336465" w:rsidR="009E1D81" w:rsidRPr="00907EA3" w:rsidRDefault="009E1D81" w:rsidP="00907EA3">
      <w:pPr>
        <w:spacing w:line="360" w:lineRule="auto"/>
        <w:jc w:val="both"/>
        <w:rPr>
          <w:rFonts w:ascii="Arial" w:hAnsi="Arial" w:cs="Arial"/>
          <w:sz w:val="22"/>
          <w:szCs w:val="22"/>
        </w:rPr>
      </w:pPr>
      <w:r w:rsidRPr="00907EA3">
        <w:rPr>
          <w:rFonts w:ascii="Arial" w:hAnsi="Arial" w:cs="Arial"/>
          <w:sz w:val="22"/>
          <w:szCs w:val="22"/>
        </w:rPr>
        <w:t>SDG 3 and SDG 13 are critical in supporting global, national, and local health and wellbeing. Such national programs as the NHS Health and Wellbeing Programmes and Healthy People 2030 have enhanced access to care and chronic disease management and community awareness but are challenged by the financial aspect, equity, and responsiveness. Local responses to mental health and environmental health are oriented at the wellbeing of the community, although sustainability and data constraints continue to represent a challenge. Some of the recommendations include the enhancement of resource allocation, the community engagement, the integration of digital and sustainable solutions, and the establishment of collaborative work at global, national, and local levels that will imply equitable and sustainable health outcomes (United Nations, 2025; WHO, 2023).</w:t>
      </w:r>
    </w:p>
    <w:p w14:paraId="29D5C737" w14:textId="77777777" w:rsidR="000B142C" w:rsidRPr="00907EA3" w:rsidRDefault="000B142C" w:rsidP="00907EA3">
      <w:pPr>
        <w:spacing w:line="360" w:lineRule="auto"/>
        <w:jc w:val="both"/>
        <w:rPr>
          <w:rFonts w:ascii="Arial" w:hAnsi="Arial" w:cs="Arial"/>
          <w:sz w:val="22"/>
          <w:szCs w:val="22"/>
        </w:rPr>
      </w:pPr>
    </w:p>
    <w:p w14:paraId="3494770C" w14:textId="77777777" w:rsidR="000B142C" w:rsidRPr="00907EA3" w:rsidRDefault="000B142C" w:rsidP="00907EA3">
      <w:pPr>
        <w:spacing w:line="360" w:lineRule="auto"/>
        <w:jc w:val="both"/>
        <w:rPr>
          <w:rFonts w:ascii="Arial" w:hAnsi="Arial" w:cs="Arial"/>
          <w:sz w:val="22"/>
          <w:szCs w:val="22"/>
        </w:rPr>
      </w:pPr>
    </w:p>
    <w:p w14:paraId="4621799C" w14:textId="77777777" w:rsidR="000B142C" w:rsidRPr="00907EA3" w:rsidRDefault="000B142C" w:rsidP="00907EA3">
      <w:pPr>
        <w:spacing w:line="360" w:lineRule="auto"/>
        <w:jc w:val="both"/>
        <w:rPr>
          <w:rFonts w:ascii="Arial" w:hAnsi="Arial" w:cs="Arial"/>
          <w:sz w:val="22"/>
          <w:szCs w:val="22"/>
        </w:rPr>
      </w:pPr>
    </w:p>
    <w:p w14:paraId="64E46D5F" w14:textId="77777777" w:rsidR="000B142C" w:rsidRPr="00907EA3" w:rsidRDefault="000B142C" w:rsidP="00907EA3">
      <w:pPr>
        <w:spacing w:line="360" w:lineRule="auto"/>
        <w:jc w:val="both"/>
        <w:rPr>
          <w:rFonts w:ascii="Arial" w:hAnsi="Arial" w:cs="Arial"/>
          <w:sz w:val="22"/>
          <w:szCs w:val="22"/>
        </w:rPr>
      </w:pPr>
    </w:p>
    <w:p w14:paraId="2D2F4602" w14:textId="77777777" w:rsidR="000B142C" w:rsidRPr="00907EA3" w:rsidRDefault="000B142C" w:rsidP="00907EA3">
      <w:pPr>
        <w:spacing w:line="360" w:lineRule="auto"/>
        <w:jc w:val="both"/>
        <w:rPr>
          <w:rFonts w:ascii="Arial" w:hAnsi="Arial" w:cs="Arial"/>
          <w:sz w:val="22"/>
          <w:szCs w:val="22"/>
        </w:rPr>
      </w:pPr>
    </w:p>
    <w:p w14:paraId="7B84C56D" w14:textId="77777777" w:rsidR="000B142C" w:rsidRPr="00907EA3" w:rsidRDefault="000B142C" w:rsidP="00907EA3">
      <w:pPr>
        <w:spacing w:line="360" w:lineRule="auto"/>
        <w:jc w:val="both"/>
        <w:rPr>
          <w:rFonts w:ascii="Arial" w:hAnsi="Arial" w:cs="Arial"/>
          <w:sz w:val="22"/>
          <w:szCs w:val="22"/>
        </w:rPr>
      </w:pPr>
    </w:p>
    <w:p w14:paraId="483E5988" w14:textId="77777777" w:rsidR="000B142C" w:rsidRPr="00907EA3" w:rsidRDefault="000B142C" w:rsidP="00907EA3">
      <w:pPr>
        <w:spacing w:line="360" w:lineRule="auto"/>
        <w:jc w:val="both"/>
        <w:rPr>
          <w:rFonts w:ascii="Arial" w:hAnsi="Arial" w:cs="Arial"/>
          <w:sz w:val="22"/>
          <w:szCs w:val="22"/>
        </w:rPr>
      </w:pPr>
    </w:p>
    <w:p w14:paraId="0C573547" w14:textId="77777777" w:rsidR="000B142C" w:rsidRPr="00907EA3" w:rsidRDefault="000B142C" w:rsidP="00907EA3">
      <w:pPr>
        <w:spacing w:line="360" w:lineRule="auto"/>
        <w:jc w:val="both"/>
        <w:rPr>
          <w:rFonts w:ascii="Arial" w:hAnsi="Arial" w:cs="Arial"/>
          <w:sz w:val="22"/>
          <w:szCs w:val="22"/>
        </w:rPr>
      </w:pPr>
    </w:p>
    <w:p w14:paraId="087CB094" w14:textId="77777777" w:rsidR="000B142C" w:rsidRPr="00907EA3" w:rsidRDefault="000B142C" w:rsidP="00907EA3">
      <w:pPr>
        <w:spacing w:line="360" w:lineRule="auto"/>
        <w:jc w:val="both"/>
        <w:rPr>
          <w:rFonts w:ascii="Arial" w:hAnsi="Arial" w:cs="Arial"/>
          <w:sz w:val="22"/>
          <w:szCs w:val="22"/>
        </w:rPr>
      </w:pPr>
    </w:p>
    <w:p w14:paraId="2977464C" w14:textId="77777777" w:rsidR="000B142C" w:rsidRPr="00907EA3" w:rsidRDefault="000B142C" w:rsidP="00907EA3">
      <w:pPr>
        <w:spacing w:line="360" w:lineRule="auto"/>
        <w:jc w:val="both"/>
        <w:rPr>
          <w:rFonts w:ascii="Arial" w:hAnsi="Arial" w:cs="Arial"/>
          <w:sz w:val="22"/>
          <w:szCs w:val="22"/>
        </w:rPr>
      </w:pPr>
    </w:p>
    <w:p w14:paraId="5E774430" w14:textId="77777777" w:rsidR="000B142C" w:rsidRPr="00907EA3" w:rsidRDefault="000B142C" w:rsidP="00907EA3">
      <w:pPr>
        <w:spacing w:line="360" w:lineRule="auto"/>
        <w:jc w:val="both"/>
        <w:rPr>
          <w:rFonts w:ascii="Arial" w:hAnsi="Arial" w:cs="Arial"/>
          <w:sz w:val="22"/>
          <w:szCs w:val="22"/>
        </w:rPr>
      </w:pPr>
    </w:p>
    <w:p w14:paraId="3D87AA57" w14:textId="3CC6CFEE" w:rsidR="00A829C7" w:rsidRPr="00907EA3" w:rsidRDefault="00A829C7" w:rsidP="00907EA3">
      <w:pPr>
        <w:spacing w:line="360" w:lineRule="auto"/>
        <w:jc w:val="both"/>
        <w:rPr>
          <w:rFonts w:ascii="Arial" w:hAnsi="Arial" w:cs="Arial"/>
          <w:b/>
          <w:bCs/>
          <w:sz w:val="22"/>
          <w:szCs w:val="22"/>
        </w:rPr>
      </w:pPr>
      <w:r w:rsidRPr="00907EA3">
        <w:rPr>
          <w:rFonts w:ascii="Arial" w:hAnsi="Arial" w:cs="Arial"/>
          <w:b/>
          <w:bCs/>
          <w:sz w:val="22"/>
          <w:szCs w:val="22"/>
        </w:rPr>
        <w:t xml:space="preserve">REFERENCES </w:t>
      </w:r>
    </w:p>
    <w:p w14:paraId="61806574" w14:textId="79B0CC05"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Alderwick, H. (2019) </w:t>
      </w:r>
      <w:r w:rsidRPr="00907EA3">
        <w:rPr>
          <w:rFonts w:ascii="Arial" w:hAnsi="Arial" w:cs="Arial"/>
          <w:i/>
          <w:iCs/>
          <w:sz w:val="22"/>
          <w:szCs w:val="22"/>
        </w:rPr>
        <w:t>The NHS Long Term Plan: Preventive care and community services.</w:t>
      </w:r>
      <w:r w:rsidRPr="00907EA3">
        <w:rPr>
          <w:rFonts w:ascii="Arial" w:hAnsi="Arial" w:cs="Arial"/>
          <w:sz w:val="22"/>
          <w:szCs w:val="22"/>
        </w:rPr>
        <w:t xml:space="preserve"> London: NHS England</w:t>
      </w:r>
      <w:r w:rsidRPr="00907EA3">
        <w:rPr>
          <w:rFonts w:ascii="Arial" w:hAnsi="Arial" w:cs="Arial"/>
          <w:sz w:val="22"/>
          <w:szCs w:val="22"/>
        </w:rPr>
        <w:t xml:space="preserve">   Available at: </w:t>
      </w:r>
      <w:hyperlink r:id="rId6" w:history="1">
        <w:r w:rsidRPr="00907EA3">
          <w:rPr>
            <w:rStyle w:val="Hyperlink"/>
            <w:rFonts w:ascii="Arial" w:hAnsi="Arial" w:cs="Arial"/>
            <w:sz w:val="22"/>
            <w:szCs w:val="22"/>
          </w:rPr>
          <w:t>https://www.bmj.com/content/364/bmj.l84</w:t>
        </w:r>
      </w:hyperlink>
    </w:p>
    <w:p w14:paraId="29316A48" w14:textId="4A5F9F76"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Corbin, J.H., Abdelaziz, F.B., Sørensen, K., Kökény, M. and Krech, R., </w:t>
      </w:r>
      <w:r w:rsidRPr="00907EA3">
        <w:rPr>
          <w:rFonts w:ascii="Arial" w:hAnsi="Arial" w:cs="Arial"/>
          <w:sz w:val="22"/>
          <w:szCs w:val="22"/>
        </w:rPr>
        <w:t>(</w:t>
      </w:r>
      <w:r w:rsidRPr="00907EA3">
        <w:rPr>
          <w:rFonts w:ascii="Arial" w:hAnsi="Arial" w:cs="Arial"/>
          <w:sz w:val="22"/>
          <w:szCs w:val="22"/>
        </w:rPr>
        <w:t>2021</w:t>
      </w:r>
      <w:r w:rsidRPr="00907EA3">
        <w:rPr>
          <w:rFonts w:ascii="Arial" w:hAnsi="Arial" w:cs="Arial"/>
          <w:sz w:val="22"/>
          <w:szCs w:val="22"/>
        </w:rPr>
        <w:t>)</w:t>
      </w:r>
      <w:r w:rsidRPr="00907EA3">
        <w:rPr>
          <w:rFonts w:ascii="Arial" w:hAnsi="Arial" w:cs="Arial"/>
          <w:sz w:val="22"/>
          <w:szCs w:val="22"/>
        </w:rPr>
        <w:t xml:space="preserve">. Wellbeing as a policy framework for health promotion and sustainable development. </w:t>
      </w:r>
      <w:r w:rsidRPr="00907EA3">
        <w:rPr>
          <w:rFonts w:ascii="Arial" w:hAnsi="Arial" w:cs="Arial"/>
          <w:i/>
          <w:iCs/>
          <w:sz w:val="22"/>
          <w:szCs w:val="22"/>
        </w:rPr>
        <w:t>Health promotion international, 36</w:t>
      </w:r>
      <w:r w:rsidRPr="00907EA3">
        <w:rPr>
          <w:rFonts w:ascii="Arial" w:hAnsi="Arial" w:cs="Arial"/>
          <w:sz w:val="22"/>
          <w:szCs w:val="22"/>
        </w:rPr>
        <w:t xml:space="preserve">(Supplement_1), </w:t>
      </w:r>
      <w:proofErr w:type="gramStart"/>
      <w:r w:rsidRPr="00907EA3">
        <w:rPr>
          <w:rFonts w:ascii="Arial" w:hAnsi="Arial" w:cs="Arial"/>
          <w:sz w:val="22"/>
          <w:szCs w:val="22"/>
        </w:rPr>
        <w:t>pp.i</w:t>
      </w:r>
      <w:proofErr w:type="gramEnd"/>
      <w:r w:rsidRPr="00907EA3">
        <w:rPr>
          <w:rFonts w:ascii="Arial" w:hAnsi="Arial" w:cs="Arial"/>
          <w:sz w:val="22"/>
          <w:szCs w:val="22"/>
        </w:rPr>
        <w:t>64-i69.</w:t>
      </w:r>
      <w:r w:rsidRPr="00907EA3">
        <w:rPr>
          <w:rFonts w:ascii="Arial" w:hAnsi="Arial" w:cs="Arial"/>
          <w:sz w:val="22"/>
          <w:szCs w:val="22"/>
        </w:rPr>
        <w:t xml:space="preserve">    Available at: </w:t>
      </w:r>
      <w:hyperlink r:id="rId7" w:history="1">
        <w:r w:rsidRPr="00907EA3">
          <w:rPr>
            <w:rStyle w:val="Hyperlink"/>
            <w:rFonts w:ascii="Arial" w:hAnsi="Arial" w:cs="Arial"/>
            <w:sz w:val="22"/>
            <w:szCs w:val="22"/>
          </w:rPr>
          <w:t>https://academic.oup.com/heapro/article/36/Supplement_1/i64/6460417</w:t>
        </w:r>
      </w:hyperlink>
    </w:p>
    <w:p w14:paraId="0FD0F013" w14:textId="77777777"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Helne, T. and </w:t>
      </w:r>
      <w:proofErr w:type="spellStart"/>
      <w:r w:rsidRPr="00907EA3">
        <w:rPr>
          <w:rFonts w:ascii="Arial" w:hAnsi="Arial" w:cs="Arial"/>
          <w:sz w:val="22"/>
          <w:szCs w:val="22"/>
        </w:rPr>
        <w:t>Hirvilammi</w:t>
      </w:r>
      <w:proofErr w:type="spellEnd"/>
      <w:r w:rsidRPr="00907EA3">
        <w:rPr>
          <w:rFonts w:ascii="Arial" w:hAnsi="Arial" w:cs="Arial"/>
          <w:sz w:val="22"/>
          <w:szCs w:val="22"/>
        </w:rPr>
        <w:t xml:space="preserve">, T., 2015. Wellbeing and sustainability: A relational approach. </w:t>
      </w:r>
      <w:r w:rsidRPr="00907EA3">
        <w:rPr>
          <w:rFonts w:ascii="Arial" w:hAnsi="Arial" w:cs="Arial"/>
          <w:i/>
          <w:iCs/>
          <w:sz w:val="22"/>
          <w:szCs w:val="22"/>
        </w:rPr>
        <w:t>Sustainable Development,</w:t>
      </w:r>
      <w:r w:rsidRPr="00907EA3">
        <w:rPr>
          <w:rFonts w:ascii="Arial" w:hAnsi="Arial" w:cs="Arial"/>
          <w:sz w:val="22"/>
          <w:szCs w:val="22"/>
        </w:rPr>
        <w:t xml:space="preserve"> 23(3), pp.167-175.</w:t>
      </w:r>
      <w:r w:rsidRPr="00907EA3">
        <w:rPr>
          <w:rFonts w:ascii="Arial" w:hAnsi="Arial" w:cs="Arial"/>
          <w:sz w:val="22"/>
          <w:szCs w:val="22"/>
        </w:rPr>
        <w:t xml:space="preserve">  </w:t>
      </w:r>
    </w:p>
    <w:p w14:paraId="7413B2A0" w14:textId="45205A62"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Available at: </w:t>
      </w:r>
      <w:hyperlink r:id="rId8" w:history="1">
        <w:r w:rsidRPr="00907EA3">
          <w:rPr>
            <w:rStyle w:val="Hyperlink"/>
            <w:rFonts w:ascii="Arial" w:hAnsi="Arial" w:cs="Arial"/>
            <w:sz w:val="22"/>
            <w:szCs w:val="22"/>
          </w:rPr>
          <w:t>https://onlinelibrary.wiley.com/doi/abs/10.1002/sd.1581</w:t>
        </w:r>
      </w:hyperlink>
    </w:p>
    <w:p w14:paraId="0C6B4ACD" w14:textId="32EB0F99" w:rsidR="000B142C" w:rsidRPr="00907EA3" w:rsidRDefault="000B142C" w:rsidP="00907EA3">
      <w:pPr>
        <w:spacing w:line="360" w:lineRule="auto"/>
        <w:jc w:val="both"/>
        <w:rPr>
          <w:rFonts w:ascii="Arial" w:hAnsi="Arial" w:cs="Arial"/>
          <w:sz w:val="22"/>
          <w:szCs w:val="22"/>
        </w:rPr>
      </w:pPr>
      <w:proofErr w:type="spellStart"/>
      <w:r w:rsidRPr="00907EA3">
        <w:rPr>
          <w:rFonts w:ascii="Arial" w:hAnsi="Arial" w:cs="Arial"/>
          <w:sz w:val="22"/>
          <w:szCs w:val="22"/>
        </w:rPr>
        <w:t>ISGlobal</w:t>
      </w:r>
      <w:proofErr w:type="spellEnd"/>
      <w:r w:rsidRPr="00907EA3">
        <w:rPr>
          <w:rFonts w:ascii="Arial" w:hAnsi="Arial" w:cs="Arial"/>
          <w:sz w:val="22"/>
          <w:szCs w:val="22"/>
        </w:rPr>
        <w:t xml:space="preserve"> (2025) ‘Maternal and child health disparities’, </w:t>
      </w:r>
      <w:r w:rsidRPr="00907EA3">
        <w:rPr>
          <w:rFonts w:ascii="Arial" w:hAnsi="Arial" w:cs="Arial"/>
          <w:i/>
          <w:iCs/>
          <w:sz w:val="22"/>
          <w:szCs w:val="22"/>
        </w:rPr>
        <w:t>International Health Journal,</w:t>
      </w:r>
      <w:r w:rsidRPr="00907EA3">
        <w:rPr>
          <w:rFonts w:ascii="Arial" w:hAnsi="Arial" w:cs="Arial"/>
          <w:sz w:val="22"/>
          <w:szCs w:val="22"/>
        </w:rPr>
        <w:t xml:space="preserve"> 12(3), pp. 45–59.</w:t>
      </w:r>
      <w:r w:rsidRPr="00907EA3">
        <w:rPr>
          <w:rFonts w:ascii="Arial" w:hAnsi="Arial" w:cs="Arial"/>
          <w:sz w:val="22"/>
          <w:szCs w:val="22"/>
        </w:rPr>
        <w:t xml:space="preserve">  Available at:</w:t>
      </w:r>
      <w:proofErr w:type="gramStart"/>
      <w:r w:rsidRPr="00907EA3">
        <w:rPr>
          <w:rFonts w:ascii="Arial" w:hAnsi="Arial" w:cs="Arial"/>
          <w:sz w:val="22"/>
          <w:szCs w:val="22"/>
        </w:rPr>
        <w:t xml:space="preserve">  </w:t>
      </w:r>
      <w:r w:rsidRPr="00907EA3">
        <w:rPr>
          <w:rFonts w:ascii="Arial" w:hAnsi="Arial" w:cs="Arial"/>
          <w:sz w:val="22"/>
          <w:szCs w:val="22"/>
        </w:rPr>
        <w:t>.</w:t>
      </w:r>
      <w:proofErr w:type="gramEnd"/>
      <w:r w:rsidRPr="00907EA3">
        <w:rPr>
          <w:rFonts w:ascii="Arial" w:hAnsi="Arial" w:cs="Arial"/>
          <w:sz w:val="22"/>
          <w:szCs w:val="22"/>
        </w:rPr>
        <w:t xml:space="preserve"> </w:t>
      </w:r>
      <w:hyperlink r:id="rId9" w:history="1">
        <w:r w:rsidRPr="00907EA3">
          <w:rPr>
            <w:rStyle w:val="Hyperlink"/>
            <w:rFonts w:ascii="Arial" w:hAnsi="Arial" w:cs="Arial"/>
            <w:sz w:val="22"/>
            <w:szCs w:val="22"/>
          </w:rPr>
          <w:t>https://www.isglobal.org/en/maternal-child-and-reproductive-health</w:t>
        </w:r>
      </w:hyperlink>
    </w:p>
    <w:p w14:paraId="4596B2AB" w14:textId="7BEA62A9"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Lindgren, E.C., Liveng, A. and Torp, S., 2025. </w:t>
      </w:r>
      <w:r w:rsidRPr="00907EA3">
        <w:rPr>
          <w:rFonts w:ascii="Arial" w:hAnsi="Arial" w:cs="Arial"/>
          <w:i/>
          <w:iCs/>
          <w:sz w:val="22"/>
          <w:szCs w:val="22"/>
        </w:rPr>
        <w:t>Sustainability and the impact on health and wellbeing. Scandinavian journal of public health, 53</w:t>
      </w:r>
      <w:r w:rsidRPr="00907EA3">
        <w:rPr>
          <w:rFonts w:ascii="Arial" w:hAnsi="Arial" w:cs="Arial"/>
          <w:sz w:val="22"/>
          <w:szCs w:val="22"/>
        </w:rPr>
        <w:t>(1_suppl), pp.1-6.</w:t>
      </w:r>
    </w:p>
    <w:p w14:paraId="19C32F5A" w14:textId="0FD6E90D"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Available at: </w:t>
      </w:r>
      <w:hyperlink r:id="rId10" w:history="1">
        <w:r w:rsidRPr="00907EA3">
          <w:rPr>
            <w:rStyle w:val="Hyperlink"/>
            <w:rFonts w:ascii="Arial" w:hAnsi="Arial" w:cs="Arial"/>
            <w:sz w:val="22"/>
            <w:szCs w:val="22"/>
          </w:rPr>
          <w:t>https://journals.sagepub.com/doi/full/10.1177/14034948251319382</w:t>
        </w:r>
      </w:hyperlink>
    </w:p>
    <w:p w14:paraId="18B60D76" w14:textId="47C898B3"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NHS England (2019) </w:t>
      </w:r>
      <w:r w:rsidRPr="00907EA3">
        <w:rPr>
          <w:rFonts w:ascii="Arial" w:hAnsi="Arial" w:cs="Arial"/>
          <w:i/>
          <w:iCs/>
          <w:sz w:val="22"/>
          <w:szCs w:val="22"/>
        </w:rPr>
        <w:t>NHS Long Term Plan</w:t>
      </w:r>
      <w:r w:rsidRPr="00907EA3">
        <w:rPr>
          <w:rFonts w:ascii="Arial" w:hAnsi="Arial" w:cs="Arial"/>
          <w:sz w:val="22"/>
          <w:szCs w:val="22"/>
        </w:rPr>
        <w:t>. Available at:</w:t>
      </w:r>
      <w:r w:rsidRPr="00907EA3">
        <w:rPr>
          <w:rFonts w:ascii="Arial" w:hAnsi="Arial" w:cs="Arial"/>
          <w:sz w:val="22"/>
          <w:szCs w:val="22"/>
        </w:rPr>
        <w:t xml:space="preserve"> </w:t>
      </w:r>
      <w:hyperlink r:id="rId11" w:history="1">
        <w:r w:rsidRPr="00907EA3">
          <w:rPr>
            <w:rStyle w:val="Hyperlink"/>
            <w:rFonts w:ascii="Arial" w:hAnsi="Arial" w:cs="Arial"/>
            <w:sz w:val="22"/>
            <w:szCs w:val="22"/>
          </w:rPr>
          <w:t>https://www.longtermplan.nhs.uk/</w:t>
        </w:r>
      </w:hyperlink>
    </w:p>
    <w:p w14:paraId="75FB78D5" w14:textId="6A499F65" w:rsidR="000B142C" w:rsidRPr="00907EA3" w:rsidRDefault="000B142C" w:rsidP="00907EA3">
      <w:pPr>
        <w:spacing w:line="360" w:lineRule="auto"/>
        <w:jc w:val="both"/>
        <w:rPr>
          <w:rFonts w:ascii="Arial" w:hAnsi="Arial" w:cs="Arial"/>
          <w:sz w:val="22"/>
          <w:szCs w:val="22"/>
        </w:rPr>
      </w:pPr>
      <w:r w:rsidRPr="00907EA3">
        <w:rPr>
          <w:rFonts w:ascii="Arial" w:hAnsi="Arial" w:cs="Arial"/>
          <w:sz w:val="22"/>
          <w:szCs w:val="22"/>
        </w:rPr>
        <w:t xml:space="preserve">Office of Disease Prevention and Health Promotion [ODPHP] (2020) </w:t>
      </w:r>
      <w:r w:rsidRPr="00907EA3">
        <w:rPr>
          <w:rFonts w:ascii="Arial" w:hAnsi="Arial" w:cs="Arial"/>
          <w:i/>
          <w:iCs/>
          <w:sz w:val="22"/>
          <w:szCs w:val="22"/>
        </w:rPr>
        <w:t>Healthy People 2030: Data-driven goals to improve population health.</w:t>
      </w:r>
      <w:r w:rsidRPr="00907EA3">
        <w:rPr>
          <w:rFonts w:ascii="Arial" w:hAnsi="Arial" w:cs="Arial"/>
          <w:sz w:val="22"/>
          <w:szCs w:val="22"/>
        </w:rPr>
        <w:t xml:space="preserve"> Washington, DC: U.S. Department of Health and Human Services.</w:t>
      </w:r>
    </w:p>
    <w:p w14:paraId="6169F569" w14:textId="37713ABF"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 xml:space="preserve">United Nations (2025) </w:t>
      </w:r>
      <w:r w:rsidRPr="00907EA3">
        <w:rPr>
          <w:rFonts w:ascii="Arial" w:hAnsi="Arial" w:cs="Arial"/>
          <w:i/>
          <w:iCs/>
          <w:sz w:val="22"/>
          <w:szCs w:val="22"/>
        </w:rPr>
        <w:t>Sustainable Development Goals.</w:t>
      </w:r>
      <w:r w:rsidRPr="00907EA3">
        <w:rPr>
          <w:rFonts w:ascii="Arial" w:hAnsi="Arial" w:cs="Arial"/>
          <w:sz w:val="22"/>
          <w:szCs w:val="22"/>
        </w:rPr>
        <w:t xml:space="preserve"> Available at:</w:t>
      </w:r>
      <w:r w:rsidRPr="00907EA3">
        <w:rPr>
          <w:rFonts w:ascii="Arial" w:hAnsi="Arial" w:cs="Arial"/>
        </w:rPr>
        <w:t xml:space="preserve"> </w:t>
      </w:r>
      <w:hyperlink r:id="rId12" w:history="1">
        <w:r w:rsidRPr="00907EA3">
          <w:rPr>
            <w:rStyle w:val="Hyperlink"/>
            <w:rFonts w:ascii="Arial" w:hAnsi="Arial" w:cs="Arial"/>
            <w:sz w:val="22"/>
            <w:szCs w:val="22"/>
          </w:rPr>
          <w:t>https://www.un.org/sustainabledevelopment/</w:t>
        </w:r>
      </w:hyperlink>
      <w:r w:rsidRPr="00907EA3">
        <w:rPr>
          <w:rFonts w:ascii="Arial" w:hAnsi="Arial" w:cs="Arial"/>
          <w:sz w:val="22"/>
          <w:szCs w:val="22"/>
        </w:rPr>
        <w:t xml:space="preserve"> </w:t>
      </w:r>
    </w:p>
    <w:p w14:paraId="06ACC38E" w14:textId="5B2971D4"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Wikipedia (2025) ‘Change4Life’</w:t>
      </w:r>
      <w:r w:rsidRPr="00907EA3">
        <w:rPr>
          <w:rFonts w:ascii="Arial" w:hAnsi="Arial" w:cs="Arial"/>
          <w:i/>
          <w:iCs/>
          <w:sz w:val="22"/>
          <w:szCs w:val="22"/>
        </w:rPr>
        <w:t>.</w:t>
      </w:r>
      <w:r w:rsidRPr="00907EA3">
        <w:rPr>
          <w:rFonts w:ascii="Arial" w:hAnsi="Arial" w:cs="Arial"/>
          <w:sz w:val="22"/>
          <w:szCs w:val="22"/>
        </w:rPr>
        <w:t xml:space="preserve"> Available at</w:t>
      </w:r>
      <w:proofErr w:type="gramStart"/>
      <w:r w:rsidRPr="00907EA3">
        <w:rPr>
          <w:rFonts w:ascii="Arial" w:hAnsi="Arial" w:cs="Arial"/>
          <w:sz w:val="22"/>
          <w:szCs w:val="22"/>
        </w:rPr>
        <w:t>:</w:t>
      </w:r>
      <w:r w:rsidRPr="00907EA3">
        <w:rPr>
          <w:rFonts w:ascii="Arial" w:hAnsi="Arial" w:cs="Arial"/>
        </w:rPr>
        <w:t xml:space="preserve"> </w:t>
      </w:r>
      <w:r w:rsidRPr="00907EA3">
        <w:rPr>
          <w:rFonts w:ascii="Arial" w:hAnsi="Arial" w:cs="Arial"/>
          <w:sz w:val="22"/>
          <w:szCs w:val="22"/>
        </w:rPr>
        <w:t>:</w:t>
      </w:r>
      <w:proofErr w:type="gramEnd"/>
      <w:r w:rsidRPr="00907EA3">
        <w:rPr>
          <w:rFonts w:ascii="Arial" w:hAnsi="Arial" w:cs="Arial"/>
          <w:sz w:val="22"/>
          <w:szCs w:val="22"/>
        </w:rPr>
        <w:t xml:space="preserve"> </w:t>
      </w:r>
      <w:hyperlink r:id="rId13" w:history="1">
        <w:r w:rsidRPr="00907EA3">
          <w:rPr>
            <w:rStyle w:val="Hyperlink"/>
            <w:rFonts w:ascii="Arial" w:hAnsi="Arial" w:cs="Arial"/>
            <w:sz w:val="22"/>
            <w:szCs w:val="22"/>
          </w:rPr>
          <w:t>https://en.wikipedia.org/wiki/Change4Life</w:t>
        </w:r>
      </w:hyperlink>
    </w:p>
    <w:p w14:paraId="1B291B0C" w14:textId="433C06E2"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 xml:space="preserve">World Bank (2025) </w:t>
      </w:r>
      <w:r w:rsidRPr="00907EA3">
        <w:rPr>
          <w:rFonts w:ascii="Arial" w:hAnsi="Arial" w:cs="Arial"/>
          <w:i/>
          <w:iCs/>
          <w:sz w:val="22"/>
          <w:szCs w:val="22"/>
        </w:rPr>
        <w:t>Global health systems report: Challenges and opportunities.</w:t>
      </w:r>
      <w:r w:rsidRPr="00907EA3">
        <w:rPr>
          <w:rFonts w:ascii="Arial" w:hAnsi="Arial" w:cs="Arial"/>
          <w:sz w:val="22"/>
          <w:szCs w:val="22"/>
        </w:rPr>
        <w:t xml:space="preserve"> Washington, DC: World Bank.</w:t>
      </w:r>
      <w:r w:rsidRPr="00907EA3">
        <w:rPr>
          <w:rFonts w:ascii="Arial" w:hAnsi="Arial" w:cs="Arial"/>
          <w:sz w:val="22"/>
          <w:szCs w:val="22"/>
        </w:rPr>
        <w:t xml:space="preserve">  Available at: </w:t>
      </w:r>
      <w:hyperlink r:id="rId14" w:history="1">
        <w:r w:rsidRPr="00907EA3">
          <w:rPr>
            <w:rStyle w:val="Hyperlink"/>
            <w:rFonts w:ascii="Arial" w:hAnsi="Arial" w:cs="Arial"/>
            <w:sz w:val="22"/>
            <w:szCs w:val="22"/>
          </w:rPr>
          <w:t>https://thedocs.worldbank.org/en/doc/8bf0b62ec6bcb886d97295ad930059e9-0050012025/original/GEP-June-2025.pdf</w:t>
        </w:r>
      </w:hyperlink>
    </w:p>
    <w:p w14:paraId="73C9EF46" w14:textId="603E0735"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lastRenderedPageBreak/>
        <w:t xml:space="preserve">World Health Organization [WHO] (2022) </w:t>
      </w:r>
      <w:r w:rsidRPr="00907EA3">
        <w:rPr>
          <w:rFonts w:ascii="Arial" w:hAnsi="Arial" w:cs="Arial"/>
          <w:i/>
          <w:iCs/>
          <w:sz w:val="22"/>
          <w:szCs w:val="22"/>
        </w:rPr>
        <w:t>Air pollution and health: Impact of emissions on respiratory and cardiovascular diseases.</w:t>
      </w:r>
      <w:r w:rsidRPr="00907EA3">
        <w:rPr>
          <w:rFonts w:ascii="Arial" w:hAnsi="Arial" w:cs="Arial"/>
          <w:sz w:val="22"/>
          <w:szCs w:val="22"/>
        </w:rPr>
        <w:t xml:space="preserve"> Geneva: WHO</w:t>
      </w:r>
      <w:r w:rsidRPr="00907EA3">
        <w:rPr>
          <w:rFonts w:ascii="Arial" w:hAnsi="Arial" w:cs="Arial"/>
          <w:sz w:val="22"/>
          <w:szCs w:val="22"/>
        </w:rPr>
        <w:t xml:space="preserve">  Available at: </w:t>
      </w:r>
      <w:hyperlink r:id="rId15" w:history="1">
        <w:r w:rsidRPr="00907EA3">
          <w:rPr>
            <w:rStyle w:val="Hyperlink"/>
            <w:rFonts w:ascii="Arial" w:hAnsi="Arial" w:cs="Arial"/>
            <w:sz w:val="22"/>
            <w:szCs w:val="22"/>
          </w:rPr>
          <w:t>https://www.who.int/news-room/fact-sheets/detail/ambient-(outdoor)-air-quality-and-health</w:t>
        </w:r>
      </w:hyperlink>
    </w:p>
    <w:p w14:paraId="5CED9E09" w14:textId="2628E064"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 xml:space="preserve">World Health Organization [WHO] (2023) </w:t>
      </w:r>
      <w:r w:rsidRPr="00907EA3">
        <w:rPr>
          <w:rFonts w:ascii="Arial" w:hAnsi="Arial" w:cs="Arial"/>
          <w:i/>
          <w:iCs/>
          <w:sz w:val="22"/>
          <w:szCs w:val="22"/>
        </w:rPr>
        <w:t>Climate change and health.</w:t>
      </w:r>
      <w:r w:rsidRPr="00907EA3">
        <w:rPr>
          <w:rFonts w:ascii="Arial" w:hAnsi="Arial" w:cs="Arial"/>
          <w:sz w:val="22"/>
          <w:szCs w:val="22"/>
        </w:rPr>
        <w:t xml:space="preserve"> Geneva: WHO.</w:t>
      </w:r>
    </w:p>
    <w:p w14:paraId="553E9167" w14:textId="489224CF"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 xml:space="preserve">Available at: </w:t>
      </w:r>
      <w:hyperlink r:id="rId16" w:history="1">
        <w:r w:rsidRPr="00907EA3">
          <w:rPr>
            <w:rStyle w:val="Hyperlink"/>
            <w:rFonts w:ascii="Arial" w:hAnsi="Arial" w:cs="Arial"/>
            <w:sz w:val="22"/>
            <w:szCs w:val="22"/>
          </w:rPr>
          <w:t>https://apps.who.int/gb/ebwha/pdf_files/WHA77/A77_ACONF7-en.pdf</w:t>
        </w:r>
      </w:hyperlink>
    </w:p>
    <w:p w14:paraId="474A8FC4" w14:textId="2C1F2886" w:rsidR="008A57DD" w:rsidRPr="00907EA3" w:rsidRDefault="008A57DD" w:rsidP="00907EA3">
      <w:pPr>
        <w:spacing w:line="360" w:lineRule="auto"/>
        <w:jc w:val="both"/>
        <w:rPr>
          <w:rFonts w:ascii="Arial" w:hAnsi="Arial" w:cs="Arial"/>
          <w:sz w:val="22"/>
          <w:szCs w:val="22"/>
        </w:rPr>
      </w:pPr>
      <w:r w:rsidRPr="00907EA3">
        <w:rPr>
          <w:rFonts w:ascii="Arial" w:hAnsi="Arial" w:cs="Arial"/>
          <w:sz w:val="22"/>
          <w:szCs w:val="22"/>
        </w:rPr>
        <w:t xml:space="preserve">World Health Organization [WHO] (2024) </w:t>
      </w:r>
      <w:r w:rsidRPr="00907EA3">
        <w:rPr>
          <w:rFonts w:ascii="Arial" w:hAnsi="Arial" w:cs="Arial"/>
          <w:i/>
          <w:iCs/>
          <w:sz w:val="22"/>
          <w:szCs w:val="22"/>
        </w:rPr>
        <w:t>Urban Green Space and Health: Intervention Impacts and Effectiveness.</w:t>
      </w:r>
      <w:r w:rsidRPr="00907EA3">
        <w:rPr>
          <w:rFonts w:ascii="Arial" w:hAnsi="Arial" w:cs="Arial"/>
          <w:sz w:val="22"/>
          <w:szCs w:val="22"/>
        </w:rPr>
        <w:t xml:space="preserve"> Geneva: WHO</w:t>
      </w:r>
      <w:r w:rsidRPr="00907EA3">
        <w:rPr>
          <w:rFonts w:ascii="Arial" w:hAnsi="Arial" w:cs="Arial"/>
          <w:sz w:val="22"/>
          <w:szCs w:val="22"/>
        </w:rPr>
        <w:t xml:space="preserve">  Available at: </w:t>
      </w:r>
      <w:hyperlink r:id="rId17" w:history="1">
        <w:r w:rsidRPr="00907EA3">
          <w:rPr>
            <w:rStyle w:val="Hyperlink"/>
            <w:rFonts w:ascii="Arial" w:hAnsi="Arial" w:cs="Arial"/>
            <w:sz w:val="22"/>
            <w:szCs w:val="22"/>
          </w:rPr>
          <w:t>https://www.who.int/europe/publications/urban-green-space-and-health--intervention-impacts-and-effectiveness</w:t>
        </w:r>
      </w:hyperlink>
    </w:p>
    <w:p w14:paraId="73419579" w14:textId="78CE6BB2" w:rsidR="008A57DD" w:rsidRPr="00907EA3" w:rsidRDefault="00A829C7" w:rsidP="00907EA3">
      <w:pPr>
        <w:spacing w:line="360" w:lineRule="auto"/>
        <w:jc w:val="both"/>
        <w:rPr>
          <w:rFonts w:ascii="Arial" w:hAnsi="Arial" w:cs="Arial"/>
          <w:sz w:val="22"/>
          <w:szCs w:val="22"/>
        </w:rPr>
      </w:pPr>
      <w:r w:rsidRPr="00907EA3">
        <w:rPr>
          <w:rFonts w:ascii="Arial" w:hAnsi="Arial" w:cs="Arial"/>
          <w:sz w:val="22"/>
          <w:szCs w:val="22"/>
        </w:rPr>
        <w:t>World Health Organization [WHO] (2025a) SDG 3</w:t>
      </w:r>
      <w:r w:rsidRPr="00907EA3">
        <w:rPr>
          <w:rFonts w:ascii="Arial" w:hAnsi="Arial" w:cs="Arial"/>
          <w:i/>
          <w:iCs/>
          <w:sz w:val="22"/>
          <w:szCs w:val="22"/>
        </w:rPr>
        <w:t>: Good health and wellbeing.</w:t>
      </w:r>
      <w:r w:rsidRPr="00907EA3">
        <w:rPr>
          <w:rFonts w:ascii="Arial" w:hAnsi="Arial" w:cs="Arial"/>
          <w:sz w:val="22"/>
          <w:szCs w:val="22"/>
        </w:rPr>
        <w:t xml:space="preserve"> Geneva: WHO.</w:t>
      </w:r>
    </w:p>
    <w:p w14:paraId="6846FB72" w14:textId="25F967B3" w:rsidR="000B142C" w:rsidRPr="00907EA3" w:rsidRDefault="00A829C7" w:rsidP="00907EA3">
      <w:pPr>
        <w:spacing w:line="360" w:lineRule="auto"/>
        <w:jc w:val="both"/>
        <w:rPr>
          <w:rFonts w:ascii="Arial" w:hAnsi="Arial" w:cs="Arial"/>
          <w:sz w:val="22"/>
          <w:szCs w:val="22"/>
        </w:rPr>
      </w:pPr>
      <w:r w:rsidRPr="00907EA3">
        <w:rPr>
          <w:rFonts w:ascii="Arial" w:hAnsi="Arial" w:cs="Arial"/>
          <w:sz w:val="22"/>
          <w:szCs w:val="22"/>
        </w:rPr>
        <w:t xml:space="preserve">Available at: </w:t>
      </w:r>
      <w:hyperlink r:id="rId18" w:history="1">
        <w:r w:rsidRPr="00907EA3">
          <w:rPr>
            <w:rStyle w:val="Hyperlink"/>
            <w:rFonts w:ascii="Arial" w:hAnsi="Arial" w:cs="Arial"/>
            <w:sz w:val="22"/>
            <w:szCs w:val="22"/>
          </w:rPr>
          <w:t>https://www.who.int/europe/about-us/our-work/sustainable-development-goals/targets-of-sustainable-development-goal-3</w:t>
        </w:r>
      </w:hyperlink>
    </w:p>
    <w:p w14:paraId="107820CC" w14:textId="635C54E1" w:rsidR="00A829C7" w:rsidRPr="00907EA3" w:rsidRDefault="00A829C7" w:rsidP="00907EA3">
      <w:pPr>
        <w:spacing w:line="360" w:lineRule="auto"/>
        <w:jc w:val="both"/>
        <w:rPr>
          <w:rFonts w:ascii="Arial" w:hAnsi="Arial" w:cs="Arial"/>
          <w:sz w:val="22"/>
          <w:szCs w:val="22"/>
        </w:rPr>
      </w:pPr>
      <w:r w:rsidRPr="00907EA3">
        <w:rPr>
          <w:rFonts w:ascii="Arial" w:hAnsi="Arial" w:cs="Arial"/>
          <w:sz w:val="22"/>
          <w:szCs w:val="22"/>
        </w:rPr>
        <w:t>World Health Organization [WHO] (2025b) World health statistics 2025</w:t>
      </w:r>
      <w:r w:rsidRPr="00907EA3">
        <w:rPr>
          <w:rFonts w:ascii="Arial" w:hAnsi="Arial" w:cs="Arial"/>
          <w:i/>
          <w:iCs/>
          <w:sz w:val="22"/>
          <w:szCs w:val="22"/>
        </w:rPr>
        <w:t>: monitoring health for the SDGs, sustainable development goals.</w:t>
      </w:r>
      <w:r w:rsidRPr="00907EA3">
        <w:rPr>
          <w:rFonts w:ascii="Arial" w:hAnsi="Arial" w:cs="Arial"/>
          <w:sz w:val="22"/>
          <w:szCs w:val="22"/>
        </w:rPr>
        <w:t xml:space="preserve"> Geneva: WHO.</w:t>
      </w:r>
      <w:r w:rsidRPr="00907EA3">
        <w:rPr>
          <w:rFonts w:ascii="Arial" w:hAnsi="Arial" w:cs="Arial"/>
          <w:sz w:val="22"/>
          <w:szCs w:val="22"/>
        </w:rPr>
        <w:t xml:space="preserve"> Available at: </w:t>
      </w:r>
      <w:hyperlink r:id="rId19" w:history="1">
        <w:r w:rsidRPr="00907EA3">
          <w:rPr>
            <w:rStyle w:val="Hyperlink"/>
            <w:rFonts w:ascii="Arial" w:hAnsi="Arial" w:cs="Arial"/>
            <w:sz w:val="22"/>
            <w:szCs w:val="22"/>
          </w:rPr>
          <w:t>https://www.who.int/publications/i/item/9789240110496</w:t>
        </w:r>
      </w:hyperlink>
    </w:p>
    <w:p w14:paraId="0BD6059B" w14:textId="77777777" w:rsidR="00A829C7" w:rsidRPr="00907EA3" w:rsidRDefault="00A829C7" w:rsidP="00907EA3">
      <w:pPr>
        <w:spacing w:line="360" w:lineRule="auto"/>
        <w:jc w:val="both"/>
        <w:rPr>
          <w:rFonts w:ascii="Arial" w:hAnsi="Arial" w:cs="Arial"/>
          <w:sz w:val="22"/>
          <w:szCs w:val="22"/>
        </w:rPr>
      </w:pPr>
    </w:p>
    <w:p w14:paraId="3042DE09" w14:textId="77777777" w:rsidR="00A829C7" w:rsidRDefault="00A829C7" w:rsidP="009E1D81">
      <w:pPr>
        <w:spacing w:line="360" w:lineRule="auto"/>
        <w:jc w:val="both"/>
        <w:rPr>
          <w:rFonts w:ascii="Arial" w:hAnsi="Arial" w:cs="Arial"/>
          <w:sz w:val="22"/>
          <w:szCs w:val="22"/>
        </w:rPr>
      </w:pPr>
    </w:p>
    <w:p w14:paraId="062218CD" w14:textId="77777777" w:rsidR="000B142C" w:rsidRDefault="000B142C" w:rsidP="009E1D81">
      <w:pPr>
        <w:spacing w:line="360" w:lineRule="auto"/>
        <w:jc w:val="both"/>
        <w:rPr>
          <w:rFonts w:ascii="Arial" w:hAnsi="Arial" w:cs="Arial"/>
          <w:sz w:val="22"/>
          <w:szCs w:val="22"/>
        </w:rPr>
      </w:pPr>
    </w:p>
    <w:p w14:paraId="49BAA8EF" w14:textId="77777777" w:rsidR="009E1D81" w:rsidRPr="004A11D3" w:rsidRDefault="009E1D81" w:rsidP="009E1D81">
      <w:pPr>
        <w:spacing w:line="360" w:lineRule="auto"/>
        <w:jc w:val="both"/>
        <w:rPr>
          <w:rFonts w:ascii="Arial" w:hAnsi="Arial" w:cs="Arial"/>
          <w:sz w:val="22"/>
          <w:szCs w:val="22"/>
        </w:rPr>
      </w:pPr>
    </w:p>
    <w:p w14:paraId="080E3ADC" w14:textId="77777777" w:rsidR="00004507" w:rsidRDefault="00004507" w:rsidP="00A4238A">
      <w:pPr>
        <w:jc w:val="both"/>
        <w:rPr>
          <w:b/>
          <w:bCs/>
        </w:rPr>
      </w:pPr>
    </w:p>
    <w:p w14:paraId="7BC5D73A" w14:textId="77777777" w:rsidR="00A4238A" w:rsidRDefault="00A4238A" w:rsidP="00A4238A">
      <w:pPr>
        <w:jc w:val="both"/>
      </w:pPr>
    </w:p>
    <w:sectPr w:rsidR="00A4238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21E19" w14:textId="77777777" w:rsidR="00A829C7" w:rsidRDefault="00A829C7" w:rsidP="00A829C7">
      <w:pPr>
        <w:spacing w:after="0" w:line="240" w:lineRule="auto"/>
      </w:pPr>
      <w:r>
        <w:separator/>
      </w:r>
    </w:p>
  </w:endnote>
  <w:endnote w:type="continuationSeparator" w:id="0">
    <w:p w14:paraId="3FF1C940" w14:textId="77777777" w:rsidR="00A829C7" w:rsidRDefault="00A829C7" w:rsidP="00A82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3A32" w14:textId="77777777" w:rsidR="00A829C7" w:rsidRDefault="00A829C7" w:rsidP="00A829C7">
      <w:pPr>
        <w:spacing w:after="0" w:line="240" w:lineRule="auto"/>
      </w:pPr>
      <w:r>
        <w:separator/>
      </w:r>
    </w:p>
  </w:footnote>
  <w:footnote w:type="continuationSeparator" w:id="0">
    <w:p w14:paraId="2819D4BC" w14:textId="77777777" w:rsidR="00A829C7" w:rsidRDefault="00A829C7" w:rsidP="00A82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13F3" w14:textId="77777777" w:rsidR="00A829C7" w:rsidRDefault="00A829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8A"/>
    <w:rsid w:val="00004507"/>
    <w:rsid w:val="00045BC2"/>
    <w:rsid w:val="00077732"/>
    <w:rsid w:val="000B142C"/>
    <w:rsid w:val="003F7D8A"/>
    <w:rsid w:val="004A11D3"/>
    <w:rsid w:val="007654BE"/>
    <w:rsid w:val="00794F85"/>
    <w:rsid w:val="008A57DD"/>
    <w:rsid w:val="00907EA3"/>
    <w:rsid w:val="009507DB"/>
    <w:rsid w:val="009E1D81"/>
    <w:rsid w:val="00A4238A"/>
    <w:rsid w:val="00A829C7"/>
    <w:rsid w:val="00B276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0E1"/>
  <w15:chartTrackingRefBased/>
  <w15:docId w15:val="{8C59807E-722A-4D21-A96A-E1C8DCD1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38A"/>
    <w:rPr>
      <w:rFonts w:eastAsiaTheme="majorEastAsia" w:cstheme="majorBidi"/>
      <w:color w:val="272727" w:themeColor="text1" w:themeTint="D8"/>
    </w:rPr>
  </w:style>
  <w:style w:type="paragraph" w:styleId="Title">
    <w:name w:val="Title"/>
    <w:basedOn w:val="Normal"/>
    <w:next w:val="Normal"/>
    <w:link w:val="TitleChar"/>
    <w:uiPriority w:val="10"/>
    <w:qFormat/>
    <w:rsid w:val="00A4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38A"/>
    <w:pPr>
      <w:spacing w:before="160"/>
      <w:jc w:val="center"/>
    </w:pPr>
    <w:rPr>
      <w:i/>
      <w:iCs/>
      <w:color w:val="404040" w:themeColor="text1" w:themeTint="BF"/>
    </w:rPr>
  </w:style>
  <w:style w:type="character" w:customStyle="1" w:styleId="QuoteChar">
    <w:name w:val="Quote Char"/>
    <w:basedOn w:val="DefaultParagraphFont"/>
    <w:link w:val="Quote"/>
    <w:uiPriority w:val="29"/>
    <w:rsid w:val="00A4238A"/>
    <w:rPr>
      <w:i/>
      <w:iCs/>
      <w:color w:val="404040" w:themeColor="text1" w:themeTint="BF"/>
    </w:rPr>
  </w:style>
  <w:style w:type="paragraph" w:styleId="ListParagraph">
    <w:name w:val="List Paragraph"/>
    <w:basedOn w:val="Normal"/>
    <w:uiPriority w:val="34"/>
    <w:qFormat/>
    <w:rsid w:val="00A4238A"/>
    <w:pPr>
      <w:ind w:left="720"/>
      <w:contextualSpacing/>
    </w:pPr>
  </w:style>
  <w:style w:type="character" w:styleId="IntenseEmphasis">
    <w:name w:val="Intense Emphasis"/>
    <w:basedOn w:val="DefaultParagraphFont"/>
    <w:uiPriority w:val="21"/>
    <w:qFormat/>
    <w:rsid w:val="00A4238A"/>
    <w:rPr>
      <w:i/>
      <w:iCs/>
      <w:color w:val="0F4761" w:themeColor="accent1" w:themeShade="BF"/>
    </w:rPr>
  </w:style>
  <w:style w:type="paragraph" w:styleId="IntenseQuote">
    <w:name w:val="Intense Quote"/>
    <w:basedOn w:val="Normal"/>
    <w:next w:val="Normal"/>
    <w:link w:val="IntenseQuoteChar"/>
    <w:uiPriority w:val="30"/>
    <w:qFormat/>
    <w:rsid w:val="00A4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38A"/>
    <w:rPr>
      <w:i/>
      <w:iCs/>
      <w:color w:val="0F4761" w:themeColor="accent1" w:themeShade="BF"/>
    </w:rPr>
  </w:style>
  <w:style w:type="character" w:styleId="IntenseReference">
    <w:name w:val="Intense Reference"/>
    <w:basedOn w:val="DefaultParagraphFont"/>
    <w:uiPriority w:val="32"/>
    <w:qFormat/>
    <w:rsid w:val="00A4238A"/>
    <w:rPr>
      <w:b/>
      <w:bCs/>
      <w:smallCaps/>
      <w:color w:val="0F4761" w:themeColor="accent1" w:themeShade="BF"/>
      <w:spacing w:val="5"/>
    </w:rPr>
  </w:style>
  <w:style w:type="character" w:styleId="Hyperlink">
    <w:name w:val="Hyperlink"/>
    <w:basedOn w:val="DefaultParagraphFont"/>
    <w:uiPriority w:val="99"/>
    <w:unhideWhenUsed/>
    <w:rsid w:val="00004507"/>
    <w:rPr>
      <w:color w:val="0000FF"/>
      <w:u w:val="single"/>
    </w:rPr>
  </w:style>
  <w:style w:type="paragraph" w:styleId="TOCHeading">
    <w:name w:val="TOC Heading"/>
    <w:basedOn w:val="Heading1"/>
    <w:next w:val="Normal"/>
    <w:uiPriority w:val="39"/>
    <w:unhideWhenUsed/>
    <w:qFormat/>
    <w:rsid w:val="0000450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04507"/>
    <w:pPr>
      <w:spacing w:after="100" w:line="259" w:lineRule="auto"/>
    </w:pPr>
    <w:rPr>
      <w:rFonts w:ascii="Times New Roman" w:eastAsiaTheme="minorHAnsi" w:hAnsi="Times New Roman"/>
      <w:kern w:val="0"/>
      <w:szCs w:val="22"/>
      <w:lang w:eastAsia="en-US"/>
      <w14:ligatures w14:val="none"/>
    </w:rPr>
  </w:style>
  <w:style w:type="paragraph" w:styleId="TOC2">
    <w:name w:val="toc 2"/>
    <w:basedOn w:val="Normal"/>
    <w:next w:val="Normal"/>
    <w:autoRedefine/>
    <w:uiPriority w:val="39"/>
    <w:unhideWhenUsed/>
    <w:rsid w:val="00004507"/>
    <w:pPr>
      <w:spacing w:after="100" w:line="259" w:lineRule="auto"/>
      <w:ind w:left="240"/>
    </w:pPr>
    <w:rPr>
      <w:rFonts w:ascii="Times New Roman" w:eastAsiaTheme="minorHAnsi" w:hAnsi="Times New Roman"/>
      <w:kern w:val="0"/>
      <w:szCs w:val="22"/>
      <w:lang w:eastAsia="en-US"/>
      <w14:ligatures w14:val="none"/>
    </w:rPr>
  </w:style>
  <w:style w:type="character" w:styleId="UnresolvedMention">
    <w:name w:val="Unresolved Mention"/>
    <w:basedOn w:val="DefaultParagraphFont"/>
    <w:uiPriority w:val="99"/>
    <w:semiHidden/>
    <w:unhideWhenUsed/>
    <w:rsid w:val="000B142C"/>
    <w:rPr>
      <w:color w:val="605E5C"/>
      <w:shd w:val="clear" w:color="auto" w:fill="E1DFDD"/>
    </w:rPr>
  </w:style>
  <w:style w:type="paragraph" w:styleId="Header">
    <w:name w:val="header"/>
    <w:basedOn w:val="Normal"/>
    <w:link w:val="HeaderChar"/>
    <w:uiPriority w:val="99"/>
    <w:unhideWhenUsed/>
    <w:rsid w:val="00A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9C7"/>
  </w:style>
  <w:style w:type="paragraph" w:styleId="Footer">
    <w:name w:val="footer"/>
    <w:basedOn w:val="Normal"/>
    <w:link w:val="FooterChar"/>
    <w:uiPriority w:val="99"/>
    <w:unhideWhenUsed/>
    <w:rsid w:val="00A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002/sd.1581" TargetMode="External"/><Relationship Id="rId13" Type="http://schemas.openxmlformats.org/officeDocument/2006/relationships/hyperlink" Target="https://en.wikipedia.org/wiki/Change4Life" TargetMode="External"/><Relationship Id="rId18" Type="http://schemas.openxmlformats.org/officeDocument/2006/relationships/hyperlink" Target="https://www.who.int/europe/about-us/our-work/sustainable-development-goals/targets-of-sustainable-development-goal-3"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academic.oup.com/heapro/article/36/Supplement_1/i64/6460417" TargetMode="External"/><Relationship Id="rId12" Type="http://schemas.openxmlformats.org/officeDocument/2006/relationships/hyperlink" Target="https://www.un.org/sustainabledevelopment/" TargetMode="External"/><Relationship Id="rId17" Type="http://schemas.openxmlformats.org/officeDocument/2006/relationships/hyperlink" Target="https://www.who.int/europe/publications/urban-green-space-and-health--intervention-impacts-and-effectiveness" TargetMode="External"/><Relationship Id="rId2" Type="http://schemas.openxmlformats.org/officeDocument/2006/relationships/settings" Target="settings.xml"/><Relationship Id="rId16" Type="http://schemas.openxmlformats.org/officeDocument/2006/relationships/hyperlink" Target="https://apps.who.int/gb/ebwha/pdf_files/WHA77/A77_ACONF7-en.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mj.com/content/364/bmj.l84" TargetMode="External"/><Relationship Id="rId11" Type="http://schemas.openxmlformats.org/officeDocument/2006/relationships/hyperlink" Target="https://www.longtermplan.nhs.uk/" TargetMode="External"/><Relationship Id="rId5" Type="http://schemas.openxmlformats.org/officeDocument/2006/relationships/endnotes" Target="endnotes.xml"/><Relationship Id="rId15" Type="http://schemas.openxmlformats.org/officeDocument/2006/relationships/hyperlink" Target="https://www.who.int/news-room/fact-sheets/detail/ambient-(outdoor)-air-quality-and-health" TargetMode="External"/><Relationship Id="rId10" Type="http://schemas.openxmlformats.org/officeDocument/2006/relationships/hyperlink" Target="https://journals.sagepub.com/doi/full/10.1177/14034948251319382" TargetMode="External"/><Relationship Id="rId19" Type="http://schemas.openxmlformats.org/officeDocument/2006/relationships/hyperlink" Target="https://www.who.int/publications/i/item/9789240110496" TargetMode="External"/><Relationship Id="rId4" Type="http://schemas.openxmlformats.org/officeDocument/2006/relationships/footnotes" Target="footnotes.xml"/><Relationship Id="rId9" Type="http://schemas.openxmlformats.org/officeDocument/2006/relationships/hyperlink" Target="https://www.isglobal.org/en/maternal-child-and-reproductive-health" TargetMode="External"/><Relationship Id="rId14" Type="http://schemas.openxmlformats.org/officeDocument/2006/relationships/hyperlink" Target="https://thedocs.worldbank.org/en/doc/8bf0b62ec6bcb886d97295ad930059e9-0050012025/original/GEP-June-202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Mafuva</dc:creator>
  <cp:keywords/>
  <dc:description/>
  <cp:lastModifiedBy>viviana cevallos</cp:lastModifiedBy>
  <cp:revision>2</cp:revision>
  <dcterms:created xsi:type="dcterms:W3CDTF">2025-12-12T13:53:00Z</dcterms:created>
  <dcterms:modified xsi:type="dcterms:W3CDTF">2025-12-12T13:53:00Z</dcterms:modified>
</cp:coreProperties>
</file>