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8923296"/>
        <w:docPartObj>
          <w:docPartGallery w:val="Cover Pages"/>
          <w:docPartUnique/>
        </w:docPartObj>
      </w:sdtPr>
      <w:sdtEndPr>
        <w:rPr>
          <w:rFonts w:cstheme="minorHAnsi"/>
          <w:color w:val="000000"/>
        </w:rPr>
      </w:sdtEndPr>
      <w:sdtContent>
        <w:p w14:paraId="74A0ED6B" w14:textId="774CA3C2" w:rsidR="008D7131" w:rsidRDefault="008D7131">
          <w:r>
            <w:rPr>
              <w:noProof/>
            </w:rPr>
            <mc:AlternateContent>
              <mc:Choice Requires="wpg">
                <w:drawing>
                  <wp:anchor distT="0" distB="0" distL="114300" distR="114300" simplePos="0" relativeHeight="251662336" behindDoc="0" locked="0" layoutInCell="1" allowOverlap="1" wp14:anchorId="5CC12599" wp14:editId="78CC359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36BBEB"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301DD2" wp14:editId="49F4DDD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514BD98" w14:textId="21E6A48F" w:rsidR="008D7131" w:rsidRDefault="008D7131">
                                    <w:pPr>
                                      <w:pStyle w:val="NoSpacing"/>
                                      <w:jc w:val="right"/>
                                      <w:rPr>
                                        <w:color w:val="595959" w:themeColor="text1" w:themeTint="A6"/>
                                        <w:sz w:val="28"/>
                                        <w:szCs w:val="28"/>
                                      </w:rPr>
                                    </w:pPr>
                                    <w:r>
                                      <w:rPr>
                                        <w:color w:val="595959" w:themeColor="text1" w:themeTint="A6"/>
                                        <w:sz w:val="28"/>
                                        <w:szCs w:val="28"/>
                                      </w:rPr>
                                      <w:t>Arianna Bennett (2200719)</w:t>
                                    </w:r>
                                  </w:p>
                                </w:sdtContent>
                              </w:sdt>
                              <w:p w14:paraId="77BA2E1B" w14:textId="786238ED" w:rsidR="008D7131" w:rsidRDefault="008D713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301DD2"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514BD98" w14:textId="21E6A48F" w:rsidR="008D7131" w:rsidRDefault="008D7131">
                              <w:pPr>
                                <w:pStyle w:val="NoSpacing"/>
                                <w:jc w:val="right"/>
                                <w:rPr>
                                  <w:color w:val="595959" w:themeColor="text1" w:themeTint="A6"/>
                                  <w:sz w:val="28"/>
                                  <w:szCs w:val="28"/>
                                </w:rPr>
                              </w:pPr>
                              <w:r>
                                <w:rPr>
                                  <w:color w:val="595959" w:themeColor="text1" w:themeTint="A6"/>
                                  <w:sz w:val="28"/>
                                  <w:szCs w:val="28"/>
                                </w:rPr>
                                <w:t>Arianna Bennett (2200719)</w:t>
                              </w:r>
                            </w:p>
                          </w:sdtContent>
                        </w:sdt>
                        <w:p w14:paraId="77BA2E1B" w14:textId="786238ED" w:rsidR="008D7131" w:rsidRDefault="008D713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15928C" wp14:editId="5356662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B45CFE" w14:textId="34B16040" w:rsidR="008D7131" w:rsidRDefault="008D71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Scenario question – discuss the offences committed and any defences that may be considered.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605177" w14:textId="1BCED732" w:rsidR="008D7131" w:rsidRDefault="008D7131">
                                    <w:pPr>
                                      <w:jc w:val="right"/>
                                      <w:rPr>
                                        <w:smallCaps/>
                                        <w:color w:val="404040" w:themeColor="text1" w:themeTint="BF"/>
                                        <w:sz w:val="36"/>
                                        <w:szCs w:val="36"/>
                                      </w:rPr>
                                    </w:pPr>
                                    <w:r>
                                      <w:rPr>
                                        <w:color w:val="404040" w:themeColor="text1" w:themeTint="BF"/>
                                        <w:sz w:val="36"/>
                                        <w:szCs w:val="36"/>
                                      </w:rPr>
                                      <w:t>Criminal Law – 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15928C"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EB45CFE" w14:textId="34B16040" w:rsidR="008D7131" w:rsidRDefault="008D71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Scenario question – discuss the offences committed and any defences that may be considered.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605177" w14:textId="1BCED732" w:rsidR="008D7131" w:rsidRDefault="008D7131">
                              <w:pPr>
                                <w:jc w:val="right"/>
                                <w:rPr>
                                  <w:smallCaps/>
                                  <w:color w:val="404040" w:themeColor="text1" w:themeTint="BF"/>
                                  <w:sz w:val="36"/>
                                  <w:szCs w:val="36"/>
                                </w:rPr>
                              </w:pPr>
                              <w:r>
                                <w:rPr>
                                  <w:color w:val="404040" w:themeColor="text1" w:themeTint="BF"/>
                                  <w:sz w:val="36"/>
                                  <w:szCs w:val="36"/>
                                </w:rPr>
                                <w:t>Criminal Law – Assignment 2</w:t>
                              </w:r>
                            </w:p>
                          </w:sdtContent>
                        </w:sdt>
                      </w:txbxContent>
                    </v:textbox>
                    <w10:wrap type="square" anchorx="page" anchory="page"/>
                  </v:shape>
                </w:pict>
              </mc:Fallback>
            </mc:AlternateContent>
          </w:r>
        </w:p>
        <w:p w14:paraId="682A3048" w14:textId="19ACCA97" w:rsidR="008D7131" w:rsidRDefault="008D7131">
          <w:pPr>
            <w:rPr>
              <w:rFonts w:cstheme="minorHAnsi"/>
              <w:color w:val="000000"/>
            </w:rPr>
          </w:pPr>
          <w:r>
            <w:rPr>
              <w:rFonts w:cstheme="minorHAnsi"/>
              <w:color w:val="000000"/>
            </w:rPr>
            <w:br w:type="page"/>
          </w:r>
        </w:p>
      </w:sdtContent>
    </w:sdt>
    <w:p w14:paraId="2A216F81" w14:textId="7E703708" w:rsidR="00E57E36" w:rsidRDefault="00E57E36" w:rsidP="00EE1FE5">
      <w:pPr>
        <w:rPr>
          <w:rFonts w:cstheme="minorHAnsi"/>
          <w:color w:val="000000"/>
        </w:rPr>
      </w:pPr>
      <w:r w:rsidRPr="00EE1FE5">
        <w:rPr>
          <w:rFonts w:cstheme="minorHAnsi"/>
          <w:color w:val="000000"/>
        </w:rPr>
        <w:lastRenderedPageBreak/>
        <w:t>To</w:t>
      </w:r>
      <w:r w:rsidR="000D65C2" w:rsidRPr="00EE1FE5">
        <w:rPr>
          <w:rFonts w:cstheme="minorHAnsi"/>
          <w:color w:val="000000"/>
        </w:rPr>
        <w:t xml:space="preserve"> prove </w:t>
      </w:r>
      <w:r w:rsidR="000D65C2">
        <w:rPr>
          <w:rFonts w:cstheme="minorHAnsi"/>
          <w:color w:val="000000"/>
        </w:rPr>
        <w:t xml:space="preserve">an </w:t>
      </w:r>
      <w:r w:rsidR="000D65C2">
        <w:rPr>
          <w:rFonts w:cstheme="minorHAnsi"/>
          <w:color w:val="000000"/>
        </w:rPr>
        <w:t>individual’s</w:t>
      </w:r>
      <w:r w:rsidR="000D65C2" w:rsidRPr="00EE1FE5">
        <w:rPr>
          <w:rFonts w:cstheme="minorHAnsi"/>
          <w:color w:val="000000"/>
        </w:rPr>
        <w:t xml:space="preserve"> criminal liability, the actus reus</w:t>
      </w:r>
      <w:r>
        <w:rPr>
          <w:rFonts w:cstheme="minorHAnsi"/>
          <w:color w:val="000000"/>
        </w:rPr>
        <w:t xml:space="preserve"> and </w:t>
      </w:r>
      <w:r w:rsidR="000D65C2" w:rsidRPr="00EE1FE5">
        <w:rPr>
          <w:rFonts w:cstheme="minorHAnsi"/>
          <w:color w:val="000000"/>
        </w:rPr>
        <w:t xml:space="preserve">mens rea </w:t>
      </w:r>
      <w:r>
        <w:rPr>
          <w:rFonts w:cstheme="minorHAnsi"/>
          <w:color w:val="000000"/>
        </w:rPr>
        <w:t xml:space="preserve">must be established, </w:t>
      </w:r>
      <w:r w:rsidR="000D65C2" w:rsidRPr="00EE1FE5">
        <w:rPr>
          <w:rFonts w:cstheme="minorHAnsi"/>
          <w:color w:val="000000"/>
        </w:rPr>
        <w:t xml:space="preserve">and any potential defences must be </w:t>
      </w:r>
      <w:r>
        <w:rPr>
          <w:rFonts w:cstheme="minorHAnsi"/>
          <w:color w:val="000000"/>
        </w:rPr>
        <w:t>considered</w:t>
      </w:r>
      <w:r w:rsidR="003F0AD8">
        <w:rPr>
          <w:rFonts w:cstheme="minorHAnsi"/>
          <w:color w:val="000000"/>
        </w:rPr>
        <w:t xml:space="preserve">. </w:t>
      </w:r>
      <w:r>
        <w:rPr>
          <w:rFonts w:cstheme="minorHAnsi"/>
          <w:color w:val="000000"/>
        </w:rPr>
        <w:t xml:space="preserve">The crimes in this scenario will be addressed in chronological order of the offences. </w:t>
      </w:r>
      <w:r w:rsidR="008D7131">
        <w:rPr>
          <w:rFonts w:cstheme="minorHAnsi"/>
          <w:color w:val="000000"/>
        </w:rPr>
        <w:t>All offences and any</w:t>
      </w:r>
      <w:r w:rsidR="003F0AD8">
        <w:rPr>
          <w:rFonts w:cstheme="minorHAnsi"/>
          <w:color w:val="000000"/>
        </w:rPr>
        <w:t xml:space="preserve"> potential defences will be considered and examined to decide </w:t>
      </w:r>
      <w:r w:rsidR="008D7131">
        <w:rPr>
          <w:rFonts w:cstheme="minorHAnsi"/>
          <w:color w:val="000000"/>
        </w:rPr>
        <w:t>whether</w:t>
      </w:r>
      <w:r w:rsidR="003F0AD8">
        <w:rPr>
          <w:rFonts w:cstheme="minorHAnsi"/>
          <w:color w:val="000000"/>
        </w:rPr>
        <w:t xml:space="preserve"> they can be used. </w:t>
      </w:r>
      <w:r>
        <w:rPr>
          <w:rFonts w:cstheme="minorHAnsi"/>
          <w:color w:val="000000"/>
        </w:rPr>
        <w:t>All the relevant legislation and case law will be examined and referenced throughout.</w:t>
      </w:r>
      <w:r w:rsidR="003F0AD8">
        <w:rPr>
          <w:rFonts w:cstheme="minorHAnsi"/>
          <w:color w:val="000000"/>
        </w:rPr>
        <w:t xml:space="preserve"> Polly’s criminal liability will be decided through establishing if there is an actus reus, mens rea and any potential defences. </w:t>
      </w:r>
      <w:r>
        <w:rPr>
          <w:rFonts w:cstheme="minorHAnsi"/>
          <w:color w:val="000000"/>
        </w:rPr>
        <w:t xml:space="preserve"> </w:t>
      </w:r>
    </w:p>
    <w:p w14:paraId="510E0B56" w14:textId="77777777" w:rsidR="003F0AD8" w:rsidRDefault="003F0AD8" w:rsidP="00EE1FE5">
      <w:pPr>
        <w:rPr>
          <w:rFonts w:cstheme="minorHAnsi"/>
          <w:color w:val="000000"/>
        </w:rPr>
      </w:pPr>
    </w:p>
    <w:p w14:paraId="2F9C30DF" w14:textId="2FB9017F" w:rsidR="00783860" w:rsidRDefault="00F54ADD" w:rsidP="00EE1FE5">
      <w:r>
        <w:rPr>
          <w:rFonts w:cstheme="minorHAnsi"/>
          <w:color w:val="000000"/>
        </w:rPr>
        <w:t xml:space="preserve">The first potential crime in this scenario is when Polly calls Roxanne a ‘bitch’ and sticks her middle finger up to her, with the potential crime being common assault. </w:t>
      </w:r>
      <w:r w:rsidRPr="00F54ADD">
        <w:t>This is proven through establishing if Polly’s actions fulfil the requirements of the mens rea and actus reus, and if she has any defence</w:t>
      </w:r>
      <w:r w:rsidR="008D7131">
        <w:rPr>
          <w:rFonts w:cstheme="minorHAnsi"/>
          <w:color w:val="000000"/>
        </w:rPr>
        <w:t>s</w:t>
      </w:r>
      <w:r>
        <w:rPr>
          <w:rFonts w:cstheme="minorHAnsi"/>
          <w:color w:val="000000"/>
        </w:rPr>
        <w:t xml:space="preserve">. Common assault is defined under common </w:t>
      </w:r>
      <w:r w:rsidR="00783860">
        <w:rPr>
          <w:rFonts w:cstheme="minorHAnsi"/>
          <w:color w:val="000000"/>
        </w:rPr>
        <w:t>law but</w:t>
      </w:r>
      <w:r>
        <w:rPr>
          <w:rFonts w:cstheme="minorHAnsi"/>
          <w:color w:val="000000"/>
        </w:rPr>
        <w:t xml:space="preserve"> charged under Section 39 of the Criminal Justice Act [1988], it is defined as the defendant (D) commits an assault where he intentionally or recklessly causes the victim (V) to apprehend immediate unlawful personal violence </w:t>
      </w:r>
      <w:r w:rsidR="00E57E36">
        <w:rPr>
          <w:rFonts w:cstheme="minorHAnsi"/>
          <w:color w:val="000000"/>
        </w:rPr>
        <w:t>(</w:t>
      </w:r>
      <w:r>
        <w:rPr>
          <w:rFonts w:cstheme="minorHAnsi"/>
          <w:color w:val="000000"/>
        </w:rPr>
        <w:t>Fagan v Commissioner of Police for the Metropolis [1969]</w:t>
      </w:r>
      <w:r w:rsidR="00E57E36">
        <w:rPr>
          <w:rFonts w:cstheme="minorHAnsi"/>
          <w:color w:val="000000"/>
        </w:rPr>
        <w:t>)</w:t>
      </w:r>
      <w:r>
        <w:rPr>
          <w:rFonts w:cstheme="minorHAnsi"/>
          <w:color w:val="000000"/>
        </w:rPr>
        <w:t xml:space="preserve">. </w:t>
      </w:r>
      <w:r w:rsidR="00E57E36">
        <w:rPr>
          <w:rFonts w:cstheme="minorHAnsi"/>
          <w:color w:val="000000"/>
        </w:rPr>
        <w:t xml:space="preserve">The </w:t>
      </w:r>
      <w:r>
        <w:rPr>
          <w:rFonts w:cstheme="minorHAnsi"/>
          <w:color w:val="000000"/>
        </w:rPr>
        <w:t>actus reus of common assault requires D’s conduct to have caused V to apprehend the immediate application of unlawful personal force or violence upon them. The word ‘immediate’ was focused upon in the case of Thomas v National Union of Mineworkers [1986]</w:t>
      </w:r>
      <w:r w:rsidR="00E57E36">
        <w:rPr>
          <w:rFonts w:cstheme="minorHAnsi"/>
          <w:color w:val="000000"/>
        </w:rPr>
        <w:t>, the victim needs to believe that the force will be applied on them immediately, not in future</w:t>
      </w:r>
      <w:r>
        <w:rPr>
          <w:rFonts w:cstheme="minorHAnsi"/>
          <w:color w:val="000000"/>
        </w:rPr>
        <w:t>. In Polly’s case, she did not partake in any conduct that would cause Roxanne to feel physically threatened, and she was also leaving at the time of the incident, therefore it is not possible to establish an actus reus from this</w:t>
      </w:r>
      <w:r w:rsidR="003F0AD8">
        <w:rPr>
          <w:rFonts w:cstheme="minorHAnsi"/>
          <w:color w:val="000000"/>
        </w:rPr>
        <w:t xml:space="preserve">. </w:t>
      </w:r>
      <w:r w:rsidR="00783860">
        <w:t>In conclusion, given that it is not possible to establish an actus reus for this crime, Polly is unable to be found criminally liable for this offence as all the elements have not been satisfied.</w:t>
      </w:r>
      <w:r w:rsidR="00E57E36">
        <w:t xml:space="preserve"> </w:t>
      </w:r>
    </w:p>
    <w:p w14:paraId="3BD7155D" w14:textId="77777777" w:rsidR="003F0AD8" w:rsidRDefault="003F0AD8" w:rsidP="00EE1FE5">
      <w:pPr>
        <w:pStyle w:val="NormalWeb"/>
        <w:spacing w:before="0" w:beforeAutospacing="0" w:after="0" w:afterAutospacing="0"/>
        <w:textAlignment w:val="baseline"/>
        <w:rPr>
          <w:rFonts w:asciiTheme="minorHAnsi" w:hAnsiTheme="minorHAnsi" w:cstheme="minorHAnsi"/>
          <w:color w:val="000000"/>
        </w:rPr>
      </w:pPr>
    </w:p>
    <w:p w14:paraId="6962686B" w14:textId="0ACF11F9" w:rsidR="00EE1FE5" w:rsidRDefault="00EE1FE5" w:rsidP="00EE1FE5">
      <w:pPr>
        <w:pStyle w:val="NormalWeb"/>
        <w:spacing w:before="0" w:beforeAutospacing="0" w:after="0" w:afterAutospacing="0"/>
        <w:textAlignment w:val="baseline"/>
        <w:rPr>
          <w:rFonts w:asciiTheme="minorHAnsi" w:hAnsiTheme="minorHAnsi" w:cstheme="minorHAnsi"/>
          <w:color w:val="000000"/>
        </w:rPr>
      </w:pPr>
      <w:r w:rsidRPr="00EE1FE5">
        <w:rPr>
          <w:rFonts w:asciiTheme="minorHAnsi" w:hAnsiTheme="minorHAnsi" w:cstheme="minorHAnsi"/>
          <w:color w:val="000000"/>
        </w:rPr>
        <w:t xml:space="preserve">Polly </w:t>
      </w:r>
      <w:r w:rsidR="000D65C2">
        <w:rPr>
          <w:rFonts w:asciiTheme="minorHAnsi" w:hAnsiTheme="minorHAnsi" w:cstheme="minorHAnsi"/>
          <w:color w:val="000000"/>
        </w:rPr>
        <w:t xml:space="preserve">then </w:t>
      </w:r>
      <w:r w:rsidRPr="00EE1FE5">
        <w:rPr>
          <w:rFonts w:asciiTheme="minorHAnsi" w:hAnsiTheme="minorHAnsi" w:cstheme="minorHAnsi"/>
          <w:color w:val="000000"/>
        </w:rPr>
        <w:t xml:space="preserve">proceeds to commit an offence of criminal damage by damaging Roxanne’s brake cables. </w:t>
      </w:r>
      <w:r w:rsidR="000D65C2">
        <w:rPr>
          <w:rFonts w:asciiTheme="minorHAnsi" w:hAnsiTheme="minorHAnsi" w:cstheme="minorHAnsi"/>
          <w:color w:val="000000"/>
        </w:rPr>
        <w:t>The offence of criminal damage is defined under section 1</w:t>
      </w:r>
      <w:r w:rsidR="00E83F2A">
        <w:rPr>
          <w:rFonts w:asciiTheme="minorHAnsi" w:hAnsiTheme="minorHAnsi" w:cstheme="minorHAnsi"/>
          <w:color w:val="000000"/>
        </w:rPr>
        <w:t>(2)</w:t>
      </w:r>
      <w:r w:rsidR="000D65C2">
        <w:rPr>
          <w:rFonts w:asciiTheme="minorHAnsi" w:hAnsiTheme="minorHAnsi" w:cstheme="minorHAnsi"/>
          <w:color w:val="000000"/>
        </w:rPr>
        <w:t xml:space="preserve"> of the Criminal Damage Act [1971].</w:t>
      </w:r>
      <w:r w:rsidR="00E57E36">
        <w:rPr>
          <w:rFonts w:asciiTheme="minorHAnsi" w:hAnsiTheme="minorHAnsi" w:cstheme="minorHAnsi"/>
          <w:color w:val="000000"/>
        </w:rPr>
        <w:t xml:space="preserve"> It is defined as when someone intentionally or recklessly damages or destroys property belonging to another, without lawful excuse.</w:t>
      </w:r>
      <w:r w:rsidR="000D65C2">
        <w:rPr>
          <w:rFonts w:asciiTheme="minorHAnsi" w:hAnsiTheme="minorHAnsi" w:cstheme="minorHAnsi"/>
          <w:color w:val="000000"/>
        </w:rPr>
        <w:t xml:space="preserve"> </w:t>
      </w:r>
      <w:r w:rsidRPr="00EE1FE5">
        <w:rPr>
          <w:rFonts w:asciiTheme="minorHAnsi" w:hAnsiTheme="minorHAnsi" w:cstheme="minorHAnsi"/>
          <w:color w:val="000000"/>
        </w:rPr>
        <w:t xml:space="preserve">The </w:t>
      </w:r>
      <w:r w:rsidR="000D65C2">
        <w:rPr>
          <w:rFonts w:asciiTheme="minorHAnsi" w:hAnsiTheme="minorHAnsi" w:cstheme="minorHAnsi"/>
          <w:color w:val="000000"/>
        </w:rPr>
        <w:t>actus reus</w:t>
      </w:r>
      <w:r w:rsidRPr="00EE1FE5">
        <w:rPr>
          <w:rFonts w:asciiTheme="minorHAnsi" w:hAnsiTheme="minorHAnsi" w:cstheme="minorHAnsi"/>
          <w:color w:val="000000"/>
        </w:rPr>
        <w:t xml:space="preserve"> of criminal damage is to destroy/damage property which belongs to another without lawful excuse. The meaning of ‘damage’ was argued in the case Hardman v Chief Constable of Avon and Somerset [1986]</w:t>
      </w:r>
      <w:r w:rsidR="00E57E36">
        <w:rPr>
          <w:rFonts w:asciiTheme="minorHAnsi" w:hAnsiTheme="minorHAnsi" w:cstheme="minorHAnsi"/>
          <w:color w:val="000000"/>
        </w:rPr>
        <w:t>.</w:t>
      </w:r>
      <w:r w:rsidRPr="00EE1FE5">
        <w:rPr>
          <w:rFonts w:asciiTheme="minorHAnsi" w:hAnsiTheme="minorHAnsi" w:cstheme="minorHAnsi"/>
          <w:color w:val="000000"/>
        </w:rPr>
        <w:t xml:space="preserve"> In Polly’s case, she damaged Roxanne’s brake cables by slicing them</w:t>
      </w:r>
      <w:r w:rsidR="00E57E36">
        <w:rPr>
          <w:rFonts w:asciiTheme="minorHAnsi" w:hAnsiTheme="minorHAnsi" w:cstheme="minorHAnsi"/>
          <w:color w:val="000000"/>
        </w:rPr>
        <w:t>, t</w:t>
      </w:r>
      <w:r w:rsidRPr="00EE1FE5">
        <w:rPr>
          <w:rFonts w:asciiTheme="minorHAnsi" w:hAnsiTheme="minorHAnsi" w:cstheme="minorHAnsi"/>
          <w:color w:val="000000"/>
        </w:rPr>
        <w:t>herefore</w:t>
      </w:r>
      <w:r w:rsidR="00E57E36">
        <w:rPr>
          <w:rFonts w:asciiTheme="minorHAnsi" w:hAnsiTheme="minorHAnsi" w:cstheme="minorHAnsi"/>
          <w:color w:val="000000"/>
        </w:rPr>
        <w:t xml:space="preserve"> damaging </w:t>
      </w:r>
      <w:r w:rsidRPr="00EE1FE5">
        <w:rPr>
          <w:rFonts w:asciiTheme="minorHAnsi" w:hAnsiTheme="minorHAnsi" w:cstheme="minorHAnsi"/>
          <w:color w:val="000000"/>
        </w:rPr>
        <w:t xml:space="preserve">property belonging to Roxanne. ‘Property’ is defined under Section 10(1) of the Criminal Damage Act [1971] as ‘any tangible item’ and ‘belonging to another’ is defined under Section 10(2) of the Criminal Damage Act [1971]. Therefore, Roxanne’s moped is defined as ‘property’ as it is a tangible item, and it belongs to her. Polly also has no lawful excuse for damaging the property, leaving all the AR elements satisfied. Moving onto the </w:t>
      </w:r>
      <w:r w:rsidR="000D65C2">
        <w:rPr>
          <w:rFonts w:asciiTheme="minorHAnsi" w:hAnsiTheme="minorHAnsi" w:cstheme="minorHAnsi"/>
          <w:color w:val="000000"/>
        </w:rPr>
        <w:t>m</w:t>
      </w:r>
      <w:r w:rsidRPr="00EE1FE5">
        <w:rPr>
          <w:rFonts w:asciiTheme="minorHAnsi" w:hAnsiTheme="minorHAnsi" w:cstheme="minorHAnsi"/>
          <w:color w:val="000000"/>
        </w:rPr>
        <w:t xml:space="preserve">ens </w:t>
      </w:r>
      <w:r w:rsidR="000D65C2">
        <w:rPr>
          <w:rFonts w:asciiTheme="minorHAnsi" w:hAnsiTheme="minorHAnsi" w:cstheme="minorHAnsi"/>
          <w:color w:val="000000"/>
        </w:rPr>
        <w:t>r</w:t>
      </w:r>
      <w:r w:rsidRPr="00EE1FE5">
        <w:rPr>
          <w:rFonts w:asciiTheme="minorHAnsi" w:hAnsiTheme="minorHAnsi" w:cstheme="minorHAnsi"/>
          <w:color w:val="000000"/>
        </w:rPr>
        <w:t xml:space="preserve">ea of criminal damage/, which requires Polly to have had the intention or been reckless to destruction or damage </w:t>
      </w:r>
      <w:r w:rsidR="00E57E36">
        <w:rPr>
          <w:rFonts w:asciiTheme="minorHAnsi" w:hAnsiTheme="minorHAnsi" w:cstheme="minorHAnsi"/>
          <w:color w:val="000000"/>
        </w:rPr>
        <w:t>(</w:t>
      </w:r>
      <w:r w:rsidRPr="00EE1FE5">
        <w:rPr>
          <w:rFonts w:asciiTheme="minorHAnsi" w:hAnsiTheme="minorHAnsi" w:cstheme="minorHAnsi"/>
          <w:color w:val="000000"/>
        </w:rPr>
        <w:t>R v Steer [1988]</w:t>
      </w:r>
      <w:r w:rsidR="00E57E36">
        <w:rPr>
          <w:rFonts w:asciiTheme="minorHAnsi" w:hAnsiTheme="minorHAnsi" w:cstheme="minorHAnsi"/>
          <w:color w:val="000000"/>
        </w:rPr>
        <w:t>)</w:t>
      </w:r>
      <w:r w:rsidRPr="00EE1FE5">
        <w:rPr>
          <w:rFonts w:asciiTheme="minorHAnsi" w:hAnsiTheme="minorHAnsi" w:cstheme="minorHAnsi"/>
          <w:color w:val="000000"/>
        </w:rPr>
        <w:t>. It is then needed to prove if it was Polly’s direct intention to damage or destroy property, and as Polly picked up the shard of glass and directly sliced the cables, it was her direct intention to destroy/damage the property. The second element of the Mens Rea is</w:t>
      </w:r>
      <w:r w:rsidR="00E57E36">
        <w:rPr>
          <w:rFonts w:asciiTheme="minorHAnsi" w:hAnsiTheme="minorHAnsi" w:cstheme="minorHAnsi"/>
          <w:color w:val="000000"/>
        </w:rPr>
        <w:t xml:space="preserve"> indirect intention; therefore, it is necessary to prove if the result of Polly’s actions was a virtually certain consequence, or if she was aware of the consequences (R v Woollin [1999</w:t>
      </w:r>
      <w:r w:rsidR="00263A8A">
        <w:rPr>
          <w:rFonts w:asciiTheme="minorHAnsi" w:hAnsiTheme="minorHAnsi" w:cstheme="minorHAnsi"/>
          <w:color w:val="000000"/>
        </w:rPr>
        <w:t>]</w:t>
      </w:r>
      <w:r w:rsidR="00E57E36">
        <w:rPr>
          <w:rFonts w:asciiTheme="minorHAnsi" w:hAnsiTheme="minorHAnsi" w:cstheme="minorHAnsi"/>
          <w:color w:val="000000"/>
        </w:rPr>
        <w:t xml:space="preserve">). The final option for the mens rea is </w:t>
      </w:r>
      <w:r w:rsidRPr="00EE1FE5">
        <w:rPr>
          <w:rFonts w:asciiTheme="minorHAnsi" w:hAnsiTheme="minorHAnsi" w:cstheme="minorHAnsi"/>
          <w:color w:val="000000"/>
        </w:rPr>
        <w:t xml:space="preserve">being reckless, this is proven by asking the question – did the defendant foresee the risk? Polly intended to endanger Roxanne’s life, as she foresaw the risks of cutting the cables and proceeded with the act anyways. This then fulfils the final element of the Mens Rea. </w:t>
      </w:r>
    </w:p>
    <w:p w14:paraId="4000A2F5" w14:textId="77777777" w:rsidR="00EE1FE5" w:rsidRPr="00EE1FE5" w:rsidRDefault="00EE1FE5" w:rsidP="00EE1FE5">
      <w:pPr>
        <w:pStyle w:val="NormalWeb"/>
        <w:spacing w:before="0" w:beforeAutospacing="0" w:after="0" w:afterAutospacing="0"/>
        <w:textAlignment w:val="baseline"/>
        <w:rPr>
          <w:rFonts w:asciiTheme="minorHAnsi" w:hAnsiTheme="minorHAnsi" w:cstheme="minorHAnsi"/>
          <w:color w:val="000000"/>
        </w:rPr>
      </w:pPr>
    </w:p>
    <w:p w14:paraId="54288A4E" w14:textId="0A7791F3" w:rsidR="00263A8A" w:rsidRDefault="00EE1FE5" w:rsidP="00783860">
      <w:pPr>
        <w:pStyle w:val="NormalWeb"/>
        <w:spacing w:before="0" w:beforeAutospacing="0" w:after="0" w:afterAutospacing="0"/>
        <w:textAlignment w:val="baseline"/>
        <w:rPr>
          <w:rFonts w:asciiTheme="minorHAnsi" w:hAnsiTheme="minorHAnsi" w:cstheme="minorHAnsi"/>
          <w:color w:val="000000"/>
        </w:rPr>
      </w:pPr>
      <w:r w:rsidRPr="00EE1FE5">
        <w:rPr>
          <w:rFonts w:asciiTheme="minorHAnsi" w:hAnsiTheme="minorHAnsi" w:cstheme="minorHAnsi"/>
          <w:color w:val="000000"/>
        </w:rPr>
        <w:t>Given that Polly has met all the requirements to be found criminally liable for the offence of criminal damage, it is then possible to elevate the offence to aggravated criminal damage by checking if she meets the requirements to be found criminally liable. The offence of aggravated criminal damage is defined under section 1(2) of the Criminal Damage Act [1971] as the</w:t>
      </w:r>
      <w:r w:rsidR="00263A8A">
        <w:rPr>
          <w:rFonts w:asciiTheme="minorHAnsi" w:hAnsiTheme="minorHAnsi" w:cstheme="minorHAnsi"/>
          <w:color w:val="000000"/>
        </w:rPr>
        <w:t xml:space="preserve"> unlawful</w:t>
      </w:r>
      <w:r w:rsidRPr="00EE1FE5">
        <w:rPr>
          <w:rFonts w:asciiTheme="minorHAnsi" w:hAnsiTheme="minorHAnsi" w:cstheme="minorHAnsi"/>
          <w:color w:val="000000"/>
        </w:rPr>
        <w:t xml:space="preserve"> destruction or damage to property, the aggravating factor being that</w:t>
      </w:r>
      <w:r w:rsidR="00263A8A">
        <w:rPr>
          <w:rFonts w:asciiTheme="minorHAnsi" w:hAnsiTheme="minorHAnsi" w:cstheme="minorHAnsi"/>
          <w:color w:val="000000"/>
        </w:rPr>
        <w:t xml:space="preserve"> D intended to endanger life through the destruction or was reckless as to </w:t>
      </w:r>
      <w:r w:rsidR="008D7131">
        <w:rPr>
          <w:rFonts w:asciiTheme="minorHAnsi" w:hAnsiTheme="minorHAnsi" w:cstheme="minorHAnsi"/>
          <w:color w:val="000000"/>
        </w:rPr>
        <w:t>whether</w:t>
      </w:r>
      <w:r w:rsidR="00263A8A">
        <w:rPr>
          <w:rFonts w:asciiTheme="minorHAnsi" w:hAnsiTheme="minorHAnsi" w:cstheme="minorHAnsi"/>
          <w:color w:val="000000"/>
        </w:rPr>
        <w:t xml:space="preserve"> life would be endangered</w:t>
      </w:r>
      <w:r w:rsidRPr="00EE1FE5">
        <w:rPr>
          <w:rFonts w:asciiTheme="minorHAnsi" w:hAnsiTheme="minorHAnsi" w:cstheme="minorHAnsi"/>
          <w:color w:val="000000"/>
        </w:rPr>
        <w:t>.</w:t>
      </w:r>
      <w:r w:rsidR="00263A8A">
        <w:rPr>
          <w:rFonts w:asciiTheme="minorHAnsi" w:hAnsiTheme="minorHAnsi" w:cstheme="minorHAnsi"/>
          <w:color w:val="000000"/>
        </w:rPr>
        <w:t xml:space="preserve"> </w:t>
      </w:r>
      <w:proofErr w:type="gramStart"/>
      <w:r w:rsidR="00263A8A">
        <w:rPr>
          <w:rFonts w:asciiTheme="minorHAnsi" w:hAnsiTheme="minorHAnsi" w:cstheme="minorHAnsi"/>
          <w:color w:val="000000"/>
        </w:rPr>
        <w:t>But,</w:t>
      </w:r>
      <w:proofErr w:type="gramEnd"/>
      <w:r w:rsidR="00263A8A">
        <w:rPr>
          <w:rFonts w:asciiTheme="minorHAnsi" w:hAnsiTheme="minorHAnsi" w:cstheme="minorHAnsi"/>
          <w:color w:val="000000"/>
        </w:rPr>
        <w:t xml:space="preserve"> there is no need to prove that life was actually endangered by the damage, as seen in R v Sangha [1988].</w:t>
      </w:r>
      <w:r w:rsidRPr="00EE1FE5">
        <w:rPr>
          <w:rFonts w:asciiTheme="minorHAnsi" w:hAnsiTheme="minorHAnsi" w:cstheme="minorHAnsi"/>
          <w:color w:val="000000"/>
        </w:rPr>
        <w:t xml:space="preserve"> With this offence, the Actus Reus remains the same, meaning that Polly meets all the requirements for this. </w:t>
      </w:r>
      <w:proofErr w:type="gramStart"/>
      <w:r w:rsidRPr="00EE1FE5">
        <w:rPr>
          <w:rFonts w:asciiTheme="minorHAnsi" w:hAnsiTheme="minorHAnsi" w:cstheme="minorHAnsi"/>
          <w:color w:val="000000"/>
        </w:rPr>
        <w:t>But,</w:t>
      </w:r>
      <w:proofErr w:type="gramEnd"/>
      <w:r w:rsidRPr="00EE1FE5">
        <w:rPr>
          <w:rFonts w:asciiTheme="minorHAnsi" w:hAnsiTheme="minorHAnsi" w:cstheme="minorHAnsi"/>
          <w:color w:val="000000"/>
        </w:rPr>
        <w:t xml:space="preserve"> the Mens Rea is slightly different, it </w:t>
      </w:r>
      <w:r w:rsidR="00221DC1" w:rsidRPr="00EE1FE5">
        <w:rPr>
          <w:rFonts w:asciiTheme="minorHAnsi" w:hAnsiTheme="minorHAnsi" w:cstheme="minorHAnsi"/>
          <w:color w:val="000000"/>
        </w:rPr>
        <w:t>must</w:t>
      </w:r>
      <w:r w:rsidRPr="00EE1FE5">
        <w:rPr>
          <w:rFonts w:asciiTheme="minorHAnsi" w:hAnsiTheme="minorHAnsi" w:cstheme="minorHAnsi"/>
          <w:color w:val="000000"/>
        </w:rPr>
        <w:t xml:space="preserve"> be proven that it was Polly’s direct aim or purpose to endanger Roxanne’s life through damaging the property. Given that Polly knew that the act of slicing the cables was dangerous and could endanger Roxanne’s life, it is clear that it was her direct intention to endanger Roxanne’s life. There is also still the element of recklessness, which Polly again meets the requirements of. She foresaw the risks of her actions and continued with the act anyways. With the offence of aggravated criminal damage, defendants are unable to use any defences therefore Polly has no defence. In conclusion, Polly can be found criminally liable for basic criminal damage, contrary to Section 1(1) of the Criminal Damage Act [1971] and criminally liable for aggravated criminal damage, contrary to Section 1(2) of the Criminal Damage Act [1971]. </w:t>
      </w:r>
    </w:p>
    <w:p w14:paraId="4F46BE50" w14:textId="77777777" w:rsidR="00E57E36" w:rsidRDefault="00E57E36" w:rsidP="00783860">
      <w:pPr>
        <w:pStyle w:val="NormalWeb"/>
        <w:spacing w:before="0" w:beforeAutospacing="0" w:after="0" w:afterAutospacing="0"/>
        <w:textAlignment w:val="baseline"/>
        <w:rPr>
          <w:rFonts w:asciiTheme="minorHAnsi" w:hAnsiTheme="minorHAnsi" w:cstheme="minorHAnsi"/>
          <w:color w:val="000000"/>
        </w:rPr>
      </w:pPr>
    </w:p>
    <w:p w14:paraId="661CA739" w14:textId="2826C8A8" w:rsidR="00E57E36" w:rsidRDefault="000D65C2" w:rsidP="00783860">
      <w:pPr>
        <w:pStyle w:val="NormalWeb"/>
        <w:spacing w:before="0" w:beforeAutospacing="0" w:after="0" w:afterAutospacing="0"/>
        <w:textAlignment w:val="baseline"/>
        <w:rPr>
          <w:rFonts w:asciiTheme="minorHAnsi" w:hAnsiTheme="minorHAnsi" w:cstheme="minorHAnsi"/>
          <w:color w:val="000000"/>
        </w:rPr>
      </w:pPr>
      <w:r>
        <w:rPr>
          <w:rFonts w:asciiTheme="minorHAnsi" w:hAnsiTheme="minorHAnsi" w:cstheme="minorHAnsi"/>
          <w:color w:val="000000"/>
        </w:rPr>
        <w:t>After leaving the pub, Polly returns home with Mohammed. After getting into a heated argument, Polly proceeds to pick up an ash tray and smash it onto Mohammed’s head. He dies instantly, leaving Polly to face the charge of murder. Again, it must be established that Polly’s actions meet the requirements to be found criminally liable.</w:t>
      </w:r>
      <w:r w:rsidR="00783860">
        <w:rPr>
          <w:rFonts w:asciiTheme="minorHAnsi" w:hAnsiTheme="minorHAnsi" w:cstheme="minorHAnsi"/>
          <w:color w:val="000000"/>
        </w:rPr>
        <w:t xml:space="preserve"> Murder is defined under </w:t>
      </w:r>
      <w:r w:rsidR="00E57E36">
        <w:rPr>
          <w:rFonts w:asciiTheme="minorHAnsi" w:hAnsiTheme="minorHAnsi" w:cstheme="minorHAnsi"/>
          <w:color w:val="000000"/>
        </w:rPr>
        <w:t xml:space="preserve">common law </w:t>
      </w:r>
      <w:r w:rsidR="00783860">
        <w:rPr>
          <w:rFonts w:asciiTheme="minorHAnsi" w:hAnsiTheme="minorHAnsi" w:cstheme="minorHAnsi"/>
          <w:color w:val="000000"/>
        </w:rPr>
        <w:t>as whe</w:t>
      </w:r>
      <w:r w:rsidR="00E57E36">
        <w:rPr>
          <w:rFonts w:asciiTheme="minorHAnsi" w:hAnsiTheme="minorHAnsi" w:cstheme="minorHAnsi"/>
          <w:color w:val="000000"/>
        </w:rPr>
        <w:t>re</w:t>
      </w:r>
      <w:r w:rsidR="00783860">
        <w:rPr>
          <w:rFonts w:asciiTheme="minorHAnsi" w:hAnsiTheme="minorHAnsi" w:cstheme="minorHAnsi"/>
          <w:color w:val="000000"/>
        </w:rPr>
        <w:t xml:space="preserve"> a person unlawfully kills another human being under the King’s peace with malic afterthought. The actus reus of murder requires there to be an unlawful killing of a human being under the King’s peace</w:t>
      </w:r>
      <w:r w:rsidR="00E57E36">
        <w:rPr>
          <w:rFonts w:asciiTheme="minorHAnsi" w:hAnsiTheme="minorHAnsi" w:cstheme="minorHAnsi"/>
          <w:color w:val="000000"/>
        </w:rPr>
        <w:t xml:space="preserve"> (R</w:t>
      </w:r>
      <w:r w:rsidR="00783860">
        <w:rPr>
          <w:rFonts w:asciiTheme="minorHAnsi" w:hAnsiTheme="minorHAnsi" w:cstheme="minorHAnsi"/>
          <w:color w:val="000000"/>
        </w:rPr>
        <w:t xml:space="preserve"> v Clegg [1995]</w:t>
      </w:r>
      <w:r w:rsidR="00E57E36">
        <w:rPr>
          <w:rFonts w:asciiTheme="minorHAnsi" w:hAnsiTheme="minorHAnsi" w:cstheme="minorHAnsi"/>
          <w:color w:val="000000"/>
        </w:rPr>
        <w:t>)</w:t>
      </w:r>
      <w:r w:rsidR="00783860">
        <w:rPr>
          <w:rFonts w:asciiTheme="minorHAnsi" w:hAnsiTheme="minorHAnsi" w:cstheme="minorHAnsi"/>
          <w:color w:val="000000"/>
        </w:rPr>
        <w:t>. Polly’s killing of Mohammed was unlawful as he was a human being, and it was under the King’s peace. Therefore, all the elements of the actus reus of murder have been fulfilled here. The mens rea of murder requires the defendant to have malice af</w:t>
      </w:r>
      <w:r w:rsidR="00E57E36">
        <w:rPr>
          <w:rFonts w:asciiTheme="minorHAnsi" w:hAnsiTheme="minorHAnsi" w:cstheme="minorHAnsi"/>
          <w:color w:val="000000"/>
        </w:rPr>
        <w:t>ore</w:t>
      </w:r>
      <w:r w:rsidR="00783860">
        <w:rPr>
          <w:rFonts w:asciiTheme="minorHAnsi" w:hAnsiTheme="minorHAnsi" w:cstheme="minorHAnsi"/>
          <w:color w:val="000000"/>
        </w:rPr>
        <w:t>thought, meaning the intention to kill and cause grievous bodily harm (GBH</w:t>
      </w:r>
      <w:r w:rsidR="00263A8A">
        <w:rPr>
          <w:rFonts w:asciiTheme="minorHAnsi" w:hAnsiTheme="minorHAnsi" w:cstheme="minorHAnsi"/>
          <w:color w:val="000000"/>
        </w:rPr>
        <w:t>) (</w:t>
      </w:r>
      <w:r w:rsidR="00783860">
        <w:rPr>
          <w:rFonts w:asciiTheme="minorHAnsi" w:hAnsiTheme="minorHAnsi" w:cstheme="minorHAnsi"/>
          <w:color w:val="000000"/>
        </w:rPr>
        <w:t>R v Cunningham [1982]</w:t>
      </w:r>
      <w:r w:rsidR="00E57E36">
        <w:rPr>
          <w:rFonts w:asciiTheme="minorHAnsi" w:hAnsiTheme="minorHAnsi" w:cstheme="minorHAnsi"/>
          <w:color w:val="000000"/>
        </w:rPr>
        <w:t>).</w:t>
      </w:r>
      <w:r w:rsidR="00783860">
        <w:rPr>
          <w:rFonts w:asciiTheme="minorHAnsi" w:hAnsiTheme="minorHAnsi" w:cstheme="minorHAnsi"/>
          <w:color w:val="000000"/>
        </w:rPr>
        <w:t xml:space="preserve"> Polly may not have intended to kill Mohammed, but her intention to inflict GBH on him was enough to establish the mens rea for murder</w:t>
      </w:r>
      <w:r w:rsidR="00E57E36">
        <w:rPr>
          <w:rFonts w:asciiTheme="minorHAnsi" w:hAnsiTheme="minorHAnsi" w:cstheme="minorHAnsi"/>
          <w:color w:val="000000"/>
        </w:rPr>
        <w:t>, similar to the case noted above</w:t>
      </w:r>
      <w:r w:rsidR="00783860">
        <w:rPr>
          <w:rFonts w:asciiTheme="minorHAnsi" w:hAnsiTheme="minorHAnsi" w:cstheme="minorHAnsi"/>
          <w:color w:val="000000"/>
        </w:rPr>
        <w:t>.</w:t>
      </w:r>
      <w:r w:rsidR="00E57E36">
        <w:rPr>
          <w:rFonts w:asciiTheme="minorHAnsi" w:hAnsiTheme="minorHAnsi" w:cstheme="minorHAnsi"/>
          <w:color w:val="000000"/>
        </w:rPr>
        <w:t xml:space="preserve"> </w:t>
      </w:r>
      <w:r w:rsidR="00783860">
        <w:rPr>
          <w:rFonts w:asciiTheme="minorHAnsi" w:hAnsiTheme="minorHAnsi" w:cstheme="minorHAnsi"/>
          <w:color w:val="000000"/>
        </w:rPr>
        <w:t xml:space="preserve">With the offence of murder, Polly has the potential </w:t>
      </w:r>
      <w:r w:rsidR="00E57E36">
        <w:rPr>
          <w:rFonts w:asciiTheme="minorHAnsi" w:hAnsiTheme="minorHAnsi" w:cstheme="minorHAnsi"/>
          <w:color w:val="000000"/>
        </w:rPr>
        <w:t xml:space="preserve">partial </w:t>
      </w:r>
      <w:r w:rsidR="00783860">
        <w:rPr>
          <w:rFonts w:asciiTheme="minorHAnsi" w:hAnsiTheme="minorHAnsi" w:cstheme="minorHAnsi"/>
          <w:color w:val="000000"/>
        </w:rPr>
        <w:t>defences of loss of control or diminished responsibility</w:t>
      </w:r>
      <w:r w:rsidR="00E57E36">
        <w:rPr>
          <w:rFonts w:asciiTheme="minorHAnsi" w:hAnsiTheme="minorHAnsi" w:cstheme="minorHAnsi"/>
          <w:color w:val="000000"/>
        </w:rPr>
        <w:t>, or even intoxication</w:t>
      </w:r>
      <w:r w:rsidR="00783860">
        <w:rPr>
          <w:rFonts w:asciiTheme="minorHAnsi" w:hAnsiTheme="minorHAnsi" w:cstheme="minorHAnsi"/>
          <w:color w:val="000000"/>
        </w:rPr>
        <w:t xml:space="preserve">. </w:t>
      </w:r>
      <w:r w:rsidR="00783860" w:rsidRPr="00783860">
        <w:rPr>
          <w:rFonts w:asciiTheme="minorHAnsi" w:hAnsiTheme="minorHAnsi" w:cstheme="minorHAnsi"/>
          <w:color w:val="000000"/>
        </w:rPr>
        <w:t>It is possible that Polly could plead not guilty to murder, instead opting to plead guilty to manslaughter on the grounds of loss of control.</w:t>
      </w:r>
      <w:r w:rsidR="00E57E36">
        <w:rPr>
          <w:rFonts w:asciiTheme="minorHAnsi" w:hAnsiTheme="minorHAnsi" w:cstheme="minorHAnsi"/>
          <w:color w:val="000000"/>
        </w:rPr>
        <w:t xml:space="preserve"> The partial defence of loss of control is outlined under section 54 and 55 of the Coroners and Justice Act [2009].</w:t>
      </w:r>
      <w:r w:rsidR="00783860" w:rsidRPr="00783860">
        <w:rPr>
          <w:rFonts w:asciiTheme="minorHAnsi" w:hAnsiTheme="minorHAnsi" w:cstheme="minorHAnsi"/>
          <w:color w:val="000000"/>
        </w:rPr>
        <w:t xml:space="preserve"> Polly needs to be able to prove that Mohammed caused her to lose control through his words when he admitted to the affair. </w:t>
      </w:r>
      <w:r w:rsidR="00E57E36">
        <w:rPr>
          <w:rFonts w:asciiTheme="minorHAnsi" w:hAnsiTheme="minorHAnsi" w:cstheme="minorHAnsi"/>
          <w:color w:val="000000"/>
        </w:rPr>
        <w:t>This defence may not apply here for Polly, as the breakdown of a relationship is not usually regarded as ‘an extremely grave character’ or entitle the aggrieved to have a justifiable ‘sense of being seriously wronged’ (R v Hatter [2013])</w:t>
      </w:r>
      <w:r w:rsidR="00263A8A">
        <w:rPr>
          <w:rFonts w:asciiTheme="minorHAnsi" w:hAnsiTheme="minorHAnsi" w:cstheme="minorHAnsi"/>
          <w:color w:val="000000"/>
        </w:rPr>
        <w:t>.</w:t>
      </w:r>
      <w:r w:rsidR="00E57E36">
        <w:rPr>
          <w:rFonts w:asciiTheme="minorHAnsi" w:hAnsiTheme="minorHAnsi" w:cstheme="minorHAnsi"/>
          <w:color w:val="000000"/>
        </w:rPr>
        <w:t xml:space="preserve"> </w:t>
      </w:r>
      <w:r w:rsidR="00783860" w:rsidRPr="00783860">
        <w:rPr>
          <w:rFonts w:asciiTheme="minorHAnsi" w:hAnsiTheme="minorHAnsi" w:cstheme="minorHAnsi"/>
          <w:color w:val="000000"/>
        </w:rPr>
        <w:t>Or</w:t>
      </w:r>
      <w:r w:rsidR="00783860" w:rsidRPr="00783860">
        <w:rPr>
          <w:rFonts w:asciiTheme="minorHAnsi" w:hAnsiTheme="minorHAnsi" w:cstheme="minorHAnsi"/>
          <w:color w:val="000000"/>
        </w:rPr>
        <w:t xml:space="preserve"> Polly could plead not guilty on the grounds of diminished responsibility.</w:t>
      </w:r>
      <w:r w:rsidR="00263A8A">
        <w:rPr>
          <w:rFonts w:asciiTheme="minorHAnsi" w:hAnsiTheme="minorHAnsi" w:cstheme="minorHAnsi"/>
          <w:color w:val="000000"/>
        </w:rPr>
        <w:t xml:space="preserve"> </w:t>
      </w:r>
      <w:r w:rsidR="00E57E36">
        <w:rPr>
          <w:rFonts w:asciiTheme="minorHAnsi" w:hAnsiTheme="minorHAnsi" w:cstheme="minorHAnsi"/>
          <w:color w:val="000000"/>
        </w:rPr>
        <w:t>This is a partial defence to murder, introduced under section 2 of the Homicide Act [1957], and amended by section 52 of the Coroners and Justice Act [2009]</w:t>
      </w:r>
      <w:r w:rsidR="00263A8A">
        <w:rPr>
          <w:rFonts w:asciiTheme="minorHAnsi" w:hAnsiTheme="minorHAnsi" w:cstheme="minorHAnsi"/>
          <w:color w:val="000000"/>
        </w:rPr>
        <w:t xml:space="preserve">. </w:t>
      </w:r>
      <w:r w:rsidR="00783860" w:rsidRPr="00783860">
        <w:rPr>
          <w:rFonts w:asciiTheme="minorHAnsi" w:hAnsiTheme="minorHAnsi" w:cstheme="minorHAnsi"/>
          <w:color w:val="000000"/>
        </w:rPr>
        <w:t>It is then down to Polly to prove that she was suffering from a schizophrenic episode when the murder took place</w:t>
      </w:r>
      <w:r w:rsidR="00E57E36">
        <w:rPr>
          <w:rFonts w:asciiTheme="minorHAnsi" w:hAnsiTheme="minorHAnsi" w:cstheme="minorHAnsi"/>
          <w:color w:val="000000"/>
        </w:rPr>
        <w:t>, resulting in her being unable to understand the nature of her conduct</w:t>
      </w:r>
      <w:r w:rsidR="00263A8A">
        <w:rPr>
          <w:rFonts w:asciiTheme="minorHAnsi" w:hAnsiTheme="minorHAnsi" w:cstheme="minorHAnsi"/>
          <w:color w:val="000000"/>
        </w:rPr>
        <w:t xml:space="preserve">, as the burden of proof is now on her </w:t>
      </w:r>
      <w:r w:rsidR="00263A8A">
        <w:rPr>
          <w:rFonts w:asciiTheme="minorHAnsi" w:hAnsiTheme="minorHAnsi" w:cstheme="minorHAnsi"/>
          <w:color w:val="000000"/>
        </w:rPr>
        <w:lastRenderedPageBreak/>
        <w:t xml:space="preserve">to show this, as seen in </w:t>
      </w:r>
      <w:r w:rsidR="00263A8A">
        <w:rPr>
          <w:rFonts w:asciiTheme="minorHAnsi" w:hAnsiTheme="minorHAnsi" w:cstheme="minorHAnsi"/>
          <w:color w:val="000000"/>
        </w:rPr>
        <w:t>R v Foye [2013]</w:t>
      </w:r>
      <w:r w:rsidR="00783860" w:rsidRPr="00783860">
        <w:rPr>
          <w:rFonts w:asciiTheme="minorHAnsi" w:hAnsiTheme="minorHAnsi" w:cstheme="minorHAnsi"/>
          <w:color w:val="000000"/>
        </w:rPr>
        <w:t xml:space="preserve">. </w:t>
      </w:r>
      <w:r w:rsidR="00E57E36">
        <w:rPr>
          <w:rFonts w:asciiTheme="minorHAnsi" w:hAnsiTheme="minorHAnsi" w:cstheme="minorHAnsi"/>
          <w:color w:val="000000"/>
        </w:rPr>
        <w:t xml:space="preserve">In the case of R v Moyle [2008], schizophrenia is acknowledged as a recognised medical condition. </w:t>
      </w:r>
      <w:r w:rsidR="00783860" w:rsidRPr="00783860">
        <w:rPr>
          <w:rFonts w:asciiTheme="minorHAnsi" w:hAnsiTheme="minorHAnsi" w:cstheme="minorHAnsi"/>
          <w:color w:val="000000"/>
        </w:rPr>
        <w:t>If successful, Polly’s conviction could be for manslaughter, resulting in her having a shorter sentence.</w:t>
      </w:r>
      <w:r w:rsidR="00E57E36">
        <w:rPr>
          <w:rFonts w:asciiTheme="minorHAnsi" w:hAnsiTheme="minorHAnsi" w:cstheme="minorHAnsi"/>
          <w:color w:val="000000"/>
        </w:rPr>
        <w:t xml:space="preserve"> Polly could also claim that her intoxication</w:t>
      </w:r>
      <w:r w:rsidR="00263A8A">
        <w:rPr>
          <w:rFonts w:asciiTheme="minorHAnsi" w:hAnsiTheme="minorHAnsi" w:cstheme="minorHAnsi"/>
          <w:color w:val="000000"/>
        </w:rPr>
        <w:t xml:space="preserve"> through drink or drugs</w:t>
      </w:r>
      <w:r w:rsidR="00E57E36">
        <w:rPr>
          <w:rFonts w:asciiTheme="minorHAnsi" w:hAnsiTheme="minorHAnsi" w:cstheme="minorHAnsi"/>
          <w:color w:val="000000"/>
        </w:rPr>
        <w:t xml:space="preserve"> at the time of the event means that she did not fully understand her actions</w:t>
      </w:r>
      <w:r w:rsidR="00263A8A">
        <w:rPr>
          <w:rFonts w:asciiTheme="minorHAnsi" w:hAnsiTheme="minorHAnsi" w:cstheme="minorHAnsi"/>
          <w:color w:val="000000"/>
        </w:rPr>
        <w:t>, as shown in the case of R v Lipman [1970]</w:t>
      </w:r>
      <w:r w:rsidR="00E57E36">
        <w:rPr>
          <w:rFonts w:asciiTheme="minorHAnsi" w:hAnsiTheme="minorHAnsi" w:cstheme="minorHAnsi"/>
          <w:color w:val="000000"/>
        </w:rPr>
        <w:t>.</w:t>
      </w:r>
      <w:r w:rsidR="00783860">
        <w:rPr>
          <w:rFonts w:asciiTheme="minorHAnsi" w:hAnsiTheme="minorHAnsi" w:cstheme="minorHAnsi"/>
          <w:color w:val="000000"/>
        </w:rPr>
        <w:t xml:space="preserve"> </w:t>
      </w:r>
      <w:r w:rsidR="00E57E36">
        <w:rPr>
          <w:rFonts w:asciiTheme="minorHAnsi" w:hAnsiTheme="minorHAnsi" w:cstheme="minorHAnsi"/>
          <w:color w:val="000000"/>
        </w:rPr>
        <w:t xml:space="preserve">Involuntary intoxication cannot be used as a defence if defendant formed a mens rea during the offence (R v Kingston [1995]). Voluntary intoxication can be used as a defence to murder, but drunken intent is still intent, as shown in R v Sheehan and Moore [1975]. </w:t>
      </w:r>
      <w:r w:rsidR="00783860">
        <w:rPr>
          <w:rFonts w:asciiTheme="minorHAnsi" w:hAnsiTheme="minorHAnsi" w:cstheme="minorHAnsi"/>
          <w:color w:val="000000"/>
        </w:rPr>
        <w:t>Polly fulfils the requirements for both the actus reus and mens rea, but she has t</w:t>
      </w:r>
      <w:r w:rsidR="00E57E36">
        <w:rPr>
          <w:rFonts w:asciiTheme="minorHAnsi" w:hAnsiTheme="minorHAnsi" w:cstheme="minorHAnsi"/>
          <w:color w:val="000000"/>
        </w:rPr>
        <w:t>hree</w:t>
      </w:r>
      <w:r w:rsidR="00783860">
        <w:rPr>
          <w:rFonts w:asciiTheme="minorHAnsi" w:hAnsiTheme="minorHAnsi" w:cstheme="minorHAnsi"/>
          <w:color w:val="000000"/>
        </w:rPr>
        <w:t xml:space="preserve"> potential defences to rely on. </w:t>
      </w:r>
      <w:r w:rsidR="00221DC1" w:rsidRPr="00783860">
        <w:rPr>
          <w:rFonts w:asciiTheme="minorHAnsi" w:hAnsiTheme="minorHAnsi" w:cstheme="minorHAnsi"/>
          <w:color w:val="000000"/>
        </w:rPr>
        <w:t xml:space="preserve">Therefore, it is not absolute that she can be found </w:t>
      </w:r>
      <w:r w:rsidR="00E57E36">
        <w:rPr>
          <w:rFonts w:asciiTheme="minorHAnsi" w:hAnsiTheme="minorHAnsi" w:cstheme="minorHAnsi"/>
          <w:color w:val="000000"/>
        </w:rPr>
        <w:t xml:space="preserve">fully </w:t>
      </w:r>
      <w:r w:rsidR="00221DC1" w:rsidRPr="00783860">
        <w:rPr>
          <w:rFonts w:asciiTheme="minorHAnsi" w:hAnsiTheme="minorHAnsi" w:cstheme="minorHAnsi"/>
          <w:color w:val="000000"/>
        </w:rPr>
        <w:t xml:space="preserve">criminally liable for the murder. </w:t>
      </w:r>
      <w:r w:rsidR="00783860" w:rsidRPr="00783860">
        <w:rPr>
          <w:rFonts w:asciiTheme="minorHAnsi" w:hAnsiTheme="minorHAnsi" w:cstheme="minorHAnsi"/>
          <w:color w:val="000000"/>
        </w:rPr>
        <w:t>But</w:t>
      </w:r>
      <w:r w:rsidR="00221DC1" w:rsidRPr="00783860">
        <w:rPr>
          <w:rFonts w:asciiTheme="minorHAnsi" w:hAnsiTheme="minorHAnsi" w:cstheme="minorHAnsi"/>
          <w:color w:val="000000"/>
        </w:rPr>
        <w:t xml:space="preserve"> she must be successful in proving one of these defences </w:t>
      </w:r>
      <w:r w:rsidR="00783860" w:rsidRPr="00783860">
        <w:rPr>
          <w:rFonts w:asciiTheme="minorHAnsi" w:hAnsiTheme="minorHAnsi" w:cstheme="minorHAnsi"/>
          <w:color w:val="000000"/>
        </w:rPr>
        <w:t>for</w:t>
      </w:r>
      <w:r w:rsidR="00221DC1" w:rsidRPr="00783860">
        <w:rPr>
          <w:rFonts w:asciiTheme="minorHAnsi" w:hAnsiTheme="minorHAnsi" w:cstheme="minorHAnsi"/>
          <w:color w:val="000000"/>
        </w:rPr>
        <w:t xml:space="preserve"> this to work. If either defence does not uphold in court, then Polly will be found criminally liable and therefore guilty of murder. </w:t>
      </w:r>
    </w:p>
    <w:p w14:paraId="4C2CFEEA" w14:textId="77777777" w:rsidR="00263A8A" w:rsidRDefault="00263A8A" w:rsidP="00783860">
      <w:pPr>
        <w:pStyle w:val="NormalWeb"/>
        <w:spacing w:before="0" w:beforeAutospacing="0" w:after="0" w:afterAutospacing="0"/>
        <w:textAlignment w:val="baseline"/>
        <w:rPr>
          <w:rFonts w:asciiTheme="minorHAnsi" w:hAnsiTheme="minorHAnsi" w:cstheme="minorHAnsi"/>
          <w:color w:val="000000"/>
        </w:rPr>
      </w:pPr>
    </w:p>
    <w:p w14:paraId="3661D21B" w14:textId="18CB5949" w:rsidR="00E57E36" w:rsidRPr="00783860" w:rsidRDefault="00263A8A" w:rsidP="00783860">
      <w:pPr>
        <w:pStyle w:val="NormalWeb"/>
        <w:spacing w:before="0" w:beforeAutospacing="0" w:after="0" w:afterAutospacing="0"/>
        <w:textAlignment w:val="baseline"/>
        <w:rPr>
          <w:rFonts w:asciiTheme="minorHAnsi" w:hAnsiTheme="minorHAnsi" w:cstheme="minorHAnsi"/>
          <w:color w:val="000000"/>
        </w:rPr>
      </w:pPr>
      <w:r>
        <w:rPr>
          <w:rFonts w:asciiTheme="minorHAnsi" w:hAnsiTheme="minorHAnsi" w:cstheme="minorHAnsi"/>
          <w:color w:val="000000"/>
        </w:rPr>
        <w:t xml:space="preserve">In conclusion, Polly would be found criminally liable for aggravated criminal damage and murder. All the elements to be found criminally liable for both crimes have been satisfied, therefor she is able to be found criminally liable. Although she has potential defences to both crimes, these are partial defences and do not make her fully exempt from criminal liability. Therefore, she will still face some sort of punishment, for example being housed in a mental facility. </w:t>
      </w:r>
    </w:p>
    <w:p w14:paraId="57B8A777" w14:textId="77777777" w:rsidR="00E57E36" w:rsidRDefault="00E57E36">
      <w:pPr>
        <w:rPr>
          <w:rFonts w:cstheme="minorHAnsi"/>
          <w:color w:val="000000"/>
          <w:sz w:val="22"/>
          <w:szCs w:val="22"/>
        </w:rPr>
      </w:pPr>
    </w:p>
    <w:p w14:paraId="1206E565" w14:textId="739993A1" w:rsidR="00EE1FE5" w:rsidRDefault="00EE1FE5">
      <w:pPr>
        <w:rPr>
          <w:rFonts w:cstheme="minorHAnsi"/>
          <w:color w:val="000000"/>
          <w:sz w:val="22"/>
          <w:szCs w:val="22"/>
        </w:rPr>
      </w:pPr>
      <w:r>
        <w:rPr>
          <w:rFonts w:cstheme="minorHAnsi"/>
          <w:color w:val="000000"/>
          <w:sz w:val="22"/>
          <w:szCs w:val="22"/>
        </w:rPr>
        <w:br w:type="page"/>
      </w:r>
    </w:p>
    <w:p w14:paraId="2BF4A95C" w14:textId="4CB8E076" w:rsidR="00F54ADD" w:rsidRPr="00E57E36" w:rsidRDefault="00F54ADD">
      <w:pPr>
        <w:rPr>
          <w:b/>
          <w:bCs/>
        </w:rPr>
      </w:pPr>
      <w:r w:rsidRPr="00E57E36">
        <w:rPr>
          <w:b/>
          <w:bCs/>
        </w:rPr>
        <w:lastRenderedPageBreak/>
        <w:t>Legislatio</w:t>
      </w:r>
      <w:r w:rsidR="008D7131">
        <w:rPr>
          <w:b/>
          <w:bCs/>
        </w:rPr>
        <w:t>n</w:t>
      </w:r>
    </w:p>
    <w:p w14:paraId="7DAE5ECB" w14:textId="77777777" w:rsidR="00F54ADD" w:rsidRDefault="00F54ADD"/>
    <w:p w14:paraId="5C3611CA" w14:textId="55D9B304" w:rsidR="00E57E36" w:rsidRDefault="00E57E36">
      <w:r>
        <w:t>Coroners and Justice Act [2009]</w:t>
      </w:r>
    </w:p>
    <w:p w14:paraId="6405EE16" w14:textId="77777777" w:rsidR="00E57E36" w:rsidRDefault="00E57E36"/>
    <w:p w14:paraId="114C6BE5" w14:textId="77777777" w:rsidR="00E57E36" w:rsidRPr="00783860" w:rsidRDefault="00E57E36" w:rsidP="00E57E36">
      <w:r w:rsidRPr="00783860">
        <w:t>Criminal Damage Act [1971]</w:t>
      </w:r>
    </w:p>
    <w:p w14:paraId="4638EF98" w14:textId="77777777" w:rsidR="00E57E36" w:rsidRPr="00783860" w:rsidRDefault="00E57E36"/>
    <w:p w14:paraId="78ADD76F" w14:textId="16092612" w:rsidR="00F54ADD" w:rsidRPr="00783860" w:rsidRDefault="00F54ADD">
      <w:r w:rsidRPr="00783860">
        <w:t>Criminal Justice Act [1988]</w:t>
      </w:r>
    </w:p>
    <w:p w14:paraId="25339F05" w14:textId="77777777" w:rsidR="00F54ADD" w:rsidRPr="00783860" w:rsidRDefault="00F54ADD"/>
    <w:p w14:paraId="3B4EFF89" w14:textId="389E3021" w:rsidR="00783860" w:rsidRDefault="00783860">
      <w:r w:rsidRPr="00783860">
        <w:t>Homicide Act [1957]</w:t>
      </w:r>
    </w:p>
    <w:p w14:paraId="196D10BE" w14:textId="77777777" w:rsidR="00E57E36" w:rsidRDefault="00E57E36"/>
    <w:p w14:paraId="006CE5C6" w14:textId="77777777" w:rsidR="00E57E36" w:rsidRPr="00E57E36" w:rsidRDefault="00E57E36" w:rsidP="00E57E36">
      <w:pPr>
        <w:pStyle w:val="NormalWeb"/>
        <w:spacing w:before="0" w:beforeAutospacing="0" w:after="0" w:afterAutospacing="0"/>
        <w:textAlignment w:val="baseline"/>
        <w:rPr>
          <w:rFonts w:asciiTheme="minorHAnsi" w:hAnsiTheme="minorHAnsi" w:cstheme="minorHAnsi"/>
          <w:b/>
          <w:bCs/>
          <w:color w:val="000000"/>
        </w:rPr>
      </w:pPr>
      <w:r w:rsidRPr="00E57E36">
        <w:rPr>
          <w:rFonts w:asciiTheme="minorHAnsi" w:hAnsiTheme="minorHAnsi" w:cstheme="minorHAnsi"/>
          <w:b/>
          <w:bCs/>
          <w:color w:val="000000"/>
        </w:rPr>
        <w:t>Case Law</w:t>
      </w:r>
    </w:p>
    <w:p w14:paraId="6CB79ABF" w14:textId="77777777" w:rsidR="00E57E36" w:rsidRDefault="00E57E36" w:rsidP="00E57E36">
      <w:pPr>
        <w:pStyle w:val="NormalWeb"/>
        <w:spacing w:before="0" w:beforeAutospacing="0" w:after="0" w:afterAutospacing="0"/>
        <w:textAlignment w:val="baseline"/>
        <w:rPr>
          <w:rFonts w:asciiTheme="minorHAnsi" w:hAnsiTheme="minorHAnsi" w:cstheme="minorHAnsi"/>
          <w:color w:val="000000"/>
        </w:rPr>
      </w:pPr>
    </w:p>
    <w:p w14:paraId="06FAE6F1" w14:textId="77777777" w:rsidR="00E57E36" w:rsidRPr="00783860" w:rsidRDefault="00E57E36" w:rsidP="00E57E36">
      <w:pPr>
        <w:rPr>
          <w:rFonts w:cstheme="minorHAnsi"/>
          <w:color w:val="000000"/>
        </w:rPr>
      </w:pPr>
      <w:r w:rsidRPr="00783860">
        <w:rPr>
          <w:rFonts w:cstheme="minorHAnsi"/>
          <w:color w:val="000000"/>
        </w:rPr>
        <w:t>Fagan v Commissioner of Police for the Metropolis [1969] 1 Q.B 439</w:t>
      </w:r>
    </w:p>
    <w:p w14:paraId="78343C51" w14:textId="77777777" w:rsidR="00E57E36" w:rsidRPr="00783860" w:rsidRDefault="00E57E36" w:rsidP="00E57E36">
      <w:pPr>
        <w:pStyle w:val="NormalWeb"/>
        <w:spacing w:before="0" w:beforeAutospacing="0" w:after="0" w:afterAutospacing="0"/>
        <w:textAlignment w:val="baseline"/>
        <w:rPr>
          <w:rFonts w:asciiTheme="minorHAnsi" w:hAnsiTheme="minorHAnsi" w:cstheme="minorHAnsi"/>
          <w:color w:val="000000"/>
        </w:rPr>
      </w:pPr>
    </w:p>
    <w:p w14:paraId="5AB87C9A" w14:textId="77777777" w:rsidR="00E57E36" w:rsidRPr="00783860" w:rsidRDefault="00E57E36" w:rsidP="00E57E36">
      <w:pPr>
        <w:pStyle w:val="NormalWeb"/>
        <w:spacing w:before="0" w:beforeAutospacing="0" w:after="0" w:afterAutospacing="0"/>
        <w:textAlignment w:val="baseline"/>
        <w:rPr>
          <w:rFonts w:asciiTheme="minorHAnsi" w:hAnsiTheme="minorHAnsi" w:cstheme="minorHAnsi"/>
          <w:color w:val="000000"/>
        </w:rPr>
      </w:pPr>
      <w:r w:rsidRPr="00783860">
        <w:rPr>
          <w:rFonts w:asciiTheme="minorHAnsi" w:hAnsiTheme="minorHAnsi" w:cstheme="minorHAnsi"/>
          <w:color w:val="000000"/>
        </w:rPr>
        <w:t>Hardman v Chief Constable of Avon and Somerset [1986] Crim LR 330</w:t>
      </w:r>
    </w:p>
    <w:p w14:paraId="72910A44" w14:textId="77777777" w:rsidR="00E57E36" w:rsidRPr="00783860" w:rsidRDefault="00E57E36" w:rsidP="00E57E36"/>
    <w:p w14:paraId="596CD97C" w14:textId="77777777" w:rsidR="00E57E36" w:rsidRDefault="00E57E36" w:rsidP="00E57E36">
      <w:pPr>
        <w:rPr>
          <w:rFonts w:cstheme="minorHAnsi"/>
          <w:color w:val="000000"/>
        </w:rPr>
      </w:pPr>
      <w:r>
        <w:rPr>
          <w:rFonts w:cstheme="minorHAnsi"/>
          <w:color w:val="000000"/>
        </w:rPr>
        <w:t>R v Clegg [1995] 1 AC 482</w:t>
      </w:r>
    </w:p>
    <w:p w14:paraId="716561FB" w14:textId="77777777" w:rsidR="00E57E36" w:rsidRDefault="00E57E36" w:rsidP="00E57E36"/>
    <w:p w14:paraId="67B2A64B" w14:textId="77777777" w:rsidR="00E57E36" w:rsidRDefault="00E57E36" w:rsidP="00E57E36">
      <w:pPr>
        <w:rPr>
          <w:rFonts w:cstheme="minorHAnsi"/>
          <w:color w:val="000000"/>
        </w:rPr>
      </w:pPr>
      <w:r>
        <w:rPr>
          <w:rFonts w:cstheme="minorHAnsi"/>
          <w:color w:val="000000"/>
        </w:rPr>
        <w:t>R v Cunningham [1982] AC 566</w:t>
      </w:r>
    </w:p>
    <w:p w14:paraId="7D2C5481" w14:textId="77777777" w:rsidR="00263A8A" w:rsidRDefault="00263A8A" w:rsidP="00E57E36">
      <w:pPr>
        <w:rPr>
          <w:rFonts w:cstheme="minorHAnsi"/>
          <w:color w:val="000000"/>
        </w:rPr>
      </w:pPr>
    </w:p>
    <w:p w14:paraId="7066711C" w14:textId="71441A82" w:rsidR="00263A8A" w:rsidRDefault="00263A8A" w:rsidP="00E57E36">
      <w:pPr>
        <w:rPr>
          <w:rFonts w:cstheme="minorHAnsi"/>
          <w:color w:val="000000"/>
        </w:rPr>
      </w:pPr>
      <w:r>
        <w:rPr>
          <w:rFonts w:cstheme="minorHAnsi"/>
          <w:color w:val="000000"/>
        </w:rPr>
        <w:t>R v Foye [2013] EWCA Crim 475</w:t>
      </w:r>
    </w:p>
    <w:p w14:paraId="0A367EFF" w14:textId="77777777" w:rsidR="00E57E36" w:rsidRDefault="00E57E36" w:rsidP="00E57E36"/>
    <w:p w14:paraId="17D3FD92" w14:textId="77777777" w:rsidR="00263A8A" w:rsidRDefault="00263A8A" w:rsidP="00263A8A">
      <w:pPr>
        <w:rPr>
          <w:rFonts w:cstheme="minorHAnsi"/>
          <w:color w:val="000000"/>
        </w:rPr>
      </w:pPr>
      <w:r>
        <w:rPr>
          <w:rFonts w:cstheme="minorHAnsi"/>
          <w:color w:val="000000"/>
        </w:rPr>
        <w:t>R v Hatter [2013] WLR (D) 130)</w:t>
      </w:r>
    </w:p>
    <w:p w14:paraId="62920B9A" w14:textId="77777777" w:rsidR="00263A8A" w:rsidRDefault="00263A8A" w:rsidP="00E57E36"/>
    <w:p w14:paraId="13E38C0A" w14:textId="77777777" w:rsidR="00E57E36" w:rsidRDefault="00E57E36" w:rsidP="00E57E36">
      <w:pPr>
        <w:rPr>
          <w:rFonts w:cstheme="minorHAnsi"/>
          <w:color w:val="000000"/>
        </w:rPr>
      </w:pPr>
      <w:r>
        <w:rPr>
          <w:rFonts w:cstheme="minorHAnsi"/>
          <w:color w:val="000000"/>
        </w:rPr>
        <w:t>R v Kingston [1995] 2 A.C 355</w:t>
      </w:r>
    </w:p>
    <w:p w14:paraId="2B74E88F" w14:textId="77777777" w:rsidR="00E57E36" w:rsidRDefault="00E57E36" w:rsidP="00E57E36"/>
    <w:p w14:paraId="159D8334" w14:textId="4856873A" w:rsidR="00263A8A" w:rsidRDefault="00263A8A" w:rsidP="00E57E36">
      <w:r>
        <w:t>R v Lipman [1970] 1 QB 152</w:t>
      </w:r>
    </w:p>
    <w:p w14:paraId="7AF9F072" w14:textId="77777777" w:rsidR="00263A8A" w:rsidRDefault="00263A8A" w:rsidP="00E57E36"/>
    <w:p w14:paraId="112741FC" w14:textId="5D8566ED" w:rsidR="00E57E36" w:rsidRDefault="00E57E36" w:rsidP="00E57E36">
      <w:pPr>
        <w:rPr>
          <w:rFonts w:cstheme="minorHAnsi"/>
          <w:color w:val="000000"/>
        </w:rPr>
      </w:pPr>
      <w:r>
        <w:rPr>
          <w:rFonts w:cstheme="minorHAnsi"/>
          <w:color w:val="000000"/>
        </w:rPr>
        <w:t>R v Moyle [2008] EWCA Crim 3059</w:t>
      </w:r>
      <w:r w:rsidR="00263A8A">
        <w:rPr>
          <w:rFonts w:cstheme="minorHAnsi"/>
          <w:color w:val="000000"/>
        </w:rPr>
        <w:t>]</w:t>
      </w:r>
    </w:p>
    <w:p w14:paraId="2E48201A" w14:textId="77777777" w:rsidR="00263A8A" w:rsidRDefault="00263A8A" w:rsidP="00E57E36">
      <w:pPr>
        <w:rPr>
          <w:rFonts w:cstheme="minorHAnsi"/>
          <w:color w:val="000000"/>
        </w:rPr>
      </w:pPr>
    </w:p>
    <w:p w14:paraId="6027A374" w14:textId="2E518D48" w:rsidR="00263A8A" w:rsidRDefault="00263A8A" w:rsidP="00E57E36">
      <w:r>
        <w:rPr>
          <w:rFonts w:cstheme="minorHAnsi"/>
          <w:color w:val="000000"/>
        </w:rPr>
        <w:t>R v Sangha [1988] 2 AII ER 385</w:t>
      </w:r>
    </w:p>
    <w:p w14:paraId="5BD25559" w14:textId="77777777" w:rsidR="00E57E36" w:rsidRDefault="00E57E36" w:rsidP="00E57E36"/>
    <w:p w14:paraId="4116365D" w14:textId="4CC90910" w:rsidR="00E57E36" w:rsidRDefault="00E57E36" w:rsidP="00E57E36">
      <w:pPr>
        <w:rPr>
          <w:rFonts w:cstheme="minorHAnsi"/>
          <w:color w:val="000000"/>
        </w:rPr>
      </w:pPr>
      <w:r>
        <w:rPr>
          <w:rFonts w:cstheme="minorHAnsi"/>
          <w:color w:val="000000"/>
        </w:rPr>
        <w:t>R v Sheehan and Moore [1975] 60 Cr App 308</w:t>
      </w:r>
    </w:p>
    <w:p w14:paraId="2613484A" w14:textId="77777777" w:rsidR="00E57E36" w:rsidRDefault="00E57E36" w:rsidP="00E57E36"/>
    <w:p w14:paraId="0727C044" w14:textId="5E3F6518" w:rsidR="00E57E36" w:rsidRPr="00783860" w:rsidRDefault="00E57E36" w:rsidP="00E57E36">
      <w:r w:rsidRPr="00783860">
        <w:t>R v Steer [1988] 1 AC 111</w:t>
      </w:r>
    </w:p>
    <w:p w14:paraId="02DD575B" w14:textId="77777777" w:rsidR="00E57E36" w:rsidRDefault="00E57E36"/>
    <w:p w14:paraId="28A6718A" w14:textId="77777777" w:rsidR="00E57E36" w:rsidRDefault="00E57E36" w:rsidP="00E57E36">
      <w:pPr>
        <w:rPr>
          <w:rFonts w:cstheme="minorHAnsi"/>
          <w:color w:val="000000"/>
        </w:rPr>
      </w:pPr>
      <w:r w:rsidRPr="00783860">
        <w:rPr>
          <w:rFonts w:cstheme="minorHAnsi"/>
          <w:color w:val="000000"/>
        </w:rPr>
        <w:t>Thomas v National Union of Mineworkers [1986] Ch 20</w:t>
      </w:r>
    </w:p>
    <w:p w14:paraId="0765C622" w14:textId="77777777" w:rsidR="00E57E36" w:rsidRDefault="00E57E36" w:rsidP="00E57E36">
      <w:pPr>
        <w:rPr>
          <w:rFonts w:cstheme="minorHAnsi"/>
          <w:color w:val="000000"/>
        </w:rPr>
      </w:pPr>
    </w:p>
    <w:p w14:paraId="3F325ED4" w14:textId="0A6CC083" w:rsidR="00E57E36" w:rsidRDefault="00E57E36" w:rsidP="00E57E36">
      <w:pPr>
        <w:rPr>
          <w:rFonts w:cstheme="minorHAnsi"/>
          <w:color w:val="000000"/>
        </w:rPr>
      </w:pPr>
      <w:r>
        <w:rPr>
          <w:rFonts w:cstheme="minorHAnsi"/>
          <w:color w:val="000000"/>
        </w:rPr>
        <w:t>R v Woollin [1999] AC 82</w:t>
      </w:r>
    </w:p>
    <w:p w14:paraId="01AEC41E" w14:textId="77777777" w:rsidR="00E57E36" w:rsidRPr="00783860" w:rsidRDefault="00E57E36"/>
    <w:sectPr w:rsidR="00E57E36" w:rsidRPr="00783860" w:rsidSect="008D71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E67D7"/>
    <w:multiLevelType w:val="hybridMultilevel"/>
    <w:tmpl w:val="50900F2A"/>
    <w:lvl w:ilvl="0" w:tplc="36F251B8">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12096"/>
    <w:multiLevelType w:val="hybridMultilevel"/>
    <w:tmpl w:val="D49AB45E"/>
    <w:lvl w:ilvl="0" w:tplc="08A2AC84">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2F67C9"/>
    <w:multiLevelType w:val="hybridMultilevel"/>
    <w:tmpl w:val="E632A6F4"/>
    <w:lvl w:ilvl="0" w:tplc="9F26EF88">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AD6582"/>
    <w:multiLevelType w:val="multilevel"/>
    <w:tmpl w:val="FC74B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905488"/>
    <w:multiLevelType w:val="multilevel"/>
    <w:tmpl w:val="7B6C853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567690949">
    <w:abstractNumId w:val="3"/>
  </w:num>
  <w:num w:numId="2" w16cid:durableId="1337923692">
    <w:abstractNumId w:val="0"/>
  </w:num>
  <w:num w:numId="3" w16cid:durableId="89742527">
    <w:abstractNumId w:val="2"/>
  </w:num>
  <w:num w:numId="4" w16cid:durableId="491022082">
    <w:abstractNumId w:val="1"/>
  </w:num>
  <w:num w:numId="5" w16cid:durableId="3761985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065"/>
    <w:rsid w:val="000D65C2"/>
    <w:rsid w:val="00221DC1"/>
    <w:rsid w:val="00263A8A"/>
    <w:rsid w:val="002F0E3D"/>
    <w:rsid w:val="003F0AD8"/>
    <w:rsid w:val="00451CB8"/>
    <w:rsid w:val="00783860"/>
    <w:rsid w:val="008B2065"/>
    <w:rsid w:val="008D7131"/>
    <w:rsid w:val="00AB6998"/>
    <w:rsid w:val="00D17352"/>
    <w:rsid w:val="00DE5C07"/>
    <w:rsid w:val="00E179B0"/>
    <w:rsid w:val="00E57E36"/>
    <w:rsid w:val="00E83F2A"/>
    <w:rsid w:val="00EE1FE5"/>
    <w:rsid w:val="00F54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55BF7"/>
  <w15:chartTrackingRefBased/>
  <w15:docId w15:val="{C783945A-3995-294D-838E-E3081CA75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1CB8"/>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0D65C2"/>
    <w:pPr>
      <w:ind w:left="720"/>
      <w:contextualSpacing/>
    </w:pPr>
  </w:style>
  <w:style w:type="paragraph" w:styleId="NoSpacing">
    <w:name w:val="No Spacing"/>
    <w:link w:val="NoSpacingChar"/>
    <w:uiPriority w:val="1"/>
    <w:qFormat/>
    <w:rsid w:val="008D7131"/>
    <w:rPr>
      <w:rFonts w:eastAsiaTheme="minorEastAsia"/>
      <w:sz w:val="22"/>
      <w:szCs w:val="22"/>
      <w:lang w:val="en-US" w:eastAsia="zh-CN"/>
    </w:rPr>
  </w:style>
  <w:style w:type="character" w:customStyle="1" w:styleId="NoSpacingChar">
    <w:name w:val="No Spacing Char"/>
    <w:basedOn w:val="DefaultParagraphFont"/>
    <w:link w:val="NoSpacing"/>
    <w:uiPriority w:val="1"/>
    <w:rsid w:val="008D713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347814">
      <w:bodyDiv w:val="1"/>
      <w:marLeft w:val="0"/>
      <w:marRight w:val="0"/>
      <w:marTop w:val="0"/>
      <w:marBottom w:val="0"/>
      <w:divBdr>
        <w:top w:val="none" w:sz="0" w:space="0" w:color="auto"/>
        <w:left w:val="none" w:sz="0" w:space="0" w:color="auto"/>
        <w:bottom w:val="none" w:sz="0" w:space="0" w:color="auto"/>
        <w:right w:val="none" w:sz="0" w:space="0" w:color="auto"/>
      </w:divBdr>
    </w:div>
    <w:div w:id="936600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1519</Words>
  <Characters>8664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 – discuss the offences committed and any defences that may be considered.</dc:title>
  <dc:subject>Criminal Law – Assignment 2</dc:subject>
  <dc:creator>Arianna Bennett (2200719)</dc:creator>
  <cp:keywords/>
  <dc:description/>
  <cp:lastModifiedBy>Arianna Bennett (2200719)</cp:lastModifiedBy>
  <cp:revision>2</cp:revision>
  <dcterms:created xsi:type="dcterms:W3CDTF">2023-05-04T19:45:00Z</dcterms:created>
  <dcterms:modified xsi:type="dcterms:W3CDTF">2023-05-04T19:45:00Z</dcterms:modified>
</cp:coreProperties>
</file>