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C632A0" w14:textId="77777777" w:rsidR="00612B77" w:rsidRDefault="00612B77"/>
    <w:p w14:paraId="7D91126A" w14:textId="77777777" w:rsidR="00733974" w:rsidRPr="00FA4FB5" w:rsidRDefault="00733974" w:rsidP="00733974"/>
    <w:p w14:paraId="417C7B19" w14:textId="77777777" w:rsidR="00733974" w:rsidRPr="00FA4FB5" w:rsidRDefault="00733974" w:rsidP="00733974"/>
    <w:p w14:paraId="5F8B3B08" w14:textId="77777777" w:rsidR="00733974" w:rsidRPr="00FA4FB5" w:rsidRDefault="00733974" w:rsidP="00733974"/>
    <w:p w14:paraId="7B6490A6" w14:textId="77777777" w:rsidR="00733974" w:rsidRPr="00FA4FB5" w:rsidRDefault="00733974" w:rsidP="00733974"/>
    <w:p w14:paraId="5C0E1BFA" w14:textId="77777777" w:rsidR="00733974" w:rsidRPr="00F943F3" w:rsidRDefault="00733974" w:rsidP="00733974">
      <w:pPr>
        <w:overflowPunct w:val="0"/>
        <w:autoSpaceDE w:val="0"/>
        <w:autoSpaceDN w:val="0"/>
        <w:adjustRightInd w:val="0"/>
        <w:textAlignment w:val="baseline"/>
        <w:rPr>
          <w:rFonts w:ascii="Arial" w:eastAsia="Times New Roman" w:hAnsi="Arial" w:cs="Arial"/>
          <w:color w:val="000000"/>
          <w:sz w:val="20"/>
          <w:szCs w:val="20"/>
          <w:lang w:eastAsia="en-GB"/>
        </w:rPr>
      </w:pPr>
      <w:r w:rsidRPr="00F943F3">
        <w:rPr>
          <w:rFonts w:ascii="Arial" w:eastAsia="Times New Roman" w:hAnsi="Arial" w:cs="Arial"/>
          <w:noProof/>
          <w:color w:val="000000"/>
          <w:sz w:val="20"/>
          <w:szCs w:val="20"/>
          <w:lang w:eastAsia="en-GB"/>
        </w:rPr>
        <w:drawing>
          <wp:inline distT="0" distB="0" distL="0" distR="0" wp14:anchorId="5BB7351B" wp14:editId="1E7D437F">
            <wp:extent cx="2028825" cy="704850"/>
            <wp:effectExtent l="0" t="0" r="0" b="0"/>
            <wp:docPr id="554375906" name="Picture 55437590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375906" name="Picture 554375906" descr="A close-up of a sig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24542069" w14:textId="77777777" w:rsidR="00733974" w:rsidRPr="00F943F3" w:rsidRDefault="00733974" w:rsidP="00733974">
      <w:pPr>
        <w:overflowPunct w:val="0"/>
        <w:autoSpaceDE w:val="0"/>
        <w:autoSpaceDN w:val="0"/>
        <w:adjustRightInd w:val="0"/>
        <w:textAlignment w:val="baseline"/>
        <w:rPr>
          <w:rFonts w:ascii="Times New Roman" w:eastAsia="Times New Roman" w:hAnsi="Times New Roman" w:cs="Times New Roman"/>
          <w:color w:val="000000"/>
          <w:lang w:eastAsia="en-GB"/>
        </w:rPr>
      </w:pPr>
    </w:p>
    <w:p w14:paraId="4A6C26C6" w14:textId="77777777" w:rsidR="00733974" w:rsidRPr="00F943F3" w:rsidRDefault="00733974" w:rsidP="00733974">
      <w:pPr>
        <w:rPr>
          <w:rFonts w:ascii="Times New Roman" w:eastAsia="Times New Roman" w:hAnsi="Times New Roman" w:cs="Arial"/>
          <w:b/>
          <w:bCs/>
          <w:sz w:val="48"/>
          <w:szCs w:val="48"/>
          <w:lang w:eastAsia="en-GB"/>
        </w:rPr>
      </w:pPr>
      <w:r w:rsidRPr="00F943F3">
        <w:rPr>
          <w:rFonts w:ascii="Times New Roman" w:eastAsia="Times New Roman" w:hAnsi="Times New Roman" w:cs="Times New Roman"/>
          <w:b/>
          <w:sz w:val="48"/>
          <w:szCs w:val="48"/>
          <w:lang w:eastAsia="en-GB"/>
        </w:rPr>
        <w:t xml:space="preserve">GRADUATE CERTIFICATE in </w:t>
      </w:r>
      <w:r w:rsidRPr="00F943F3">
        <w:rPr>
          <w:rFonts w:ascii="Times New Roman" w:eastAsia="Times New Roman" w:hAnsi="Times New Roman" w:cs="Arial"/>
          <w:b/>
          <w:bCs/>
          <w:sz w:val="48"/>
          <w:szCs w:val="48"/>
          <w:lang w:eastAsia="en-GB"/>
        </w:rPr>
        <w:t>Consolidation of Social Work Practice</w:t>
      </w:r>
    </w:p>
    <w:p w14:paraId="32185079" w14:textId="77777777" w:rsidR="00733974" w:rsidRPr="00F943F3" w:rsidRDefault="00733974" w:rsidP="00733974">
      <w:pPr>
        <w:ind w:right="-957"/>
        <w:rPr>
          <w:rFonts w:ascii="Times New Roman" w:eastAsia="Times New Roman" w:hAnsi="Times New Roman" w:cs="Times New Roman"/>
          <w:b/>
          <w:sz w:val="48"/>
          <w:szCs w:val="20"/>
          <w:lang w:eastAsia="en-GB"/>
        </w:rPr>
      </w:pPr>
      <w:r w:rsidRPr="00F943F3">
        <w:rPr>
          <w:rFonts w:ascii="Times New Roman" w:eastAsia="Times New Roman" w:hAnsi="Times New Roman" w:cs="Times New Roman"/>
          <w:b/>
          <w:sz w:val="48"/>
          <w:szCs w:val="20"/>
          <w:lang w:eastAsia="en-GB"/>
        </w:rPr>
        <w:t>LEVEL 6 - 60 Credits</w:t>
      </w:r>
    </w:p>
    <w:p w14:paraId="69D403ED" w14:textId="77777777" w:rsidR="00733974" w:rsidRPr="00F943F3" w:rsidRDefault="00733974" w:rsidP="00733974">
      <w:pPr>
        <w:ind w:right="-957"/>
        <w:rPr>
          <w:rFonts w:ascii="Times New Roman" w:eastAsia="Times New Roman" w:hAnsi="Times New Roman" w:cs="Times New Roman"/>
          <w:b/>
          <w:sz w:val="48"/>
          <w:szCs w:val="20"/>
          <w:lang w:eastAsia="en-GB"/>
        </w:rPr>
      </w:pPr>
      <w:r w:rsidRPr="00F943F3">
        <w:rPr>
          <w:rFonts w:ascii="Times New Roman" w:eastAsia="Times New Roman" w:hAnsi="Times New Roman" w:cs="Times New Roman"/>
          <w:b/>
          <w:sz w:val="48"/>
          <w:szCs w:val="20"/>
          <w:lang w:eastAsia="en-GB"/>
        </w:rPr>
        <w:t>BMPF6044</w:t>
      </w:r>
    </w:p>
    <w:p w14:paraId="05A7905D" w14:textId="77777777" w:rsidR="00733974" w:rsidRPr="00F943F3" w:rsidRDefault="00733974" w:rsidP="00733974">
      <w:pPr>
        <w:ind w:right="-957"/>
        <w:rPr>
          <w:rFonts w:ascii="Times New Roman" w:eastAsia="Times New Roman" w:hAnsi="Times New Roman" w:cs="Times New Roman"/>
          <w:b/>
          <w:sz w:val="48"/>
          <w:szCs w:val="20"/>
          <w:lang w:eastAsia="en-GB"/>
        </w:rPr>
      </w:pPr>
    </w:p>
    <w:p w14:paraId="0859FD88" w14:textId="77777777" w:rsidR="00733974" w:rsidRPr="00F943F3" w:rsidRDefault="00733974" w:rsidP="00733974">
      <w:pPr>
        <w:ind w:right="-957"/>
        <w:rPr>
          <w:rFonts w:ascii="Times New Roman" w:eastAsia="Times New Roman" w:hAnsi="Times New Roman" w:cs="Times New Roman"/>
          <w:b/>
          <w:sz w:val="18"/>
          <w:szCs w:val="2"/>
          <w:lang w:eastAsia="en-GB"/>
        </w:rPr>
      </w:pPr>
    </w:p>
    <w:p w14:paraId="7F5FF14A" w14:textId="77777777" w:rsidR="00733974" w:rsidRPr="00F943F3" w:rsidRDefault="00733974" w:rsidP="00733974">
      <w:pPr>
        <w:ind w:right="-957"/>
        <w:rPr>
          <w:rFonts w:ascii="Times New Roman" w:eastAsia="Times New Roman" w:hAnsi="Times New Roman" w:cs="Times New Roman"/>
          <w:b/>
          <w:sz w:val="48"/>
          <w:szCs w:val="20"/>
          <w:lang w:eastAsia="en-GB"/>
        </w:rPr>
      </w:pPr>
      <w:r w:rsidRPr="00F943F3">
        <w:rPr>
          <w:rFonts w:ascii="Times New Roman" w:eastAsia="Times New Roman" w:hAnsi="Times New Roman" w:cs="Times New Roman"/>
          <w:b/>
          <w:sz w:val="48"/>
          <w:szCs w:val="20"/>
          <w:lang w:eastAsia="en-GB"/>
        </w:rPr>
        <w:t>LEARNER PORTFOLIO</w:t>
      </w:r>
    </w:p>
    <w:p w14:paraId="1EB8AE81" w14:textId="77777777" w:rsidR="00733974" w:rsidRPr="00F943F3" w:rsidRDefault="00733974" w:rsidP="00733974">
      <w:pPr>
        <w:ind w:right="-957"/>
        <w:rPr>
          <w:rFonts w:ascii="Times New Roman" w:eastAsia="Times New Roman" w:hAnsi="Times New Roman" w:cs="Times New Roman"/>
          <w:b/>
          <w:bCs/>
          <w:sz w:val="48"/>
          <w:szCs w:val="48"/>
          <w:lang w:eastAsia="en-GB"/>
        </w:rPr>
      </w:pPr>
      <w:r w:rsidRPr="00F943F3">
        <w:rPr>
          <w:rFonts w:ascii="Times New Roman" w:eastAsia="Times New Roman" w:hAnsi="Times New Roman" w:cs="Times New Roman"/>
          <w:b/>
          <w:bCs/>
          <w:sz w:val="48"/>
          <w:szCs w:val="48"/>
          <w:lang w:eastAsia="en-GB"/>
        </w:rPr>
        <w:t>(PORTH AGORED and UNIVERSITY OF WALES TRINITY SAINT DAVID)</w:t>
      </w:r>
    </w:p>
    <w:p w14:paraId="2E0B3FD7" w14:textId="77777777" w:rsidR="00733974" w:rsidRPr="00F943F3" w:rsidRDefault="00733974" w:rsidP="00733974">
      <w:pPr>
        <w:ind w:right="-957"/>
        <w:rPr>
          <w:rFonts w:ascii="Times New Roman" w:eastAsia="Times New Roman" w:hAnsi="Times New Roman" w:cs="Times New Roman"/>
          <w:b/>
          <w:sz w:val="14"/>
          <w:szCs w:val="2"/>
          <w:lang w:eastAsia="en-GB"/>
        </w:rPr>
      </w:pPr>
    </w:p>
    <w:p w14:paraId="009CDEB2" w14:textId="77777777" w:rsidR="00733974" w:rsidRPr="00F943F3" w:rsidRDefault="00733974" w:rsidP="00733974">
      <w:pPr>
        <w:ind w:right="-957"/>
        <w:rPr>
          <w:rFonts w:ascii="Times New Roman" w:eastAsia="Times New Roman" w:hAnsi="Times New Roman" w:cs="Times New Roman"/>
          <w:b/>
          <w:sz w:val="48"/>
          <w:szCs w:val="20"/>
          <w:lang w:eastAsia="en-GB"/>
        </w:rPr>
      </w:pPr>
    </w:p>
    <w:tbl>
      <w:tblPr>
        <w:tblW w:w="11503" w:type="dxa"/>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3"/>
      </w:tblGrid>
      <w:tr w:rsidR="00733974" w:rsidRPr="00F943F3" w14:paraId="5E69F07D" w14:textId="77777777" w:rsidTr="00C929A4">
        <w:tc>
          <w:tcPr>
            <w:tcW w:w="11503" w:type="dxa"/>
            <w:shd w:val="clear" w:color="auto" w:fill="auto"/>
          </w:tcPr>
          <w:p w14:paraId="1D180000" w14:textId="77777777" w:rsidR="00733974" w:rsidRPr="00F943F3" w:rsidRDefault="00733974" w:rsidP="00C929A4">
            <w:pPr>
              <w:ind w:right="-957"/>
              <w:rPr>
                <w:rFonts w:ascii="Times New Roman" w:eastAsia="Times New Roman" w:hAnsi="Times New Roman" w:cs="Times New Roman"/>
                <w:b/>
                <w:sz w:val="48"/>
                <w:szCs w:val="20"/>
                <w:lang w:eastAsia="en-GB"/>
              </w:rPr>
            </w:pPr>
            <w:r w:rsidRPr="00F943F3">
              <w:rPr>
                <w:rFonts w:ascii="Times New Roman" w:eastAsia="Times New Roman" w:hAnsi="Times New Roman" w:cs="Times New Roman"/>
                <w:b/>
                <w:sz w:val="48"/>
                <w:szCs w:val="20"/>
                <w:lang w:eastAsia="en-GB"/>
              </w:rPr>
              <w:t xml:space="preserve">Learner’s name: </w:t>
            </w:r>
            <w:r>
              <w:rPr>
                <w:rFonts w:ascii="Times New Roman" w:eastAsia="Times New Roman" w:hAnsi="Times New Roman" w:cs="Times New Roman"/>
                <w:b/>
                <w:sz w:val="48"/>
                <w:szCs w:val="20"/>
                <w:lang w:eastAsia="en-GB"/>
              </w:rPr>
              <w:t>Emily Bowden</w:t>
            </w:r>
          </w:p>
          <w:p w14:paraId="3CC4AF5B" w14:textId="77777777" w:rsidR="00733974" w:rsidRPr="00F943F3" w:rsidRDefault="00733974" w:rsidP="00C929A4">
            <w:pPr>
              <w:ind w:right="-957"/>
              <w:rPr>
                <w:rFonts w:ascii="Times New Roman" w:eastAsia="Times New Roman" w:hAnsi="Times New Roman" w:cs="Times New Roman"/>
                <w:b/>
                <w:sz w:val="48"/>
                <w:szCs w:val="20"/>
                <w:lang w:eastAsia="en-GB"/>
              </w:rPr>
            </w:pPr>
          </w:p>
          <w:p w14:paraId="6088139B" w14:textId="77777777" w:rsidR="00733974" w:rsidRPr="00F943F3" w:rsidRDefault="00733974" w:rsidP="00C929A4">
            <w:pPr>
              <w:ind w:right="-957"/>
              <w:rPr>
                <w:rFonts w:ascii="Times New Roman" w:eastAsia="Times New Roman" w:hAnsi="Times New Roman" w:cs="Times New Roman"/>
                <w:b/>
                <w:sz w:val="48"/>
                <w:szCs w:val="20"/>
                <w:lang w:eastAsia="en-GB"/>
              </w:rPr>
            </w:pPr>
            <w:r w:rsidRPr="00F943F3">
              <w:rPr>
                <w:rFonts w:ascii="Times New Roman" w:eastAsia="Times New Roman" w:hAnsi="Times New Roman" w:cs="Times New Roman"/>
                <w:b/>
                <w:sz w:val="48"/>
                <w:szCs w:val="20"/>
                <w:lang w:eastAsia="en-GB"/>
              </w:rPr>
              <w:t>Email address:</w:t>
            </w:r>
            <w:r>
              <w:rPr>
                <w:rFonts w:ascii="Times New Roman" w:eastAsia="Times New Roman" w:hAnsi="Times New Roman" w:cs="Times New Roman"/>
                <w:b/>
                <w:sz w:val="48"/>
                <w:szCs w:val="20"/>
                <w:lang w:eastAsia="en-GB"/>
              </w:rPr>
              <w:t xml:space="preserve"> emilybowden2001@live.co.uk</w:t>
            </w:r>
          </w:p>
          <w:p w14:paraId="5F6505DC" w14:textId="77777777" w:rsidR="00733974" w:rsidRPr="00F943F3" w:rsidRDefault="00733974" w:rsidP="00C929A4">
            <w:pPr>
              <w:ind w:right="-957"/>
              <w:rPr>
                <w:rFonts w:ascii="Times New Roman" w:eastAsia="Times New Roman" w:hAnsi="Times New Roman" w:cs="Times New Roman"/>
                <w:b/>
                <w:sz w:val="48"/>
                <w:szCs w:val="20"/>
                <w:lang w:eastAsia="en-GB"/>
              </w:rPr>
            </w:pPr>
          </w:p>
          <w:p w14:paraId="419EBFFC" w14:textId="77777777" w:rsidR="00733974" w:rsidRPr="00F943F3" w:rsidRDefault="00733974" w:rsidP="00C929A4">
            <w:pPr>
              <w:ind w:right="-957"/>
              <w:rPr>
                <w:rFonts w:ascii="Times New Roman" w:eastAsia="Times New Roman" w:hAnsi="Times New Roman" w:cs="Times New Roman"/>
                <w:b/>
                <w:sz w:val="48"/>
                <w:szCs w:val="20"/>
                <w:lang w:eastAsia="en-GB"/>
              </w:rPr>
            </w:pPr>
            <w:r w:rsidRPr="00F943F3">
              <w:rPr>
                <w:rFonts w:ascii="Times New Roman" w:eastAsia="Times New Roman" w:hAnsi="Times New Roman" w:cs="Times New Roman"/>
                <w:b/>
                <w:sz w:val="48"/>
                <w:szCs w:val="20"/>
                <w:lang w:eastAsia="en-GB"/>
              </w:rPr>
              <w:t>Learner’s University Registration Number:</w:t>
            </w:r>
            <w:r>
              <w:rPr>
                <w:rFonts w:ascii="Times New Roman" w:eastAsia="Times New Roman" w:hAnsi="Times New Roman" w:cs="Times New Roman"/>
                <w:b/>
                <w:sz w:val="48"/>
                <w:szCs w:val="20"/>
                <w:lang w:eastAsia="en-GB"/>
              </w:rPr>
              <w:t xml:space="preserve"> 2319564</w:t>
            </w:r>
          </w:p>
          <w:p w14:paraId="0237F214" w14:textId="77777777" w:rsidR="00733974" w:rsidRPr="00F943F3" w:rsidRDefault="00733974" w:rsidP="00C929A4">
            <w:pPr>
              <w:ind w:right="-957"/>
              <w:rPr>
                <w:rFonts w:ascii="Times New Roman" w:eastAsia="Times New Roman" w:hAnsi="Times New Roman" w:cs="Times New Roman"/>
                <w:b/>
                <w:sz w:val="48"/>
                <w:szCs w:val="20"/>
                <w:lang w:eastAsia="en-GB"/>
              </w:rPr>
            </w:pPr>
          </w:p>
          <w:p w14:paraId="374EA057" w14:textId="77777777" w:rsidR="00733974" w:rsidRPr="00F943F3" w:rsidRDefault="00733974" w:rsidP="00C929A4">
            <w:pPr>
              <w:ind w:right="-957"/>
              <w:rPr>
                <w:rFonts w:ascii="Times New Roman" w:eastAsia="Times New Roman" w:hAnsi="Times New Roman" w:cs="Times New Roman"/>
                <w:b/>
                <w:sz w:val="48"/>
                <w:szCs w:val="20"/>
                <w:lang w:eastAsia="en-GB"/>
              </w:rPr>
            </w:pPr>
            <w:r w:rsidRPr="00F943F3">
              <w:rPr>
                <w:rFonts w:ascii="Times New Roman" w:eastAsia="Times New Roman" w:hAnsi="Times New Roman" w:cs="Times New Roman"/>
                <w:b/>
                <w:sz w:val="48"/>
                <w:szCs w:val="20"/>
                <w:lang w:eastAsia="en-GB"/>
              </w:rPr>
              <w:t>Cohort: 21onwards</w:t>
            </w:r>
          </w:p>
        </w:tc>
      </w:tr>
    </w:tbl>
    <w:p w14:paraId="213BD5CF" w14:textId="77777777" w:rsidR="00733974" w:rsidRPr="00F943F3" w:rsidRDefault="00733974" w:rsidP="00733974">
      <w:pPr>
        <w:ind w:right="-957"/>
        <w:rPr>
          <w:rFonts w:ascii="Times New Roman" w:eastAsia="Times New Roman" w:hAnsi="Times New Roman" w:cs="Times New Roman"/>
          <w:b/>
          <w:sz w:val="48"/>
          <w:szCs w:val="20"/>
          <w:lang w:eastAsia="en-GB"/>
        </w:rPr>
      </w:pPr>
      <w:r w:rsidRPr="00F943F3">
        <w:rPr>
          <w:rFonts w:ascii="Times New Roman" w:eastAsia="Times New Roman" w:hAnsi="Times New Roman" w:cs="Times New Roman"/>
          <w:b/>
          <w:sz w:val="48"/>
          <w:szCs w:val="20"/>
          <w:lang w:eastAsia="en-GB"/>
        </w:rPr>
        <w:t xml:space="preserve"> </w:t>
      </w:r>
    </w:p>
    <w:p w14:paraId="0F863D58" w14:textId="77777777" w:rsidR="00733974" w:rsidRPr="00F943F3" w:rsidRDefault="00733974" w:rsidP="00733974">
      <w:pPr>
        <w:rPr>
          <w:rFonts w:ascii="Times New Roman" w:eastAsia="Times New Roman" w:hAnsi="Times New Roman" w:cs="Times New Roman"/>
          <w:szCs w:val="20"/>
          <w:lang w:eastAsia="en-GB"/>
        </w:rPr>
      </w:pPr>
    </w:p>
    <w:p w14:paraId="2BEC15F6" w14:textId="77777777" w:rsidR="00733974" w:rsidRPr="00F943F3" w:rsidRDefault="00733974" w:rsidP="00733974">
      <w:pPr>
        <w:ind w:right="-957"/>
        <w:rPr>
          <w:rFonts w:ascii="Times New Roman" w:eastAsia="Times New Roman" w:hAnsi="Times New Roman" w:cs="Times New Roman"/>
          <w:b/>
          <w:sz w:val="48"/>
          <w:szCs w:val="20"/>
          <w:lang w:eastAsia="en-GB"/>
        </w:rPr>
      </w:pPr>
    </w:p>
    <w:p w14:paraId="1B1352AA" w14:textId="77777777" w:rsidR="00733974" w:rsidRPr="00F943F3" w:rsidRDefault="00733974" w:rsidP="00733974">
      <w:pPr>
        <w:overflowPunct w:val="0"/>
        <w:autoSpaceDE w:val="0"/>
        <w:autoSpaceDN w:val="0"/>
        <w:adjustRightInd w:val="0"/>
        <w:jc w:val="center"/>
        <w:textAlignment w:val="baseline"/>
        <w:rPr>
          <w:rFonts w:ascii="Arial" w:eastAsia="Times New Roman" w:hAnsi="Arial" w:cs="Arial"/>
          <w:b/>
          <w:color w:val="000000"/>
          <w:lang w:eastAsia="en-GB"/>
        </w:rPr>
      </w:pPr>
      <w:r w:rsidRPr="00F943F3">
        <w:rPr>
          <w:rFonts w:ascii="Arial" w:eastAsia="Times New Roman" w:hAnsi="Arial" w:cs="Arial"/>
          <w:b/>
          <w:color w:val="000000"/>
          <w:lang w:eastAsia="en-GB"/>
        </w:rPr>
        <w:br w:type="page"/>
      </w:r>
    </w:p>
    <w:p w14:paraId="4F57047F" w14:textId="77777777" w:rsidR="00733974" w:rsidRPr="00F943F3" w:rsidRDefault="00733974" w:rsidP="00733974">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58545394" w14:textId="77777777" w:rsidR="00733974" w:rsidRPr="00F943F3" w:rsidRDefault="00733974" w:rsidP="00733974">
      <w:pPr>
        <w:overflowPunct w:val="0"/>
        <w:autoSpaceDE w:val="0"/>
        <w:autoSpaceDN w:val="0"/>
        <w:adjustRightInd w:val="0"/>
        <w:jc w:val="center"/>
        <w:textAlignment w:val="baseline"/>
        <w:rPr>
          <w:rFonts w:ascii="Arial" w:eastAsia="Times New Roman" w:hAnsi="Arial" w:cs="Arial"/>
          <w:b/>
          <w:color w:val="000000"/>
          <w:lang w:eastAsia="en-GB"/>
        </w:rPr>
      </w:pPr>
    </w:p>
    <w:p w14:paraId="36172DA2" w14:textId="77777777" w:rsidR="00733974" w:rsidRPr="00F943F3" w:rsidRDefault="00733974" w:rsidP="00733974">
      <w:pPr>
        <w:overflowPunct w:val="0"/>
        <w:autoSpaceDE w:val="0"/>
        <w:autoSpaceDN w:val="0"/>
        <w:adjustRightInd w:val="0"/>
        <w:jc w:val="center"/>
        <w:textAlignment w:val="baseline"/>
        <w:rPr>
          <w:rFonts w:ascii="Arial" w:eastAsia="Times New Roman" w:hAnsi="Arial" w:cs="Arial"/>
          <w:b/>
          <w:color w:val="000000"/>
          <w:sz w:val="28"/>
          <w:szCs w:val="28"/>
          <w:lang w:eastAsia="en-GB"/>
        </w:rPr>
      </w:pPr>
      <w:r w:rsidRPr="00F943F3">
        <w:rPr>
          <w:rFonts w:ascii="Arial" w:eastAsia="Times New Roman" w:hAnsi="Arial" w:cs="Arial"/>
          <w:b/>
          <w:color w:val="000000"/>
          <w:sz w:val="28"/>
          <w:szCs w:val="28"/>
          <w:lang w:eastAsia="en-GB"/>
        </w:rPr>
        <w:t>Task 4</w:t>
      </w:r>
    </w:p>
    <w:p w14:paraId="323E63AA" w14:textId="77777777" w:rsidR="00733974" w:rsidRPr="00F943F3" w:rsidRDefault="00733974" w:rsidP="00733974">
      <w:pPr>
        <w:overflowPunct w:val="0"/>
        <w:autoSpaceDE w:val="0"/>
        <w:autoSpaceDN w:val="0"/>
        <w:adjustRightInd w:val="0"/>
        <w:jc w:val="center"/>
        <w:textAlignment w:val="baseline"/>
        <w:rPr>
          <w:rFonts w:ascii="Arial" w:eastAsia="Times New Roman" w:hAnsi="Arial" w:cs="Arial"/>
          <w:b/>
          <w:color w:val="000000"/>
          <w:sz w:val="28"/>
          <w:szCs w:val="28"/>
          <w:lang w:eastAsia="en-GB"/>
        </w:rPr>
      </w:pPr>
    </w:p>
    <w:p w14:paraId="1E8232FF" w14:textId="77777777" w:rsidR="00733974" w:rsidRPr="00F943F3" w:rsidRDefault="00733974" w:rsidP="00733974">
      <w:pPr>
        <w:overflowPunct w:val="0"/>
        <w:autoSpaceDE w:val="0"/>
        <w:autoSpaceDN w:val="0"/>
        <w:adjustRightInd w:val="0"/>
        <w:jc w:val="center"/>
        <w:textAlignment w:val="baseline"/>
        <w:rPr>
          <w:rFonts w:ascii="Arial" w:eastAsia="Times New Roman" w:hAnsi="Arial" w:cs="Arial"/>
          <w:b/>
          <w:color w:val="000000"/>
          <w:sz w:val="28"/>
          <w:szCs w:val="28"/>
          <w:lang w:eastAsia="en-GB"/>
        </w:rPr>
      </w:pPr>
      <w:r w:rsidRPr="00F943F3">
        <w:rPr>
          <w:rFonts w:ascii="Arial" w:eastAsia="Times New Roman" w:hAnsi="Arial" w:cs="Arial"/>
          <w:b/>
          <w:color w:val="000000"/>
          <w:sz w:val="28"/>
          <w:szCs w:val="28"/>
          <w:lang w:eastAsia="en-GB"/>
        </w:rPr>
        <w:t>Safeguarding in an area which is not your main area of work</w:t>
      </w:r>
    </w:p>
    <w:p w14:paraId="03EB29FF" w14:textId="77777777" w:rsidR="00733974" w:rsidRPr="00F943F3" w:rsidRDefault="00733974" w:rsidP="00733974">
      <w:pPr>
        <w:overflowPunct w:val="0"/>
        <w:autoSpaceDE w:val="0"/>
        <w:autoSpaceDN w:val="0"/>
        <w:adjustRightInd w:val="0"/>
        <w:jc w:val="both"/>
        <w:textAlignment w:val="baseline"/>
        <w:rPr>
          <w:rFonts w:ascii="Arial" w:eastAsia="Times New Roman" w:hAnsi="Arial" w:cs="Arial"/>
          <w:b/>
          <w:color w:val="000000"/>
          <w:lang w:eastAsia="en-GB"/>
        </w:rPr>
      </w:pPr>
    </w:p>
    <w:p w14:paraId="6FB6C871" w14:textId="77777777" w:rsidR="00733974" w:rsidRPr="00F943F3" w:rsidRDefault="00733974" w:rsidP="00733974">
      <w:pPr>
        <w:overflowPunct w:val="0"/>
        <w:autoSpaceDE w:val="0"/>
        <w:autoSpaceDN w:val="0"/>
        <w:adjustRightInd w:val="0"/>
        <w:ind w:left="-90"/>
        <w:jc w:val="both"/>
        <w:textAlignment w:val="baseline"/>
        <w:rPr>
          <w:rFonts w:ascii="Arial" w:eastAsia="Times New Roman" w:hAnsi="Arial" w:cs="Arial"/>
          <w:b/>
          <w:i/>
          <w:color w:val="000000"/>
          <w:lang w:eastAsia="en-GB"/>
        </w:rPr>
      </w:pPr>
      <w:r w:rsidRPr="00F943F3">
        <w:rPr>
          <w:rFonts w:ascii="Arial" w:eastAsia="Times New Roman" w:hAnsi="Arial" w:cs="Arial"/>
          <w:b/>
          <w:i/>
          <w:color w:val="000000"/>
          <w:lang w:eastAsia="en-GB"/>
        </w:rPr>
        <w:t xml:space="preserve">Guidance: </w:t>
      </w:r>
    </w:p>
    <w:p w14:paraId="523488B7" w14:textId="77777777" w:rsidR="00733974" w:rsidRPr="00F943F3" w:rsidRDefault="00733974" w:rsidP="00733974">
      <w:pPr>
        <w:overflowPunct w:val="0"/>
        <w:autoSpaceDE w:val="0"/>
        <w:autoSpaceDN w:val="0"/>
        <w:adjustRightInd w:val="0"/>
        <w:ind w:left="-90"/>
        <w:jc w:val="both"/>
        <w:textAlignment w:val="baseline"/>
        <w:rPr>
          <w:rFonts w:ascii="Arial" w:eastAsia="Times New Roman" w:hAnsi="Arial" w:cs="Arial"/>
          <w:i/>
          <w:iCs/>
          <w:color w:val="000000"/>
          <w:lang w:eastAsia="en-GB"/>
        </w:rPr>
      </w:pPr>
      <w:r w:rsidRPr="00F943F3">
        <w:rPr>
          <w:rFonts w:ascii="Arial" w:eastAsia="Times New Roman" w:hAnsi="Arial" w:cs="Arial"/>
          <w:i/>
          <w:iCs/>
          <w:color w:val="000000"/>
          <w:lang w:eastAsia="en-GB"/>
        </w:rPr>
        <w:t xml:space="preserve">Social Care Wales require newly qualified social workers to provide evidence of their understanding of safeguarding work with adults and children. The assignment below will enable you to demonstrate this. </w:t>
      </w:r>
      <w:r w:rsidRPr="00F943F3">
        <w:rPr>
          <w:rFonts w:ascii="Arial" w:eastAsia="Times New Roman" w:hAnsi="Arial" w:cs="Arial"/>
          <w:b/>
          <w:bCs/>
          <w:i/>
          <w:iCs/>
          <w:color w:val="000000"/>
          <w:lang w:eastAsia="en-GB"/>
        </w:rPr>
        <w:t>N.B</w:t>
      </w:r>
      <w:r w:rsidRPr="00F943F3">
        <w:rPr>
          <w:rFonts w:ascii="Arial" w:eastAsia="Times New Roman" w:hAnsi="Arial" w:cs="Arial"/>
          <w:i/>
          <w:iCs/>
          <w:color w:val="000000"/>
          <w:lang w:eastAsia="en-GB"/>
        </w:rPr>
        <w:t>. if your usual area of work is with children please write about adult safeguarding. If you usually work with adults, then write about child safeguarding.  Ensure you meet the learning out comes for this task (see appendix 5 of the handbook).</w:t>
      </w:r>
    </w:p>
    <w:p w14:paraId="446DC373" w14:textId="77777777" w:rsidR="00733974" w:rsidRPr="00F943F3" w:rsidRDefault="00733974" w:rsidP="00733974">
      <w:pPr>
        <w:overflowPunct w:val="0"/>
        <w:autoSpaceDE w:val="0"/>
        <w:autoSpaceDN w:val="0"/>
        <w:adjustRightInd w:val="0"/>
        <w:ind w:left="360" w:hanging="360"/>
        <w:jc w:val="both"/>
        <w:textAlignment w:val="baseline"/>
        <w:rPr>
          <w:rFonts w:ascii="Arial" w:eastAsia="Times New Roman" w:hAnsi="Arial" w:cs="Arial"/>
          <w:color w:val="000000"/>
          <w:u w:val="single"/>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33974" w:rsidRPr="00F943F3" w14:paraId="78C5AA5E" w14:textId="77777777" w:rsidTr="00C929A4">
        <w:tc>
          <w:tcPr>
            <w:tcW w:w="10188" w:type="dxa"/>
            <w:shd w:val="clear" w:color="auto" w:fill="auto"/>
          </w:tcPr>
          <w:p w14:paraId="41EFECFE"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b/>
                <w:color w:val="000000"/>
                <w:lang w:eastAsia="en-GB"/>
              </w:rPr>
            </w:pPr>
            <w:r w:rsidRPr="00F943F3">
              <w:rPr>
                <w:rFonts w:ascii="Arial" w:eastAsia="Times New Roman" w:hAnsi="Arial" w:cs="Arial"/>
                <w:b/>
                <w:color w:val="000000"/>
                <w:lang w:eastAsia="en-GB"/>
              </w:rPr>
              <w:t>Question a:</w:t>
            </w:r>
          </w:p>
          <w:p w14:paraId="2C639A6D"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 xml:space="preserve">In an area </w:t>
            </w:r>
            <w:r w:rsidRPr="00F943F3">
              <w:rPr>
                <w:rFonts w:ascii="Arial" w:eastAsia="Times New Roman" w:hAnsi="Arial" w:cs="Arial"/>
                <w:b/>
                <w:color w:val="000000"/>
                <w:lang w:eastAsia="en-GB"/>
              </w:rPr>
              <w:t xml:space="preserve">that is not your main focus of work </w:t>
            </w:r>
            <w:r w:rsidRPr="00F943F3">
              <w:rPr>
                <w:rFonts w:ascii="Arial" w:eastAsia="Times New Roman" w:hAnsi="Arial" w:cs="Arial"/>
                <w:color w:val="000000"/>
                <w:lang w:eastAsia="en-GB"/>
              </w:rPr>
              <w:t xml:space="preserve">(see guidance above), explain the relevant legislation, and the national, local and organisational policies and procedures for safeguarding. </w:t>
            </w:r>
          </w:p>
          <w:p w14:paraId="04280C63"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p>
          <w:p w14:paraId="0F6FDBB4"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p>
          <w:p w14:paraId="514C4289"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p>
          <w:p w14:paraId="75A159CF"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Firstly, in Wales, adult safeguarding law is largely overseen by the Social Services and Well-being Wales Act 2014, which defines an ‘</w:t>
            </w:r>
            <w:r w:rsidRPr="00F943F3">
              <w:rPr>
                <w:rFonts w:ascii="Arial" w:eastAsia="Times New Roman" w:hAnsi="Arial" w:cs="Arial"/>
                <w:i/>
                <w:iCs/>
                <w:color w:val="000000"/>
                <w:lang w:eastAsia="en-GB"/>
              </w:rPr>
              <w:t>adult at risk</w:t>
            </w:r>
            <w:r w:rsidRPr="00F943F3">
              <w:rPr>
                <w:rFonts w:ascii="Arial" w:eastAsia="Times New Roman" w:hAnsi="Arial" w:cs="Arial"/>
                <w:color w:val="000000"/>
                <w:lang w:eastAsia="en-GB"/>
              </w:rPr>
              <w:t>’ as adults who are experiencing abuse, or likely to experience abuse and unable to protect themselves from said abuse (Social Care Wales, 2024). This is contained within Part 7 of the law, which categorises abuse into the following: physical, sexual, psychological, emotional or financial abuse. The Act states that such abuse can take place in any setting. The Act imposes a legal duty on professionals to report should they be concerned of an adult at risk of abuse or harm (Clayton, 2014).</w:t>
            </w:r>
          </w:p>
          <w:p w14:paraId="49FF4473"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60F1B921"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Further to this, Clayton (2014) notes that under statutory guidance and legislation, the pertinence of a safeguarding board which has a duty to protect and prevent. Said safeguarding boards are separate for adult and children safeguarding.  When considering further Law and policy specific to adult safeguarding in Wales, the Wales Safeguarding Procedures (2019) is pertinent to social workers in Wales. The aim of the procedures is to support social workers and professionals to apply the principles of SSWBA 2014 and Working Together to Safeguard People. Working Together to Safeguard People is not law, but guidance to support practitioners with the law around safeguarding (GOV.WALES, 2012).</w:t>
            </w:r>
          </w:p>
          <w:p w14:paraId="34582086"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33E47FFC"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lastRenderedPageBreak/>
              <w:t>While the law applies uniformly to all social workers across Wales, some have specific powers that differ from ‘general’ social workers. For example, social workers who are also Approved Mental Health Professionals (AMHPs) under the Mental Health Act 2007, have the authority to detain individuals who present an immediate risk to themselves or the community and carry out the relevant assessments (Devon Partnership Trust, 2017).</w:t>
            </w:r>
            <w:r w:rsidRPr="00F943F3">
              <w:rPr>
                <w:rFonts w:ascii="Arial" w:eastAsia="Times New Roman" w:hAnsi="Arial" w:cs="Arial"/>
                <w:color w:val="000000"/>
                <w:sz w:val="20"/>
                <w:szCs w:val="20"/>
                <w:lang w:eastAsia="en-GB"/>
              </w:rPr>
              <w:t xml:space="preserve"> </w:t>
            </w:r>
            <w:r w:rsidRPr="00F943F3">
              <w:rPr>
                <w:rFonts w:ascii="Arial" w:eastAsia="Times New Roman" w:hAnsi="Arial" w:cs="Arial"/>
                <w:color w:val="000000"/>
                <w:lang w:eastAsia="en-GB"/>
              </w:rPr>
              <w:t>Further, social workers including AMHPs have a duty to store and record an individual’s data, aligning with The Data Protection Act 2018 (Government Digital Service, 2015).</w:t>
            </w:r>
          </w:p>
          <w:p w14:paraId="600EAF13"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2E5F6583"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Additionally, the Mental Capacity Act (MCA) 2005 places a duty on professionals to uphold Human Rights and states you must assume a person has capacity until proven otherwise (Care Inspectorate Wales, 2024). Should an individual be assessed to lack capacity, decisions need to be made in the individuals best interests (MIND, 2023). To prevent harm, the MCA can enable a DoLS, or deprivation of liberty safeguards (Social Care Wales, 2023).</w:t>
            </w:r>
          </w:p>
          <w:p w14:paraId="1CC624DD"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7880F6B1"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 xml:space="preserve">When considering people’s rights, the Equality Act 2010 says you must not discriminate against a person on the basis of any characteristics, including age, sex, disability and race, to name a few (Social Care Wales, 2024). Further, the Human Rights Act 1998, which is a law to protect basic rights in the UK. For example, the law protects right to life, privacy and basic needs which is pertinent in adult safeguarding, and any social work law as it aligns with the well-being principle in the SSWBA 2014 (BASW 2019). The Human Rights Act 1998 ensures that the rights set out in the European Convention on Human Rights are implemented (MIND, 2020). </w:t>
            </w:r>
          </w:p>
          <w:p w14:paraId="0684DE4A"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32506545"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Furthermore, to consider international legislation, the UN Convention on the Rights of Persons with Disabilities promotes human rights of people with disabilities (Social Care Wales, 2024). Further, the UN Principles for Older Persons 1991 which promotes the following principles: Dignity, Self-Fulfilment, Care, Independence and Participation (Older Peoples Commissioner for Wales, 2024).</w:t>
            </w:r>
          </w:p>
          <w:p w14:paraId="5149DE3C"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p>
          <w:p w14:paraId="19DF794B"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b/>
                <w:bCs/>
                <w:i/>
                <w:iCs/>
                <w:color w:val="000000"/>
                <w:lang w:eastAsia="en-GB"/>
              </w:rPr>
            </w:pPr>
            <w:r w:rsidRPr="00F943F3">
              <w:rPr>
                <w:rFonts w:ascii="Arial" w:eastAsia="Times New Roman" w:hAnsi="Arial" w:cs="Arial"/>
                <w:b/>
                <w:bCs/>
                <w:i/>
                <w:iCs/>
                <w:color w:val="000000"/>
                <w:lang w:eastAsia="en-GB"/>
              </w:rPr>
              <w:t>Word count – 534</w:t>
            </w:r>
          </w:p>
          <w:p w14:paraId="2D3CEF64"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p>
          <w:p w14:paraId="15B88B33"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r w:rsidRPr="00F943F3">
              <w:rPr>
                <w:rFonts w:ascii="Arial" w:eastAsia="Times New Roman" w:hAnsi="Arial" w:cs="Arial"/>
                <w:i/>
                <w:color w:val="000000"/>
                <w:lang w:eastAsia="en-GB"/>
              </w:rPr>
              <w:t>500 words</w:t>
            </w:r>
            <w:r w:rsidRPr="00F943F3">
              <w:rPr>
                <w:rFonts w:ascii="Arial" w:eastAsia="Times New Roman" w:hAnsi="Arial" w:cs="Arial"/>
                <w:color w:val="000000"/>
                <w:lang w:eastAsia="en-GB"/>
              </w:rPr>
              <w:t xml:space="preserve"> (+/- 10%: include your actual word count at the end of each section).</w:t>
            </w:r>
          </w:p>
          <w:p w14:paraId="63C0DC05"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b/>
                <w:color w:val="000000"/>
                <w:lang w:eastAsia="en-GB"/>
              </w:rPr>
            </w:pPr>
          </w:p>
        </w:tc>
      </w:tr>
    </w:tbl>
    <w:p w14:paraId="5225D055" w14:textId="77777777" w:rsidR="00733974" w:rsidRPr="00F943F3" w:rsidRDefault="00733974" w:rsidP="00733974">
      <w:pPr>
        <w:overflowPunct w:val="0"/>
        <w:autoSpaceDE w:val="0"/>
        <w:autoSpaceDN w:val="0"/>
        <w:adjustRightInd w:val="0"/>
        <w:jc w:val="both"/>
        <w:textAlignment w:val="baseline"/>
        <w:rPr>
          <w:rFonts w:ascii="Arial" w:eastAsia="Times New Roman" w:hAnsi="Arial" w:cs="Arial"/>
          <w:color w:val="000000"/>
          <w:lang w:eastAsia="en-GB"/>
        </w:rPr>
      </w:pPr>
    </w:p>
    <w:p w14:paraId="0FB63435" w14:textId="77777777" w:rsidR="00733974" w:rsidRPr="00F943F3" w:rsidRDefault="00733974" w:rsidP="00733974">
      <w:pPr>
        <w:overflowPunct w:val="0"/>
        <w:autoSpaceDE w:val="0"/>
        <w:autoSpaceDN w:val="0"/>
        <w:adjustRightInd w:val="0"/>
        <w:jc w:val="both"/>
        <w:textAlignment w:val="baseline"/>
        <w:rPr>
          <w:rFonts w:ascii="Arial" w:eastAsia="Times New Roman" w:hAnsi="Arial" w:cs="Arial"/>
          <w:color w:val="000000"/>
          <w:lang w:eastAsia="en-GB"/>
        </w:rPr>
      </w:pPr>
    </w:p>
    <w:p w14:paraId="5BFD9B3C" w14:textId="77777777" w:rsidR="00733974" w:rsidRPr="00F943F3" w:rsidRDefault="00733974" w:rsidP="00733974">
      <w:pPr>
        <w:overflowPunct w:val="0"/>
        <w:autoSpaceDE w:val="0"/>
        <w:autoSpaceDN w:val="0"/>
        <w:adjustRightInd w:val="0"/>
        <w:jc w:val="both"/>
        <w:textAlignment w:val="baseline"/>
        <w:rPr>
          <w:rFonts w:ascii="Arial" w:eastAsia="Times New Roman" w:hAnsi="Arial" w:cs="Arial"/>
          <w:color w:val="000000"/>
          <w:lang w:eastAsia="en-GB"/>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33974" w:rsidRPr="00F943F3" w14:paraId="4DB50715" w14:textId="77777777" w:rsidTr="00C929A4">
        <w:tc>
          <w:tcPr>
            <w:tcW w:w="10278" w:type="dxa"/>
            <w:shd w:val="clear" w:color="auto" w:fill="auto"/>
          </w:tcPr>
          <w:p w14:paraId="2B393FAA"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b/>
                <w:color w:val="000000"/>
                <w:lang w:eastAsia="en-GB"/>
              </w:rPr>
            </w:pPr>
            <w:r w:rsidRPr="00F943F3">
              <w:rPr>
                <w:rFonts w:ascii="Arial" w:eastAsia="Times New Roman" w:hAnsi="Arial" w:cs="Arial"/>
                <w:b/>
                <w:color w:val="000000"/>
                <w:lang w:eastAsia="en-GB"/>
              </w:rPr>
              <w:t>Question b:</w:t>
            </w:r>
          </w:p>
          <w:p w14:paraId="4E4C21B1"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Reflect on the difference between safeguarding in adults’ and children’s work</w:t>
            </w:r>
          </w:p>
          <w:p w14:paraId="59B56156"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p>
          <w:p w14:paraId="1E63F883"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Whilst there are some similarities in safeguarding for children and adults such as the overarching principles of SSWBA 2014 including voice and control, prevention and early intervention, well-being, co-production and multi-agency working, there are also significant differences between working to safeguard adults and children (Welsh Government, 2014).</w:t>
            </w:r>
          </w:p>
          <w:p w14:paraId="7C416C03"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74D9B8A8"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Firstly, adults have a right to independence mostly, aligning with the Human Rights Act 1998 (SCIE, 2015). However, this can be overridden in specific circumstances, where an adult is deemed to lack capacity or is detained under the Mental Health Act 2005. Although despite the two stated circumstances, adults are generally able to make which ever choices they so wish to, despite on some occasions the choices being seen as unwise by others.</w:t>
            </w:r>
          </w:p>
          <w:p w14:paraId="5F8DF1C0"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6380422B"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However, when considering a child, a child is not always able to make informed decisions in relation to risk and the consequences of said decisions. For example, when considering a young child, they are not able to make informed decisions to ensure their safety and are wholly reliant on their parents and caregivers to meet their basic needs and to certify they are kept safe from harm and abuse. Furthermore, social workers are duty bound by the Children Act 1989 to intervene, typically by way of a Section 47 should there be concerns a child is suffering, or likely to suffer significant harm. Section 3 of SSWBA classes any person under the age of 18, a child (NSPCC, 2024).</w:t>
            </w:r>
          </w:p>
          <w:p w14:paraId="4A774948"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5D432AF1"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 xml:space="preserve">Whilst social workers are duty bound by the SSWBA 2014 to ascertain the child’s wishes and feelings under the voice and control principle, when the child is old enough to articulate these, on occasions these have to be overridden. For example, should a child want to see a parent or return home to parents where unsafe to do so. </w:t>
            </w:r>
          </w:p>
          <w:p w14:paraId="74D34CF1"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693BC13E"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For instance, the Children Act 1989 defines those rights, duties and responsibilities a parent has for a child attributing to their parental responsibility. However, if the parent is unable to ensure the child’s safety and meet their needs, there are occasions whereby the Local Authority can intervene to share parental responsibility with parents under an order such as a Care Order to ensure children’s safety (Gov.Wales, 2007).</w:t>
            </w:r>
          </w:p>
          <w:p w14:paraId="347165EE"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7D601F58"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r w:rsidRPr="00F943F3">
              <w:rPr>
                <w:rFonts w:ascii="Arial" w:eastAsia="Times New Roman" w:hAnsi="Arial" w:cs="Arial"/>
                <w:color w:val="000000"/>
                <w:lang w:eastAsia="en-GB"/>
              </w:rPr>
              <w:t>Although, there are elements where children can be assessed by professionals using Gillick Competency and this is based on the child’s maturity, age and capacity. This can be for children to make decisions around medical treatment, support without parents knowing and future living arrangements, conflicting with their parents views. Further, professionals can assess to ascertain if children meet the ‘Fraser Guidelines’, which allows children to access sexual health services without parental consent (NSPCC, 2022).</w:t>
            </w:r>
          </w:p>
          <w:p w14:paraId="6B9F6289"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color w:val="000000"/>
                <w:lang w:eastAsia="en-GB"/>
              </w:rPr>
            </w:pPr>
          </w:p>
          <w:p w14:paraId="5C940D71" w14:textId="77777777" w:rsidR="00733974" w:rsidRPr="00F943F3" w:rsidRDefault="00733974" w:rsidP="00C929A4">
            <w:pPr>
              <w:overflowPunct w:val="0"/>
              <w:autoSpaceDE w:val="0"/>
              <w:autoSpaceDN w:val="0"/>
              <w:adjustRightInd w:val="0"/>
              <w:spacing w:line="360" w:lineRule="auto"/>
              <w:jc w:val="both"/>
              <w:textAlignment w:val="baseline"/>
              <w:rPr>
                <w:rFonts w:ascii="Arial" w:eastAsia="Times New Roman" w:hAnsi="Arial" w:cs="Arial"/>
                <w:b/>
                <w:bCs/>
                <w:i/>
                <w:iCs/>
                <w:color w:val="000000"/>
                <w:lang w:eastAsia="en-GB"/>
              </w:rPr>
            </w:pPr>
            <w:r w:rsidRPr="00F943F3">
              <w:rPr>
                <w:rFonts w:ascii="Arial" w:eastAsia="Times New Roman" w:hAnsi="Arial" w:cs="Arial"/>
                <w:b/>
                <w:bCs/>
                <w:i/>
                <w:iCs/>
                <w:color w:val="000000"/>
                <w:lang w:eastAsia="en-GB"/>
              </w:rPr>
              <w:t>Word count – 439</w:t>
            </w:r>
          </w:p>
          <w:p w14:paraId="36D482A4"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p>
          <w:p w14:paraId="11A49836"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i/>
                <w:color w:val="000000"/>
                <w:lang w:eastAsia="en-GB"/>
              </w:rPr>
            </w:pPr>
            <w:r w:rsidRPr="00F943F3">
              <w:rPr>
                <w:rFonts w:ascii="Arial" w:eastAsia="Times New Roman" w:hAnsi="Arial" w:cs="Arial"/>
                <w:i/>
                <w:color w:val="000000"/>
                <w:lang w:eastAsia="en-GB"/>
              </w:rPr>
              <w:t>400 words</w:t>
            </w:r>
            <w:r w:rsidRPr="00F943F3">
              <w:rPr>
                <w:rFonts w:ascii="Arial" w:eastAsia="Times New Roman" w:hAnsi="Arial" w:cs="Arial"/>
                <w:color w:val="000000"/>
                <w:lang w:eastAsia="en-GB"/>
              </w:rPr>
              <w:t xml:space="preserve"> </w:t>
            </w:r>
            <w:r w:rsidRPr="00F943F3">
              <w:rPr>
                <w:rFonts w:ascii="Arial" w:eastAsia="Times New Roman" w:hAnsi="Arial" w:cs="Arial"/>
                <w:i/>
                <w:color w:val="000000"/>
                <w:lang w:eastAsia="en-GB"/>
              </w:rPr>
              <w:t>(+/- 10%: include your actual word count at the end of each section).</w:t>
            </w:r>
          </w:p>
          <w:p w14:paraId="726FFFCB" w14:textId="77777777" w:rsidR="00733974" w:rsidRPr="00F943F3" w:rsidRDefault="00733974" w:rsidP="00C929A4">
            <w:pPr>
              <w:overflowPunct w:val="0"/>
              <w:autoSpaceDE w:val="0"/>
              <w:autoSpaceDN w:val="0"/>
              <w:adjustRightInd w:val="0"/>
              <w:jc w:val="both"/>
              <w:textAlignment w:val="baseline"/>
              <w:rPr>
                <w:rFonts w:ascii="Arial" w:eastAsia="Times New Roman" w:hAnsi="Arial" w:cs="Arial"/>
                <w:color w:val="000000"/>
                <w:lang w:eastAsia="en-GB"/>
              </w:rPr>
            </w:pPr>
          </w:p>
        </w:tc>
      </w:tr>
    </w:tbl>
    <w:p w14:paraId="34DD7FAE" w14:textId="77777777" w:rsidR="00733974" w:rsidRPr="00F943F3" w:rsidRDefault="00733974" w:rsidP="00733974">
      <w:pPr>
        <w:overflowPunct w:val="0"/>
        <w:autoSpaceDE w:val="0"/>
        <w:autoSpaceDN w:val="0"/>
        <w:adjustRightInd w:val="0"/>
        <w:textAlignment w:val="baseline"/>
        <w:rPr>
          <w:rFonts w:ascii="Arial" w:eastAsia="Times New Roman" w:hAnsi="Arial" w:cs="Arial"/>
          <w:color w:val="000000"/>
          <w:lang w:eastAsia="en-GB"/>
        </w:rPr>
      </w:pPr>
    </w:p>
    <w:p w14:paraId="307801E4" w14:textId="77777777" w:rsidR="00733974" w:rsidRPr="00FA4FB5" w:rsidRDefault="00733974" w:rsidP="00733974"/>
    <w:p w14:paraId="06ED4CD7" w14:textId="77777777" w:rsidR="00733974" w:rsidRPr="00FA4FB5" w:rsidRDefault="00733974" w:rsidP="00733974"/>
    <w:p w14:paraId="58A992BF" w14:textId="77777777" w:rsidR="00733974" w:rsidRPr="00FA4FB5" w:rsidRDefault="00733974" w:rsidP="00733974"/>
    <w:p w14:paraId="7C6F7D87" w14:textId="77777777" w:rsidR="00733974" w:rsidRDefault="00733974"/>
    <w:sectPr w:rsidR="0073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974"/>
    <w:rsid w:val="000057B7"/>
    <w:rsid w:val="00202C63"/>
    <w:rsid w:val="00442B51"/>
    <w:rsid w:val="004E6B03"/>
    <w:rsid w:val="0051601D"/>
    <w:rsid w:val="00612B77"/>
    <w:rsid w:val="0062222C"/>
    <w:rsid w:val="00733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8B4A"/>
  <w15:chartTrackingRefBased/>
  <w15:docId w15:val="{F6737C76-96D8-474F-A2F5-3A5B6E2EC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974"/>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73397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3397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33974"/>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33974"/>
    <w:pPr>
      <w:keepNext/>
      <w:keepLines/>
      <w:spacing w:before="80" w:after="40" w:line="259" w:lineRule="auto"/>
      <w:outlineLvl w:val="3"/>
    </w:pPr>
    <w:rPr>
      <w:rFonts w:eastAsiaTheme="majorEastAsia"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733974"/>
    <w:pPr>
      <w:keepNext/>
      <w:keepLines/>
      <w:spacing w:before="80" w:after="40" w:line="259" w:lineRule="auto"/>
      <w:outlineLvl w:val="4"/>
    </w:pPr>
    <w:rPr>
      <w:rFonts w:eastAsiaTheme="majorEastAsia"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733974"/>
    <w:pPr>
      <w:keepNext/>
      <w:keepLines/>
      <w:spacing w:before="40" w:line="259" w:lineRule="auto"/>
      <w:outlineLvl w:val="5"/>
    </w:pPr>
    <w:rPr>
      <w:rFonts w:eastAsiaTheme="majorEastAsia"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733974"/>
    <w:pPr>
      <w:keepNext/>
      <w:keepLines/>
      <w:spacing w:before="40" w:line="259" w:lineRule="auto"/>
      <w:outlineLvl w:val="6"/>
    </w:pPr>
    <w:rPr>
      <w:rFonts w:eastAsiaTheme="majorEastAsia"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733974"/>
    <w:pPr>
      <w:keepNext/>
      <w:keepLines/>
      <w:spacing w:line="259" w:lineRule="auto"/>
      <w:outlineLvl w:val="7"/>
    </w:pPr>
    <w:rPr>
      <w:rFonts w:eastAsiaTheme="majorEastAsia"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733974"/>
    <w:pPr>
      <w:keepNext/>
      <w:keepLines/>
      <w:spacing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9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39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39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39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39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39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39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39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3974"/>
    <w:rPr>
      <w:rFonts w:eastAsiaTheme="majorEastAsia" w:cstheme="majorBidi"/>
      <w:color w:val="272727" w:themeColor="text1" w:themeTint="D8"/>
    </w:rPr>
  </w:style>
  <w:style w:type="paragraph" w:styleId="Title">
    <w:name w:val="Title"/>
    <w:basedOn w:val="Normal"/>
    <w:next w:val="Normal"/>
    <w:link w:val="TitleChar"/>
    <w:uiPriority w:val="10"/>
    <w:qFormat/>
    <w:rsid w:val="0073397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339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3974"/>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339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3974"/>
    <w:pPr>
      <w:spacing w:before="160" w:after="160" w:line="259" w:lineRule="auto"/>
      <w:jc w:val="center"/>
    </w:pPr>
    <w:rPr>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733974"/>
    <w:rPr>
      <w:i/>
      <w:iCs/>
      <w:color w:val="404040" w:themeColor="text1" w:themeTint="BF"/>
    </w:rPr>
  </w:style>
  <w:style w:type="paragraph" w:styleId="ListParagraph">
    <w:name w:val="List Paragraph"/>
    <w:basedOn w:val="Normal"/>
    <w:uiPriority w:val="34"/>
    <w:qFormat/>
    <w:rsid w:val="00733974"/>
    <w:pPr>
      <w:spacing w:after="160" w:line="259" w:lineRule="auto"/>
      <w:ind w:left="720"/>
      <w:contextualSpacing/>
    </w:pPr>
    <w:rPr>
      <w:kern w:val="2"/>
      <w:sz w:val="22"/>
      <w:szCs w:val="22"/>
      <w14:ligatures w14:val="standardContextual"/>
    </w:rPr>
  </w:style>
  <w:style w:type="character" w:styleId="IntenseEmphasis">
    <w:name w:val="Intense Emphasis"/>
    <w:basedOn w:val="DefaultParagraphFont"/>
    <w:uiPriority w:val="21"/>
    <w:qFormat/>
    <w:rsid w:val="00733974"/>
    <w:rPr>
      <w:i/>
      <w:iCs/>
      <w:color w:val="0F4761" w:themeColor="accent1" w:themeShade="BF"/>
    </w:rPr>
  </w:style>
  <w:style w:type="paragraph" w:styleId="IntenseQuote">
    <w:name w:val="Intense Quote"/>
    <w:basedOn w:val="Normal"/>
    <w:next w:val="Normal"/>
    <w:link w:val="IntenseQuoteChar"/>
    <w:uiPriority w:val="30"/>
    <w:qFormat/>
    <w:rsid w:val="00733974"/>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733974"/>
    <w:rPr>
      <w:i/>
      <w:iCs/>
      <w:color w:val="0F4761" w:themeColor="accent1" w:themeShade="BF"/>
    </w:rPr>
  </w:style>
  <w:style w:type="character" w:styleId="IntenseReference">
    <w:name w:val="Intense Reference"/>
    <w:basedOn w:val="DefaultParagraphFont"/>
    <w:uiPriority w:val="32"/>
    <w:qFormat/>
    <w:rsid w:val="007339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1128</Words>
  <Characters>6431</Characters>
  <Application>Microsoft Office Word</Application>
  <DocSecurity>0</DocSecurity>
  <Lines>53</Lines>
  <Paragraphs>15</Paragraphs>
  <ScaleCrop>false</ScaleCrop>
  <Company>Swansea Council</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Bowden</dc:creator>
  <cp:keywords/>
  <dc:description/>
  <cp:lastModifiedBy>Emily Bowden</cp:lastModifiedBy>
  <cp:revision>1</cp:revision>
  <dcterms:created xsi:type="dcterms:W3CDTF">2024-10-07T16:06:00Z</dcterms:created>
  <dcterms:modified xsi:type="dcterms:W3CDTF">2024-10-07T16:07:00Z</dcterms:modified>
</cp:coreProperties>
</file>