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0" w:after="160" w:line="360"/>
        <w:ind w:right="0" w:left="0" w:firstLine="0"/>
        <w:jc w:val="center"/>
        <w:rPr>
          <w:rFonts w:ascii="Arial" w:hAnsi="Arial" w:cs="Arial" w:eastAsia="Arial"/>
          <w:b/>
          <w:color w:val="auto"/>
          <w:spacing w:val="0"/>
          <w:position w:val="0"/>
          <w:sz w:val="40"/>
          <w:shd w:fill="auto" w:val="clear"/>
        </w:rPr>
      </w:pPr>
      <w:r>
        <w:rPr>
          <w:rFonts w:ascii="Arial" w:hAnsi="Arial" w:cs="Arial" w:eastAsia="Arial"/>
          <w:b/>
          <w:color w:val="auto"/>
          <w:spacing w:val="0"/>
          <w:position w:val="0"/>
          <w:sz w:val="40"/>
          <w:shd w:fill="auto" w:val="clear"/>
        </w:rPr>
        <w:t xml:space="preserve">Food and Beverage operations</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BMIH4002, Assignment - 1</w:t>
      </w:r>
    </w:p>
    <w:p>
      <w:pPr>
        <w:spacing w:before="0" w:after="160" w:line="360"/>
        <w:ind w:right="0" w:left="0" w:firstLine="0"/>
        <w:jc w:val="center"/>
        <w:rPr>
          <w:rFonts w:ascii="Arial" w:hAnsi="Arial" w:cs="Arial" w:eastAsia="Arial"/>
          <w:b/>
          <w:color w:val="2F5496"/>
          <w:spacing w:val="0"/>
          <w:position w:val="0"/>
          <w:sz w:val="28"/>
          <w:shd w:fill="auto" w:val="clear"/>
        </w:rPr>
      </w:pPr>
      <w:r>
        <w:rPr>
          <w:rFonts w:ascii="Arial" w:hAnsi="Arial" w:cs="Arial" w:eastAsia="Arial"/>
          <w:b/>
          <w:color w:val="2F5496"/>
          <w:spacing w:val="0"/>
          <w:position w:val="0"/>
          <w:sz w:val="28"/>
          <w:shd w:fill="auto" w:val="clear"/>
        </w:rPr>
        <w:t xml:space="preserve">Title:</w:t>
      </w:r>
    </w:p>
    <w:p>
      <w:pPr>
        <w:spacing w:before="0" w:after="160" w:line="360"/>
        <w:ind w:right="0" w:left="0" w:firstLine="0"/>
        <w:jc w:val="center"/>
        <w:rPr>
          <w:rFonts w:ascii="Arial" w:hAnsi="Arial" w:cs="Arial" w:eastAsia="Arial"/>
          <w:b/>
          <w:color w:val="2F5496"/>
          <w:spacing w:val="0"/>
          <w:position w:val="0"/>
          <w:sz w:val="24"/>
          <w:shd w:fill="auto" w:val="clear"/>
        </w:rPr>
      </w:pPr>
      <w:r>
        <w:rPr>
          <w:rFonts w:ascii="Arial" w:hAnsi="Arial" w:cs="Arial" w:eastAsia="Arial"/>
          <w:b/>
          <w:color w:val="2F5496"/>
          <w:spacing w:val="0"/>
          <w:position w:val="0"/>
          <w:sz w:val="24"/>
          <w:shd w:fill="auto" w:val="clear"/>
        </w:rPr>
        <w:t xml:space="preserve">“Does the required skill set of a Food and Beverage employee change, based on the type of business and service of business that the food and beverage operation utilize?”</w:t>
      </w:r>
    </w:p>
    <w:p>
      <w:pPr>
        <w:spacing w:before="0" w:after="160" w:line="360"/>
        <w:ind w:right="0" w:left="0" w:firstLine="0"/>
        <w:jc w:val="center"/>
        <w:rPr>
          <w:rFonts w:ascii="Arial" w:hAnsi="Arial" w:cs="Arial" w:eastAsia="Arial"/>
          <w:b/>
          <w:color w:val="2F5496"/>
          <w:spacing w:val="0"/>
          <w:position w:val="0"/>
          <w:sz w:val="24"/>
          <w:shd w:fill="auto" w:val="clear"/>
        </w:rPr>
      </w:pPr>
    </w:p>
    <w:p>
      <w:pPr>
        <w:spacing w:before="0" w:after="160" w:line="360"/>
        <w:ind w:right="0" w:left="0" w:firstLine="0"/>
        <w:jc w:val="center"/>
        <w:rPr>
          <w:rFonts w:ascii="Arial" w:hAnsi="Arial" w:cs="Arial" w:eastAsia="Arial"/>
          <w:b/>
          <w:color w:val="2F5496"/>
          <w:spacing w:val="0"/>
          <w:position w:val="0"/>
          <w:sz w:val="24"/>
          <w:shd w:fill="auto" w:val="clear"/>
        </w:rPr>
      </w:pPr>
    </w:p>
    <w:p>
      <w:pPr>
        <w:spacing w:before="0" w:after="160" w:line="240"/>
        <w:ind w:right="0" w:left="0" w:firstLine="720"/>
        <w:jc w:val="left"/>
        <w:rPr>
          <w:rFonts w:ascii="Arial" w:hAnsi="Arial" w:cs="Arial" w:eastAsia="Arial"/>
          <w:i/>
          <w:color w:val="2F5496"/>
          <w:spacing w:val="0"/>
          <w:position w:val="0"/>
          <w:sz w:val="28"/>
          <w:shd w:fill="auto" w:val="clear"/>
        </w:rPr>
      </w:pPr>
      <w:r>
        <w:rPr>
          <w:rFonts w:ascii="Arial" w:hAnsi="Arial" w:cs="Arial" w:eastAsia="Arial"/>
          <w:i/>
          <w:color w:val="2F5496"/>
          <w:spacing w:val="0"/>
          <w:position w:val="0"/>
          <w:sz w:val="28"/>
          <w:shd w:fill="auto" w:val="clear"/>
        </w:rPr>
        <w:t xml:space="preserve">Student Name</w:t>
        <w:tab/>
        <w:t xml:space="preserve">: </w:t>
      </w:r>
      <w:r>
        <w:rPr>
          <w:rFonts w:ascii="Arial" w:hAnsi="Arial" w:cs="Arial" w:eastAsia="Arial"/>
          <w:i/>
          <w:color w:val="2F5496"/>
          <w:spacing w:val="0"/>
          <w:position w:val="0"/>
          <w:sz w:val="28"/>
          <w:shd w:fill="auto" w:val="clear"/>
        </w:rPr>
        <w:t xml:space="preserve">pavlina tancosova</w:t>
      </w:r>
    </w:p>
    <w:p>
      <w:pPr>
        <w:spacing w:before="0" w:after="160" w:line="240"/>
        <w:ind w:right="0" w:left="0" w:firstLine="720"/>
        <w:jc w:val="both"/>
        <w:rPr>
          <w:rFonts w:ascii="Arial" w:hAnsi="Arial" w:cs="Arial" w:eastAsia="Arial"/>
          <w:i/>
          <w:color w:val="2F5496"/>
          <w:spacing w:val="0"/>
          <w:position w:val="0"/>
          <w:sz w:val="28"/>
          <w:shd w:fill="auto" w:val="clear"/>
        </w:rPr>
      </w:pPr>
      <w:r>
        <w:rPr>
          <w:rFonts w:ascii="Arial" w:hAnsi="Arial" w:cs="Arial" w:eastAsia="Arial"/>
          <w:i/>
          <w:color w:val="2F5496"/>
          <w:spacing w:val="0"/>
          <w:position w:val="0"/>
          <w:sz w:val="28"/>
          <w:shd w:fill="auto" w:val="clear"/>
        </w:rPr>
        <w:t xml:space="preserve">Student ID</w:t>
        <w:tab/>
        <w:tab/>
        <w:t xml:space="preserve">:</w:t>
      </w:r>
      <w:r>
        <w:rPr>
          <w:rFonts w:ascii="Arial" w:hAnsi="Arial" w:cs="Arial" w:eastAsia="Arial"/>
          <w:i/>
          <w:color w:val="2F5496"/>
          <w:spacing w:val="0"/>
          <w:position w:val="0"/>
          <w:sz w:val="28"/>
          <w:shd w:fill="auto" w:val="clear"/>
        </w:rPr>
        <w:t xml:space="preserve">2210012</w:t>
      </w:r>
    </w:p>
    <w:p>
      <w:pPr>
        <w:spacing w:before="0" w:after="160" w:line="240"/>
        <w:ind w:right="0" w:left="0" w:firstLine="720"/>
        <w:jc w:val="both"/>
        <w:rPr>
          <w:rFonts w:ascii="Arial" w:hAnsi="Arial" w:cs="Arial" w:eastAsia="Arial"/>
          <w:i/>
          <w:color w:val="auto"/>
          <w:spacing w:val="0"/>
          <w:position w:val="0"/>
          <w:sz w:val="28"/>
          <w:shd w:fill="auto" w:val="clear"/>
        </w:rPr>
      </w:pPr>
      <w:r>
        <w:rPr>
          <w:rFonts w:ascii="Arial" w:hAnsi="Arial" w:cs="Arial" w:eastAsia="Arial"/>
          <w:i/>
          <w:color w:val="2F5496"/>
          <w:spacing w:val="0"/>
          <w:position w:val="0"/>
          <w:sz w:val="28"/>
          <w:shd w:fill="auto" w:val="clear"/>
        </w:rPr>
        <w:t xml:space="preserve">Lecturer’s name</w:t>
        <w:tab/>
        <w:t xml:space="preserve">:</w:t>
      </w:r>
      <w:r>
        <w:rPr>
          <w:rFonts w:ascii="Arial" w:hAnsi="Arial" w:cs="Arial" w:eastAsia="Arial"/>
          <w:i/>
          <w:color w:val="2F5496"/>
          <w:spacing w:val="0"/>
          <w:position w:val="0"/>
          <w:sz w:val="28"/>
          <w:shd w:fill="auto" w:val="clear"/>
        </w:rPr>
        <w:t xml:space="preserve">Tristan Hawkins</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Introduction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today's world, a robust food and beverage (F&amp;B) service sector benefits a country's economy in a variety of ways. According to George, the tourist sector depends on the food and beverage industry, which is the second-largest sector of the hospitality industry after lodging (2008: 179). The hospitality sector's financial performance is significantly influenced by the food and beverage services sector. The importance of business meetings and other types of personal and social occasions is increasing; therefore, many people use catering services frequently. The employees of the food and beverage industry put in a lot of effort to enhance the client experience (Davis, 2018).</w:t>
      </w:r>
    </w:p>
    <w:p>
      <w:pPr>
        <w:spacing w:before="0" w:after="160" w:line="360"/>
        <w:ind w:right="0" w:left="0" w:firstLine="0"/>
        <w:jc w:val="both"/>
        <w:rPr>
          <w:rFonts w:ascii="Arial" w:hAnsi="Arial" w:cs="Arial" w:eastAsia="Arial"/>
          <w:b/>
          <w:color w:val="auto"/>
          <w:spacing w:val="0"/>
          <w:position w:val="0"/>
          <w:sz w:val="28"/>
          <w:shd w:fill="auto" w:val="clear"/>
        </w:rPr>
      </w:pPr>
      <w:r>
        <w:rPr>
          <w:rFonts w:ascii="Arial" w:hAnsi="Arial" w:cs="Arial" w:eastAsia="Arial"/>
          <w:b/>
          <w:color w:val="auto"/>
          <w:spacing w:val="0"/>
          <w:position w:val="0"/>
          <w:sz w:val="28"/>
          <w:shd w:fill="auto" w:val="clear"/>
        </w:rPr>
        <w:t xml:space="preserve">Discussion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people, who work in the food and beverage sector take customers' orders, deliver their food and beverage orders, check on them after they've eaten, collect their payments, and deal with complaints and other issues as they arise. They are employed by businesses including fast food restaurants, dining rooms, hotels, posh clubs, convention centers, and cruise ships among others. They learn about food and beverage goods, appropriate alcohol serving techniques, and customer service abilities (</w:t>
      </w:r>
      <w:r>
        <w:rPr>
          <w:rFonts w:ascii="Arial" w:hAnsi="Arial" w:cs="Arial" w:eastAsia="Arial"/>
          <w:color w:val="222222"/>
          <w:spacing w:val="0"/>
          <w:position w:val="0"/>
          <w:sz w:val="24"/>
          <w:shd w:fill="FFFFFF" w:val="clear"/>
        </w:rPr>
        <w:t xml:space="preserve">Viljoen et al., 2014)</w:t>
      </w:r>
      <w:r>
        <w:rPr>
          <w:rFonts w:ascii="Arial" w:hAnsi="Arial" w:cs="Arial" w:eastAsia="Arial"/>
          <w:color w:val="auto"/>
          <w:spacing w:val="0"/>
          <w:position w:val="0"/>
          <w:sz w:val="24"/>
          <w:shd w:fill="auto" w:val="clear"/>
        </w:rPr>
        <w:t xml:space="preserve">.</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color w:val="auto"/>
          <w:spacing w:val="0"/>
          <w:position w:val="0"/>
          <w:sz w:val="24"/>
          <w:shd w:fill="auto" w:val="clear"/>
        </w:rPr>
        <w:t xml:space="preserve">The question now is, </w:t>
      </w:r>
      <w:r>
        <w:rPr>
          <w:rFonts w:ascii="Arial" w:hAnsi="Arial" w:cs="Arial" w:eastAsia="Arial"/>
          <w:b/>
          <w:color w:val="auto"/>
          <w:spacing w:val="0"/>
          <w:position w:val="0"/>
          <w:sz w:val="24"/>
          <w:shd w:fill="auto" w:val="clear"/>
        </w:rPr>
        <w:t xml:space="preserve">"Does the required skill set of a food and beverage employee change, based on the type of business and service of business that the food and beverage operation utilize?"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workers in the food and beverage business do have a variety of skills, depending on the goods and services offered.</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list of food and beverage-related company and service categories that include those where personnel skill levels vary follows.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1. Fine dining establishments</w:t>
      </w:r>
      <w:r>
        <w:rPr>
          <w:rFonts w:ascii="Arial" w:hAnsi="Arial" w:cs="Arial" w:eastAsia="Arial"/>
          <w:color w:val="auto"/>
          <w:spacing w:val="0"/>
          <w:position w:val="0"/>
          <w:sz w:val="24"/>
          <w:shd w:fill="auto" w:val="clear"/>
        </w:rPr>
        <w:t xml:space="preserve">: In an expensive restaurant, you can eat and drink while enjoying excellent food and imaginative presentations. Most customers are extremely wealthy and consider eating to be a leisure activity. Their food is quite refined and diverse. These sorts of food and beverage establishments have specific table service guidelines that staff members must follow when serving guests.</w:t>
      </w:r>
    </w:p>
    <w:p>
      <w:pPr>
        <w:numPr>
          <w:ilvl w:val="0"/>
          <w:numId w:val="5"/>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waiters formally and jovially welcome the visitors.</w:t>
      </w:r>
    </w:p>
    <w:p>
      <w:pPr>
        <w:numPr>
          <w:ilvl w:val="0"/>
          <w:numId w:val="5"/>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chefs benefit from the upscale cuisine.</w:t>
      </w:r>
    </w:p>
    <w:p>
      <w:pPr>
        <w:numPr>
          <w:ilvl w:val="0"/>
          <w:numId w:val="5"/>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waiter or waitress may address the customer as sir or madam. </w:t>
      </w:r>
    </w:p>
    <w:p>
      <w:pPr>
        <w:numPr>
          <w:ilvl w:val="0"/>
          <w:numId w:val="5"/>
        </w:numPr>
        <w:spacing w:before="0" w:after="16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server or waiter must be fully aware of who ordered specific dishes before delivering the customers' orders. Whereas the chef makes food for the guests, the other staff members labor to ensure that they are in a comfortable environment and that their needs have been met.</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2. Brasserie</w:t>
      </w:r>
      <w:r>
        <w:rPr>
          <w:rFonts w:ascii="Arial" w:hAnsi="Arial" w:cs="Arial" w:eastAsia="Arial"/>
          <w:color w:val="auto"/>
          <w:spacing w:val="0"/>
          <w:position w:val="0"/>
          <w:sz w:val="24"/>
          <w:shd w:fill="auto" w:val="clear"/>
        </w:rPr>
        <w:t xml:space="preserve">: Brasserie eateries typically attempt to provide top-notch meals in a more relaxed environment and at a more affordable price. They are typically regarded to as a fantastic dining option that is open all day.</w:t>
      </w:r>
    </w:p>
    <w:p>
      <w:pPr>
        <w:numPr>
          <w:ilvl w:val="0"/>
          <w:numId w:val="7"/>
        </w:numPr>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waiters are aware that drinks are served from the right and that the chefs prepare meals in front of the guests to showcase their culinary skills. </w:t>
      </w:r>
    </w:p>
    <w:p>
      <w:pPr>
        <w:numPr>
          <w:ilvl w:val="0"/>
          <w:numId w:val="7"/>
        </w:numPr>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waiters are aware that drinks are given from the right and that the chefs prepare meals in front of the customers to showcase their culinary skills, as this form of service is so expensive and intricate, necessitating persons who are exceedingly meticulous and highly talented.</w:t>
      </w:r>
    </w:p>
    <w:p>
      <w:pPr>
        <w:numPr>
          <w:ilvl w:val="0"/>
          <w:numId w:val="7"/>
        </w:numPr>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Professional staff is employed to run the server slowly and correctly in this type of service.</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3. Buffet service:</w:t>
      </w:r>
      <w:r>
        <w:rPr>
          <w:rFonts w:ascii="Arial" w:hAnsi="Arial" w:cs="Arial" w:eastAsia="Arial"/>
          <w:color w:val="auto"/>
          <w:spacing w:val="0"/>
          <w:position w:val="0"/>
          <w:sz w:val="24"/>
          <w:shd w:fill="auto" w:val="clear"/>
        </w:rPr>
        <w:t xml:space="preserve"> In a public setting, a buffet can be a sideboard or a technique to serve food so that guests can help themselves.</w:t>
      </w:r>
    </w:p>
    <w:p>
      <w:pPr>
        <w:numPr>
          <w:ilvl w:val="0"/>
          <w:numId w:val="9"/>
        </w:numPr>
        <w:spacing w:before="0" w:after="160" w:line="360"/>
        <w:ind w:right="0" w:left="78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From behind the counter, waiters help clients transfer food from the chafing dish to the plate.</w:t>
      </w:r>
    </w:p>
    <w:p>
      <w:pPr>
        <w:numPr>
          <w:ilvl w:val="0"/>
          <w:numId w:val="9"/>
        </w:numPr>
        <w:spacing w:before="0" w:after="160" w:line="360"/>
        <w:ind w:right="0" w:left="78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staff regularly restocks the buffet containers. • Some buffet counters have cooking stations where the food is prepared as it is served, such as fish or meat stations or pasta stations.</w:t>
      </w:r>
    </w:p>
    <w:p>
      <w:pPr>
        <w:spacing w:before="0" w:after="160" w:line="360"/>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4. Cafe: Cafe seating arrangements are typically comfortable. This type of service is widely utilized in canteens, office cafeterias, etc. Cafes are places where you can get a variety of hot and cold drinks, snacks, and cooked foods like sandwiches, pizza, and cakes.</w:t>
      </w:r>
    </w:p>
    <w:p>
      <w:pPr>
        <w:numPr>
          <w:ilvl w:val="0"/>
          <w:numId w:val="11"/>
        </w:numPr>
        <w:spacing w:before="0" w:after="160" w:line="360"/>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After the diner has finished eating, the waiter makes sure the used plates are removed.</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is how, depending on the sort of business and service provided by the food and beverage industry, the skills and nature of the jobs of the employees alter (</w:t>
      </w:r>
      <w:r>
        <w:rPr>
          <w:rFonts w:ascii="Arial" w:hAnsi="Arial" w:cs="Arial" w:eastAsia="Arial"/>
          <w:color w:val="222222"/>
          <w:spacing w:val="0"/>
          <w:position w:val="0"/>
          <w:sz w:val="22"/>
          <w:shd w:fill="FFFFFF" w:val="clear"/>
        </w:rPr>
        <w:t xml:space="preserve">Viljoen et al., 2014)</w:t>
      </w:r>
      <w:r>
        <w:rPr>
          <w:rFonts w:ascii="Arial" w:hAnsi="Arial" w:cs="Arial" w:eastAsia="Arial"/>
          <w:color w:val="auto"/>
          <w:spacing w:val="0"/>
          <w:position w:val="0"/>
          <w:sz w:val="24"/>
          <w:shd w:fill="auto" w:val="clear"/>
        </w:rPr>
        <w:t xml:space="preserve">.</w:t>
      </w: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Personal Reflection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Many people, including myself, think that the nation would be considerably better off if everyone worked as a waiter or bartender for a year. I frequently overtip when a plate is dropped in a restaurant and I see the waitress get beet red, which makes me slightly desirous of death. While I was still in high school, I got my first "real" job at a fast-casual restaurant. I bussed tables at a country club, attended bartending school, served, and then helped with event management during my internships in college. I also worked at a different fast-casual restaurant. I not only worked with some of the most tough coworkers, but I also met some of the most amazing, devoted, and fascinating people. I've experienced times when I swiftly absorbed a lot of information and was amazed that I could even remember it all (Sarwar, 2012). </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Apart from that, I ate some of the most delicious cuisine I have ever had. Long-time employees in the food and beverage business I've encountered all share one quality in common: they're tough as nails, despite appearances to the contrary. Everyone's journey to where they are today was different, but for me, the fast-paced, thrilling, and occasionally brutal food and beverage (and hospitality) industries largely defined my professional life.</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360"/>
        <w:ind w:right="0" w:left="0" w:firstLine="0"/>
        <w:jc w:val="both"/>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Reference</w:t>
      </w:r>
    </w:p>
    <w:p>
      <w:pPr>
        <w:numPr>
          <w:ilvl w:val="0"/>
          <w:numId w:val="15"/>
        </w:numPr>
        <w:spacing w:before="0" w:after="160" w:line="360"/>
        <w:ind w:right="0" w:left="720" w:hanging="360"/>
        <w:jc w:val="both"/>
        <w:rPr>
          <w:rFonts w:ascii="Arial" w:hAnsi="Arial" w:cs="Arial" w:eastAsia="Arial"/>
          <w:color w:val="auto"/>
          <w:spacing w:val="0"/>
          <w:position w:val="0"/>
          <w:sz w:val="32"/>
          <w:shd w:fill="auto" w:val="clear"/>
        </w:rPr>
      </w:pPr>
      <w:r>
        <w:rPr>
          <w:rFonts w:ascii="Arial" w:hAnsi="Arial" w:cs="Arial" w:eastAsia="Arial"/>
          <w:color w:val="222222"/>
          <w:spacing w:val="0"/>
          <w:position w:val="0"/>
          <w:sz w:val="24"/>
          <w:shd w:fill="FFFFFF" w:val="clear"/>
        </w:rPr>
        <w:t xml:space="preserve">Davis, B., Lockwood, A., Alcott, P. and Pantelidis, I.S., 2018. </w:t>
      </w:r>
      <w:r>
        <w:rPr>
          <w:rFonts w:ascii="Arial" w:hAnsi="Arial" w:cs="Arial" w:eastAsia="Arial"/>
          <w:i/>
          <w:color w:val="222222"/>
          <w:spacing w:val="0"/>
          <w:position w:val="0"/>
          <w:sz w:val="24"/>
          <w:shd w:fill="FFFFFF" w:val="clear"/>
        </w:rPr>
        <w:t xml:space="preserve">Food and beverage management</w:t>
      </w:r>
      <w:r>
        <w:rPr>
          <w:rFonts w:ascii="Arial" w:hAnsi="Arial" w:cs="Arial" w:eastAsia="Arial"/>
          <w:color w:val="222222"/>
          <w:spacing w:val="0"/>
          <w:position w:val="0"/>
          <w:sz w:val="24"/>
          <w:shd w:fill="FFFFFF" w:val="clear"/>
        </w:rPr>
        <w:t xml:space="preserve">. Routledge.</w:t>
      </w:r>
    </w:p>
    <w:p>
      <w:pPr>
        <w:numPr>
          <w:ilvl w:val="0"/>
          <w:numId w:val="15"/>
        </w:numPr>
        <w:spacing w:before="0" w:after="160" w:line="360"/>
        <w:ind w:right="0" w:left="720" w:hanging="360"/>
        <w:jc w:val="both"/>
        <w:rPr>
          <w:rFonts w:ascii="Arial" w:hAnsi="Arial" w:cs="Arial" w:eastAsia="Arial"/>
          <w:color w:val="auto"/>
          <w:spacing w:val="0"/>
          <w:position w:val="0"/>
          <w:sz w:val="32"/>
          <w:shd w:fill="auto" w:val="clear"/>
        </w:rPr>
      </w:pPr>
      <w:r>
        <w:rPr>
          <w:rFonts w:ascii="Arial" w:hAnsi="Arial" w:cs="Arial" w:eastAsia="Arial"/>
          <w:color w:val="222222"/>
          <w:spacing w:val="0"/>
          <w:position w:val="0"/>
          <w:sz w:val="24"/>
          <w:shd w:fill="FFFFFF" w:val="clear"/>
        </w:rPr>
        <w:t xml:space="preserve">Viljoen, A., Kruger, S. and Saayman, M., 2014. Understanding the role that Quality of Work Life of food and beverage employees plays in perceived service delivery and productivity. </w:t>
      </w:r>
      <w:r>
        <w:rPr>
          <w:rFonts w:ascii="Arial" w:hAnsi="Arial" w:cs="Arial" w:eastAsia="Arial"/>
          <w:i/>
          <w:color w:val="222222"/>
          <w:spacing w:val="0"/>
          <w:position w:val="0"/>
          <w:sz w:val="24"/>
          <w:shd w:fill="FFFFFF" w:val="clear"/>
        </w:rPr>
        <w:t xml:space="preserve">Southern African Business Review</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18</w:t>
      </w:r>
      <w:r>
        <w:rPr>
          <w:rFonts w:ascii="Arial" w:hAnsi="Arial" w:cs="Arial" w:eastAsia="Arial"/>
          <w:color w:val="222222"/>
          <w:spacing w:val="0"/>
          <w:position w:val="0"/>
          <w:sz w:val="24"/>
          <w:shd w:fill="FFFFFF" w:val="clear"/>
        </w:rPr>
        <w:t xml:space="preserve">(1), pp.27-52.</w:t>
      </w:r>
    </w:p>
    <w:p>
      <w:pPr>
        <w:numPr>
          <w:ilvl w:val="0"/>
          <w:numId w:val="15"/>
        </w:numPr>
        <w:spacing w:before="0" w:after="160" w:line="360"/>
        <w:ind w:right="0" w:left="720" w:hanging="360"/>
        <w:jc w:val="both"/>
        <w:rPr>
          <w:rFonts w:ascii="Arial" w:hAnsi="Arial" w:cs="Arial" w:eastAsia="Arial"/>
          <w:color w:val="auto"/>
          <w:spacing w:val="0"/>
          <w:position w:val="0"/>
          <w:sz w:val="28"/>
          <w:shd w:fill="auto" w:val="clear"/>
        </w:rPr>
      </w:pPr>
      <w:r>
        <w:rPr>
          <w:rFonts w:ascii="Arial" w:hAnsi="Arial" w:cs="Arial" w:eastAsia="Arial"/>
          <w:color w:val="222222"/>
          <w:spacing w:val="0"/>
          <w:position w:val="0"/>
          <w:sz w:val="22"/>
          <w:shd w:fill="FFFFFF" w:val="clear"/>
        </w:rPr>
        <w:t xml:space="preserve">Viljoen, A., Kruger, S. and Saayman, M., 2014. Understanding the role that Quality of Work Life of food and beverage employees plays in perceived service delivery and productivity. </w:t>
      </w:r>
      <w:r>
        <w:rPr>
          <w:rFonts w:ascii="Arial" w:hAnsi="Arial" w:cs="Arial" w:eastAsia="Arial"/>
          <w:i/>
          <w:color w:val="222222"/>
          <w:spacing w:val="0"/>
          <w:position w:val="0"/>
          <w:sz w:val="22"/>
          <w:shd w:fill="FFFFFF" w:val="clear"/>
        </w:rPr>
        <w:t xml:space="preserve">Southern African Business Review</w:t>
      </w:r>
      <w:r>
        <w:rPr>
          <w:rFonts w:ascii="Arial" w:hAnsi="Arial" w:cs="Arial" w:eastAsia="Arial"/>
          <w:color w:val="222222"/>
          <w:spacing w:val="0"/>
          <w:position w:val="0"/>
          <w:sz w:val="22"/>
          <w:shd w:fill="FFFFFF" w:val="clear"/>
        </w:rPr>
        <w:t xml:space="preserve">, </w:t>
      </w:r>
      <w:r>
        <w:rPr>
          <w:rFonts w:ascii="Arial" w:hAnsi="Arial" w:cs="Arial" w:eastAsia="Arial"/>
          <w:i/>
          <w:color w:val="222222"/>
          <w:spacing w:val="0"/>
          <w:position w:val="0"/>
          <w:sz w:val="22"/>
          <w:shd w:fill="FFFFFF" w:val="clear"/>
        </w:rPr>
        <w:t xml:space="preserve">18</w:t>
      </w:r>
      <w:r>
        <w:rPr>
          <w:rFonts w:ascii="Arial" w:hAnsi="Arial" w:cs="Arial" w:eastAsia="Arial"/>
          <w:color w:val="222222"/>
          <w:spacing w:val="0"/>
          <w:position w:val="0"/>
          <w:sz w:val="22"/>
          <w:shd w:fill="FFFFFF" w:val="clear"/>
        </w:rPr>
        <w:t xml:space="preserve">(1), pp.27-52.</w:t>
      </w:r>
    </w:p>
    <w:p>
      <w:pPr>
        <w:numPr>
          <w:ilvl w:val="0"/>
          <w:numId w:val="15"/>
        </w:numPr>
        <w:spacing w:before="0" w:after="160" w:line="259"/>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Tasting Notes: A Brief Reflection on Working in Food &amp; Beverage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&lt;</w:t>
      </w:r>
      <w:hyperlink xmlns:r="http://schemas.openxmlformats.org/officeDocument/2006/relationships" r:id="docRId0">
        <w:r>
          <w:rPr>
            <w:rFonts w:ascii="Arial" w:hAnsi="Arial" w:cs="Arial" w:eastAsia="Arial"/>
            <w:color w:val="0563C1"/>
            <w:spacing w:val="0"/>
            <w:position w:val="0"/>
            <w:sz w:val="24"/>
            <w:u w:val="single"/>
            <w:shd w:fill="auto" w:val="clear"/>
          </w:rPr>
          <w:t xml:space="preserve">https://medium.com/@anargi95/tasting-notes-a-brief-reflection-on-             working-in-food-beverage-7c0242dc8263</w:t>
        </w:r>
      </w:hyperlink>
      <w:r>
        <w:rPr>
          <w:rFonts w:ascii="Arial" w:hAnsi="Arial" w:cs="Arial" w:eastAsia="Arial"/>
          <w:color w:val="auto"/>
          <w:spacing w:val="0"/>
          <w:position w:val="0"/>
          <w:sz w:val="24"/>
          <w:shd w:fill="auto" w:val="clear"/>
        </w:rPr>
        <w:t xml:space="preserve">&gt; Accessed at: January 29, 2023</w:t>
      </w:r>
    </w:p>
    <w:p>
      <w:pPr>
        <w:numPr>
          <w:ilvl w:val="0"/>
          <w:numId w:val="18"/>
        </w:numPr>
        <w:tabs>
          <w:tab w:val="left" w:pos="661" w:leader="none"/>
          <w:tab w:val="left" w:pos="662" w:leader="none"/>
        </w:tabs>
        <w:spacing w:before="7" w:after="0" w:line="360"/>
        <w:ind w:right="0" w:left="720" w:hanging="360"/>
        <w:jc w:val="both"/>
        <w:rPr>
          <w:rFonts w:ascii="Arial" w:hAnsi="Arial" w:cs="Arial" w:eastAsia="Arial"/>
          <w:i/>
          <w:color w:val="auto"/>
          <w:spacing w:val="0"/>
          <w:position w:val="0"/>
          <w:sz w:val="18"/>
          <w:shd w:fill="auto" w:val="clear"/>
        </w:rPr>
      </w:pPr>
      <w:r>
        <w:rPr>
          <w:rFonts w:ascii="Arial" w:hAnsi="Arial" w:cs="Arial" w:eastAsia="Arial"/>
          <w:color w:val="222222"/>
          <w:spacing w:val="0"/>
          <w:position w:val="0"/>
          <w:sz w:val="24"/>
          <w:shd w:fill="FFFFFF" w:val="clear"/>
        </w:rPr>
        <w:t xml:space="preserve">Okeiyi, E., Finley, D. and Postel, R.T., 1994. Food and beverage management competencies: Educator, industry, and student perspectives. </w:t>
      </w:r>
      <w:r>
        <w:rPr>
          <w:rFonts w:ascii="Arial" w:hAnsi="Arial" w:cs="Arial" w:eastAsia="Arial"/>
          <w:i/>
          <w:color w:val="222222"/>
          <w:spacing w:val="0"/>
          <w:position w:val="0"/>
          <w:sz w:val="24"/>
          <w:shd w:fill="FFFFFF" w:val="clear"/>
        </w:rPr>
        <w:t xml:space="preserve">Hospitality &amp; Tourism Educator</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6</w:t>
      </w:r>
      <w:r>
        <w:rPr>
          <w:rFonts w:ascii="Arial" w:hAnsi="Arial" w:cs="Arial" w:eastAsia="Arial"/>
          <w:color w:val="222222"/>
          <w:spacing w:val="0"/>
          <w:position w:val="0"/>
          <w:sz w:val="24"/>
          <w:shd w:fill="FFFFFF" w:val="clear"/>
        </w:rPr>
        <w:t xml:space="preserve">(4), pp.37-40.</w:t>
      </w:r>
    </w:p>
    <w:p>
      <w:pPr>
        <w:numPr>
          <w:ilvl w:val="0"/>
          <w:numId w:val="18"/>
        </w:numPr>
        <w:spacing w:before="0" w:after="160" w:line="360"/>
        <w:ind w:right="0" w:left="720" w:hanging="36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Sarwar, M.Z., 2012. The effect of customer trust on customer loyalty and customer retention: A moderating role of cause related marketing. </w:t>
      </w:r>
      <w:r>
        <w:rPr>
          <w:rFonts w:ascii="Arial" w:hAnsi="Arial" w:cs="Arial" w:eastAsia="Arial"/>
          <w:i/>
          <w:color w:val="222222"/>
          <w:spacing w:val="0"/>
          <w:position w:val="0"/>
          <w:sz w:val="24"/>
          <w:shd w:fill="FFFFFF" w:val="clear"/>
        </w:rPr>
        <w:t xml:space="preserve">Global Journal of Management and Business Research</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12</w:t>
      </w:r>
      <w:r>
        <w:rPr>
          <w:rFonts w:ascii="Arial" w:hAnsi="Arial" w:cs="Arial" w:eastAsia="Arial"/>
          <w:color w:val="222222"/>
          <w:spacing w:val="0"/>
          <w:position w:val="0"/>
          <w:sz w:val="24"/>
          <w:shd w:fill="FFFFFF" w:val="clear"/>
        </w:rPr>
        <w:t xml:space="preserve">(6), pp.27-36.</w:t>
      </w:r>
    </w:p>
    <w:p>
      <w:pPr>
        <w:numPr>
          <w:ilvl w:val="0"/>
          <w:numId w:val="18"/>
        </w:numPr>
        <w:spacing w:before="0" w:after="160" w:line="360"/>
        <w:ind w:right="0" w:left="720" w:hanging="36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Gul, R., 2014. The relationship between reputation, customer satisfaction, trust, and loyalty. </w:t>
      </w:r>
      <w:r>
        <w:rPr>
          <w:rFonts w:ascii="Arial" w:hAnsi="Arial" w:cs="Arial" w:eastAsia="Arial"/>
          <w:i/>
          <w:color w:val="222222"/>
          <w:spacing w:val="0"/>
          <w:position w:val="0"/>
          <w:sz w:val="24"/>
          <w:shd w:fill="FFFFFF" w:val="clear"/>
        </w:rPr>
        <w:t xml:space="preserve">Journal of Public Administration and Governance</w:t>
      </w:r>
      <w:r>
        <w:rPr>
          <w:rFonts w:ascii="Arial" w:hAnsi="Arial" w:cs="Arial" w:eastAsia="Arial"/>
          <w:color w:val="222222"/>
          <w:spacing w:val="0"/>
          <w:position w:val="0"/>
          <w:sz w:val="24"/>
          <w:shd w:fill="FFFFFF" w:val="clear"/>
        </w:rPr>
        <w:t xml:space="preserve">, </w:t>
      </w:r>
      <w:r>
        <w:rPr>
          <w:rFonts w:ascii="Arial" w:hAnsi="Arial" w:cs="Arial" w:eastAsia="Arial"/>
          <w:i/>
          <w:color w:val="222222"/>
          <w:spacing w:val="0"/>
          <w:position w:val="0"/>
          <w:sz w:val="24"/>
          <w:shd w:fill="FFFFFF" w:val="clear"/>
        </w:rPr>
        <w:t xml:space="preserve">4</w:t>
      </w:r>
      <w:r>
        <w:rPr>
          <w:rFonts w:ascii="Arial" w:hAnsi="Arial" w:cs="Arial" w:eastAsia="Arial"/>
          <w:color w:val="222222"/>
          <w:spacing w:val="0"/>
          <w:position w:val="0"/>
          <w:sz w:val="24"/>
          <w:shd w:fill="FFFFFF" w:val="clear"/>
        </w:rPr>
        <w:t xml:space="preserve">(3), pp.368-387.</w:t>
      </w:r>
    </w:p>
    <w:p>
      <w:pPr>
        <w:spacing w:before="0" w:after="160" w:line="259"/>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num w:numId="5">
    <w:abstractNumId w:val="30"/>
  </w:num>
  <w:num w:numId="7">
    <w:abstractNumId w:val="24"/>
  </w:num>
  <w:num w:numId="9">
    <w:abstractNumId w:val="18"/>
  </w:num>
  <w:num w:numId="11">
    <w:abstractNumId w:val="12"/>
  </w:num>
  <w:num w:numId="15">
    <w:abstractNumId w:val="6"/>
  </w:num>
  <w:num w:numId="18">
    <w:abstractNumId w:val="0"/>
  </w:num>
</w:numbering>
</file>

<file path=word/styles.xml><?xml version="1.0" encoding="utf-8"?>
<w:styles xmlns:w="http://schemas.openxmlformats.org/wordprocessingml/2006/main"/>
</file>

<file path=word/_rels/document.xml.rels><?xml version="1.0"?><Relationships xmlns="http://schemas.openxmlformats.org/package/2006/relationships"><Relationship TargetMode="External" Target="about:blank" Id="docRId0" Type="http://schemas.openxmlformats.org/officeDocument/2006/relationships/hyperlink"/><Relationship Target="numbering.xml" Id="docRId1" Type="http://schemas.openxmlformats.org/officeDocument/2006/relationships/numbering"/><Relationship Target="styles.xml" Id="docRId2" Type="http://schemas.openxmlformats.org/officeDocument/2006/relationships/styles"/></Relationships>
</file>