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1A375" w14:textId="39A2747C" w:rsidR="000B743B" w:rsidRPr="00FD2685" w:rsidRDefault="00FD2685" w:rsidP="00FD2685">
      <w:pPr>
        <w:jc w:val="center"/>
        <w:rPr>
          <w:rFonts w:ascii="Arial" w:hAnsi="Arial" w:cs="Arial"/>
          <w:b/>
          <w:bCs/>
          <w:sz w:val="28"/>
          <w:szCs w:val="28"/>
          <w:lang w:val="en-GB"/>
        </w:rPr>
      </w:pPr>
      <w:r w:rsidRPr="00FD2685">
        <w:rPr>
          <w:rFonts w:ascii="Arial" w:hAnsi="Arial" w:cs="Arial"/>
          <w:b/>
          <w:bCs/>
          <w:sz w:val="28"/>
          <w:szCs w:val="28"/>
          <w:lang w:val="en-GB"/>
        </w:rPr>
        <w:t>Student Name: Qudsia Bano</w:t>
      </w:r>
    </w:p>
    <w:p w14:paraId="5D18F4E2" w14:textId="63095214" w:rsidR="00FD2685" w:rsidRPr="00FD2685" w:rsidRDefault="00FD2685" w:rsidP="00FD2685">
      <w:pPr>
        <w:jc w:val="center"/>
        <w:rPr>
          <w:rFonts w:ascii="Arial" w:hAnsi="Arial" w:cs="Arial"/>
          <w:b/>
          <w:bCs/>
          <w:sz w:val="28"/>
          <w:szCs w:val="28"/>
          <w:lang w:val="en-GB"/>
        </w:rPr>
      </w:pPr>
      <w:r w:rsidRPr="00FD2685">
        <w:rPr>
          <w:rFonts w:ascii="Arial" w:hAnsi="Arial" w:cs="Arial"/>
          <w:b/>
          <w:bCs/>
          <w:sz w:val="28"/>
          <w:szCs w:val="28"/>
          <w:lang w:val="en-GB"/>
        </w:rPr>
        <w:t>Student id :2423297</w:t>
      </w:r>
    </w:p>
    <w:p w14:paraId="1CEC8896" w14:textId="42EB694B" w:rsidR="00FD2685" w:rsidRPr="00FD2685" w:rsidRDefault="00FD2685" w:rsidP="00FD2685">
      <w:pPr>
        <w:jc w:val="center"/>
        <w:rPr>
          <w:rFonts w:ascii="Arial" w:hAnsi="Arial" w:cs="Arial"/>
          <w:b/>
          <w:bCs/>
          <w:sz w:val="28"/>
          <w:szCs w:val="28"/>
          <w:lang w:val="en-GB"/>
        </w:rPr>
      </w:pPr>
      <w:r w:rsidRPr="00FD2685">
        <w:rPr>
          <w:rFonts w:ascii="Arial" w:hAnsi="Arial" w:cs="Arial"/>
          <w:b/>
          <w:bCs/>
          <w:sz w:val="28"/>
          <w:szCs w:val="28"/>
          <w:lang w:val="en-GB"/>
        </w:rPr>
        <w:t>Lecture Name: Helen Parsons</w:t>
      </w:r>
    </w:p>
    <w:p w14:paraId="29E53213" w14:textId="6D912A6E" w:rsidR="008E0F0E" w:rsidRPr="00641042" w:rsidRDefault="008E0F0E" w:rsidP="00641042">
      <w:pPr>
        <w:jc w:val="center"/>
        <w:rPr>
          <w:b/>
          <w:bCs/>
          <w:sz w:val="28"/>
          <w:szCs w:val="32"/>
        </w:rPr>
      </w:pPr>
      <w:r w:rsidRPr="00641042">
        <w:rPr>
          <w:b/>
          <w:bCs/>
          <w:sz w:val="28"/>
          <w:szCs w:val="32"/>
        </w:rPr>
        <w:t>Module: Professional Development within Health and Social Care</w:t>
      </w:r>
    </w:p>
    <w:p w14:paraId="2808ADE1" w14:textId="759D55A6" w:rsidR="008E0F0E" w:rsidRPr="006C2E1F" w:rsidRDefault="008E0F0E" w:rsidP="00641042">
      <w:pPr>
        <w:jc w:val="center"/>
        <w:rPr>
          <w:b/>
          <w:bCs/>
          <w:sz w:val="28"/>
          <w:szCs w:val="32"/>
          <w:lang w:val="en-GB"/>
        </w:rPr>
      </w:pPr>
      <w:r w:rsidRPr="00641042">
        <w:rPr>
          <w:b/>
          <w:bCs/>
          <w:sz w:val="28"/>
          <w:szCs w:val="32"/>
        </w:rPr>
        <w:t>Module code: LCHS40</w:t>
      </w:r>
      <w:r w:rsidR="006C2E1F">
        <w:rPr>
          <w:b/>
          <w:bCs/>
          <w:sz w:val="28"/>
          <w:szCs w:val="32"/>
          <w:lang w:val="en-GB"/>
        </w:rPr>
        <w:t>10</w:t>
      </w:r>
    </w:p>
    <w:p w14:paraId="7427903D" w14:textId="487AFC4E" w:rsidR="008E0F0E" w:rsidRPr="00641042" w:rsidRDefault="008E0F0E" w:rsidP="00641042">
      <w:pPr>
        <w:jc w:val="center"/>
        <w:rPr>
          <w:rFonts w:ascii="Arial" w:hAnsi="Arial" w:cs="Arial"/>
          <w:b/>
          <w:bCs/>
          <w:sz w:val="28"/>
          <w:szCs w:val="28"/>
          <w:lang w:val="en-GB"/>
        </w:rPr>
      </w:pPr>
      <w:r w:rsidRPr="00641042">
        <w:rPr>
          <w:b/>
          <w:bCs/>
          <w:sz w:val="28"/>
          <w:szCs w:val="32"/>
        </w:rPr>
        <w:t>Assignment Title: Personal Development Portfolio</w:t>
      </w:r>
    </w:p>
    <w:p w14:paraId="29CAF1E3" w14:textId="77777777" w:rsidR="00C64BBA" w:rsidRDefault="00C64BBA" w:rsidP="003255FB">
      <w:pPr>
        <w:jc w:val="both"/>
        <w:rPr>
          <w:rFonts w:ascii="Arial" w:hAnsi="Arial" w:cs="Arial"/>
          <w:szCs w:val="22"/>
          <w:lang w:val="en-GB"/>
        </w:rPr>
      </w:pPr>
    </w:p>
    <w:p w14:paraId="0A02575F" w14:textId="77777777" w:rsidR="00641042" w:rsidRDefault="00641042" w:rsidP="003255FB">
      <w:pPr>
        <w:jc w:val="both"/>
        <w:rPr>
          <w:rFonts w:ascii="Arial" w:hAnsi="Arial" w:cs="Arial"/>
          <w:szCs w:val="22"/>
          <w:lang w:val="en-GB"/>
        </w:rPr>
      </w:pPr>
    </w:p>
    <w:p w14:paraId="754FBD82" w14:textId="77777777" w:rsidR="00641042" w:rsidRDefault="00641042" w:rsidP="003255FB">
      <w:pPr>
        <w:jc w:val="both"/>
        <w:rPr>
          <w:rFonts w:ascii="Arial" w:hAnsi="Arial" w:cs="Arial"/>
          <w:szCs w:val="22"/>
          <w:lang w:val="en-GB"/>
        </w:rPr>
      </w:pPr>
    </w:p>
    <w:p w14:paraId="41904CE7" w14:textId="77777777" w:rsidR="00641042" w:rsidRDefault="00641042" w:rsidP="003255FB">
      <w:pPr>
        <w:jc w:val="both"/>
        <w:rPr>
          <w:rFonts w:ascii="Arial" w:hAnsi="Arial" w:cs="Arial"/>
          <w:szCs w:val="22"/>
          <w:lang w:val="en-GB"/>
        </w:rPr>
      </w:pPr>
    </w:p>
    <w:p w14:paraId="3DC1A7EA" w14:textId="77777777" w:rsidR="00641042" w:rsidRDefault="00641042" w:rsidP="003255FB">
      <w:pPr>
        <w:jc w:val="both"/>
        <w:rPr>
          <w:rFonts w:ascii="Arial" w:hAnsi="Arial" w:cs="Arial"/>
          <w:szCs w:val="22"/>
          <w:lang w:val="en-GB"/>
        </w:rPr>
      </w:pPr>
    </w:p>
    <w:p w14:paraId="28660376" w14:textId="77777777" w:rsidR="00641042" w:rsidRDefault="00641042" w:rsidP="003255FB">
      <w:pPr>
        <w:jc w:val="both"/>
        <w:rPr>
          <w:rFonts w:ascii="Arial" w:hAnsi="Arial" w:cs="Arial"/>
          <w:szCs w:val="22"/>
          <w:lang w:val="en-GB"/>
        </w:rPr>
      </w:pPr>
    </w:p>
    <w:p w14:paraId="3EF04045" w14:textId="77777777" w:rsidR="00641042" w:rsidRDefault="00641042" w:rsidP="003255FB">
      <w:pPr>
        <w:jc w:val="both"/>
        <w:rPr>
          <w:rFonts w:ascii="Arial" w:hAnsi="Arial" w:cs="Arial"/>
          <w:szCs w:val="22"/>
          <w:lang w:val="en-GB"/>
        </w:rPr>
      </w:pPr>
    </w:p>
    <w:p w14:paraId="6A346D44" w14:textId="77777777" w:rsidR="00641042" w:rsidRDefault="00641042" w:rsidP="003255FB">
      <w:pPr>
        <w:jc w:val="both"/>
        <w:rPr>
          <w:rFonts w:ascii="Arial" w:hAnsi="Arial" w:cs="Arial"/>
          <w:szCs w:val="22"/>
          <w:lang w:val="en-GB"/>
        </w:rPr>
      </w:pPr>
    </w:p>
    <w:p w14:paraId="4C53727D" w14:textId="77777777" w:rsidR="00641042" w:rsidRDefault="00641042" w:rsidP="003255FB">
      <w:pPr>
        <w:jc w:val="both"/>
        <w:rPr>
          <w:rFonts w:ascii="Arial" w:hAnsi="Arial" w:cs="Arial"/>
          <w:szCs w:val="22"/>
          <w:lang w:val="en-GB"/>
        </w:rPr>
      </w:pPr>
    </w:p>
    <w:p w14:paraId="3F75683A" w14:textId="77777777" w:rsidR="00641042" w:rsidRDefault="00641042" w:rsidP="003255FB">
      <w:pPr>
        <w:jc w:val="both"/>
        <w:rPr>
          <w:rFonts w:ascii="Arial" w:hAnsi="Arial" w:cs="Arial"/>
          <w:szCs w:val="22"/>
          <w:lang w:val="en-GB"/>
        </w:rPr>
      </w:pPr>
    </w:p>
    <w:p w14:paraId="3F69AFD0" w14:textId="77777777" w:rsidR="00641042" w:rsidRDefault="00641042" w:rsidP="003255FB">
      <w:pPr>
        <w:jc w:val="both"/>
        <w:rPr>
          <w:rFonts w:ascii="Arial" w:hAnsi="Arial" w:cs="Arial"/>
          <w:szCs w:val="22"/>
          <w:lang w:val="en-GB"/>
        </w:rPr>
      </w:pPr>
    </w:p>
    <w:p w14:paraId="65BA656E" w14:textId="77777777" w:rsidR="00641042" w:rsidRDefault="00641042" w:rsidP="003255FB">
      <w:pPr>
        <w:jc w:val="both"/>
        <w:rPr>
          <w:rFonts w:ascii="Arial" w:hAnsi="Arial" w:cs="Arial"/>
          <w:szCs w:val="22"/>
          <w:lang w:val="en-GB"/>
        </w:rPr>
      </w:pPr>
    </w:p>
    <w:p w14:paraId="2A274C6F" w14:textId="77777777" w:rsidR="00641042" w:rsidRDefault="00641042" w:rsidP="003255FB">
      <w:pPr>
        <w:jc w:val="both"/>
        <w:rPr>
          <w:rFonts w:ascii="Arial" w:hAnsi="Arial" w:cs="Arial"/>
          <w:szCs w:val="22"/>
          <w:lang w:val="en-GB"/>
        </w:rPr>
      </w:pPr>
    </w:p>
    <w:p w14:paraId="23506A24" w14:textId="77777777" w:rsidR="00641042" w:rsidRDefault="00641042" w:rsidP="003255FB">
      <w:pPr>
        <w:jc w:val="both"/>
        <w:rPr>
          <w:rFonts w:ascii="Arial" w:hAnsi="Arial" w:cs="Arial"/>
          <w:szCs w:val="22"/>
          <w:lang w:val="en-GB"/>
        </w:rPr>
      </w:pPr>
    </w:p>
    <w:p w14:paraId="5225232A" w14:textId="77777777" w:rsidR="00641042" w:rsidRDefault="00641042" w:rsidP="003255FB">
      <w:pPr>
        <w:jc w:val="both"/>
        <w:rPr>
          <w:rFonts w:ascii="Arial" w:hAnsi="Arial" w:cs="Arial"/>
          <w:szCs w:val="22"/>
          <w:lang w:val="en-GB"/>
        </w:rPr>
      </w:pPr>
    </w:p>
    <w:p w14:paraId="53764F3B" w14:textId="77777777" w:rsidR="00641042" w:rsidRDefault="00641042" w:rsidP="003255FB">
      <w:pPr>
        <w:jc w:val="both"/>
        <w:rPr>
          <w:rFonts w:ascii="Arial" w:hAnsi="Arial" w:cs="Arial"/>
          <w:szCs w:val="22"/>
          <w:lang w:val="en-GB"/>
        </w:rPr>
      </w:pPr>
    </w:p>
    <w:p w14:paraId="7C785775" w14:textId="77777777" w:rsidR="00641042" w:rsidRDefault="00641042" w:rsidP="003255FB">
      <w:pPr>
        <w:jc w:val="both"/>
        <w:rPr>
          <w:rFonts w:ascii="Arial" w:hAnsi="Arial" w:cs="Arial"/>
          <w:szCs w:val="22"/>
          <w:lang w:val="en-GB"/>
        </w:rPr>
      </w:pPr>
    </w:p>
    <w:p w14:paraId="7AFE134A" w14:textId="77777777" w:rsidR="00641042" w:rsidRDefault="00641042" w:rsidP="003255FB">
      <w:pPr>
        <w:jc w:val="both"/>
        <w:rPr>
          <w:rFonts w:ascii="Arial" w:hAnsi="Arial" w:cs="Arial"/>
          <w:szCs w:val="22"/>
          <w:lang w:val="en-GB"/>
        </w:rPr>
      </w:pPr>
    </w:p>
    <w:p w14:paraId="562C2147" w14:textId="77777777" w:rsidR="00641042" w:rsidRDefault="00641042" w:rsidP="003255FB">
      <w:pPr>
        <w:jc w:val="both"/>
        <w:rPr>
          <w:rFonts w:ascii="Arial" w:hAnsi="Arial" w:cs="Arial"/>
          <w:szCs w:val="22"/>
          <w:lang w:val="en-GB"/>
        </w:rPr>
      </w:pPr>
    </w:p>
    <w:p w14:paraId="4E9FB1FB" w14:textId="77777777" w:rsidR="00641042" w:rsidRDefault="00641042" w:rsidP="003255FB">
      <w:pPr>
        <w:jc w:val="both"/>
        <w:rPr>
          <w:rFonts w:ascii="Arial" w:hAnsi="Arial" w:cs="Arial"/>
          <w:szCs w:val="22"/>
          <w:lang w:val="en-GB"/>
        </w:rPr>
      </w:pPr>
    </w:p>
    <w:p w14:paraId="2D29C8AD" w14:textId="77777777" w:rsidR="00641042" w:rsidRPr="003255FB" w:rsidRDefault="00641042" w:rsidP="003255FB">
      <w:pPr>
        <w:jc w:val="both"/>
        <w:rPr>
          <w:rFonts w:ascii="Arial" w:hAnsi="Arial" w:cs="Arial"/>
          <w:szCs w:val="22"/>
          <w:lang w:val="en-GB"/>
        </w:rPr>
      </w:pPr>
    </w:p>
    <w:p w14:paraId="12CC349A" w14:textId="007BF1AE" w:rsidR="00C64BBA" w:rsidRPr="003255FB" w:rsidRDefault="00C64BBA" w:rsidP="003255FB">
      <w:pPr>
        <w:pStyle w:val="NormalWeb"/>
        <w:spacing w:line="360" w:lineRule="auto"/>
        <w:jc w:val="both"/>
        <w:rPr>
          <w:rFonts w:ascii="Arial" w:hAnsi="Arial" w:cs="Arial"/>
          <w:sz w:val="22"/>
          <w:szCs w:val="22"/>
        </w:rPr>
      </w:pPr>
      <w:r w:rsidRPr="003255FB">
        <w:rPr>
          <w:rStyle w:val="Strong"/>
          <w:rFonts w:ascii="Arial" w:eastAsiaTheme="majorEastAsia" w:hAnsi="Arial" w:cs="Arial"/>
          <w:sz w:val="22"/>
          <w:szCs w:val="22"/>
        </w:rPr>
        <w:t xml:space="preserve">Task 1: Personal Action Plan for Health Care Assistant Role </w:t>
      </w:r>
    </w:p>
    <w:p w14:paraId="16E0A599" w14:textId="580F36C7"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 xml:space="preserve">I have chosen the role of </w:t>
      </w:r>
      <w:r w:rsidRPr="003255FB">
        <w:rPr>
          <w:rStyle w:val="Strong"/>
          <w:rFonts w:ascii="Arial" w:eastAsiaTheme="majorEastAsia" w:hAnsi="Arial" w:cs="Arial"/>
          <w:sz w:val="22"/>
          <w:szCs w:val="22"/>
        </w:rPr>
        <w:t>Health Care Assistant (HCA)</w:t>
      </w:r>
      <w:r w:rsidRPr="003255FB">
        <w:rPr>
          <w:rFonts w:ascii="Arial" w:hAnsi="Arial" w:cs="Arial"/>
          <w:sz w:val="22"/>
          <w:szCs w:val="22"/>
        </w:rPr>
        <w:t xml:space="preserve"> on an acute adult ward. HCAs support registered nurses with personal care, mobility, nutrition, routine observations and record keeping so that safe, person-centred care is delivered</w:t>
      </w:r>
      <w:r w:rsidR="00402FB5" w:rsidRPr="003255FB">
        <w:rPr>
          <w:rFonts w:ascii="Arial" w:hAnsi="Arial" w:cs="Arial"/>
          <w:sz w:val="22"/>
          <w:szCs w:val="22"/>
        </w:rPr>
        <w:t xml:space="preserve"> (Wood </w:t>
      </w:r>
      <w:r w:rsidR="00402FB5" w:rsidRPr="003255FB">
        <w:rPr>
          <w:rFonts w:ascii="Arial" w:hAnsi="Arial" w:cs="Arial"/>
          <w:i/>
          <w:iCs/>
          <w:sz w:val="22"/>
          <w:szCs w:val="22"/>
        </w:rPr>
        <w:t>et al.</w:t>
      </w:r>
      <w:r w:rsidR="00402FB5" w:rsidRPr="003255FB">
        <w:rPr>
          <w:rFonts w:ascii="Arial" w:hAnsi="Arial" w:cs="Arial"/>
          <w:sz w:val="22"/>
          <w:szCs w:val="22"/>
        </w:rPr>
        <w:t>, 2023)</w:t>
      </w:r>
      <w:r w:rsidRPr="003255FB">
        <w:rPr>
          <w:rFonts w:ascii="Arial" w:hAnsi="Arial" w:cs="Arial"/>
          <w:sz w:val="22"/>
          <w:szCs w:val="22"/>
        </w:rPr>
        <w:t>. To apply successfully I need to know what employers expect, compare these requirements with my current skills, and plan realistic steps for development.</w:t>
      </w:r>
    </w:p>
    <w:p w14:paraId="433DAD7B" w14:textId="77777777" w:rsidR="00C64BBA" w:rsidRPr="003255FB" w:rsidRDefault="00C64BBA" w:rsidP="003255FB">
      <w:pPr>
        <w:pStyle w:val="Heading3"/>
        <w:jc w:val="both"/>
        <w:rPr>
          <w:rFonts w:ascii="Arial" w:hAnsi="Arial" w:cs="Arial"/>
          <w:szCs w:val="22"/>
        </w:rPr>
      </w:pPr>
      <w:r w:rsidRPr="003255FB">
        <w:rPr>
          <w:rFonts w:ascii="Arial" w:hAnsi="Arial" w:cs="Arial"/>
          <w:szCs w:val="22"/>
        </w:rPr>
        <w:t>Key skills required and how I meet them</w:t>
      </w:r>
    </w:p>
    <w:p w14:paraId="095D1122" w14:textId="77777777" w:rsidR="00B36C6E" w:rsidRPr="003255FB" w:rsidRDefault="00C64BBA" w:rsidP="003255FB">
      <w:pPr>
        <w:pStyle w:val="NormalWeb"/>
        <w:spacing w:line="360" w:lineRule="auto"/>
        <w:jc w:val="both"/>
        <w:rPr>
          <w:rStyle w:val="Strong"/>
          <w:rFonts w:ascii="Arial" w:eastAsiaTheme="majorEastAsia" w:hAnsi="Arial" w:cs="Arial"/>
          <w:sz w:val="22"/>
          <w:szCs w:val="22"/>
        </w:rPr>
      </w:pPr>
      <w:r w:rsidRPr="003255FB">
        <w:rPr>
          <w:rStyle w:val="Strong"/>
          <w:rFonts w:ascii="Arial" w:eastAsiaTheme="majorEastAsia" w:hAnsi="Arial" w:cs="Arial"/>
          <w:sz w:val="22"/>
          <w:szCs w:val="22"/>
        </w:rPr>
        <w:t>Communication and empathy</w:t>
      </w:r>
    </w:p>
    <w:p w14:paraId="30352BCA" w14:textId="40CDB664"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HCAs must listen carefully, explain clearly and show compassion to anxious or unwell patients. I developed these skills through customer-service work and volunteering, where I regularly dealt with worried people, used plain language and calmed difficult situations</w:t>
      </w:r>
      <w:r w:rsidR="00B36C6E" w:rsidRPr="003255FB">
        <w:rPr>
          <w:rFonts w:ascii="Arial" w:hAnsi="Arial" w:cs="Arial"/>
          <w:sz w:val="22"/>
          <w:szCs w:val="22"/>
        </w:rPr>
        <w:t xml:space="preserve"> (Barker, Leach and Levett-Jones, 2023)</w:t>
      </w:r>
      <w:r w:rsidRPr="003255FB">
        <w:rPr>
          <w:rFonts w:ascii="Arial" w:hAnsi="Arial" w:cs="Arial"/>
          <w:sz w:val="22"/>
          <w:szCs w:val="22"/>
        </w:rPr>
        <w:t>.</w:t>
      </w:r>
    </w:p>
    <w:p w14:paraId="04C5DBE9" w14:textId="77777777" w:rsidR="0005614D" w:rsidRPr="003255FB" w:rsidRDefault="00C64BBA" w:rsidP="003255FB">
      <w:pPr>
        <w:pStyle w:val="NormalWeb"/>
        <w:spacing w:line="360" w:lineRule="auto"/>
        <w:jc w:val="both"/>
        <w:rPr>
          <w:rFonts w:ascii="Arial" w:hAnsi="Arial" w:cs="Arial"/>
          <w:sz w:val="22"/>
          <w:szCs w:val="22"/>
        </w:rPr>
      </w:pPr>
      <w:r w:rsidRPr="003255FB">
        <w:rPr>
          <w:rStyle w:val="Strong"/>
          <w:rFonts w:ascii="Arial" w:eastAsiaTheme="majorEastAsia" w:hAnsi="Arial" w:cs="Arial"/>
          <w:sz w:val="22"/>
          <w:szCs w:val="22"/>
        </w:rPr>
        <w:t>Teamworking</w:t>
      </w:r>
    </w:p>
    <w:p w14:paraId="02DDB1A3" w14:textId="35CC96E7"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Care is delivered by multidisciplinary teams, so HCAs must follow instructions, share information and support colleagues. On college and university projects I helped organise meetings, agreed clear roles and encouraged quieter members to contribute, and tutors have commented that I work cooperatively</w:t>
      </w:r>
      <w:r w:rsidR="00B36C6E" w:rsidRPr="003255FB">
        <w:rPr>
          <w:rFonts w:ascii="Arial" w:hAnsi="Arial" w:cs="Arial"/>
          <w:sz w:val="22"/>
          <w:szCs w:val="22"/>
        </w:rPr>
        <w:t xml:space="preserve"> (Bosley and Dale, 2008)</w:t>
      </w:r>
      <w:r w:rsidRPr="003255FB">
        <w:rPr>
          <w:rFonts w:ascii="Arial" w:hAnsi="Arial" w:cs="Arial"/>
          <w:sz w:val="22"/>
          <w:szCs w:val="22"/>
        </w:rPr>
        <w:t>.</w:t>
      </w:r>
    </w:p>
    <w:p w14:paraId="4B18826F" w14:textId="77777777" w:rsidR="0005614D" w:rsidRPr="003255FB" w:rsidRDefault="00C64BBA" w:rsidP="003255FB">
      <w:pPr>
        <w:pStyle w:val="NormalWeb"/>
        <w:spacing w:line="360" w:lineRule="auto"/>
        <w:jc w:val="both"/>
        <w:rPr>
          <w:rFonts w:ascii="Arial" w:hAnsi="Arial" w:cs="Arial"/>
          <w:sz w:val="22"/>
          <w:szCs w:val="22"/>
        </w:rPr>
      </w:pPr>
      <w:r w:rsidRPr="003255FB">
        <w:rPr>
          <w:rStyle w:val="Strong"/>
          <w:rFonts w:ascii="Arial" w:eastAsiaTheme="majorEastAsia" w:hAnsi="Arial" w:cs="Arial"/>
          <w:sz w:val="22"/>
          <w:szCs w:val="22"/>
        </w:rPr>
        <w:t>Reliability and professionalism</w:t>
      </w:r>
    </w:p>
    <w:p w14:paraId="0DF4781C" w14:textId="448C07EA"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Employers need staff who are punctual, organised and trustworthy. Combining part-time work with full-time study has strengthened my time-management skills, and I understand confidentiality and boundaries and would follow policies on uniform, behaviour and social media.</w:t>
      </w:r>
    </w:p>
    <w:p w14:paraId="61A8B2E7" w14:textId="77777777" w:rsidR="0005614D" w:rsidRPr="003255FB" w:rsidRDefault="00C64BBA" w:rsidP="003255FB">
      <w:pPr>
        <w:pStyle w:val="NormalWeb"/>
        <w:spacing w:line="360" w:lineRule="auto"/>
        <w:jc w:val="both"/>
        <w:rPr>
          <w:rFonts w:ascii="Arial" w:hAnsi="Arial" w:cs="Arial"/>
          <w:sz w:val="22"/>
          <w:szCs w:val="22"/>
        </w:rPr>
      </w:pPr>
      <w:r w:rsidRPr="003255FB">
        <w:rPr>
          <w:rStyle w:val="Strong"/>
          <w:rFonts w:ascii="Arial" w:eastAsiaTheme="majorEastAsia" w:hAnsi="Arial" w:cs="Arial"/>
          <w:sz w:val="22"/>
          <w:szCs w:val="22"/>
        </w:rPr>
        <w:t>Basic clinical and care skills</w:t>
      </w:r>
    </w:p>
    <w:p w14:paraId="76B07EFF" w14:textId="6326C6E2"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 xml:space="preserve">HCAs assist with washing, dressing, toileting, manual handling and routine observations. During my course I completed basic life support and infection-control sessions and practised taking observations on manikins, so I understand safe body mechanics, hand hygiene and the </w:t>
      </w:r>
      <w:r w:rsidRPr="003255FB">
        <w:rPr>
          <w:rFonts w:ascii="Arial" w:hAnsi="Arial" w:cs="Arial"/>
          <w:sz w:val="22"/>
          <w:szCs w:val="22"/>
        </w:rPr>
        <w:lastRenderedPageBreak/>
        <w:t>need to explain procedures even though I still need more real-world practice</w:t>
      </w:r>
      <w:r w:rsidR="00B36C6E" w:rsidRPr="003255FB">
        <w:rPr>
          <w:rFonts w:ascii="Arial" w:hAnsi="Arial" w:cs="Arial"/>
          <w:sz w:val="22"/>
          <w:szCs w:val="22"/>
        </w:rPr>
        <w:t xml:space="preserve"> (Barker, Leach and Levett-Jones, 2023)</w:t>
      </w:r>
      <w:r w:rsidRPr="003255FB">
        <w:rPr>
          <w:rFonts w:ascii="Arial" w:hAnsi="Arial" w:cs="Arial"/>
          <w:sz w:val="22"/>
          <w:szCs w:val="22"/>
        </w:rPr>
        <w:t>.</w:t>
      </w:r>
    </w:p>
    <w:p w14:paraId="4C51F463" w14:textId="77777777" w:rsidR="0005614D" w:rsidRPr="003255FB" w:rsidRDefault="00C64BBA" w:rsidP="003255FB">
      <w:pPr>
        <w:pStyle w:val="NormalWeb"/>
        <w:spacing w:line="360" w:lineRule="auto"/>
        <w:jc w:val="both"/>
        <w:rPr>
          <w:rFonts w:ascii="Arial" w:hAnsi="Arial" w:cs="Arial"/>
          <w:sz w:val="22"/>
          <w:szCs w:val="22"/>
        </w:rPr>
      </w:pPr>
      <w:r w:rsidRPr="003255FB">
        <w:rPr>
          <w:rStyle w:val="Strong"/>
          <w:rFonts w:ascii="Arial" w:eastAsiaTheme="majorEastAsia" w:hAnsi="Arial" w:cs="Arial"/>
          <w:sz w:val="22"/>
          <w:szCs w:val="22"/>
        </w:rPr>
        <w:t>Record keeping and IT skills</w:t>
      </w:r>
    </w:p>
    <w:p w14:paraId="146AAC9E" w14:textId="48156064" w:rsidR="00C64BBA" w:rsidRPr="003255FB" w:rsidRDefault="00C64BBA" w:rsidP="00EC6E3C">
      <w:pPr>
        <w:pStyle w:val="NormalWeb"/>
        <w:spacing w:line="360" w:lineRule="auto"/>
        <w:jc w:val="both"/>
        <w:rPr>
          <w:rFonts w:ascii="Arial" w:hAnsi="Arial" w:cs="Arial"/>
          <w:sz w:val="22"/>
          <w:szCs w:val="22"/>
        </w:rPr>
      </w:pPr>
      <w:r w:rsidRPr="003255FB">
        <w:rPr>
          <w:rFonts w:ascii="Arial" w:hAnsi="Arial" w:cs="Arial"/>
          <w:sz w:val="22"/>
          <w:szCs w:val="22"/>
        </w:rPr>
        <w:t>Accurate, timely records support safe decision-making and legal accountability. Through my studies I am confident using electronic systems, Word and Excel, and I know that notes must be factual, clear and written as soon as possible after care is delivered</w:t>
      </w:r>
      <w:r w:rsidR="00B36C6E" w:rsidRPr="003255FB">
        <w:rPr>
          <w:rFonts w:ascii="Arial" w:hAnsi="Arial" w:cs="Arial"/>
          <w:sz w:val="22"/>
          <w:szCs w:val="22"/>
        </w:rPr>
        <w:t xml:space="preserve"> (Bosley and Dale, 2008)</w:t>
      </w:r>
      <w:r w:rsidRPr="003255FB">
        <w:rPr>
          <w:rFonts w:ascii="Arial" w:hAnsi="Arial" w:cs="Arial"/>
          <w:sz w:val="22"/>
          <w:szCs w:val="22"/>
        </w:rPr>
        <w:t>.</w:t>
      </w:r>
    </w:p>
    <w:p w14:paraId="5B6CDFDF" w14:textId="77777777" w:rsidR="00C64BBA" w:rsidRPr="003255FB" w:rsidRDefault="00C64BBA" w:rsidP="003255FB">
      <w:pPr>
        <w:pStyle w:val="Heading3"/>
        <w:jc w:val="both"/>
        <w:rPr>
          <w:rFonts w:ascii="Arial" w:hAnsi="Arial" w:cs="Arial"/>
          <w:szCs w:val="22"/>
        </w:rPr>
      </w:pPr>
      <w:r w:rsidRPr="003255FB">
        <w:rPr>
          <w:rFonts w:ascii="Arial" w:hAnsi="Arial" w:cs="Arial"/>
          <w:szCs w:val="22"/>
        </w:rPr>
        <w:t>Skill gaps and how I will address them</w:t>
      </w:r>
    </w:p>
    <w:p w14:paraId="7AD549DF" w14:textId="77777777"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My self-assessment highlights three main gaps. I have limited direct experience with patients who have dementia, learning disabilities or severe mental health problems, especially when distressed or aggressive; I need more practice to perform personal care and manual handling efficiently while maintaining dignity; and I can feel nervous about speaking up with concerns or questioning unclear instructions around senior staff.</w:t>
      </w:r>
    </w:p>
    <w:p w14:paraId="3C691429" w14:textId="49BA0A4E"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 xml:space="preserve">To address these, I plan to obtain a </w:t>
      </w:r>
      <w:r w:rsidRPr="003255FB">
        <w:rPr>
          <w:rStyle w:val="Strong"/>
          <w:rFonts w:ascii="Arial" w:eastAsiaTheme="majorEastAsia" w:hAnsi="Arial" w:cs="Arial"/>
          <w:sz w:val="22"/>
          <w:szCs w:val="22"/>
        </w:rPr>
        <w:t>part-time or voluntary post</w:t>
      </w:r>
      <w:r w:rsidRPr="003255FB">
        <w:rPr>
          <w:rFonts w:ascii="Arial" w:hAnsi="Arial" w:cs="Arial"/>
          <w:sz w:val="22"/>
          <w:szCs w:val="22"/>
        </w:rPr>
        <w:t xml:space="preserve"> in a care home, community setting or hospital so I work regularly with older adults and people with complex needs. I will complete short online courses in </w:t>
      </w:r>
      <w:r w:rsidRPr="003255FB">
        <w:rPr>
          <w:rStyle w:val="Strong"/>
          <w:rFonts w:ascii="Arial" w:eastAsiaTheme="majorEastAsia" w:hAnsi="Arial" w:cs="Arial"/>
          <w:sz w:val="22"/>
          <w:szCs w:val="22"/>
        </w:rPr>
        <w:t>dementia awareness, safeguarding and conflict resolution</w:t>
      </w:r>
      <w:r w:rsidRPr="003255FB">
        <w:rPr>
          <w:rFonts w:ascii="Arial" w:hAnsi="Arial" w:cs="Arial"/>
          <w:sz w:val="22"/>
          <w:szCs w:val="22"/>
        </w:rPr>
        <w:t xml:space="preserve"> and keep brief reflections after each shift on what went well and what I could improve. To build assertiveness I will practise using the </w:t>
      </w:r>
      <w:r w:rsidRPr="003255FB">
        <w:rPr>
          <w:rStyle w:val="Strong"/>
          <w:rFonts w:ascii="Arial" w:eastAsiaTheme="majorEastAsia" w:hAnsi="Arial" w:cs="Arial"/>
          <w:sz w:val="22"/>
          <w:szCs w:val="22"/>
        </w:rPr>
        <w:t>SBAR (Situation, Background, Assessment, Recommendation)</w:t>
      </w:r>
      <w:r w:rsidRPr="003255FB">
        <w:rPr>
          <w:rFonts w:ascii="Arial" w:hAnsi="Arial" w:cs="Arial"/>
          <w:sz w:val="22"/>
          <w:szCs w:val="22"/>
        </w:rPr>
        <w:t xml:space="preserve"> framework in role-plays with peers and ask mentors for feedback on how clearly and confidently I communicate</w:t>
      </w:r>
      <w:r w:rsidR="0005614D" w:rsidRPr="003255FB">
        <w:rPr>
          <w:rFonts w:ascii="Arial" w:hAnsi="Arial" w:cs="Arial"/>
          <w:sz w:val="22"/>
          <w:szCs w:val="22"/>
        </w:rPr>
        <w:t xml:space="preserve"> (Barnett, Nagy and Hakim, 2017)</w:t>
      </w:r>
      <w:r w:rsidRPr="003255FB">
        <w:rPr>
          <w:rFonts w:ascii="Arial" w:hAnsi="Arial" w:cs="Arial"/>
          <w:sz w:val="22"/>
          <w:szCs w:val="22"/>
        </w:rPr>
        <w:t>.</w:t>
      </w:r>
    </w:p>
    <w:p w14:paraId="26374835" w14:textId="77777777" w:rsidR="00C64BBA" w:rsidRPr="003255FB" w:rsidRDefault="00C64BBA" w:rsidP="003255FB">
      <w:pPr>
        <w:pStyle w:val="Heading3"/>
        <w:jc w:val="both"/>
        <w:rPr>
          <w:rFonts w:ascii="Arial" w:hAnsi="Arial" w:cs="Arial"/>
          <w:szCs w:val="22"/>
        </w:rPr>
      </w:pPr>
      <w:r w:rsidRPr="003255FB">
        <w:rPr>
          <w:rFonts w:ascii="Arial" w:hAnsi="Arial" w:cs="Arial"/>
          <w:szCs w:val="22"/>
        </w:rPr>
        <w:t>Personal Development Plan (PDP)</w:t>
      </w:r>
    </w:p>
    <w:tbl>
      <w:tblPr>
        <w:tblStyle w:val="TableGrid"/>
        <w:tblW w:w="0" w:type="auto"/>
        <w:tblLook w:val="04A0" w:firstRow="1" w:lastRow="0" w:firstColumn="1" w:lastColumn="0" w:noHBand="0" w:noVBand="1"/>
      </w:tblPr>
      <w:tblGrid>
        <w:gridCol w:w="1641"/>
        <w:gridCol w:w="1425"/>
        <w:gridCol w:w="1458"/>
        <w:gridCol w:w="1694"/>
        <w:gridCol w:w="1290"/>
        <w:gridCol w:w="1508"/>
      </w:tblGrid>
      <w:tr w:rsidR="00C64BBA" w:rsidRPr="003255FB" w14:paraId="6EFB7282" w14:textId="77777777" w:rsidTr="0005614D">
        <w:tc>
          <w:tcPr>
            <w:tcW w:w="0" w:type="auto"/>
            <w:hideMark/>
          </w:tcPr>
          <w:p w14:paraId="31D9CE87" w14:textId="77777777" w:rsidR="00C64BBA" w:rsidRPr="003255FB" w:rsidRDefault="00C64BBA" w:rsidP="003255FB">
            <w:pPr>
              <w:jc w:val="both"/>
              <w:rPr>
                <w:rFonts w:ascii="Arial" w:hAnsi="Arial" w:cs="Arial"/>
                <w:b/>
                <w:bCs/>
                <w:szCs w:val="22"/>
              </w:rPr>
            </w:pPr>
            <w:r w:rsidRPr="003255FB">
              <w:rPr>
                <w:rFonts w:ascii="Arial" w:hAnsi="Arial" w:cs="Arial"/>
                <w:b/>
                <w:bCs/>
                <w:szCs w:val="22"/>
              </w:rPr>
              <w:t>Skill area</w:t>
            </w:r>
          </w:p>
        </w:tc>
        <w:tc>
          <w:tcPr>
            <w:tcW w:w="0" w:type="auto"/>
            <w:hideMark/>
          </w:tcPr>
          <w:p w14:paraId="0BD4F081" w14:textId="77777777" w:rsidR="00C64BBA" w:rsidRPr="003255FB" w:rsidRDefault="00C64BBA" w:rsidP="003255FB">
            <w:pPr>
              <w:jc w:val="both"/>
              <w:rPr>
                <w:rFonts w:ascii="Arial" w:hAnsi="Arial" w:cs="Arial"/>
                <w:b/>
                <w:bCs/>
                <w:szCs w:val="22"/>
              </w:rPr>
            </w:pPr>
            <w:r w:rsidRPr="003255FB">
              <w:rPr>
                <w:rFonts w:ascii="Arial" w:hAnsi="Arial" w:cs="Arial"/>
                <w:b/>
                <w:bCs/>
                <w:szCs w:val="22"/>
              </w:rPr>
              <w:t>Current position</w:t>
            </w:r>
          </w:p>
        </w:tc>
        <w:tc>
          <w:tcPr>
            <w:tcW w:w="0" w:type="auto"/>
            <w:hideMark/>
          </w:tcPr>
          <w:p w14:paraId="031B4814" w14:textId="77777777" w:rsidR="00C64BBA" w:rsidRPr="003255FB" w:rsidRDefault="00C64BBA" w:rsidP="003255FB">
            <w:pPr>
              <w:jc w:val="both"/>
              <w:rPr>
                <w:rFonts w:ascii="Arial" w:hAnsi="Arial" w:cs="Arial"/>
                <w:b/>
                <w:bCs/>
                <w:szCs w:val="22"/>
              </w:rPr>
            </w:pPr>
            <w:r w:rsidRPr="003255FB">
              <w:rPr>
                <w:rFonts w:ascii="Arial" w:hAnsi="Arial" w:cs="Arial"/>
                <w:b/>
                <w:bCs/>
                <w:szCs w:val="22"/>
              </w:rPr>
              <w:t>Objective</w:t>
            </w:r>
          </w:p>
        </w:tc>
        <w:tc>
          <w:tcPr>
            <w:tcW w:w="0" w:type="auto"/>
            <w:hideMark/>
          </w:tcPr>
          <w:p w14:paraId="48A8D81E" w14:textId="77777777" w:rsidR="00C64BBA" w:rsidRPr="003255FB" w:rsidRDefault="00C64BBA" w:rsidP="003255FB">
            <w:pPr>
              <w:jc w:val="both"/>
              <w:rPr>
                <w:rFonts w:ascii="Arial" w:hAnsi="Arial" w:cs="Arial"/>
                <w:b/>
                <w:bCs/>
                <w:szCs w:val="22"/>
              </w:rPr>
            </w:pPr>
            <w:r w:rsidRPr="003255FB">
              <w:rPr>
                <w:rFonts w:ascii="Arial" w:hAnsi="Arial" w:cs="Arial"/>
                <w:b/>
                <w:bCs/>
                <w:szCs w:val="22"/>
              </w:rPr>
              <w:t>Actions and resources</w:t>
            </w:r>
          </w:p>
        </w:tc>
        <w:tc>
          <w:tcPr>
            <w:tcW w:w="0" w:type="auto"/>
            <w:hideMark/>
          </w:tcPr>
          <w:p w14:paraId="1077E13A" w14:textId="77777777" w:rsidR="00C64BBA" w:rsidRPr="003255FB" w:rsidRDefault="00C64BBA" w:rsidP="003255FB">
            <w:pPr>
              <w:jc w:val="both"/>
              <w:rPr>
                <w:rFonts w:ascii="Arial" w:hAnsi="Arial" w:cs="Arial"/>
                <w:b/>
                <w:bCs/>
                <w:szCs w:val="22"/>
              </w:rPr>
            </w:pPr>
            <w:r w:rsidRPr="003255FB">
              <w:rPr>
                <w:rFonts w:ascii="Arial" w:hAnsi="Arial" w:cs="Arial"/>
                <w:b/>
                <w:bCs/>
                <w:szCs w:val="22"/>
              </w:rPr>
              <w:t>Timescale</w:t>
            </w:r>
          </w:p>
        </w:tc>
        <w:tc>
          <w:tcPr>
            <w:tcW w:w="0" w:type="auto"/>
            <w:hideMark/>
          </w:tcPr>
          <w:p w14:paraId="62082EE2" w14:textId="77777777" w:rsidR="00C64BBA" w:rsidRPr="003255FB" w:rsidRDefault="00C64BBA" w:rsidP="003255FB">
            <w:pPr>
              <w:jc w:val="both"/>
              <w:rPr>
                <w:rFonts w:ascii="Arial" w:hAnsi="Arial" w:cs="Arial"/>
                <w:b/>
                <w:bCs/>
                <w:szCs w:val="22"/>
              </w:rPr>
            </w:pPr>
            <w:r w:rsidRPr="003255FB">
              <w:rPr>
                <w:rFonts w:ascii="Arial" w:hAnsi="Arial" w:cs="Arial"/>
                <w:b/>
                <w:bCs/>
                <w:szCs w:val="22"/>
              </w:rPr>
              <w:t>Evidence of success</w:t>
            </w:r>
          </w:p>
        </w:tc>
      </w:tr>
      <w:tr w:rsidR="00C64BBA" w:rsidRPr="003255FB" w14:paraId="48200877" w14:textId="77777777" w:rsidTr="0005614D">
        <w:tc>
          <w:tcPr>
            <w:tcW w:w="0" w:type="auto"/>
            <w:hideMark/>
          </w:tcPr>
          <w:p w14:paraId="3F64E056" w14:textId="77777777" w:rsidR="00C64BBA" w:rsidRPr="003255FB" w:rsidRDefault="00C64BBA" w:rsidP="003255FB">
            <w:pPr>
              <w:jc w:val="both"/>
              <w:rPr>
                <w:rFonts w:ascii="Arial" w:hAnsi="Arial" w:cs="Arial"/>
                <w:szCs w:val="22"/>
              </w:rPr>
            </w:pPr>
            <w:r w:rsidRPr="003255FB">
              <w:rPr>
                <w:rFonts w:ascii="Arial" w:hAnsi="Arial" w:cs="Arial"/>
                <w:szCs w:val="22"/>
              </w:rPr>
              <w:t>Clinical care experience</w:t>
            </w:r>
          </w:p>
        </w:tc>
        <w:tc>
          <w:tcPr>
            <w:tcW w:w="0" w:type="auto"/>
            <w:hideMark/>
          </w:tcPr>
          <w:p w14:paraId="1BFF0781" w14:textId="77777777" w:rsidR="00C64BBA" w:rsidRPr="003255FB" w:rsidRDefault="00C64BBA" w:rsidP="003255FB">
            <w:pPr>
              <w:jc w:val="both"/>
              <w:rPr>
                <w:rFonts w:ascii="Arial" w:hAnsi="Arial" w:cs="Arial"/>
                <w:szCs w:val="22"/>
              </w:rPr>
            </w:pPr>
            <w:r w:rsidRPr="003255FB">
              <w:rPr>
                <w:rFonts w:ascii="Arial" w:hAnsi="Arial" w:cs="Arial"/>
                <w:szCs w:val="22"/>
              </w:rPr>
              <w:t>Only classroom and simulation practice</w:t>
            </w:r>
          </w:p>
        </w:tc>
        <w:tc>
          <w:tcPr>
            <w:tcW w:w="0" w:type="auto"/>
            <w:hideMark/>
          </w:tcPr>
          <w:p w14:paraId="21CFA58C" w14:textId="77777777" w:rsidR="00C64BBA" w:rsidRPr="003255FB" w:rsidRDefault="00C64BBA" w:rsidP="003255FB">
            <w:pPr>
              <w:jc w:val="both"/>
              <w:rPr>
                <w:rFonts w:ascii="Arial" w:hAnsi="Arial" w:cs="Arial"/>
                <w:szCs w:val="22"/>
              </w:rPr>
            </w:pPr>
            <w:r w:rsidRPr="003255FB">
              <w:rPr>
                <w:rFonts w:ascii="Arial" w:hAnsi="Arial" w:cs="Arial"/>
                <w:szCs w:val="22"/>
              </w:rPr>
              <w:t>Gain at least 50 hours of direct care work</w:t>
            </w:r>
          </w:p>
        </w:tc>
        <w:tc>
          <w:tcPr>
            <w:tcW w:w="0" w:type="auto"/>
            <w:hideMark/>
          </w:tcPr>
          <w:p w14:paraId="360EC2DA" w14:textId="77777777" w:rsidR="00C64BBA" w:rsidRPr="003255FB" w:rsidRDefault="00C64BBA" w:rsidP="003255FB">
            <w:pPr>
              <w:jc w:val="both"/>
              <w:rPr>
                <w:rFonts w:ascii="Arial" w:hAnsi="Arial" w:cs="Arial"/>
                <w:szCs w:val="22"/>
              </w:rPr>
            </w:pPr>
            <w:r w:rsidRPr="003255FB">
              <w:rPr>
                <w:rFonts w:ascii="Arial" w:hAnsi="Arial" w:cs="Arial"/>
                <w:szCs w:val="22"/>
              </w:rPr>
              <w:t>Apply for part-time HCA/support worker or voluntary role in local care setting</w:t>
            </w:r>
          </w:p>
        </w:tc>
        <w:tc>
          <w:tcPr>
            <w:tcW w:w="0" w:type="auto"/>
            <w:hideMark/>
          </w:tcPr>
          <w:p w14:paraId="6F55FA9C" w14:textId="77777777" w:rsidR="00C64BBA" w:rsidRPr="003255FB" w:rsidRDefault="00C64BBA" w:rsidP="003255FB">
            <w:pPr>
              <w:jc w:val="both"/>
              <w:rPr>
                <w:rFonts w:ascii="Arial" w:hAnsi="Arial" w:cs="Arial"/>
                <w:szCs w:val="22"/>
              </w:rPr>
            </w:pPr>
            <w:r w:rsidRPr="003255FB">
              <w:rPr>
                <w:rFonts w:ascii="Arial" w:hAnsi="Arial" w:cs="Arial"/>
                <w:szCs w:val="22"/>
              </w:rPr>
              <w:t>Next 6 months</w:t>
            </w:r>
          </w:p>
        </w:tc>
        <w:tc>
          <w:tcPr>
            <w:tcW w:w="0" w:type="auto"/>
            <w:hideMark/>
          </w:tcPr>
          <w:p w14:paraId="507C3592" w14:textId="77777777" w:rsidR="00C64BBA" w:rsidRPr="003255FB" w:rsidRDefault="00C64BBA" w:rsidP="003255FB">
            <w:pPr>
              <w:jc w:val="both"/>
              <w:rPr>
                <w:rFonts w:ascii="Arial" w:hAnsi="Arial" w:cs="Arial"/>
                <w:szCs w:val="22"/>
              </w:rPr>
            </w:pPr>
            <w:r w:rsidRPr="003255FB">
              <w:rPr>
                <w:rFonts w:ascii="Arial" w:hAnsi="Arial" w:cs="Arial"/>
                <w:szCs w:val="22"/>
              </w:rPr>
              <w:t>Logged hours; positive supervisor feedback</w:t>
            </w:r>
          </w:p>
        </w:tc>
      </w:tr>
      <w:tr w:rsidR="00C64BBA" w:rsidRPr="003255FB" w14:paraId="5F13C105" w14:textId="77777777" w:rsidTr="0005614D">
        <w:tc>
          <w:tcPr>
            <w:tcW w:w="0" w:type="auto"/>
            <w:hideMark/>
          </w:tcPr>
          <w:p w14:paraId="0FF1A2B0" w14:textId="77777777" w:rsidR="00C64BBA" w:rsidRPr="003255FB" w:rsidRDefault="00C64BBA" w:rsidP="003255FB">
            <w:pPr>
              <w:jc w:val="both"/>
              <w:rPr>
                <w:rFonts w:ascii="Arial" w:hAnsi="Arial" w:cs="Arial"/>
                <w:szCs w:val="22"/>
              </w:rPr>
            </w:pPr>
            <w:r w:rsidRPr="003255FB">
              <w:rPr>
                <w:rFonts w:ascii="Arial" w:hAnsi="Arial" w:cs="Arial"/>
                <w:szCs w:val="22"/>
              </w:rPr>
              <w:lastRenderedPageBreak/>
              <w:t>Dementia and challenging behaviour</w:t>
            </w:r>
          </w:p>
        </w:tc>
        <w:tc>
          <w:tcPr>
            <w:tcW w:w="0" w:type="auto"/>
            <w:hideMark/>
          </w:tcPr>
          <w:p w14:paraId="43FAEB2A" w14:textId="77777777" w:rsidR="00C64BBA" w:rsidRPr="003255FB" w:rsidRDefault="00C64BBA" w:rsidP="003255FB">
            <w:pPr>
              <w:jc w:val="both"/>
              <w:rPr>
                <w:rFonts w:ascii="Arial" w:hAnsi="Arial" w:cs="Arial"/>
                <w:szCs w:val="22"/>
              </w:rPr>
            </w:pPr>
            <w:r w:rsidRPr="003255FB">
              <w:rPr>
                <w:rFonts w:ascii="Arial" w:hAnsi="Arial" w:cs="Arial"/>
                <w:szCs w:val="22"/>
              </w:rPr>
              <w:t>Limited exposure; mainly theoretical</w:t>
            </w:r>
          </w:p>
        </w:tc>
        <w:tc>
          <w:tcPr>
            <w:tcW w:w="0" w:type="auto"/>
            <w:hideMark/>
          </w:tcPr>
          <w:p w14:paraId="0C1C9110" w14:textId="77777777" w:rsidR="00C64BBA" w:rsidRPr="003255FB" w:rsidRDefault="00C64BBA" w:rsidP="003255FB">
            <w:pPr>
              <w:jc w:val="both"/>
              <w:rPr>
                <w:rFonts w:ascii="Arial" w:hAnsi="Arial" w:cs="Arial"/>
                <w:szCs w:val="22"/>
              </w:rPr>
            </w:pPr>
            <w:r w:rsidRPr="003255FB">
              <w:rPr>
                <w:rFonts w:ascii="Arial" w:hAnsi="Arial" w:cs="Arial"/>
                <w:szCs w:val="22"/>
              </w:rPr>
              <w:t>Respond calmly and safely to distressed patients</w:t>
            </w:r>
          </w:p>
        </w:tc>
        <w:tc>
          <w:tcPr>
            <w:tcW w:w="0" w:type="auto"/>
            <w:hideMark/>
          </w:tcPr>
          <w:p w14:paraId="3EF5CE62" w14:textId="77777777" w:rsidR="00C64BBA" w:rsidRPr="003255FB" w:rsidRDefault="00C64BBA" w:rsidP="003255FB">
            <w:pPr>
              <w:jc w:val="both"/>
              <w:rPr>
                <w:rFonts w:ascii="Arial" w:hAnsi="Arial" w:cs="Arial"/>
                <w:szCs w:val="22"/>
              </w:rPr>
            </w:pPr>
            <w:r w:rsidRPr="003255FB">
              <w:rPr>
                <w:rFonts w:ascii="Arial" w:hAnsi="Arial" w:cs="Arial"/>
                <w:szCs w:val="22"/>
              </w:rPr>
              <w:t>Complete dementia and de-escalation e-learning; shadow experienced staff</w:t>
            </w:r>
          </w:p>
        </w:tc>
        <w:tc>
          <w:tcPr>
            <w:tcW w:w="0" w:type="auto"/>
            <w:hideMark/>
          </w:tcPr>
          <w:p w14:paraId="76FB4896" w14:textId="77777777" w:rsidR="00C64BBA" w:rsidRPr="003255FB" w:rsidRDefault="00C64BBA" w:rsidP="003255FB">
            <w:pPr>
              <w:jc w:val="both"/>
              <w:rPr>
                <w:rFonts w:ascii="Arial" w:hAnsi="Arial" w:cs="Arial"/>
                <w:szCs w:val="22"/>
              </w:rPr>
            </w:pPr>
            <w:r w:rsidRPr="003255FB">
              <w:rPr>
                <w:rFonts w:ascii="Arial" w:hAnsi="Arial" w:cs="Arial"/>
                <w:szCs w:val="22"/>
              </w:rPr>
              <w:t>Next 4 months</w:t>
            </w:r>
          </w:p>
        </w:tc>
        <w:tc>
          <w:tcPr>
            <w:tcW w:w="0" w:type="auto"/>
            <w:hideMark/>
          </w:tcPr>
          <w:p w14:paraId="211C8B2B" w14:textId="77777777" w:rsidR="00C64BBA" w:rsidRPr="003255FB" w:rsidRDefault="00C64BBA" w:rsidP="003255FB">
            <w:pPr>
              <w:jc w:val="both"/>
              <w:rPr>
                <w:rFonts w:ascii="Arial" w:hAnsi="Arial" w:cs="Arial"/>
                <w:szCs w:val="22"/>
              </w:rPr>
            </w:pPr>
            <w:r w:rsidRPr="003255FB">
              <w:rPr>
                <w:rFonts w:ascii="Arial" w:hAnsi="Arial" w:cs="Arial"/>
                <w:szCs w:val="22"/>
              </w:rPr>
              <w:t>Certificates; reflective log of 3–4 real episodes</w:t>
            </w:r>
          </w:p>
        </w:tc>
      </w:tr>
      <w:tr w:rsidR="00C64BBA" w:rsidRPr="003255FB" w14:paraId="5F9980AA" w14:textId="77777777" w:rsidTr="0005614D">
        <w:tc>
          <w:tcPr>
            <w:tcW w:w="0" w:type="auto"/>
            <w:hideMark/>
          </w:tcPr>
          <w:p w14:paraId="13E0B2D6" w14:textId="77777777" w:rsidR="00C64BBA" w:rsidRPr="003255FB" w:rsidRDefault="00C64BBA" w:rsidP="003255FB">
            <w:pPr>
              <w:jc w:val="both"/>
              <w:rPr>
                <w:rFonts w:ascii="Arial" w:hAnsi="Arial" w:cs="Arial"/>
                <w:szCs w:val="22"/>
              </w:rPr>
            </w:pPr>
            <w:r w:rsidRPr="003255FB">
              <w:rPr>
                <w:rFonts w:ascii="Arial" w:hAnsi="Arial" w:cs="Arial"/>
                <w:szCs w:val="22"/>
              </w:rPr>
              <w:t>Speaking up and assertiveness</w:t>
            </w:r>
          </w:p>
        </w:tc>
        <w:tc>
          <w:tcPr>
            <w:tcW w:w="0" w:type="auto"/>
            <w:hideMark/>
          </w:tcPr>
          <w:p w14:paraId="2E39834D" w14:textId="77777777" w:rsidR="00C64BBA" w:rsidRPr="003255FB" w:rsidRDefault="00C64BBA" w:rsidP="003255FB">
            <w:pPr>
              <w:jc w:val="both"/>
              <w:rPr>
                <w:rFonts w:ascii="Arial" w:hAnsi="Arial" w:cs="Arial"/>
                <w:szCs w:val="22"/>
              </w:rPr>
            </w:pPr>
            <w:r w:rsidRPr="003255FB">
              <w:rPr>
                <w:rFonts w:ascii="Arial" w:hAnsi="Arial" w:cs="Arial"/>
                <w:szCs w:val="22"/>
              </w:rPr>
              <w:t>Sometimes hesitant with senior colleagues</w:t>
            </w:r>
          </w:p>
        </w:tc>
        <w:tc>
          <w:tcPr>
            <w:tcW w:w="0" w:type="auto"/>
            <w:hideMark/>
          </w:tcPr>
          <w:p w14:paraId="6F6EE65B" w14:textId="77777777" w:rsidR="00C64BBA" w:rsidRPr="003255FB" w:rsidRDefault="00C64BBA" w:rsidP="003255FB">
            <w:pPr>
              <w:jc w:val="both"/>
              <w:rPr>
                <w:rFonts w:ascii="Arial" w:hAnsi="Arial" w:cs="Arial"/>
                <w:szCs w:val="22"/>
              </w:rPr>
            </w:pPr>
            <w:r w:rsidRPr="003255FB">
              <w:rPr>
                <w:rFonts w:ascii="Arial" w:hAnsi="Arial" w:cs="Arial"/>
                <w:szCs w:val="22"/>
              </w:rPr>
              <w:t>Raise concerns and clarify instructions promptly</w:t>
            </w:r>
          </w:p>
        </w:tc>
        <w:tc>
          <w:tcPr>
            <w:tcW w:w="0" w:type="auto"/>
            <w:hideMark/>
          </w:tcPr>
          <w:p w14:paraId="0C88128B" w14:textId="77777777" w:rsidR="00C64BBA" w:rsidRPr="003255FB" w:rsidRDefault="00C64BBA" w:rsidP="003255FB">
            <w:pPr>
              <w:jc w:val="both"/>
              <w:rPr>
                <w:rFonts w:ascii="Arial" w:hAnsi="Arial" w:cs="Arial"/>
                <w:szCs w:val="22"/>
              </w:rPr>
            </w:pPr>
            <w:r w:rsidRPr="003255FB">
              <w:rPr>
                <w:rFonts w:ascii="Arial" w:hAnsi="Arial" w:cs="Arial"/>
                <w:szCs w:val="22"/>
              </w:rPr>
              <w:t>Use SBAR in simulations; seek feedback after handovers and shifts</w:t>
            </w:r>
          </w:p>
        </w:tc>
        <w:tc>
          <w:tcPr>
            <w:tcW w:w="0" w:type="auto"/>
            <w:hideMark/>
          </w:tcPr>
          <w:p w14:paraId="5B3C1E1C" w14:textId="77777777" w:rsidR="00C64BBA" w:rsidRPr="003255FB" w:rsidRDefault="00C64BBA" w:rsidP="003255FB">
            <w:pPr>
              <w:jc w:val="both"/>
              <w:rPr>
                <w:rFonts w:ascii="Arial" w:hAnsi="Arial" w:cs="Arial"/>
                <w:szCs w:val="22"/>
              </w:rPr>
            </w:pPr>
            <w:r w:rsidRPr="003255FB">
              <w:rPr>
                <w:rFonts w:ascii="Arial" w:hAnsi="Arial" w:cs="Arial"/>
                <w:szCs w:val="22"/>
              </w:rPr>
              <w:t>Next 3 months</w:t>
            </w:r>
          </w:p>
        </w:tc>
        <w:tc>
          <w:tcPr>
            <w:tcW w:w="0" w:type="auto"/>
            <w:hideMark/>
          </w:tcPr>
          <w:p w14:paraId="2C5BFA2E" w14:textId="77777777" w:rsidR="00C64BBA" w:rsidRPr="003255FB" w:rsidRDefault="00C64BBA" w:rsidP="003255FB">
            <w:pPr>
              <w:jc w:val="both"/>
              <w:rPr>
                <w:rFonts w:ascii="Arial" w:hAnsi="Arial" w:cs="Arial"/>
                <w:szCs w:val="22"/>
              </w:rPr>
            </w:pPr>
            <w:r w:rsidRPr="003255FB">
              <w:rPr>
                <w:rFonts w:ascii="Arial" w:hAnsi="Arial" w:cs="Arial"/>
                <w:szCs w:val="22"/>
              </w:rPr>
              <w:t>Feedback noting increased confidence and clarity</w:t>
            </w:r>
          </w:p>
        </w:tc>
      </w:tr>
    </w:tbl>
    <w:p w14:paraId="1EE9DE50" w14:textId="22CFDCA6" w:rsidR="00C64BBA" w:rsidRPr="003255FB" w:rsidRDefault="00C64BBA" w:rsidP="003255FB">
      <w:pPr>
        <w:jc w:val="both"/>
        <w:rPr>
          <w:rFonts w:ascii="Arial" w:hAnsi="Arial" w:cs="Arial"/>
          <w:szCs w:val="22"/>
        </w:rPr>
      </w:pPr>
    </w:p>
    <w:p w14:paraId="0D0273C4" w14:textId="77777777" w:rsidR="00C64BBA" w:rsidRPr="003255FB" w:rsidRDefault="00C64BBA" w:rsidP="003255FB">
      <w:pPr>
        <w:pStyle w:val="Heading3"/>
        <w:jc w:val="both"/>
        <w:rPr>
          <w:rFonts w:ascii="Arial" w:hAnsi="Arial" w:cs="Arial"/>
          <w:szCs w:val="22"/>
        </w:rPr>
      </w:pPr>
      <w:r w:rsidRPr="003255FB">
        <w:rPr>
          <w:rFonts w:ascii="Arial" w:hAnsi="Arial" w:cs="Arial"/>
          <w:szCs w:val="22"/>
        </w:rPr>
        <w:t>Interview preparation: sample questions and responses</w:t>
      </w:r>
    </w:p>
    <w:p w14:paraId="09C18FD3" w14:textId="571CB46C" w:rsidR="000656F6" w:rsidRPr="003255FB" w:rsidRDefault="00C64BBA" w:rsidP="003255FB">
      <w:pPr>
        <w:pStyle w:val="NormalWeb"/>
        <w:spacing w:line="360" w:lineRule="auto"/>
        <w:jc w:val="both"/>
        <w:rPr>
          <w:rFonts w:ascii="Arial" w:hAnsi="Arial" w:cs="Arial"/>
          <w:sz w:val="22"/>
          <w:szCs w:val="22"/>
        </w:rPr>
      </w:pPr>
      <w:r w:rsidRPr="003255FB">
        <w:rPr>
          <w:rStyle w:val="Strong"/>
          <w:rFonts w:ascii="Arial" w:eastAsiaTheme="majorEastAsia" w:hAnsi="Arial" w:cs="Arial"/>
          <w:sz w:val="22"/>
          <w:szCs w:val="22"/>
        </w:rPr>
        <w:t>Question 1: Why do you want to work as a Health Care Assistant?</w:t>
      </w:r>
    </w:p>
    <w:p w14:paraId="321FCB5E" w14:textId="7D3F8AED"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I am motivated by helping people feel safe, respected and comfortable when they are unwell, and I enjoy practical, hands-on work where small acts such as helping someone wash or eat can make a big difference. This role fits my long-term goal of a career in health and social care and offers structured opportunities to learn from experienced nurses.</w:t>
      </w:r>
    </w:p>
    <w:p w14:paraId="0F31102B" w14:textId="2A53160E" w:rsidR="000656F6" w:rsidRPr="003255FB" w:rsidRDefault="00C64BBA" w:rsidP="003255FB">
      <w:pPr>
        <w:pStyle w:val="NormalWeb"/>
        <w:spacing w:line="360" w:lineRule="auto"/>
        <w:jc w:val="both"/>
        <w:rPr>
          <w:rFonts w:ascii="Arial" w:hAnsi="Arial" w:cs="Arial"/>
          <w:sz w:val="22"/>
          <w:szCs w:val="22"/>
        </w:rPr>
      </w:pPr>
      <w:r w:rsidRPr="003255FB">
        <w:rPr>
          <w:rStyle w:val="Strong"/>
          <w:rFonts w:ascii="Arial" w:eastAsiaTheme="majorEastAsia" w:hAnsi="Arial" w:cs="Arial"/>
          <w:sz w:val="22"/>
          <w:szCs w:val="22"/>
        </w:rPr>
        <w:t>Question 2: Can you give an example of working in a team under pressure?</w:t>
      </w:r>
    </w:p>
    <w:p w14:paraId="08C9B296" w14:textId="5098C100"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In a recent group presentation a key member became ill shortly before the deadline, so I coordinated a short meeting, redistributed their slides and created a simple checklist so we could track progress. By staying calm and sharing tasks fairly we delivered the presentation on time and achieved a good mark, showing that I can stay organised and positive under pressure.</w:t>
      </w:r>
    </w:p>
    <w:p w14:paraId="44F0EA56" w14:textId="1F47935A" w:rsidR="000656F6" w:rsidRPr="003255FB" w:rsidRDefault="00C64BBA" w:rsidP="003255FB">
      <w:pPr>
        <w:pStyle w:val="NormalWeb"/>
        <w:spacing w:line="360" w:lineRule="auto"/>
        <w:jc w:val="both"/>
        <w:rPr>
          <w:rFonts w:ascii="Arial" w:hAnsi="Arial" w:cs="Arial"/>
          <w:sz w:val="22"/>
          <w:szCs w:val="22"/>
        </w:rPr>
      </w:pPr>
      <w:r w:rsidRPr="003255FB">
        <w:rPr>
          <w:rStyle w:val="Strong"/>
          <w:rFonts w:ascii="Arial" w:eastAsiaTheme="majorEastAsia" w:hAnsi="Arial" w:cs="Arial"/>
          <w:sz w:val="22"/>
          <w:szCs w:val="22"/>
        </w:rPr>
        <w:t>Question 3: How would you respond if a patient became upset or verbally aggressive?</w:t>
      </w:r>
    </w:p>
    <w:p w14:paraId="3CD4EB60" w14:textId="5FE3E5BA" w:rsidR="00C64BBA"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My priority would be safety and de-escalation: I would stay calm, use a quiet and respectful tone, give the person space where possible and try to identify the cause of their distress, such as pain, fear or confusion. I would follow local procedures on managing aggression, seek help from senior staff if needed, document the incident accurately and reflect on what I had learned.</w:t>
      </w:r>
    </w:p>
    <w:p w14:paraId="7DC3D123" w14:textId="77777777" w:rsidR="00FE1F51" w:rsidRDefault="00FE1F51" w:rsidP="003255FB">
      <w:pPr>
        <w:pStyle w:val="NormalWeb"/>
        <w:spacing w:line="360" w:lineRule="auto"/>
        <w:jc w:val="both"/>
        <w:rPr>
          <w:rFonts w:ascii="Arial" w:hAnsi="Arial" w:cs="Arial"/>
          <w:sz w:val="22"/>
          <w:szCs w:val="22"/>
        </w:rPr>
      </w:pPr>
    </w:p>
    <w:p w14:paraId="63223E5C" w14:textId="77777777" w:rsidR="00FE1F51" w:rsidRPr="003255FB" w:rsidRDefault="00FE1F51" w:rsidP="003255FB">
      <w:pPr>
        <w:pStyle w:val="NormalWeb"/>
        <w:spacing w:line="360" w:lineRule="auto"/>
        <w:jc w:val="both"/>
        <w:rPr>
          <w:rFonts w:ascii="Arial" w:hAnsi="Arial" w:cs="Arial"/>
          <w:sz w:val="22"/>
          <w:szCs w:val="22"/>
        </w:rPr>
      </w:pPr>
    </w:p>
    <w:p w14:paraId="3E99EB5C" w14:textId="77777777" w:rsidR="003424C3" w:rsidRPr="003255FB" w:rsidRDefault="00C64BBA" w:rsidP="003255FB">
      <w:pPr>
        <w:pStyle w:val="NormalWeb"/>
        <w:spacing w:line="360" w:lineRule="auto"/>
        <w:jc w:val="both"/>
        <w:rPr>
          <w:rStyle w:val="Strong"/>
          <w:rFonts w:ascii="Arial" w:eastAsiaTheme="majorEastAsia" w:hAnsi="Arial" w:cs="Arial"/>
          <w:sz w:val="22"/>
          <w:szCs w:val="22"/>
        </w:rPr>
      </w:pPr>
      <w:r w:rsidRPr="003255FB">
        <w:rPr>
          <w:rStyle w:val="Strong"/>
          <w:rFonts w:ascii="Arial" w:eastAsiaTheme="majorEastAsia" w:hAnsi="Arial" w:cs="Arial"/>
          <w:sz w:val="22"/>
          <w:szCs w:val="22"/>
        </w:rPr>
        <w:t>Task 2 – Academic Report on a Key Skill in Health and Social Care</w:t>
      </w:r>
    </w:p>
    <w:p w14:paraId="0E755C89" w14:textId="77777777" w:rsidR="003424C3" w:rsidRPr="003255FB" w:rsidRDefault="00C64BBA" w:rsidP="003255FB">
      <w:pPr>
        <w:pStyle w:val="NormalWeb"/>
        <w:spacing w:line="360" w:lineRule="auto"/>
        <w:jc w:val="both"/>
        <w:rPr>
          <w:rStyle w:val="Strong"/>
          <w:rFonts w:ascii="Arial" w:eastAsiaTheme="majorEastAsia" w:hAnsi="Arial" w:cs="Arial"/>
          <w:sz w:val="22"/>
          <w:szCs w:val="22"/>
        </w:rPr>
      </w:pPr>
      <w:r w:rsidRPr="003255FB">
        <w:rPr>
          <w:rStyle w:val="Strong"/>
          <w:rFonts w:ascii="Arial" w:eastAsiaTheme="majorEastAsia" w:hAnsi="Arial" w:cs="Arial"/>
          <w:sz w:val="22"/>
          <w:szCs w:val="22"/>
        </w:rPr>
        <w:t xml:space="preserve">Key Skill: Effective Communication </w:t>
      </w:r>
    </w:p>
    <w:p w14:paraId="3DCCA509" w14:textId="77777777" w:rsidR="003424C3" w:rsidRPr="003255FB" w:rsidRDefault="00C64BBA" w:rsidP="003255FB">
      <w:pPr>
        <w:pStyle w:val="NormalWeb"/>
        <w:spacing w:line="360" w:lineRule="auto"/>
        <w:jc w:val="both"/>
        <w:rPr>
          <w:rFonts w:ascii="Arial" w:hAnsi="Arial" w:cs="Arial"/>
          <w:sz w:val="22"/>
          <w:szCs w:val="22"/>
        </w:rPr>
      </w:pPr>
      <w:r w:rsidRPr="003255FB">
        <w:rPr>
          <w:rStyle w:val="Strong"/>
          <w:rFonts w:ascii="Arial" w:eastAsiaTheme="majorEastAsia" w:hAnsi="Arial" w:cs="Arial"/>
          <w:sz w:val="22"/>
          <w:szCs w:val="22"/>
        </w:rPr>
        <w:t>Introduction</w:t>
      </w:r>
    </w:p>
    <w:p w14:paraId="26DF8D49" w14:textId="0FDF0F63"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 xml:space="preserve">For a Health Care Assistant (HCA), effective communication is a core professional skill. HCAs are often the staff members who spend the most time with patients, families and multidisciplinary colleagues, so their ability to exchange information clearly and empathetically directly shapes patient experience, safety and outcomes. Research consistently links high-quality communication with better patient-centred outcomes, including improved understanding, self-management and satisfaction. </w:t>
      </w:r>
      <w:r w:rsidR="00A258B7" w:rsidRPr="003255FB">
        <w:rPr>
          <w:rFonts w:ascii="Arial" w:hAnsi="Arial" w:cs="Arial"/>
          <w:sz w:val="22"/>
          <w:szCs w:val="22"/>
        </w:rPr>
        <w:t xml:space="preserve">(Grainger, 2020). </w:t>
      </w:r>
      <w:r w:rsidRPr="003255FB">
        <w:rPr>
          <w:rFonts w:ascii="Arial" w:hAnsi="Arial" w:cs="Arial"/>
          <w:sz w:val="22"/>
          <w:szCs w:val="22"/>
        </w:rPr>
        <w:t>This report explains what effective communication involves in health and social care, why it is essential for the HCA role, and how it can be developed.</w:t>
      </w:r>
    </w:p>
    <w:p w14:paraId="693BFAE4" w14:textId="77777777" w:rsidR="00C64BBA" w:rsidRPr="003255FB" w:rsidRDefault="00C64BBA" w:rsidP="003255FB">
      <w:pPr>
        <w:pStyle w:val="Heading3"/>
        <w:jc w:val="both"/>
        <w:rPr>
          <w:rFonts w:ascii="Arial" w:hAnsi="Arial" w:cs="Arial"/>
          <w:szCs w:val="22"/>
        </w:rPr>
      </w:pPr>
      <w:r w:rsidRPr="003255FB">
        <w:rPr>
          <w:rFonts w:ascii="Arial" w:hAnsi="Arial" w:cs="Arial"/>
          <w:szCs w:val="22"/>
        </w:rPr>
        <w:t>The nature of effective communication</w:t>
      </w:r>
    </w:p>
    <w:p w14:paraId="3D14E0B5" w14:textId="29A8C495"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 xml:space="preserve">Communication in care settings includes verbal, non-verbal and written elements. It is not just talking but a two-way process of sharing information and meaning. The concept of </w:t>
      </w:r>
      <w:r w:rsidRPr="003255FB">
        <w:rPr>
          <w:rStyle w:val="Emphasis"/>
          <w:rFonts w:ascii="Arial" w:hAnsi="Arial" w:cs="Arial"/>
          <w:sz w:val="22"/>
          <w:szCs w:val="22"/>
        </w:rPr>
        <w:t>active listening</w:t>
      </w:r>
      <w:r w:rsidRPr="003255FB">
        <w:rPr>
          <w:rFonts w:ascii="Arial" w:hAnsi="Arial" w:cs="Arial"/>
          <w:sz w:val="22"/>
          <w:szCs w:val="22"/>
        </w:rPr>
        <w:t xml:space="preserve"> highlights this: rather than passively hearing, the listener intentionally focuses on the speaker’s words, emotions and body language to understand their perspective</w:t>
      </w:r>
      <w:r w:rsidR="001A0E0C" w:rsidRPr="003255FB">
        <w:rPr>
          <w:rFonts w:ascii="Arial" w:hAnsi="Arial" w:cs="Arial"/>
          <w:sz w:val="22"/>
          <w:szCs w:val="22"/>
        </w:rPr>
        <w:t xml:space="preserve"> (Bodie </w:t>
      </w:r>
      <w:r w:rsidR="001A0E0C" w:rsidRPr="003255FB">
        <w:rPr>
          <w:rFonts w:ascii="Arial" w:hAnsi="Arial" w:cs="Arial"/>
          <w:i/>
          <w:iCs/>
          <w:sz w:val="22"/>
          <w:szCs w:val="22"/>
        </w:rPr>
        <w:t>et al.</w:t>
      </w:r>
      <w:r w:rsidR="001A0E0C" w:rsidRPr="003255FB">
        <w:rPr>
          <w:rFonts w:ascii="Arial" w:hAnsi="Arial" w:cs="Arial"/>
          <w:sz w:val="22"/>
          <w:szCs w:val="22"/>
        </w:rPr>
        <w:t>, 2015)</w:t>
      </w:r>
      <w:r w:rsidRPr="003255FB">
        <w:rPr>
          <w:rFonts w:ascii="Arial" w:hAnsi="Arial" w:cs="Arial"/>
          <w:sz w:val="22"/>
          <w:szCs w:val="22"/>
        </w:rPr>
        <w:t xml:space="preserve">. </w:t>
      </w:r>
      <w:r w:rsidR="001A0E0C" w:rsidRPr="003255FB">
        <w:rPr>
          <w:rFonts w:ascii="Arial" w:hAnsi="Arial" w:cs="Arial"/>
          <w:sz w:val="22"/>
          <w:szCs w:val="22"/>
        </w:rPr>
        <w:t xml:space="preserve">Bodie </w:t>
      </w:r>
      <w:r w:rsidR="001A0E0C" w:rsidRPr="003255FB">
        <w:rPr>
          <w:rFonts w:ascii="Arial" w:hAnsi="Arial" w:cs="Arial"/>
          <w:i/>
          <w:iCs/>
          <w:sz w:val="22"/>
          <w:szCs w:val="22"/>
        </w:rPr>
        <w:t>et al.</w:t>
      </w:r>
      <w:r w:rsidR="001A0E0C" w:rsidRPr="003255FB">
        <w:rPr>
          <w:rFonts w:ascii="Arial" w:hAnsi="Arial" w:cs="Arial"/>
          <w:sz w:val="22"/>
          <w:szCs w:val="22"/>
        </w:rPr>
        <w:t xml:space="preserve"> (2015) </w:t>
      </w:r>
      <w:r w:rsidRPr="003255FB">
        <w:rPr>
          <w:rFonts w:ascii="Arial" w:hAnsi="Arial" w:cs="Arial"/>
          <w:sz w:val="22"/>
          <w:szCs w:val="22"/>
        </w:rPr>
        <w:t xml:space="preserve">argues that this approach builds trust, reduces misunderstandings and strengthens relationships—outcomes that are vital when patients feel anxious or unwell. </w:t>
      </w:r>
    </w:p>
    <w:p w14:paraId="671DC57B" w14:textId="40EC470C"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Hannawa’s SACCIA safe communication framework argues that in high-risk environments such as healthcare, five interpersonal competencies</w:t>
      </w:r>
      <w:r w:rsidR="00F44CE5" w:rsidRPr="003255FB">
        <w:rPr>
          <w:rFonts w:ascii="Arial" w:hAnsi="Arial" w:cs="Arial"/>
          <w:sz w:val="22"/>
          <w:szCs w:val="22"/>
        </w:rPr>
        <w:t xml:space="preserve">: </w:t>
      </w:r>
      <w:r w:rsidRPr="003255FB">
        <w:rPr>
          <w:rFonts w:ascii="Arial" w:hAnsi="Arial" w:cs="Arial"/>
          <w:sz w:val="22"/>
          <w:szCs w:val="22"/>
        </w:rPr>
        <w:t>sufficiency, accuracy, clarity, contextualisation and interpersonal adaptation</w:t>
      </w:r>
      <w:r w:rsidR="00F44CE5" w:rsidRPr="003255FB">
        <w:rPr>
          <w:rFonts w:ascii="Arial" w:hAnsi="Arial" w:cs="Arial"/>
          <w:sz w:val="22"/>
          <w:szCs w:val="22"/>
        </w:rPr>
        <w:t xml:space="preserve"> </w:t>
      </w:r>
      <w:r w:rsidRPr="003255FB">
        <w:rPr>
          <w:rFonts w:ascii="Arial" w:hAnsi="Arial" w:cs="Arial"/>
          <w:sz w:val="22"/>
          <w:szCs w:val="22"/>
        </w:rPr>
        <w:t>are needed to prevent communication-related harm</w:t>
      </w:r>
      <w:r w:rsidR="00F44CE5" w:rsidRPr="003255FB">
        <w:rPr>
          <w:rFonts w:ascii="Arial" w:hAnsi="Arial" w:cs="Arial"/>
          <w:sz w:val="22"/>
          <w:szCs w:val="22"/>
        </w:rPr>
        <w:t xml:space="preserve"> (Hannawa, 2018)</w:t>
      </w:r>
      <w:r w:rsidRPr="003255FB">
        <w:rPr>
          <w:rFonts w:ascii="Arial" w:hAnsi="Arial" w:cs="Arial"/>
          <w:sz w:val="22"/>
          <w:szCs w:val="22"/>
        </w:rPr>
        <w:t>. This suggests that HCAs must go beyond being “kind” and develop precise, context-sensitive communication that fits the patient’s situation and level of understanding.</w:t>
      </w:r>
    </w:p>
    <w:p w14:paraId="7C2E001B" w14:textId="77777777" w:rsidR="00C64BBA" w:rsidRPr="003255FB" w:rsidRDefault="00C64BBA" w:rsidP="003255FB">
      <w:pPr>
        <w:pStyle w:val="Heading3"/>
        <w:jc w:val="both"/>
        <w:rPr>
          <w:rFonts w:ascii="Arial" w:hAnsi="Arial" w:cs="Arial"/>
          <w:szCs w:val="22"/>
        </w:rPr>
      </w:pPr>
      <w:r w:rsidRPr="003255FB">
        <w:rPr>
          <w:rFonts w:ascii="Arial" w:hAnsi="Arial" w:cs="Arial"/>
          <w:szCs w:val="22"/>
        </w:rPr>
        <w:t>Communication, quality of care and patient safety</w:t>
      </w:r>
    </w:p>
    <w:p w14:paraId="0BC718C1" w14:textId="364458CC" w:rsidR="00C64BBA" w:rsidRPr="003255FB" w:rsidRDefault="007B46AE" w:rsidP="003255FB">
      <w:pPr>
        <w:pStyle w:val="NormalWeb"/>
        <w:spacing w:line="360" w:lineRule="auto"/>
        <w:jc w:val="both"/>
        <w:rPr>
          <w:rFonts w:ascii="Arial" w:hAnsi="Arial" w:cs="Arial"/>
          <w:sz w:val="22"/>
          <w:szCs w:val="22"/>
        </w:rPr>
      </w:pPr>
      <w:r w:rsidRPr="003255FB">
        <w:rPr>
          <w:rFonts w:ascii="Arial" w:hAnsi="Arial" w:cs="Arial"/>
          <w:sz w:val="22"/>
          <w:szCs w:val="22"/>
        </w:rPr>
        <w:t>Research</w:t>
      </w:r>
      <w:r w:rsidR="00C64BBA" w:rsidRPr="003255FB">
        <w:rPr>
          <w:rFonts w:ascii="Arial" w:hAnsi="Arial" w:cs="Arial"/>
          <w:sz w:val="22"/>
          <w:szCs w:val="22"/>
        </w:rPr>
        <w:t xml:space="preserve"> links effective communication to improved quality of care. </w:t>
      </w:r>
      <w:r w:rsidRPr="003255FB">
        <w:rPr>
          <w:rFonts w:ascii="Arial" w:hAnsi="Arial" w:cs="Arial"/>
          <w:sz w:val="22"/>
          <w:szCs w:val="22"/>
        </w:rPr>
        <w:t xml:space="preserve">Sharkiya (2023) </w:t>
      </w:r>
      <w:r w:rsidR="00C64BBA" w:rsidRPr="003255FB">
        <w:rPr>
          <w:rFonts w:ascii="Arial" w:hAnsi="Arial" w:cs="Arial"/>
          <w:sz w:val="22"/>
          <w:szCs w:val="22"/>
        </w:rPr>
        <w:t xml:space="preserve">argue that high-quality communication supports therapeutic relationships, better decision-making </w:t>
      </w:r>
      <w:r w:rsidR="00C64BBA" w:rsidRPr="003255FB">
        <w:rPr>
          <w:rFonts w:ascii="Arial" w:hAnsi="Arial" w:cs="Arial"/>
          <w:sz w:val="22"/>
          <w:szCs w:val="22"/>
        </w:rPr>
        <w:lastRenderedPageBreak/>
        <w:t xml:space="preserve">and improved patient-centred outcomes, particularly among older adults. </w:t>
      </w:r>
      <w:r w:rsidRPr="003255FB">
        <w:rPr>
          <w:rFonts w:ascii="Arial" w:hAnsi="Arial" w:cs="Arial"/>
          <w:sz w:val="22"/>
          <w:szCs w:val="22"/>
        </w:rPr>
        <w:t>C</w:t>
      </w:r>
      <w:r w:rsidR="00C64BBA" w:rsidRPr="003255FB">
        <w:rPr>
          <w:rFonts w:ascii="Arial" w:hAnsi="Arial" w:cs="Arial"/>
          <w:sz w:val="22"/>
          <w:szCs w:val="22"/>
        </w:rPr>
        <w:t>lear explanations and checking understanding increase adherence to treatment plans and overall health outcomes. For HCAs this means that explaining personal care procedures, medications or routines in simple language, and inviting questions, can directly influence whether patients feel confident and engaged in their care.</w:t>
      </w:r>
    </w:p>
    <w:p w14:paraId="48FD6383" w14:textId="0023227C"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 xml:space="preserve">Communication also has a crucial safety dimension. </w:t>
      </w:r>
      <w:r w:rsidR="00EB17C1" w:rsidRPr="003255FB">
        <w:rPr>
          <w:rFonts w:ascii="Arial" w:hAnsi="Arial" w:cs="Arial"/>
          <w:sz w:val="22"/>
          <w:szCs w:val="22"/>
        </w:rPr>
        <w:t xml:space="preserve">Hannawa (2018) </w:t>
      </w:r>
      <w:r w:rsidRPr="003255FB">
        <w:rPr>
          <w:rFonts w:ascii="Arial" w:hAnsi="Arial" w:cs="Arial"/>
          <w:sz w:val="22"/>
          <w:szCs w:val="22"/>
        </w:rPr>
        <w:t xml:space="preserve">suggest that poor communication contributes to errors in tests, prescriptions and discharge decisions, while good communication helps prevent such adverse events. For HCAs, accurate handovers, timely reporting of observations and clear escalation of concerns are key safety behaviours. Structured tools such as SBAR were developed to support concise, standardised communication between professionals, and evidence suggests that SBAR improves clarity of information and patient outcomes. </w:t>
      </w:r>
    </w:p>
    <w:p w14:paraId="3BDF7C05" w14:textId="77777777" w:rsidR="00C64BBA" w:rsidRPr="003255FB" w:rsidRDefault="00C64BBA" w:rsidP="003255FB">
      <w:pPr>
        <w:pStyle w:val="Heading3"/>
        <w:jc w:val="both"/>
        <w:rPr>
          <w:rFonts w:ascii="Arial" w:hAnsi="Arial" w:cs="Arial"/>
          <w:szCs w:val="22"/>
        </w:rPr>
      </w:pPr>
      <w:r w:rsidRPr="003255FB">
        <w:rPr>
          <w:rFonts w:ascii="Arial" w:hAnsi="Arial" w:cs="Arial"/>
          <w:szCs w:val="22"/>
        </w:rPr>
        <w:t>Communication, dignity and equality</w:t>
      </w:r>
    </w:p>
    <w:p w14:paraId="07A5A715" w14:textId="77275165"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 xml:space="preserve">In health and social care, effective communication is also a human rights and equality issue. </w:t>
      </w:r>
      <w:r w:rsidR="00996590" w:rsidRPr="003255FB">
        <w:rPr>
          <w:rFonts w:ascii="Arial" w:hAnsi="Arial" w:cs="Arial"/>
          <w:sz w:val="22"/>
          <w:szCs w:val="22"/>
        </w:rPr>
        <w:t xml:space="preserve">James </w:t>
      </w:r>
      <w:r w:rsidR="00996590" w:rsidRPr="003255FB">
        <w:rPr>
          <w:rFonts w:ascii="Arial" w:hAnsi="Arial" w:cs="Arial"/>
          <w:i/>
          <w:iCs/>
          <w:sz w:val="22"/>
          <w:szCs w:val="22"/>
        </w:rPr>
        <w:t>et al.</w:t>
      </w:r>
      <w:r w:rsidR="00996590" w:rsidRPr="003255FB">
        <w:rPr>
          <w:rFonts w:ascii="Arial" w:hAnsi="Arial" w:cs="Arial"/>
          <w:sz w:val="22"/>
          <w:szCs w:val="22"/>
        </w:rPr>
        <w:t xml:space="preserve"> (2021) </w:t>
      </w:r>
      <w:r w:rsidRPr="003255FB">
        <w:rPr>
          <w:rFonts w:ascii="Arial" w:hAnsi="Arial" w:cs="Arial"/>
          <w:sz w:val="22"/>
          <w:szCs w:val="22"/>
        </w:rPr>
        <w:t>argues that deaf patients are routinely failed by inaccessible communication, with many not understanding their diagnosis or treatment because interpreters and other supports are not provided. This illustrates how communication failures can become a form of discrimination.</w:t>
      </w:r>
    </w:p>
    <w:p w14:paraId="31C281B4" w14:textId="068942EA" w:rsidR="00C64BBA" w:rsidRPr="003255FB" w:rsidRDefault="00C64BBA" w:rsidP="003255FB">
      <w:pPr>
        <w:pStyle w:val="NormalWeb"/>
        <w:spacing w:line="360" w:lineRule="auto"/>
        <w:jc w:val="both"/>
        <w:rPr>
          <w:rFonts w:ascii="Arial" w:hAnsi="Arial" w:cs="Arial"/>
          <w:sz w:val="22"/>
          <w:szCs w:val="22"/>
        </w:rPr>
      </w:pPr>
      <w:r w:rsidRPr="003255FB">
        <w:rPr>
          <w:rFonts w:ascii="Arial" w:hAnsi="Arial" w:cs="Arial"/>
          <w:sz w:val="22"/>
          <w:szCs w:val="22"/>
        </w:rPr>
        <w:t>For HCAs, this means adapting communication to individual needs</w:t>
      </w:r>
      <w:r w:rsidR="00C81F8D" w:rsidRPr="003255FB">
        <w:rPr>
          <w:rFonts w:ascii="Arial" w:hAnsi="Arial" w:cs="Arial"/>
          <w:sz w:val="22"/>
          <w:szCs w:val="22"/>
        </w:rPr>
        <w:t xml:space="preserve"> </w:t>
      </w:r>
      <w:r w:rsidRPr="003255FB">
        <w:rPr>
          <w:rFonts w:ascii="Arial" w:hAnsi="Arial" w:cs="Arial"/>
          <w:sz w:val="22"/>
          <w:szCs w:val="22"/>
        </w:rPr>
        <w:t xml:space="preserve">using simple written information, visual aids, interpreters or alternative formats where necessary. Techniques such as the </w:t>
      </w:r>
      <w:r w:rsidRPr="003255FB">
        <w:rPr>
          <w:rStyle w:val="Emphasis"/>
          <w:rFonts w:ascii="Arial" w:hAnsi="Arial" w:cs="Arial"/>
          <w:sz w:val="22"/>
          <w:szCs w:val="22"/>
        </w:rPr>
        <w:t>teach-back</w:t>
      </w:r>
      <w:r w:rsidRPr="003255FB">
        <w:rPr>
          <w:rFonts w:ascii="Arial" w:hAnsi="Arial" w:cs="Arial"/>
          <w:sz w:val="22"/>
          <w:szCs w:val="22"/>
        </w:rPr>
        <w:t xml:space="preserve"> method, in which patients are asked to repeat information in their own words, are argued to improve health literacy, safety and informed consent by confirming understanding rather than assuming it. In practice, an HCA might use teach-back when explaining fasting instructions before a blood test or how to use a mobility aid safely</w:t>
      </w:r>
      <w:r w:rsidR="00C81F8D" w:rsidRPr="003255FB">
        <w:rPr>
          <w:rFonts w:ascii="Arial" w:hAnsi="Arial" w:cs="Arial"/>
          <w:sz w:val="22"/>
          <w:szCs w:val="22"/>
        </w:rPr>
        <w:t xml:space="preserve"> (Yen and Leasure, 2019)</w:t>
      </w:r>
      <w:r w:rsidRPr="003255FB">
        <w:rPr>
          <w:rFonts w:ascii="Arial" w:hAnsi="Arial" w:cs="Arial"/>
          <w:sz w:val="22"/>
          <w:szCs w:val="22"/>
        </w:rPr>
        <w:t>.</w:t>
      </w:r>
    </w:p>
    <w:p w14:paraId="0DF6ABBD" w14:textId="77777777" w:rsidR="00C64BBA" w:rsidRPr="003255FB" w:rsidRDefault="00C64BBA" w:rsidP="003255FB">
      <w:pPr>
        <w:pStyle w:val="Heading3"/>
        <w:jc w:val="both"/>
        <w:rPr>
          <w:rFonts w:ascii="Arial" w:hAnsi="Arial" w:cs="Arial"/>
          <w:szCs w:val="22"/>
        </w:rPr>
      </w:pPr>
      <w:r w:rsidRPr="003255FB">
        <w:rPr>
          <w:rFonts w:ascii="Arial" w:hAnsi="Arial" w:cs="Arial"/>
          <w:szCs w:val="22"/>
        </w:rPr>
        <w:t>Developing communication skills for the HCA role</w:t>
      </w:r>
    </w:p>
    <w:p w14:paraId="63997E08" w14:textId="41F76A30" w:rsidR="00C64BBA" w:rsidRPr="003255FB" w:rsidRDefault="00C81F8D" w:rsidP="003255FB">
      <w:pPr>
        <w:pStyle w:val="NormalWeb"/>
        <w:spacing w:line="360" w:lineRule="auto"/>
        <w:jc w:val="both"/>
        <w:rPr>
          <w:rFonts w:ascii="Arial" w:hAnsi="Arial" w:cs="Arial"/>
          <w:sz w:val="22"/>
          <w:szCs w:val="22"/>
        </w:rPr>
      </w:pPr>
      <w:r w:rsidRPr="003255FB">
        <w:rPr>
          <w:rFonts w:ascii="Arial" w:hAnsi="Arial" w:cs="Arial"/>
          <w:sz w:val="22"/>
          <w:szCs w:val="22"/>
        </w:rPr>
        <w:t>T</w:t>
      </w:r>
      <w:r w:rsidR="00C64BBA" w:rsidRPr="003255FB">
        <w:rPr>
          <w:rFonts w:ascii="Arial" w:hAnsi="Arial" w:cs="Arial"/>
          <w:sz w:val="22"/>
          <w:szCs w:val="22"/>
        </w:rPr>
        <w:t>hese skills can be taught, practised and refined rather than being fixed personality traits. Training providers argue that communication competence includes clear verbal explanations, appropriate non-verbal behaviour, empathy and the ability to tailor messages to different service users. For HCAs this development might involve formal courses on communication, dementia care or de-escalation; supervised practice on clinical placements; and reflective writing after challenging interactions</w:t>
      </w:r>
      <w:r w:rsidRPr="003255FB">
        <w:rPr>
          <w:rFonts w:ascii="Arial" w:hAnsi="Arial" w:cs="Arial"/>
          <w:sz w:val="22"/>
          <w:szCs w:val="22"/>
        </w:rPr>
        <w:t xml:space="preserve"> (Yen and Leasure, 2019)</w:t>
      </w:r>
      <w:r w:rsidR="00C64BBA" w:rsidRPr="003255FB">
        <w:rPr>
          <w:rFonts w:ascii="Arial" w:hAnsi="Arial" w:cs="Arial"/>
          <w:sz w:val="22"/>
          <w:szCs w:val="22"/>
        </w:rPr>
        <w:t>.</w:t>
      </w:r>
      <w:r w:rsidR="00863C15" w:rsidRPr="003255FB">
        <w:rPr>
          <w:rFonts w:ascii="Arial" w:hAnsi="Arial" w:cs="Arial"/>
          <w:sz w:val="22"/>
          <w:szCs w:val="22"/>
        </w:rPr>
        <w:t xml:space="preserve"> </w:t>
      </w:r>
      <w:r w:rsidR="00C64BBA" w:rsidRPr="003255FB">
        <w:rPr>
          <w:rFonts w:ascii="Arial" w:hAnsi="Arial" w:cs="Arial"/>
          <w:sz w:val="22"/>
          <w:szCs w:val="22"/>
        </w:rPr>
        <w:t xml:space="preserve">Simulation, role-play and </w:t>
      </w:r>
      <w:r w:rsidR="00C64BBA" w:rsidRPr="003255FB">
        <w:rPr>
          <w:rFonts w:ascii="Arial" w:hAnsi="Arial" w:cs="Arial"/>
          <w:sz w:val="22"/>
          <w:szCs w:val="22"/>
        </w:rPr>
        <w:lastRenderedPageBreak/>
        <w:t>feedback from mentors can help HCAs practise active listening, use of SBAR and teach-back in a safe environment before applying them in real clinical situations. Over time, consistent practice of these techniques helps HCAs to communicate more confidently with patients, families and colleagues, supporting both person-centred care and professional progression</w:t>
      </w:r>
      <w:r w:rsidR="00863C15" w:rsidRPr="003255FB">
        <w:rPr>
          <w:rFonts w:ascii="Arial" w:hAnsi="Arial" w:cs="Arial"/>
          <w:sz w:val="22"/>
          <w:szCs w:val="22"/>
        </w:rPr>
        <w:t xml:space="preserve"> (Hannawa, 2018)</w:t>
      </w:r>
      <w:r w:rsidR="00C64BBA" w:rsidRPr="003255FB">
        <w:rPr>
          <w:rFonts w:ascii="Arial" w:hAnsi="Arial" w:cs="Arial"/>
          <w:sz w:val="22"/>
          <w:szCs w:val="22"/>
        </w:rPr>
        <w:t>.</w:t>
      </w:r>
    </w:p>
    <w:p w14:paraId="7283D971" w14:textId="77777777" w:rsidR="00C87A07" w:rsidRPr="003255FB" w:rsidRDefault="00C87A07" w:rsidP="003255FB">
      <w:pPr>
        <w:jc w:val="both"/>
        <w:rPr>
          <w:rFonts w:ascii="Arial" w:hAnsi="Arial" w:cs="Arial"/>
          <w:szCs w:val="22"/>
          <w:lang w:val="en-GB"/>
        </w:rPr>
      </w:pPr>
    </w:p>
    <w:p w14:paraId="74487128" w14:textId="77777777" w:rsidR="00863C15" w:rsidRPr="003255FB" w:rsidRDefault="00863C15" w:rsidP="003255FB">
      <w:pPr>
        <w:jc w:val="both"/>
        <w:rPr>
          <w:rFonts w:ascii="Arial" w:hAnsi="Arial" w:cs="Arial"/>
          <w:szCs w:val="22"/>
          <w:lang w:val="en-GB"/>
        </w:rPr>
      </w:pPr>
    </w:p>
    <w:p w14:paraId="5750BCA7" w14:textId="3B86D000" w:rsidR="00863C15" w:rsidRPr="003255FB" w:rsidRDefault="002717CE" w:rsidP="003255FB">
      <w:pPr>
        <w:pStyle w:val="Heading1"/>
        <w:jc w:val="both"/>
        <w:rPr>
          <w:rFonts w:ascii="Arial" w:hAnsi="Arial" w:cs="Arial"/>
          <w:sz w:val="22"/>
          <w:szCs w:val="22"/>
          <w:lang w:val="en-GB"/>
        </w:rPr>
      </w:pPr>
      <w:r w:rsidRPr="003255FB">
        <w:rPr>
          <w:rFonts w:ascii="Arial" w:hAnsi="Arial" w:cs="Arial"/>
          <w:sz w:val="22"/>
          <w:szCs w:val="22"/>
          <w:lang w:val="en-GB"/>
        </w:rPr>
        <w:t>References</w:t>
      </w:r>
    </w:p>
    <w:p w14:paraId="4037253B" w14:textId="77777777" w:rsidR="002717CE" w:rsidRPr="003255FB" w:rsidRDefault="002717CE" w:rsidP="003255FB">
      <w:pPr>
        <w:pStyle w:val="NormalWeb"/>
        <w:spacing w:before="0" w:beforeAutospacing="0" w:after="240" w:afterAutospacing="0" w:line="360" w:lineRule="auto"/>
        <w:jc w:val="both"/>
        <w:rPr>
          <w:rFonts w:ascii="Arial" w:hAnsi="Arial" w:cs="Arial"/>
          <w:sz w:val="22"/>
          <w:szCs w:val="22"/>
        </w:rPr>
      </w:pPr>
      <w:r w:rsidRPr="003255FB">
        <w:rPr>
          <w:rFonts w:ascii="Arial" w:hAnsi="Arial" w:cs="Arial"/>
          <w:sz w:val="22"/>
          <w:szCs w:val="22"/>
        </w:rPr>
        <w:t xml:space="preserve">Barker, M.-E., Leach, K.T. and Levett-Jones, T. (2023) ‘Patient’s views of empathic and compassionate healthcare interactions: A scoping review’, </w:t>
      </w:r>
      <w:r w:rsidRPr="003255FB">
        <w:rPr>
          <w:rFonts w:ascii="Arial" w:hAnsi="Arial" w:cs="Arial"/>
          <w:i/>
          <w:iCs/>
          <w:sz w:val="22"/>
          <w:szCs w:val="22"/>
        </w:rPr>
        <w:t>Nurse Education Today</w:t>
      </w:r>
      <w:r w:rsidRPr="003255FB">
        <w:rPr>
          <w:rFonts w:ascii="Arial" w:hAnsi="Arial" w:cs="Arial"/>
          <w:sz w:val="22"/>
          <w:szCs w:val="22"/>
        </w:rPr>
        <w:t>, 131(131), p. 105957. doi:https://doi.org/10.1016/j.nedt.2023.105957.</w:t>
      </w:r>
    </w:p>
    <w:p w14:paraId="1E9C0F65" w14:textId="77777777" w:rsidR="002717CE" w:rsidRPr="003255FB" w:rsidRDefault="002717CE" w:rsidP="003255FB">
      <w:pPr>
        <w:pStyle w:val="NormalWeb"/>
        <w:spacing w:before="0" w:beforeAutospacing="0" w:after="240" w:afterAutospacing="0" w:line="360" w:lineRule="auto"/>
        <w:jc w:val="both"/>
        <w:rPr>
          <w:rFonts w:ascii="Arial" w:hAnsi="Arial" w:cs="Arial"/>
          <w:sz w:val="22"/>
          <w:szCs w:val="22"/>
        </w:rPr>
      </w:pPr>
      <w:r w:rsidRPr="003255FB">
        <w:rPr>
          <w:rFonts w:ascii="Arial" w:hAnsi="Arial" w:cs="Arial"/>
          <w:sz w:val="22"/>
          <w:szCs w:val="22"/>
        </w:rPr>
        <w:t xml:space="preserve">Barnett, S., Nagy, M.W. and Hakim, R.C. (2017) ‘Integration and assessment of the situation-background-assessment-recommendation framework into a pharmacotherapy skills laboratory for interprofessional communication and documentation’, </w:t>
      </w:r>
      <w:r w:rsidRPr="003255FB">
        <w:rPr>
          <w:rFonts w:ascii="Arial" w:hAnsi="Arial" w:cs="Arial"/>
          <w:i/>
          <w:iCs/>
          <w:sz w:val="22"/>
          <w:szCs w:val="22"/>
        </w:rPr>
        <w:t>Currents in Pharmacy Teaching and Learning</w:t>
      </w:r>
      <w:r w:rsidRPr="003255FB">
        <w:rPr>
          <w:rFonts w:ascii="Arial" w:hAnsi="Arial" w:cs="Arial"/>
          <w:sz w:val="22"/>
          <w:szCs w:val="22"/>
        </w:rPr>
        <w:t>, 9(5), pp. 794–801. doi:https://doi.org/10.1016/j.cptl.2017.05.023.</w:t>
      </w:r>
    </w:p>
    <w:p w14:paraId="640749B1" w14:textId="77777777" w:rsidR="002717CE" w:rsidRPr="003255FB" w:rsidRDefault="002717CE" w:rsidP="003255FB">
      <w:pPr>
        <w:pStyle w:val="NormalWeb"/>
        <w:spacing w:before="0" w:beforeAutospacing="0" w:after="240" w:afterAutospacing="0" w:line="360" w:lineRule="auto"/>
        <w:jc w:val="both"/>
        <w:rPr>
          <w:rFonts w:ascii="Arial" w:hAnsi="Arial" w:cs="Arial"/>
          <w:sz w:val="22"/>
          <w:szCs w:val="22"/>
        </w:rPr>
      </w:pPr>
      <w:r w:rsidRPr="003255FB">
        <w:rPr>
          <w:rFonts w:ascii="Arial" w:hAnsi="Arial" w:cs="Arial"/>
          <w:sz w:val="22"/>
          <w:szCs w:val="22"/>
        </w:rPr>
        <w:t xml:space="preserve">Bodie, G.D. </w:t>
      </w:r>
      <w:r w:rsidRPr="003255FB">
        <w:rPr>
          <w:rFonts w:ascii="Arial" w:hAnsi="Arial" w:cs="Arial"/>
          <w:i/>
          <w:iCs/>
          <w:sz w:val="22"/>
          <w:szCs w:val="22"/>
        </w:rPr>
        <w:t>et al.</w:t>
      </w:r>
      <w:r w:rsidRPr="003255FB">
        <w:rPr>
          <w:rFonts w:ascii="Arial" w:hAnsi="Arial" w:cs="Arial"/>
          <w:sz w:val="22"/>
          <w:szCs w:val="22"/>
        </w:rPr>
        <w:t xml:space="preserve"> (2015) ‘The Role of “Active Listening” in Informal Helping Conversations: Impact on Perceptions of Listener Helpfulness, Sensitivity, and Supportiveness and Discloser Emotional Improvement’, </w:t>
      </w:r>
      <w:r w:rsidRPr="003255FB">
        <w:rPr>
          <w:rFonts w:ascii="Arial" w:hAnsi="Arial" w:cs="Arial"/>
          <w:i/>
          <w:iCs/>
          <w:sz w:val="22"/>
          <w:szCs w:val="22"/>
        </w:rPr>
        <w:t>Western Journal of Communication</w:t>
      </w:r>
      <w:r w:rsidRPr="003255FB">
        <w:rPr>
          <w:rFonts w:ascii="Arial" w:hAnsi="Arial" w:cs="Arial"/>
          <w:sz w:val="22"/>
          <w:szCs w:val="22"/>
        </w:rPr>
        <w:t>, 79(2), pp. 151–173. doi:https://doi.org/10.1080/10570314.2014.943429.</w:t>
      </w:r>
    </w:p>
    <w:p w14:paraId="06A2E764" w14:textId="77777777" w:rsidR="002717CE" w:rsidRPr="003255FB" w:rsidRDefault="002717CE" w:rsidP="003255FB">
      <w:pPr>
        <w:pStyle w:val="NormalWeb"/>
        <w:spacing w:before="0" w:beforeAutospacing="0" w:after="240" w:afterAutospacing="0" w:line="360" w:lineRule="auto"/>
        <w:jc w:val="both"/>
        <w:rPr>
          <w:rFonts w:ascii="Arial" w:hAnsi="Arial" w:cs="Arial"/>
          <w:sz w:val="22"/>
          <w:szCs w:val="22"/>
        </w:rPr>
      </w:pPr>
      <w:r w:rsidRPr="003255FB">
        <w:rPr>
          <w:rFonts w:ascii="Arial" w:hAnsi="Arial" w:cs="Arial"/>
          <w:sz w:val="22"/>
          <w:szCs w:val="22"/>
        </w:rPr>
        <w:t xml:space="preserve">Bosley, S. and Dale, J. (2008) ‘Healthcare assistants in general practice: practical and conceptual issues of skill-mix change’, </w:t>
      </w:r>
      <w:r w:rsidRPr="003255FB">
        <w:rPr>
          <w:rFonts w:ascii="Arial" w:hAnsi="Arial" w:cs="Arial"/>
          <w:i/>
          <w:iCs/>
          <w:sz w:val="22"/>
          <w:szCs w:val="22"/>
        </w:rPr>
        <w:t>British Journal of General Practice</w:t>
      </w:r>
      <w:r w:rsidRPr="003255FB">
        <w:rPr>
          <w:rFonts w:ascii="Arial" w:hAnsi="Arial" w:cs="Arial"/>
          <w:sz w:val="22"/>
          <w:szCs w:val="22"/>
        </w:rPr>
        <w:t>, 58(547), pp. 118–124. doi:https://doi.org/10.3399/bjgp08x277032.</w:t>
      </w:r>
    </w:p>
    <w:p w14:paraId="3293A3DF" w14:textId="77777777" w:rsidR="002717CE" w:rsidRPr="003255FB" w:rsidRDefault="002717CE" w:rsidP="003255FB">
      <w:pPr>
        <w:pStyle w:val="NormalWeb"/>
        <w:spacing w:before="0" w:beforeAutospacing="0" w:after="240" w:afterAutospacing="0" w:line="360" w:lineRule="auto"/>
        <w:jc w:val="both"/>
        <w:rPr>
          <w:rFonts w:ascii="Arial" w:hAnsi="Arial" w:cs="Arial"/>
          <w:sz w:val="22"/>
          <w:szCs w:val="22"/>
        </w:rPr>
      </w:pPr>
      <w:r w:rsidRPr="003255FB">
        <w:rPr>
          <w:rFonts w:ascii="Arial" w:hAnsi="Arial" w:cs="Arial"/>
          <w:sz w:val="22"/>
          <w:szCs w:val="22"/>
        </w:rPr>
        <w:t xml:space="preserve">Grainger, A. (2020) ‘Supporting others to learn: the role of the HCA’, </w:t>
      </w:r>
      <w:r w:rsidRPr="003255FB">
        <w:rPr>
          <w:rFonts w:ascii="Arial" w:hAnsi="Arial" w:cs="Arial"/>
          <w:i/>
          <w:iCs/>
          <w:sz w:val="22"/>
          <w:szCs w:val="22"/>
        </w:rPr>
        <w:t>British Journal of Healthcare Assistants</w:t>
      </w:r>
      <w:r w:rsidRPr="003255FB">
        <w:rPr>
          <w:rFonts w:ascii="Arial" w:hAnsi="Arial" w:cs="Arial"/>
          <w:sz w:val="22"/>
          <w:szCs w:val="22"/>
        </w:rPr>
        <w:t>, 14(5), pp. 240–245. doi:https://doi.org/10.12968/bjha.2020.14.5.240.</w:t>
      </w:r>
    </w:p>
    <w:p w14:paraId="650272DB" w14:textId="77777777" w:rsidR="002717CE" w:rsidRPr="003255FB" w:rsidRDefault="002717CE" w:rsidP="003255FB">
      <w:pPr>
        <w:pStyle w:val="NormalWeb"/>
        <w:spacing w:before="0" w:beforeAutospacing="0" w:after="240" w:afterAutospacing="0" w:line="360" w:lineRule="auto"/>
        <w:jc w:val="both"/>
        <w:rPr>
          <w:rFonts w:ascii="Arial" w:hAnsi="Arial" w:cs="Arial"/>
          <w:sz w:val="22"/>
          <w:szCs w:val="22"/>
        </w:rPr>
      </w:pPr>
      <w:r w:rsidRPr="003255FB">
        <w:rPr>
          <w:rFonts w:ascii="Arial" w:hAnsi="Arial" w:cs="Arial"/>
          <w:sz w:val="22"/>
          <w:szCs w:val="22"/>
        </w:rPr>
        <w:t xml:space="preserve">Hannawa, A.F. (2018) ‘“SACCIA Safe Communication”: Five core competencies for safe and high-quality care’, </w:t>
      </w:r>
      <w:r w:rsidRPr="003255FB">
        <w:rPr>
          <w:rFonts w:ascii="Arial" w:hAnsi="Arial" w:cs="Arial"/>
          <w:i/>
          <w:iCs/>
          <w:sz w:val="22"/>
          <w:szCs w:val="22"/>
        </w:rPr>
        <w:t>Journal of Patient Safety and Risk Management</w:t>
      </w:r>
      <w:r w:rsidRPr="003255FB">
        <w:rPr>
          <w:rFonts w:ascii="Arial" w:hAnsi="Arial" w:cs="Arial"/>
          <w:sz w:val="22"/>
          <w:szCs w:val="22"/>
        </w:rPr>
        <w:t>, 23(3), pp. 99–107. doi:https://doi.org/10.1177/2516043518774445.</w:t>
      </w:r>
    </w:p>
    <w:p w14:paraId="29FD3B63" w14:textId="77777777" w:rsidR="002717CE" w:rsidRPr="003255FB" w:rsidRDefault="002717CE" w:rsidP="003255FB">
      <w:pPr>
        <w:pStyle w:val="NormalWeb"/>
        <w:spacing w:before="0" w:beforeAutospacing="0" w:after="240" w:afterAutospacing="0" w:line="360" w:lineRule="auto"/>
        <w:jc w:val="both"/>
        <w:rPr>
          <w:rFonts w:ascii="Arial" w:hAnsi="Arial" w:cs="Arial"/>
          <w:sz w:val="22"/>
          <w:szCs w:val="22"/>
        </w:rPr>
      </w:pPr>
      <w:r w:rsidRPr="003255FB">
        <w:rPr>
          <w:rFonts w:ascii="Arial" w:hAnsi="Arial" w:cs="Arial"/>
          <w:sz w:val="22"/>
          <w:szCs w:val="22"/>
        </w:rPr>
        <w:t xml:space="preserve">James, T.G. </w:t>
      </w:r>
      <w:r w:rsidRPr="003255FB">
        <w:rPr>
          <w:rFonts w:ascii="Arial" w:hAnsi="Arial" w:cs="Arial"/>
          <w:i/>
          <w:iCs/>
          <w:sz w:val="22"/>
          <w:szCs w:val="22"/>
        </w:rPr>
        <w:t>et al.</w:t>
      </w:r>
      <w:r w:rsidRPr="003255FB">
        <w:rPr>
          <w:rFonts w:ascii="Arial" w:hAnsi="Arial" w:cs="Arial"/>
          <w:sz w:val="22"/>
          <w:szCs w:val="22"/>
        </w:rPr>
        <w:t xml:space="preserve"> (2021) ‘“They’re Not Willing To Accommodate Deaf patients”: Communication Experiences of Deaf American Sign Language Users in the Emergency Department’, </w:t>
      </w:r>
      <w:r w:rsidRPr="003255FB">
        <w:rPr>
          <w:rFonts w:ascii="Arial" w:hAnsi="Arial" w:cs="Arial"/>
          <w:i/>
          <w:iCs/>
          <w:sz w:val="22"/>
          <w:szCs w:val="22"/>
        </w:rPr>
        <w:t>Qualitative Health Research</w:t>
      </w:r>
      <w:r w:rsidRPr="003255FB">
        <w:rPr>
          <w:rFonts w:ascii="Arial" w:hAnsi="Arial" w:cs="Arial"/>
          <w:sz w:val="22"/>
          <w:szCs w:val="22"/>
        </w:rPr>
        <w:t>, 32(1), p. 104973232110462. doi:https://doi.org/10.1177/10497323211046238.</w:t>
      </w:r>
    </w:p>
    <w:p w14:paraId="72DC1A28" w14:textId="77777777" w:rsidR="002717CE" w:rsidRPr="003255FB" w:rsidRDefault="002717CE" w:rsidP="003255FB">
      <w:pPr>
        <w:pStyle w:val="NormalWeb"/>
        <w:spacing w:before="0" w:beforeAutospacing="0" w:after="240" w:afterAutospacing="0" w:line="360" w:lineRule="auto"/>
        <w:jc w:val="both"/>
        <w:rPr>
          <w:rFonts w:ascii="Arial" w:hAnsi="Arial" w:cs="Arial"/>
          <w:sz w:val="22"/>
          <w:szCs w:val="22"/>
        </w:rPr>
      </w:pPr>
      <w:r w:rsidRPr="003255FB">
        <w:rPr>
          <w:rFonts w:ascii="Arial" w:hAnsi="Arial" w:cs="Arial"/>
          <w:sz w:val="22"/>
          <w:szCs w:val="22"/>
        </w:rPr>
        <w:lastRenderedPageBreak/>
        <w:t xml:space="preserve">Sharkiya, S.H. (2023) ‘Quality communication can improve patient-centred health outcomes among older patients: A rapid review’, </w:t>
      </w:r>
      <w:r w:rsidRPr="003255FB">
        <w:rPr>
          <w:rFonts w:ascii="Arial" w:hAnsi="Arial" w:cs="Arial"/>
          <w:i/>
          <w:iCs/>
          <w:sz w:val="22"/>
          <w:szCs w:val="22"/>
        </w:rPr>
        <w:t>BMC Health Services Research</w:t>
      </w:r>
      <w:r w:rsidRPr="003255FB">
        <w:rPr>
          <w:rFonts w:ascii="Arial" w:hAnsi="Arial" w:cs="Arial"/>
          <w:sz w:val="22"/>
          <w:szCs w:val="22"/>
        </w:rPr>
        <w:t>, 23(1), pp. 1–14. doi:https://doi.org/10.1186/s12913-023-09869-8.</w:t>
      </w:r>
    </w:p>
    <w:p w14:paraId="00E45E88" w14:textId="77777777" w:rsidR="002717CE" w:rsidRPr="003255FB" w:rsidRDefault="002717CE" w:rsidP="003255FB">
      <w:pPr>
        <w:pStyle w:val="NormalWeb"/>
        <w:spacing w:before="0" w:beforeAutospacing="0" w:after="240" w:afterAutospacing="0" w:line="360" w:lineRule="auto"/>
        <w:jc w:val="both"/>
        <w:rPr>
          <w:rFonts w:ascii="Arial" w:hAnsi="Arial" w:cs="Arial"/>
          <w:sz w:val="22"/>
          <w:szCs w:val="22"/>
        </w:rPr>
      </w:pPr>
      <w:r w:rsidRPr="003255FB">
        <w:rPr>
          <w:rFonts w:ascii="Arial" w:hAnsi="Arial" w:cs="Arial"/>
          <w:sz w:val="22"/>
          <w:szCs w:val="22"/>
        </w:rPr>
        <w:t xml:space="preserve">Wood, S. </w:t>
      </w:r>
      <w:r w:rsidRPr="003255FB">
        <w:rPr>
          <w:rFonts w:ascii="Arial" w:hAnsi="Arial" w:cs="Arial"/>
          <w:i/>
          <w:iCs/>
          <w:sz w:val="22"/>
          <w:szCs w:val="22"/>
        </w:rPr>
        <w:t>et al.</w:t>
      </w:r>
      <w:r w:rsidRPr="003255FB">
        <w:rPr>
          <w:rFonts w:ascii="Arial" w:hAnsi="Arial" w:cs="Arial"/>
          <w:sz w:val="22"/>
          <w:szCs w:val="22"/>
        </w:rPr>
        <w:t xml:space="preserve"> (2023) ‘The role of the healthcare assistant on a stroke unit: A scoping review’, </w:t>
      </w:r>
      <w:r w:rsidRPr="003255FB">
        <w:rPr>
          <w:rFonts w:ascii="Arial" w:hAnsi="Arial" w:cs="Arial"/>
          <w:i/>
          <w:iCs/>
          <w:sz w:val="22"/>
          <w:szCs w:val="22"/>
        </w:rPr>
        <w:t>Clinical Rehabilitation</w:t>
      </w:r>
      <w:r w:rsidRPr="003255FB">
        <w:rPr>
          <w:rFonts w:ascii="Arial" w:hAnsi="Arial" w:cs="Arial"/>
          <w:sz w:val="22"/>
          <w:szCs w:val="22"/>
        </w:rPr>
        <w:t>, 37(9), pp. 1278–1290. doi:https://doi.org/10.1177/02692155231165353.</w:t>
      </w:r>
    </w:p>
    <w:p w14:paraId="540B2D65" w14:textId="77777777" w:rsidR="002717CE" w:rsidRPr="003255FB" w:rsidRDefault="002717CE" w:rsidP="003255FB">
      <w:pPr>
        <w:pStyle w:val="NormalWeb"/>
        <w:spacing w:before="0" w:beforeAutospacing="0" w:after="240" w:afterAutospacing="0" w:line="360" w:lineRule="auto"/>
        <w:jc w:val="both"/>
        <w:rPr>
          <w:rFonts w:ascii="Arial" w:hAnsi="Arial" w:cs="Arial"/>
          <w:sz w:val="22"/>
          <w:szCs w:val="22"/>
        </w:rPr>
      </w:pPr>
      <w:r w:rsidRPr="003255FB">
        <w:rPr>
          <w:rFonts w:ascii="Arial" w:hAnsi="Arial" w:cs="Arial"/>
          <w:sz w:val="22"/>
          <w:szCs w:val="22"/>
        </w:rPr>
        <w:t xml:space="preserve">Yen, P.H. and Leasure, A.R. (2019) ‘Use and effectiveness of the teach-back method in patient education and health outcomes’, </w:t>
      </w:r>
      <w:r w:rsidRPr="003255FB">
        <w:rPr>
          <w:rFonts w:ascii="Arial" w:hAnsi="Arial" w:cs="Arial"/>
          <w:i/>
          <w:iCs/>
          <w:sz w:val="22"/>
          <w:szCs w:val="22"/>
        </w:rPr>
        <w:t>Federal Practitioner</w:t>
      </w:r>
      <w:r w:rsidRPr="003255FB">
        <w:rPr>
          <w:rFonts w:ascii="Arial" w:hAnsi="Arial" w:cs="Arial"/>
          <w:sz w:val="22"/>
          <w:szCs w:val="22"/>
        </w:rPr>
        <w:t>, 36(6), pp. 284–289.</w:t>
      </w:r>
    </w:p>
    <w:p w14:paraId="7B1CEB2E" w14:textId="77777777" w:rsidR="002717CE" w:rsidRPr="003255FB" w:rsidRDefault="002717CE" w:rsidP="003255FB">
      <w:pPr>
        <w:jc w:val="both"/>
        <w:rPr>
          <w:rFonts w:ascii="Arial" w:hAnsi="Arial" w:cs="Arial"/>
          <w:szCs w:val="22"/>
          <w:lang w:val="en-GB"/>
        </w:rPr>
      </w:pPr>
    </w:p>
    <w:sectPr w:rsidR="002717CE" w:rsidRPr="003255FB">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444E0" w14:textId="77777777" w:rsidR="00A70021" w:rsidRDefault="00A70021" w:rsidP="00641042">
      <w:pPr>
        <w:spacing w:after="0" w:line="240" w:lineRule="auto"/>
      </w:pPr>
      <w:r>
        <w:separator/>
      </w:r>
    </w:p>
  </w:endnote>
  <w:endnote w:type="continuationSeparator" w:id="0">
    <w:p w14:paraId="39F722F3" w14:textId="77777777" w:rsidR="00A70021" w:rsidRDefault="00A70021" w:rsidP="00641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95096326"/>
      <w:docPartObj>
        <w:docPartGallery w:val="Page Numbers (Bottom of Page)"/>
        <w:docPartUnique/>
      </w:docPartObj>
    </w:sdtPr>
    <w:sdtEndPr>
      <w:rPr>
        <w:rStyle w:val="PageNumber"/>
      </w:rPr>
    </w:sdtEndPr>
    <w:sdtContent>
      <w:p w14:paraId="7BBFB203" w14:textId="696D1546" w:rsidR="00641042" w:rsidRDefault="00641042" w:rsidP="004C09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B184A56" w14:textId="77777777" w:rsidR="00641042" w:rsidRDefault="00641042" w:rsidP="0064104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12822610"/>
      <w:docPartObj>
        <w:docPartGallery w:val="Page Numbers (Bottom of Page)"/>
        <w:docPartUnique/>
      </w:docPartObj>
    </w:sdtPr>
    <w:sdtEndPr>
      <w:rPr>
        <w:rStyle w:val="PageNumber"/>
      </w:rPr>
    </w:sdtEndPr>
    <w:sdtContent>
      <w:p w14:paraId="2B433F03" w14:textId="00CDCDA3" w:rsidR="00641042" w:rsidRDefault="00641042" w:rsidP="004C09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605186" w14:textId="77777777" w:rsidR="00641042" w:rsidRDefault="00641042" w:rsidP="0064104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C2C889" w14:textId="77777777" w:rsidR="00A70021" w:rsidRDefault="00A70021" w:rsidP="00641042">
      <w:pPr>
        <w:spacing w:after="0" w:line="240" w:lineRule="auto"/>
      </w:pPr>
      <w:r>
        <w:separator/>
      </w:r>
    </w:p>
  </w:footnote>
  <w:footnote w:type="continuationSeparator" w:id="0">
    <w:p w14:paraId="2874FE65" w14:textId="77777777" w:rsidR="00A70021" w:rsidRDefault="00A70021" w:rsidP="006410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A07"/>
    <w:rsid w:val="000363C5"/>
    <w:rsid w:val="0005614D"/>
    <w:rsid w:val="000656F6"/>
    <w:rsid w:val="000B743B"/>
    <w:rsid w:val="001A0E0C"/>
    <w:rsid w:val="002717CE"/>
    <w:rsid w:val="002A5235"/>
    <w:rsid w:val="002E467D"/>
    <w:rsid w:val="003255FB"/>
    <w:rsid w:val="00340028"/>
    <w:rsid w:val="003424C3"/>
    <w:rsid w:val="00402FB5"/>
    <w:rsid w:val="00437888"/>
    <w:rsid w:val="00461624"/>
    <w:rsid w:val="00475097"/>
    <w:rsid w:val="00641042"/>
    <w:rsid w:val="006C2E1F"/>
    <w:rsid w:val="007B46AE"/>
    <w:rsid w:val="00804503"/>
    <w:rsid w:val="00845EA2"/>
    <w:rsid w:val="00863C15"/>
    <w:rsid w:val="008E0F0E"/>
    <w:rsid w:val="00941E4A"/>
    <w:rsid w:val="00996590"/>
    <w:rsid w:val="009B14D7"/>
    <w:rsid w:val="00A1759C"/>
    <w:rsid w:val="00A258B7"/>
    <w:rsid w:val="00A70021"/>
    <w:rsid w:val="00B36C6E"/>
    <w:rsid w:val="00BC10EE"/>
    <w:rsid w:val="00BE4882"/>
    <w:rsid w:val="00C64BBA"/>
    <w:rsid w:val="00C81F8D"/>
    <w:rsid w:val="00C82F50"/>
    <w:rsid w:val="00C87A07"/>
    <w:rsid w:val="00CF4662"/>
    <w:rsid w:val="00D764A8"/>
    <w:rsid w:val="00D95A10"/>
    <w:rsid w:val="00E947F1"/>
    <w:rsid w:val="00EB17C1"/>
    <w:rsid w:val="00EC6E3C"/>
    <w:rsid w:val="00F44CE5"/>
    <w:rsid w:val="00FB6C67"/>
    <w:rsid w:val="00FD2685"/>
    <w:rsid w:val="00FE1F51"/>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735CA"/>
  <w15:chartTrackingRefBased/>
  <w15:docId w15:val="{2E8D97F3-D840-AC47-8804-41F765DC5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59C"/>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C87A0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87A0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87A0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87A0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87A0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87A0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C87A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A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A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A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A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A07"/>
    <w:rPr>
      <w:rFonts w:eastAsiaTheme="majorEastAsia" w:cstheme="majorBidi"/>
      <w:color w:val="272727" w:themeColor="text1" w:themeTint="D8"/>
    </w:rPr>
  </w:style>
  <w:style w:type="paragraph" w:styleId="Title">
    <w:name w:val="Title"/>
    <w:basedOn w:val="Normal"/>
    <w:next w:val="Normal"/>
    <w:link w:val="TitleChar"/>
    <w:uiPriority w:val="10"/>
    <w:qFormat/>
    <w:rsid w:val="00C87A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A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A0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A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A07"/>
    <w:pPr>
      <w:spacing w:before="160"/>
      <w:jc w:val="center"/>
    </w:pPr>
    <w:rPr>
      <w:i/>
      <w:iCs/>
      <w:color w:val="404040" w:themeColor="text1" w:themeTint="BF"/>
    </w:rPr>
  </w:style>
  <w:style w:type="character" w:customStyle="1" w:styleId="QuoteChar">
    <w:name w:val="Quote Char"/>
    <w:basedOn w:val="DefaultParagraphFont"/>
    <w:link w:val="Quote"/>
    <w:uiPriority w:val="29"/>
    <w:rsid w:val="00C87A07"/>
    <w:rPr>
      <w:rFonts w:asciiTheme="majorBidi" w:hAnsiTheme="majorBidi"/>
      <w:i/>
      <w:iCs/>
      <w:color w:val="404040" w:themeColor="text1" w:themeTint="BF"/>
    </w:rPr>
  </w:style>
  <w:style w:type="paragraph" w:styleId="ListParagraph">
    <w:name w:val="List Paragraph"/>
    <w:basedOn w:val="Normal"/>
    <w:uiPriority w:val="34"/>
    <w:qFormat/>
    <w:rsid w:val="00C87A07"/>
    <w:pPr>
      <w:ind w:left="720"/>
      <w:contextualSpacing/>
    </w:pPr>
  </w:style>
  <w:style w:type="character" w:styleId="IntenseEmphasis">
    <w:name w:val="Intense Emphasis"/>
    <w:basedOn w:val="DefaultParagraphFont"/>
    <w:uiPriority w:val="21"/>
    <w:qFormat/>
    <w:rsid w:val="00C87A07"/>
    <w:rPr>
      <w:i/>
      <w:iCs/>
      <w:color w:val="0F4761" w:themeColor="accent1" w:themeShade="BF"/>
    </w:rPr>
  </w:style>
  <w:style w:type="paragraph" w:styleId="IntenseQuote">
    <w:name w:val="Intense Quote"/>
    <w:basedOn w:val="Normal"/>
    <w:next w:val="Normal"/>
    <w:link w:val="IntenseQuoteChar"/>
    <w:uiPriority w:val="30"/>
    <w:qFormat/>
    <w:rsid w:val="00C87A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A07"/>
    <w:rPr>
      <w:rFonts w:asciiTheme="majorBidi" w:hAnsiTheme="majorBidi"/>
      <w:i/>
      <w:iCs/>
      <w:color w:val="0F4761" w:themeColor="accent1" w:themeShade="BF"/>
    </w:rPr>
  </w:style>
  <w:style w:type="character" w:styleId="IntenseReference">
    <w:name w:val="Intense Reference"/>
    <w:basedOn w:val="DefaultParagraphFont"/>
    <w:uiPriority w:val="32"/>
    <w:qFormat/>
    <w:rsid w:val="00C87A07"/>
    <w:rPr>
      <w:b/>
      <w:bCs/>
      <w:smallCaps/>
      <w:color w:val="0F4761" w:themeColor="accent1" w:themeShade="BF"/>
      <w:spacing w:val="5"/>
    </w:rPr>
  </w:style>
  <w:style w:type="paragraph" w:styleId="NormalWeb">
    <w:name w:val="Normal (Web)"/>
    <w:basedOn w:val="Normal"/>
    <w:uiPriority w:val="99"/>
    <w:unhideWhenUsed/>
    <w:rsid w:val="00C64BBA"/>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C64BBA"/>
    <w:rPr>
      <w:b/>
      <w:bCs/>
    </w:rPr>
  </w:style>
  <w:style w:type="character" w:customStyle="1" w:styleId="ms-1">
    <w:name w:val="ms-1"/>
    <w:basedOn w:val="DefaultParagraphFont"/>
    <w:rsid w:val="00C64BBA"/>
  </w:style>
  <w:style w:type="character" w:customStyle="1" w:styleId="max-w-15ch">
    <w:name w:val="max-w-[15ch]"/>
    <w:basedOn w:val="DefaultParagraphFont"/>
    <w:rsid w:val="00C64BBA"/>
  </w:style>
  <w:style w:type="character" w:customStyle="1" w:styleId="-me-1">
    <w:name w:val="-me-1"/>
    <w:basedOn w:val="DefaultParagraphFont"/>
    <w:rsid w:val="00C64BBA"/>
  </w:style>
  <w:style w:type="character" w:styleId="Emphasis">
    <w:name w:val="Emphasis"/>
    <w:basedOn w:val="DefaultParagraphFont"/>
    <w:uiPriority w:val="20"/>
    <w:qFormat/>
    <w:rsid w:val="00C64BBA"/>
    <w:rPr>
      <w:i/>
      <w:iCs/>
    </w:rPr>
  </w:style>
  <w:style w:type="table" w:styleId="TableGrid">
    <w:name w:val="Table Grid"/>
    <w:basedOn w:val="TableNormal"/>
    <w:uiPriority w:val="39"/>
    <w:rsid w:val="000561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41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042"/>
    <w:rPr>
      <w:rFonts w:asciiTheme="minorBidi" w:hAnsiTheme="minorBidi"/>
      <w:sz w:val="22"/>
    </w:rPr>
  </w:style>
  <w:style w:type="paragraph" w:styleId="Footer">
    <w:name w:val="footer"/>
    <w:basedOn w:val="Normal"/>
    <w:link w:val="FooterChar"/>
    <w:uiPriority w:val="99"/>
    <w:unhideWhenUsed/>
    <w:rsid w:val="00641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042"/>
    <w:rPr>
      <w:rFonts w:asciiTheme="minorBidi" w:hAnsiTheme="minorBidi"/>
      <w:sz w:val="22"/>
    </w:rPr>
  </w:style>
  <w:style w:type="character" w:styleId="PageNumber">
    <w:name w:val="page number"/>
    <w:basedOn w:val="DefaultParagraphFont"/>
    <w:uiPriority w:val="99"/>
    <w:semiHidden/>
    <w:unhideWhenUsed/>
    <w:rsid w:val="006410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1961</Words>
  <Characters>11181</Characters>
  <Application>Microsoft Office Word</Application>
  <DocSecurity>0</DocSecurity>
  <Lines>93</Lines>
  <Paragraphs>26</Paragraphs>
  <ScaleCrop>false</ScaleCrop>
  <Company/>
  <LinksUpToDate>false</LinksUpToDate>
  <CharactersWithSpaces>13116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Qudsia Bano</cp:lastModifiedBy>
  <cp:revision>8</cp:revision>
  <dcterms:created xsi:type="dcterms:W3CDTF">2025-11-20T22:17:00Z</dcterms:created>
  <dcterms:modified xsi:type="dcterms:W3CDTF">2025-11-20T22:20:00Z</dcterms:modified>
</cp:coreProperties>
</file>