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0"/>
      </w:tblGrid>
      <w:tr w:rsidR="00A25479" w14:paraId="014E0B72" w14:textId="77777777">
        <w:tc>
          <w:tcPr>
            <w:tcW w:w="9360" w:type="dxa"/>
            <w:tcBorders>
              <w:top w:val="single" w:sz="6" w:space="0" w:color="000000"/>
              <w:left w:val="single" w:sz="6" w:space="0" w:color="000000"/>
              <w:bottom w:val="single" w:sz="6" w:space="0" w:color="000000"/>
              <w:right w:val="single" w:sz="6" w:space="0" w:color="000000"/>
            </w:tcBorders>
            <w:shd w:val="clear" w:color="auto" w:fill="D9D9D9"/>
            <w:tcMar>
              <w:top w:w="100" w:type="dxa"/>
              <w:left w:w="120" w:type="dxa"/>
              <w:bottom w:w="100" w:type="dxa"/>
              <w:right w:w="120" w:type="dxa"/>
            </w:tcMar>
          </w:tcPr>
          <w:p w14:paraId="7BAA8D99" w14:textId="77777777" w:rsidR="00A25479" w:rsidRDefault="006D72A0">
            <w:pPr>
              <w:jc w:val="center"/>
            </w:pPr>
            <w:r>
              <w:rPr>
                <w:b/>
                <w:bCs/>
                <w:sz w:val="26"/>
                <w:szCs w:val="26"/>
              </w:rPr>
              <w:t>LCLM4002_BIRM Digital Skills Task 3</w:t>
            </w:r>
          </w:p>
          <w:p w14:paraId="59071F71" w14:textId="77777777" w:rsidR="00A25479" w:rsidRDefault="006D72A0">
            <w:pPr>
              <w:jc w:val="center"/>
            </w:pPr>
            <w:r>
              <w:rPr>
                <w:b/>
                <w:bCs/>
                <w:sz w:val="26"/>
                <w:szCs w:val="26"/>
                <w:u w:val="single"/>
              </w:rPr>
              <w:t>Website Evaluation</w:t>
            </w:r>
          </w:p>
        </w:tc>
      </w:tr>
    </w:tbl>
    <w:p w14:paraId="2A19BC47" w14:textId="77777777" w:rsidR="00A25479" w:rsidRDefault="00A25479"/>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680"/>
        <w:gridCol w:w="4680"/>
      </w:tblGrid>
      <w:tr w:rsidR="00A25479" w14:paraId="4048EFD0" w14:textId="77777777">
        <w:tc>
          <w:tcPr>
            <w:tcW w:w="4680" w:type="dxa"/>
            <w:tcBorders>
              <w:top w:val="single" w:sz="6" w:space="0" w:color="000000"/>
              <w:left w:val="single" w:sz="6" w:space="0" w:color="000000"/>
              <w:bottom w:val="single" w:sz="6" w:space="0" w:color="000000"/>
              <w:right w:val="single" w:sz="6" w:space="0" w:color="000000"/>
            </w:tcBorders>
            <w:shd w:val="clear" w:color="auto" w:fill="D9D9D9"/>
            <w:tcMar>
              <w:top w:w="80" w:type="dxa"/>
              <w:left w:w="120" w:type="dxa"/>
              <w:bottom w:w="80" w:type="dxa"/>
              <w:right w:w="120" w:type="dxa"/>
            </w:tcMar>
          </w:tcPr>
          <w:p w14:paraId="3858BB8C" w14:textId="77777777" w:rsidR="00A25479" w:rsidRDefault="006D72A0">
            <w:r>
              <w:rPr>
                <w:b/>
                <w:bCs/>
              </w:rPr>
              <w:t>Student Number</w:t>
            </w:r>
          </w:p>
        </w:tc>
        <w:tc>
          <w:tcPr>
            <w:tcW w:w="4680" w:type="dxa"/>
            <w:tcBorders>
              <w:top w:val="single" w:sz="6" w:space="0" w:color="000000"/>
              <w:left w:val="single" w:sz="6" w:space="0" w:color="000000"/>
              <w:bottom w:val="single" w:sz="6" w:space="0" w:color="000000"/>
              <w:right w:val="single" w:sz="6" w:space="0" w:color="000000"/>
            </w:tcBorders>
            <w:shd w:val="clear" w:color="auto" w:fill="D9D9D9"/>
            <w:tcMar>
              <w:top w:w="80" w:type="dxa"/>
              <w:left w:w="120" w:type="dxa"/>
              <w:bottom w:w="80" w:type="dxa"/>
              <w:right w:w="120" w:type="dxa"/>
            </w:tcMar>
          </w:tcPr>
          <w:p w14:paraId="3F1FC157" w14:textId="77777777" w:rsidR="00A25479" w:rsidRDefault="006D72A0">
            <w:r>
              <w:rPr>
                <w:b/>
                <w:bCs/>
              </w:rPr>
              <w:t>Student Name</w:t>
            </w:r>
          </w:p>
        </w:tc>
      </w:tr>
      <w:tr w:rsidR="00A25479" w14:paraId="79BBC0CF" w14:textId="77777777">
        <w:tc>
          <w:tcPr>
            <w:tcW w:w="468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tcPr>
          <w:p w14:paraId="4924C3CC" w14:textId="61956B71" w:rsidR="00A25479" w:rsidRDefault="00AF1D55">
            <w:r>
              <w:t>2520533</w:t>
            </w:r>
          </w:p>
        </w:tc>
        <w:tc>
          <w:tcPr>
            <w:tcW w:w="468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tcPr>
          <w:p w14:paraId="22783CA8" w14:textId="304431FA" w:rsidR="00A25479" w:rsidRDefault="00AF1D55">
            <w:r>
              <w:t>Rahela-Iasmina Ilie</w:t>
            </w:r>
          </w:p>
        </w:tc>
      </w:tr>
    </w:tbl>
    <w:p w14:paraId="32E0C5DA" w14:textId="77777777" w:rsidR="00A25479" w:rsidRDefault="00A25479"/>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0"/>
      </w:tblGrid>
      <w:tr w:rsidR="00A25479" w14:paraId="78BED9B7" w14:textId="77777777">
        <w:tc>
          <w:tcPr>
            <w:tcW w:w="936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tcPr>
          <w:p w14:paraId="74131163" w14:textId="77777777" w:rsidR="00A25479" w:rsidRDefault="006D72A0">
            <w:r>
              <w:rPr>
                <w:b/>
                <w:bCs/>
              </w:rPr>
              <w:t xml:space="preserve">Website Chosen: </w:t>
            </w:r>
            <w:r>
              <w:t>The Cooking Academy</w:t>
            </w:r>
          </w:p>
          <w:p w14:paraId="1A8EF0F6" w14:textId="77777777" w:rsidR="00A25479" w:rsidRDefault="006D72A0">
            <w:r>
              <w:rPr>
                <w:b/>
                <w:bCs/>
              </w:rPr>
              <w:t xml:space="preserve">URL: </w:t>
            </w:r>
            <w:hyperlink r:id="rId4" w:history="1">
              <w:r>
                <w:rPr>
                  <w:rStyle w:val="Hyperlink"/>
                  <w:rFonts w:ascii="Calibri" w:eastAsia="SimSun" w:hAnsi="Calibri" w:cs="Calibri"/>
                  <w:sz w:val="27"/>
                  <w:szCs w:val="27"/>
                </w:rPr>
                <w:t>https://www.thecookingacademy.co.uk.</w:t>
              </w:r>
            </w:hyperlink>
          </w:p>
        </w:tc>
      </w:tr>
    </w:tbl>
    <w:p w14:paraId="4CB34534" w14:textId="77777777" w:rsidR="00A25479" w:rsidRDefault="00A25479"/>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0"/>
      </w:tblGrid>
      <w:tr w:rsidR="00A25479" w14:paraId="118FC324" w14:textId="77777777">
        <w:tc>
          <w:tcPr>
            <w:tcW w:w="9360" w:type="dxa"/>
            <w:tcBorders>
              <w:top w:val="single" w:sz="6" w:space="0" w:color="000000"/>
              <w:left w:val="single" w:sz="6" w:space="0" w:color="000000"/>
              <w:bottom w:val="single" w:sz="6" w:space="0" w:color="000000"/>
              <w:right w:val="single" w:sz="6" w:space="0" w:color="000000"/>
            </w:tcBorders>
            <w:shd w:val="clear" w:color="auto" w:fill="D9D9D9"/>
            <w:tcMar>
              <w:top w:w="80" w:type="dxa"/>
              <w:left w:w="120" w:type="dxa"/>
              <w:bottom w:w="80" w:type="dxa"/>
              <w:right w:w="120" w:type="dxa"/>
            </w:tcMar>
          </w:tcPr>
          <w:p w14:paraId="1472C22C" w14:textId="77777777" w:rsidR="00A25479" w:rsidRDefault="006D72A0">
            <w:r>
              <w:rPr>
                <w:b/>
                <w:bCs/>
                <w:u w:val="single"/>
              </w:rPr>
              <w:t>Evaluation</w:t>
            </w:r>
            <w:r>
              <w:rPr>
                <w:b/>
                <w:bCs/>
              </w:rPr>
              <w:t xml:space="preserve">  – Respond to each question</w:t>
            </w:r>
          </w:p>
        </w:tc>
      </w:tr>
    </w:tbl>
    <w:p w14:paraId="533DF58C" w14:textId="77777777" w:rsidR="00A25479" w:rsidRDefault="00A25479"/>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647"/>
      </w:tblGrid>
      <w:tr w:rsidR="00A25479" w14:paraId="6244909E" w14:textId="77777777">
        <w:tc>
          <w:tcPr>
            <w:tcW w:w="9360" w:type="dxa"/>
            <w:tcBorders>
              <w:top w:val="single" w:sz="6" w:space="0" w:color="000000"/>
              <w:left w:val="single" w:sz="6" w:space="0" w:color="000000"/>
              <w:bottom w:val="single" w:sz="6" w:space="0" w:color="000000"/>
              <w:right w:val="single" w:sz="6" w:space="0" w:color="000000"/>
            </w:tcBorders>
            <w:shd w:val="clear" w:color="auto" w:fill="D9D9D9"/>
            <w:tcMar>
              <w:top w:w="80" w:type="dxa"/>
              <w:left w:w="120" w:type="dxa"/>
              <w:bottom w:w="80" w:type="dxa"/>
              <w:right w:w="120" w:type="dxa"/>
            </w:tcMar>
          </w:tcPr>
          <w:p w14:paraId="0B01E1EA" w14:textId="77777777" w:rsidR="00A25479" w:rsidRDefault="006D72A0">
            <w:r>
              <w:rPr>
                <w:noProof/>
              </w:rPr>
              <w:drawing>
                <wp:inline distT="0" distB="0" distL="0" distR="0" wp14:anchorId="1856ACCB" wp14:editId="502FA94F">
                  <wp:extent cx="4261485" cy="174625"/>
                  <wp:effectExtent l="0" t="0" r="0" b="0"/>
                  <wp:docPr id="7057714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771455" name="Picture 1"/>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4261621" cy="175135"/>
                          </a:xfrm>
                          <a:prstGeom prst="rect">
                            <a:avLst/>
                          </a:prstGeom>
                        </pic:spPr>
                      </pic:pic>
                    </a:graphicData>
                  </a:graphic>
                </wp:inline>
              </w:drawing>
            </w:r>
          </w:p>
        </w:tc>
      </w:tr>
      <w:tr w:rsidR="00A25479" w14:paraId="1C4A5126" w14:textId="77777777">
        <w:tc>
          <w:tcPr>
            <w:tcW w:w="936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tcPr>
          <w:p w14:paraId="7B6CE997" w14:textId="77777777" w:rsidR="00A25479" w:rsidRDefault="006D72A0">
            <w:r>
              <w:rPr>
                <w:noProof/>
              </w:rPr>
              <w:drawing>
                <wp:inline distT="0" distB="0" distL="0" distR="0" wp14:anchorId="4F7F1311" wp14:editId="590B4512">
                  <wp:extent cx="4222115" cy="203835"/>
                  <wp:effectExtent l="0" t="0" r="0" b="5715"/>
                  <wp:docPr id="4120373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037303" name="Picture 2"/>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4222703" cy="204324"/>
                          </a:xfrm>
                          <a:prstGeom prst="rect">
                            <a:avLst/>
                          </a:prstGeom>
                        </pic:spPr>
                      </pic:pic>
                    </a:graphicData>
                  </a:graphic>
                </wp:inline>
              </w:drawing>
            </w:r>
          </w:p>
        </w:tc>
      </w:tr>
      <w:tr w:rsidR="00A25479" w14:paraId="331E19CB" w14:textId="77777777">
        <w:tc>
          <w:tcPr>
            <w:tcW w:w="936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tcPr>
          <w:p w14:paraId="6A17EC0E" w14:textId="77777777" w:rsidR="00A25479" w:rsidRDefault="006D72A0">
            <w:r>
              <w:rPr>
                <w:b/>
                <w:bCs/>
              </w:rPr>
              <w:t>Answer:</w:t>
            </w:r>
          </w:p>
          <w:p w14:paraId="32C7B957" w14:textId="77777777" w:rsidR="00A25479" w:rsidRDefault="006D72A0">
            <w:r>
              <w:t>The Cooking Academy website loads efficiently, with most pages appearing within two to three seconds on desktop. The homepage features high-resolution images together with embedded video content, which results in longer load times for users on slower mobile networks. Sharma (2023) states that websites which take a long time to load their content create a negative impact on user experience which results in higher bounce rates. The system currently operates well for its intended purpose, but mobile performanc</w:t>
            </w:r>
            <w:r>
              <w:t>e improvements together with customer retention enhancements will occur through media file compression.</w:t>
            </w:r>
          </w:p>
        </w:tc>
      </w:tr>
      <w:tr w:rsidR="00A25479" w14:paraId="68835A69" w14:textId="77777777">
        <w:tc>
          <w:tcPr>
            <w:tcW w:w="936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tcPr>
          <w:p w14:paraId="24D05CC3" w14:textId="77777777" w:rsidR="00A25479" w:rsidRDefault="006D72A0">
            <w:r>
              <w:rPr>
                <w:noProof/>
              </w:rPr>
              <w:drawing>
                <wp:inline distT="0" distB="0" distL="0" distR="0" wp14:anchorId="2065B1D6" wp14:editId="7864209A">
                  <wp:extent cx="5691505" cy="349885"/>
                  <wp:effectExtent l="0" t="0" r="0" b="0"/>
                  <wp:docPr id="2338800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880096" name="Picture 3"/>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5691892" cy="350270"/>
                          </a:xfrm>
                          <a:prstGeom prst="rect">
                            <a:avLst/>
                          </a:prstGeom>
                        </pic:spPr>
                      </pic:pic>
                    </a:graphicData>
                  </a:graphic>
                </wp:inline>
              </w:drawing>
            </w:r>
          </w:p>
        </w:tc>
      </w:tr>
      <w:tr w:rsidR="00A25479" w14:paraId="70D902DB" w14:textId="77777777">
        <w:tc>
          <w:tcPr>
            <w:tcW w:w="936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tcPr>
          <w:p w14:paraId="1230697B" w14:textId="77777777" w:rsidR="00A25479" w:rsidRDefault="006D72A0">
            <w:r>
              <w:rPr>
                <w:b/>
                <w:bCs/>
              </w:rPr>
              <w:t>Answer:</w:t>
            </w:r>
          </w:p>
          <w:p w14:paraId="664B4668" w14:textId="77777777" w:rsidR="00A25479" w:rsidRDefault="006D72A0">
            <w:r>
              <w:t xml:space="preserve">The website contains numerous sub-pages covering cookery classes, corporate events, nutrition programmes, a blog, an online shop, and contact information. The top menu bar with its dropdown options provides visitors with a logical pathway to explore the available services. First-time visitors might experience difficulty navigating the site because its structure remains </w:t>
            </w:r>
            <w:proofErr w:type="spellStart"/>
            <w:r>
              <w:t>organized</w:t>
            </w:r>
            <w:proofErr w:type="spellEnd"/>
            <w:r>
              <w:t xml:space="preserve"> but contains excessive sub-page content. A simplified navigation menu would help new users reach their desired content more quickly.</w:t>
            </w:r>
          </w:p>
        </w:tc>
      </w:tr>
      <w:tr w:rsidR="00A25479" w14:paraId="170D8573" w14:textId="77777777">
        <w:tc>
          <w:tcPr>
            <w:tcW w:w="936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tcPr>
          <w:p w14:paraId="504F8E28" w14:textId="77777777" w:rsidR="00A25479" w:rsidRDefault="006D72A0">
            <w:r>
              <w:rPr>
                <w:noProof/>
              </w:rPr>
              <w:drawing>
                <wp:inline distT="0" distB="0" distL="0" distR="0" wp14:anchorId="3443A730" wp14:editId="22719DDA">
                  <wp:extent cx="4514215" cy="213995"/>
                  <wp:effectExtent l="0" t="0" r="635" b="0"/>
                  <wp:docPr id="208146675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466750" name="Picture 4"/>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4514594" cy="214054"/>
                          </a:xfrm>
                          <a:prstGeom prst="rect">
                            <a:avLst/>
                          </a:prstGeom>
                        </pic:spPr>
                      </pic:pic>
                    </a:graphicData>
                  </a:graphic>
                </wp:inline>
              </w:drawing>
            </w:r>
          </w:p>
        </w:tc>
      </w:tr>
      <w:tr w:rsidR="00A25479" w14:paraId="796E7F4C" w14:textId="77777777">
        <w:tc>
          <w:tcPr>
            <w:tcW w:w="936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tcPr>
          <w:p w14:paraId="7CC55C59" w14:textId="77777777" w:rsidR="00A25479" w:rsidRDefault="006D72A0">
            <w:r>
              <w:rPr>
                <w:b/>
                <w:bCs/>
              </w:rPr>
              <w:t>Answer:</w:t>
            </w:r>
          </w:p>
          <w:p w14:paraId="3A74BECA" w14:textId="77777777" w:rsidR="00A25479" w:rsidRDefault="006D72A0">
            <w:r>
              <w:t xml:space="preserve">Yes, </w:t>
            </w:r>
            <w:r>
              <w:rPr>
                <w:lang w:val="en-US"/>
              </w:rPr>
              <w:t>c</w:t>
            </w:r>
            <w:proofErr w:type="spellStart"/>
            <w:r>
              <w:t>ustomers</w:t>
            </w:r>
            <w:proofErr w:type="spellEnd"/>
            <w:r>
              <w:t xml:space="preserve"> are able to book their appointments through the website. The class page contains an obvious booking button which connects to an online booking system that enables users to choose their desired dates and course options. Online gift vouchers can be purchased by customers. The system enables users to access digital commerce platforms which establish optimal practices for small and medium-sized enterprises  </w:t>
            </w:r>
            <w:r>
              <w:rPr>
                <w:lang w:val="en-US"/>
              </w:rPr>
              <w:t>(</w:t>
            </w:r>
            <w:proofErr w:type="spellStart"/>
            <w:r>
              <w:t>Bermeo-Giraldo</w:t>
            </w:r>
            <w:proofErr w:type="spellEnd"/>
            <w:r>
              <w:rPr>
                <w:lang w:val="en-US"/>
              </w:rPr>
              <w:t xml:space="preserve"> et al., </w:t>
            </w:r>
            <w:r>
              <w:t>2022</w:t>
            </w:r>
            <w:r>
              <w:rPr>
                <w:lang w:val="en-US"/>
              </w:rPr>
              <w:t>)</w:t>
            </w:r>
            <w:r>
              <w:t xml:space="preserve">. The system allows users to complete their reservation through a </w:t>
            </w:r>
            <w:r>
              <w:t>simple process that requires only a few steps.</w:t>
            </w:r>
          </w:p>
          <w:p w14:paraId="2BC819FC" w14:textId="77777777" w:rsidR="00A25479" w:rsidRDefault="00A25479"/>
          <w:p w14:paraId="3699A0C7" w14:textId="77777777" w:rsidR="00A25479" w:rsidRDefault="00A25479"/>
          <w:p w14:paraId="3EB9D007" w14:textId="77777777" w:rsidR="00A25479" w:rsidRDefault="00A25479"/>
        </w:tc>
      </w:tr>
      <w:tr w:rsidR="00A25479" w14:paraId="3ACF12E2" w14:textId="77777777">
        <w:tc>
          <w:tcPr>
            <w:tcW w:w="936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tcPr>
          <w:p w14:paraId="1F166FE3" w14:textId="77777777" w:rsidR="00A25479" w:rsidRDefault="006D72A0">
            <w:r>
              <w:rPr>
                <w:noProof/>
              </w:rPr>
              <w:lastRenderedPageBreak/>
              <w:drawing>
                <wp:inline distT="0" distB="0" distL="0" distR="0" wp14:anchorId="7BC17D9F" wp14:editId="48FD3D43">
                  <wp:extent cx="5380355" cy="213995"/>
                  <wp:effectExtent l="0" t="0" r="0" b="0"/>
                  <wp:docPr id="128176579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765795" name="Picture 5"/>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5380540" cy="214054"/>
                          </a:xfrm>
                          <a:prstGeom prst="rect">
                            <a:avLst/>
                          </a:prstGeom>
                        </pic:spPr>
                      </pic:pic>
                    </a:graphicData>
                  </a:graphic>
                </wp:inline>
              </w:drawing>
            </w:r>
          </w:p>
        </w:tc>
      </w:tr>
      <w:tr w:rsidR="00A25479" w14:paraId="6B00EFCC" w14:textId="77777777">
        <w:tc>
          <w:tcPr>
            <w:tcW w:w="936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tcPr>
          <w:p w14:paraId="35144384" w14:textId="77777777" w:rsidR="00A25479" w:rsidRDefault="006D72A0">
            <w:r>
              <w:rPr>
                <w:b/>
                <w:bCs/>
              </w:rPr>
              <w:t>Answer:</w:t>
            </w:r>
          </w:p>
          <w:p w14:paraId="656EE981" w14:textId="77777777" w:rsidR="00A25479" w:rsidRDefault="006D72A0">
            <w:r>
              <w:t>The homepage lacks a main search bar which creates problems for users who want to find specific courses through the website. Sharma (2023) emphasises that intuitive navigation directly influences conversion rates. The usability of the system will improve through the implementation of a search function that users can see and a top-level menu which provides easy access to all main features. The implementation of a general enquiries live chat system will enable potential customers to receive immediate response</w:t>
            </w:r>
            <w:r>
              <w:t>s which will help them decide whether to make a booking.</w:t>
            </w:r>
          </w:p>
        </w:tc>
      </w:tr>
      <w:tr w:rsidR="00A25479" w14:paraId="7637C646" w14:textId="77777777">
        <w:tc>
          <w:tcPr>
            <w:tcW w:w="9360" w:type="dxa"/>
            <w:tcBorders>
              <w:top w:val="single" w:sz="6" w:space="0" w:color="000000"/>
              <w:left w:val="single" w:sz="6" w:space="0" w:color="000000"/>
              <w:bottom w:val="single" w:sz="6" w:space="0" w:color="000000"/>
              <w:right w:val="single" w:sz="6" w:space="0" w:color="000000"/>
            </w:tcBorders>
            <w:shd w:val="clear" w:color="auto" w:fill="D9D9D9"/>
            <w:tcMar>
              <w:top w:w="80" w:type="dxa"/>
              <w:left w:w="120" w:type="dxa"/>
              <w:bottom w:w="80" w:type="dxa"/>
              <w:right w:w="120" w:type="dxa"/>
            </w:tcMar>
          </w:tcPr>
          <w:p w14:paraId="1DFC6191" w14:textId="77777777" w:rsidR="00A25479" w:rsidRDefault="006D72A0">
            <w:r>
              <w:rPr>
                <w:noProof/>
              </w:rPr>
              <w:drawing>
                <wp:inline distT="0" distB="0" distL="0" distR="0" wp14:anchorId="362420F6" wp14:editId="23114D3E">
                  <wp:extent cx="5925185" cy="203835"/>
                  <wp:effectExtent l="0" t="0" r="0" b="5715"/>
                  <wp:docPr id="167808935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089350" name="Picture 6"/>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5925405" cy="204324"/>
                          </a:xfrm>
                          <a:prstGeom prst="rect">
                            <a:avLst/>
                          </a:prstGeom>
                        </pic:spPr>
                      </pic:pic>
                    </a:graphicData>
                  </a:graphic>
                </wp:inline>
              </w:drawing>
            </w:r>
          </w:p>
        </w:tc>
      </w:tr>
      <w:tr w:rsidR="00A25479" w14:paraId="259075EB" w14:textId="77777777">
        <w:tc>
          <w:tcPr>
            <w:tcW w:w="936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tcPr>
          <w:p w14:paraId="54BE5A06" w14:textId="77777777" w:rsidR="00A25479" w:rsidRDefault="006D72A0">
            <w:r>
              <w:rPr>
                <w:noProof/>
              </w:rPr>
              <w:drawing>
                <wp:inline distT="0" distB="0" distL="0" distR="0" wp14:anchorId="69CD0F20" wp14:editId="7ACA2307">
                  <wp:extent cx="5857240" cy="340360"/>
                  <wp:effectExtent l="0" t="0" r="0" b="2540"/>
                  <wp:docPr id="199504019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040192" name="Picture 7"/>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5857297" cy="340541"/>
                          </a:xfrm>
                          <a:prstGeom prst="rect">
                            <a:avLst/>
                          </a:prstGeom>
                        </pic:spPr>
                      </pic:pic>
                    </a:graphicData>
                  </a:graphic>
                </wp:inline>
              </w:drawing>
            </w:r>
          </w:p>
        </w:tc>
      </w:tr>
      <w:tr w:rsidR="00A25479" w14:paraId="4CB2A83E" w14:textId="77777777">
        <w:tc>
          <w:tcPr>
            <w:tcW w:w="936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tcPr>
          <w:p w14:paraId="320874C4" w14:textId="77777777" w:rsidR="00A25479" w:rsidRDefault="006D72A0">
            <w:r>
              <w:rPr>
                <w:b/>
                <w:bCs/>
              </w:rPr>
              <w:t>Answer:</w:t>
            </w:r>
          </w:p>
          <w:p w14:paraId="0974461E" w14:textId="77777777" w:rsidR="00A25479" w:rsidRDefault="006D72A0">
            <w:r>
              <w:t xml:space="preserve">The website displays visual attractiveness through its combination of warm earthy </w:t>
            </w:r>
            <w:proofErr w:type="spellStart"/>
            <w:r>
              <w:t>colors</w:t>
            </w:r>
            <w:proofErr w:type="spellEnd"/>
            <w:r>
              <w:t xml:space="preserve"> and professional food photography which creates an inviting atmosphere. The desktop layout provides users with a spacious design that maintains organised structure throughout the interface. The site functions properly on mobile devices by showing content that fits smaller screens. The mobile version of the website experiences slight delays when users access image-heavy sections. The professional aesthetic successfully establishes a warm atmosphere which showcases culinary skills to customers, thereby</w:t>
            </w:r>
            <w:r>
              <w:t xml:space="preserve"> developing their trust and creating positive first impressions (Sharma, 2023).</w:t>
            </w:r>
          </w:p>
        </w:tc>
      </w:tr>
      <w:tr w:rsidR="00A25479" w14:paraId="30FCC6C5" w14:textId="77777777">
        <w:tc>
          <w:tcPr>
            <w:tcW w:w="936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tcPr>
          <w:p w14:paraId="7CED26F7" w14:textId="77777777" w:rsidR="00A25479" w:rsidRDefault="006D72A0">
            <w:r>
              <w:rPr>
                <w:noProof/>
              </w:rPr>
              <w:drawing>
                <wp:inline distT="0" distB="0" distL="0" distR="0" wp14:anchorId="37AEACAB" wp14:editId="4322EFF7">
                  <wp:extent cx="5000625" cy="213995"/>
                  <wp:effectExtent l="0" t="0" r="0" b="0"/>
                  <wp:docPr id="156422567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225670" name="Picture 8"/>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5001081" cy="214054"/>
                          </a:xfrm>
                          <a:prstGeom prst="rect">
                            <a:avLst/>
                          </a:prstGeom>
                        </pic:spPr>
                      </pic:pic>
                    </a:graphicData>
                  </a:graphic>
                </wp:inline>
              </w:drawing>
            </w:r>
          </w:p>
        </w:tc>
      </w:tr>
      <w:tr w:rsidR="00A25479" w14:paraId="1FB25F0F" w14:textId="77777777">
        <w:tc>
          <w:tcPr>
            <w:tcW w:w="936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tcPr>
          <w:p w14:paraId="6C6242C3" w14:textId="77777777" w:rsidR="00A25479" w:rsidRDefault="006D72A0">
            <w:r>
              <w:rPr>
                <w:b/>
                <w:bCs/>
              </w:rPr>
              <w:t>Answer:</w:t>
            </w:r>
          </w:p>
          <w:p w14:paraId="10A832D2" w14:textId="77777777" w:rsidR="00A25479" w:rsidRDefault="006D72A0">
            <w:r>
              <w:t>The Cooking Academy makes effective use of vibrant, professionally photographed food imagery and promotional videos throughout its pages. The brand uses natural earthy tones to support its mission of creating healthy, nutritious cooking content. Class page videos showcase the cooking space and instructor demonstration methods to assist customers in understanding their future experience. The website uses visual storytelling to build brand trustworthiness while creating emotional connections, which makes it m</w:t>
            </w:r>
            <w:r>
              <w:t>ore persuasive to potential customers.</w:t>
            </w:r>
          </w:p>
        </w:tc>
      </w:tr>
      <w:tr w:rsidR="00A25479" w14:paraId="1D82E236" w14:textId="77777777">
        <w:tc>
          <w:tcPr>
            <w:tcW w:w="936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tcPr>
          <w:p w14:paraId="18F581D7" w14:textId="77777777" w:rsidR="00A25479" w:rsidRDefault="006D72A0">
            <w:r>
              <w:rPr>
                <w:noProof/>
              </w:rPr>
              <w:drawing>
                <wp:inline distT="0" distB="0" distL="0" distR="0" wp14:anchorId="2E5CBA63" wp14:editId="366731C5">
                  <wp:extent cx="5828030" cy="379095"/>
                  <wp:effectExtent l="0" t="0" r="1270" b="1905"/>
                  <wp:docPr id="46866921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669212" name="Picture 9"/>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5828108" cy="379459"/>
                          </a:xfrm>
                          <a:prstGeom prst="rect">
                            <a:avLst/>
                          </a:prstGeom>
                        </pic:spPr>
                      </pic:pic>
                    </a:graphicData>
                  </a:graphic>
                </wp:inline>
              </w:drawing>
            </w:r>
          </w:p>
        </w:tc>
      </w:tr>
      <w:tr w:rsidR="00A25479" w14:paraId="4D31B3DB" w14:textId="77777777">
        <w:tc>
          <w:tcPr>
            <w:tcW w:w="936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tcPr>
          <w:p w14:paraId="412CE192" w14:textId="77777777" w:rsidR="00A25479" w:rsidRDefault="006D72A0">
            <w:r>
              <w:rPr>
                <w:b/>
                <w:bCs/>
              </w:rPr>
              <w:t>Answer:</w:t>
            </w:r>
          </w:p>
          <w:p w14:paraId="71D68177" w14:textId="77777777" w:rsidR="00A25479" w:rsidRDefault="006D72A0">
            <w:r>
              <w:t xml:space="preserve">The website does not provide any visible live chat function which users can access. The website contains a live chat system which it restricts to users who have paid for their services. The main site does not provide instant communication for its visitors which results in a complete breakdown of their customer experience. The researchers </w:t>
            </w:r>
            <w:proofErr w:type="spellStart"/>
            <w:r>
              <w:t>Dwivedi</w:t>
            </w:r>
            <w:proofErr w:type="spellEnd"/>
            <w:r>
              <w:t xml:space="preserve"> et al. </w:t>
            </w:r>
            <w:r>
              <w:rPr>
                <w:lang w:val="en-US"/>
              </w:rPr>
              <w:t>(</w:t>
            </w:r>
            <w:r>
              <w:t>2021</w:t>
            </w:r>
            <w:r>
              <w:rPr>
                <w:lang w:val="en-US"/>
              </w:rPr>
              <w:t>)</w:t>
            </w:r>
            <w:r>
              <w:t xml:space="preserve"> show that customers need real-time digital interaction for their engagement with businesses. The business lost an opportunity to transform website visitors into customers who would pay for their products.</w:t>
            </w:r>
          </w:p>
        </w:tc>
      </w:tr>
      <w:tr w:rsidR="00A25479" w14:paraId="1DA074F4" w14:textId="77777777">
        <w:tc>
          <w:tcPr>
            <w:tcW w:w="936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tcPr>
          <w:p w14:paraId="06CDBB8B" w14:textId="77777777" w:rsidR="00A25479" w:rsidRDefault="006D72A0">
            <w:r>
              <w:rPr>
                <w:noProof/>
              </w:rPr>
              <w:drawing>
                <wp:inline distT="0" distB="0" distL="0" distR="0" wp14:anchorId="2FED292F" wp14:editId="3851C904">
                  <wp:extent cx="5020310" cy="223520"/>
                  <wp:effectExtent l="0" t="0" r="0" b="5080"/>
                  <wp:docPr id="56876831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768315" name="Picture 10"/>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5020540" cy="223784"/>
                          </a:xfrm>
                          <a:prstGeom prst="rect">
                            <a:avLst/>
                          </a:prstGeom>
                        </pic:spPr>
                      </pic:pic>
                    </a:graphicData>
                  </a:graphic>
                </wp:inline>
              </w:drawing>
            </w:r>
          </w:p>
        </w:tc>
      </w:tr>
      <w:tr w:rsidR="00A25479" w14:paraId="2970A0FE" w14:textId="77777777">
        <w:tc>
          <w:tcPr>
            <w:tcW w:w="936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tcPr>
          <w:p w14:paraId="2FB3639F" w14:textId="77777777" w:rsidR="00A25479" w:rsidRDefault="006D72A0">
            <w:r>
              <w:rPr>
                <w:b/>
                <w:bCs/>
              </w:rPr>
              <w:t>Answer:</w:t>
            </w:r>
          </w:p>
          <w:p w14:paraId="1001A055" w14:textId="77777777" w:rsidR="00A25479" w:rsidRDefault="006D72A0">
            <w:r>
              <w:t xml:space="preserve">The website footer contains social media links that connect to Facebook, Instagram, and YouTube. The Facebook page shows active content through regular posts which have received almost 300 customer reviews, proving the page has built a strong community presence. Social media icons should be more visible because their presence needs to exist in both the header </w:t>
            </w:r>
            <w:r>
              <w:lastRenderedPageBreak/>
              <w:t xml:space="preserve">and footer to enhance platform reach and customer engagement according to </w:t>
            </w:r>
            <w:proofErr w:type="spellStart"/>
            <w:r>
              <w:t>Bermeo-Giraldo</w:t>
            </w:r>
            <w:proofErr w:type="spellEnd"/>
            <w:r>
              <w:t xml:space="preserve"> et al. 2022.</w:t>
            </w:r>
          </w:p>
        </w:tc>
      </w:tr>
      <w:tr w:rsidR="00A25479" w14:paraId="15BDE70E" w14:textId="77777777">
        <w:tc>
          <w:tcPr>
            <w:tcW w:w="9360" w:type="dxa"/>
            <w:tcBorders>
              <w:top w:val="single" w:sz="6" w:space="0" w:color="000000"/>
              <w:left w:val="single" w:sz="6" w:space="0" w:color="000000"/>
              <w:bottom w:val="single" w:sz="6" w:space="0" w:color="000000"/>
              <w:right w:val="single" w:sz="6" w:space="0" w:color="000000"/>
            </w:tcBorders>
            <w:shd w:val="clear" w:color="auto" w:fill="D9D9D9"/>
            <w:tcMar>
              <w:top w:w="80" w:type="dxa"/>
              <w:left w:w="120" w:type="dxa"/>
              <w:bottom w:w="80" w:type="dxa"/>
              <w:right w:w="120" w:type="dxa"/>
            </w:tcMar>
          </w:tcPr>
          <w:p w14:paraId="60DCE805" w14:textId="77777777" w:rsidR="00A25479" w:rsidRDefault="006D72A0">
            <w:r>
              <w:rPr>
                <w:b/>
                <w:bCs/>
              </w:rPr>
              <w:lastRenderedPageBreak/>
              <w:t>Section 3 – Perceived Value     (75 words maximum for each answer)</w:t>
            </w:r>
          </w:p>
        </w:tc>
      </w:tr>
      <w:tr w:rsidR="00A25479" w14:paraId="3FA989E8" w14:textId="77777777">
        <w:tc>
          <w:tcPr>
            <w:tcW w:w="936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tcPr>
          <w:p w14:paraId="3155B265" w14:textId="77777777" w:rsidR="00A25479" w:rsidRDefault="006D72A0">
            <w:r>
              <w:rPr>
                <w:noProof/>
              </w:rPr>
              <w:drawing>
                <wp:inline distT="0" distB="0" distL="0" distR="0" wp14:anchorId="3499693C" wp14:editId="7C66E0E9">
                  <wp:extent cx="5817870" cy="203835"/>
                  <wp:effectExtent l="0" t="0" r="0" b="5715"/>
                  <wp:docPr id="93723444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234447" name="Picture 11"/>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5818378" cy="204324"/>
                          </a:xfrm>
                          <a:prstGeom prst="rect">
                            <a:avLst/>
                          </a:prstGeom>
                        </pic:spPr>
                      </pic:pic>
                    </a:graphicData>
                  </a:graphic>
                </wp:inline>
              </w:drawing>
            </w:r>
          </w:p>
        </w:tc>
      </w:tr>
      <w:tr w:rsidR="00A25479" w14:paraId="54D00ECC" w14:textId="77777777">
        <w:tc>
          <w:tcPr>
            <w:tcW w:w="936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tcPr>
          <w:p w14:paraId="661C727B" w14:textId="77777777" w:rsidR="00A25479" w:rsidRDefault="006D72A0">
            <w:r>
              <w:rPr>
                <w:b/>
                <w:bCs/>
              </w:rPr>
              <w:t>Answer:</w:t>
            </w:r>
          </w:p>
          <w:p w14:paraId="6C60B36B" w14:textId="77777777" w:rsidR="00A25479" w:rsidRDefault="006D72A0">
            <w:r>
              <w:t>Dedicated pages show all services through their separate sections which display cookery classes and corporate events and nutrition programmes and team-building activities. Each page contains complete information about the programs which includes detailed descriptions and learning outcomes and class durations and group size details. The homepage uses bold category headlines and visual links to guide users efficiently. Customers can understand their purchased products because of this transparency which serves</w:t>
            </w:r>
            <w:r>
              <w:t xml:space="preserve"> as the foundation for building their perceived value and purchase confidence </w:t>
            </w:r>
            <w:r>
              <w:rPr>
                <w:lang w:val="en-US"/>
              </w:rPr>
              <w:t>(</w:t>
            </w:r>
            <w:r>
              <w:t>Sharma 2023</w:t>
            </w:r>
            <w:r>
              <w:rPr>
                <w:lang w:val="en-US"/>
              </w:rPr>
              <w:t>)</w:t>
            </w:r>
            <w:r>
              <w:t>.</w:t>
            </w:r>
          </w:p>
        </w:tc>
      </w:tr>
      <w:tr w:rsidR="00A25479" w14:paraId="138F2AA7" w14:textId="77777777">
        <w:tc>
          <w:tcPr>
            <w:tcW w:w="936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tcPr>
          <w:p w14:paraId="4CD49CC6" w14:textId="77777777" w:rsidR="00A25479" w:rsidRDefault="006D72A0">
            <w:r>
              <w:rPr>
                <w:noProof/>
              </w:rPr>
              <w:drawing>
                <wp:inline distT="0" distB="0" distL="0" distR="0" wp14:anchorId="11CF3ABE" wp14:editId="560D344F">
                  <wp:extent cx="5497195" cy="213995"/>
                  <wp:effectExtent l="0" t="0" r="0" b="0"/>
                  <wp:docPr id="168312532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125321" name="Picture 12"/>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5497297" cy="214054"/>
                          </a:xfrm>
                          <a:prstGeom prst="rect">
                            <a:avLst/>
                          </a:prstGeom>
                        </pic:spPr>
                      </pic:pic>
                    </a:graphicData>
                  </a:graphic>
                </wp:inline>
              </w:drawing>
            </w:r>
          </w:p>
        </w:tc>
      </w:tr>
      <w:tr w:rsidR="00A25479" w14:paraId="1EE85930" w14:textId="77777777">
        <w:tc>
          <w:tcPr>
            <w:tcW w:w="936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tcPr>
          <w:p w14:paraId="76641085" w14:textId="77777777" w:rsidR="00A25479" w:rsidRDefault="006D72A0">
            <w:r>
              <w:rPr>
                <w:b/>
                <w:bCs/>
              </w:rPr>
              <w:t>Answer:</w:t>
            </w:r>
          </w:p>
          <w:p w14:paraId="77DAC5EF" w14:textId="77777777" w:rsidR="00A25479" w:rsidRDefault="006D72A0">
            <w:r>
              <w:t>The homepage and corporate events pages display customer reviews in a prominent manner. The website displays five-star ratings from TripAdvisor Google and Facebook which are combined with named testimonials from people and organisations like Oracle Finance and Three UK. The testimonials that are shown to users contain content which dates back several years thus creating a minor credibility issue for customers who want to see current proof of service quality. More regularly updated reviews would strengthen t</w:t>
            </w:r>
            <w:r>
              <w:t>rust (</w:t>
            </w:r>
            <w:proofErr w:type="spellStart"/>
            <w:r>
              <w:t>Dwivedi</w:t>
            </w:r>
            <w:proofErr w:type="spellEnd"/>
            <w:r>
              <w:t xml:space="preserve"> et al., 2021).</w:t>
            </w:r>
          </w:p>
        </w:tc>
      </w:tr>
      <w:tr w:rsidR="00A25479" w14:paraId="1C6FC025" w14:textId="77777777">
        <w:tc>
          <w:tcPr>
            <w:tcW w:w="936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tcPr>
          <w:p w14:paraId="52B2478D" w14:textId="77777777" w:rsidR="00A25479" w:rsidRDefault="006D72A0">
            <w:r>
              <w:rPr>
                <w:noProof/>
              </w:rPr>
              <w:drawing>
                <wp:inline distT="0" distB="0" distL="0" distR="0" wp14:anchorId="539C97C2" wp14:editId="3976DE3F">
                  <wp:extent cx="5876290" cy="379095"/>
                  <wp:effectExtent l="0" t="0" r="0" b="1905"/>
                  <wp:docPr id="89839868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398689" name="Picture 13"/>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5876757" cy="379459"/>
                          </a:xfrm>
                          <a:prstGeom prst="rect">
                            <a:avLst/>
                          </a:prstGeom>
                        </pic:spPr>
                      </pic:pic>
                    </a:graphicData>
                  </a:graphic>
                </wp:inline>
              </w:drawing>
            </w:r>
          </w:p>
        </w:tc>
      </w:tr>
      <w:tr w:rsidR="00A25479" w14:paraId="31BBD9E5" w14:textId="77777777">
        <w:tc>
          <w:tcPr>
            <w:tcW w:w="936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tcPr>
          <w:p w14:paraId="062B0FB4" w14:textId="77777777" w:rsidR="00A25479" w:rsidRDefault="006D72A0">
            <w:r>
              <w:rPr>
                <w:b/>
                <w:bCs/>
              </w:rPr>
              <w:t>Answer:</w:t>
            </w:r>
          </w:p>
          <w:p w14:paraId="3D063213" w14:textId="77777777" w:rsidR="00A25479" w:rsidRDefault="006D72A0">
            <w:r>
              <w:t>The founder's credentials as a Nutritional Food Scientist and author and BBC broadcaster together with their work for FTSE 100 clients show the quality of their work. The academy stands out because it has small class sizes and a curriculum that includes nutrition education. I would recommend it to others for its unique educational approach which combines culinary skills with evidence-based nutritional science. The constant stream of positive customer testimonials supports the company's standing as a high-qu</w:t>
            </w:r>
            <w:r>
              <w:t>ality trustworthy service provider (</w:t>
            </w:r>
            <w:proofErr w:type="spellStart"/>
            <w:r>
              <w:t>Dwivedi</w:t>
            </w:r>
            <w:proofErr w:type="spellEnd"/>
            <w:r>
              <w:t xml:space="preserve"> et al., 2021).</w:t>
            </w:r>
          </w:p>
        </w:tc>
      </w:tr>
      <w:tr w:rsidR="00A25479" w14:paraId="1D9B6C36" w14:textId="77777777">
        <w:tc>
          <w:tcPr>
            <w:tcW w:w="936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tcPr>
          <w:p w14:paraId="0EA2FB9D" w14:textId="77777777" w:rsidR="00A25479" w:rsidRDefault="006D72A0">
            <w:r>
              <w:rPr>
                <w:noProof/>
              </w:rPr>
              <w:drawing>
                <wp:inline distT="0" distB="0" distL="0" distR="0" wp14:anchorId="2038D887" wp14:editId="3FD76B04">
                  <wp:extent cx="5954395" cy="349885"/>
                  <wp:effectExtent l="0" t="0" r="0" b="0"/>
                  <wp:docPr id="183340092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400927" name="Picture 14"/>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0" y="0"/>
                            <a:ext cx="5954594" cy="350270"/>
                          </a:xfrm>
                          <a:prstGeom prst="rect">
                            <a:avLst/>
                          </a:prstGeom>
                        </pic:spPr>
                      </pic:pic>
                    </a:graphicData>
                  </a:graphic>
                </wp:inline>
              </w:drawing>
            </w:r>
          </w:p>
        </w:tc>
      </w:tr>
      <w:tr w:rsidR="00A25479" w14:paraId="5D198533" w14:textId="77777777">
        <w:tc>
          <w:tcPr>
            <w:tcW w:w="936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tcPr>
          <w:p w14:paraId="6E93139A" w14:textId="77777777" w:rsidR="00A25479" w:rsidRDefault="006D72A0">
            <w:r>
              <w:rPr>
                <w:b/>
                <w:bCs/>
              </w:rPr>
              <w:t>Answer:</w:t>
            </w:r>
          </w:p>
          <w:p w14:paraId="1B63FFCC" w14:textId="77777777" w:rsidR="00A25479" w:rsidRDefault="006D72A0">
            <w:r>
              <w:t xml:space="preserve">Class pages show their prices through direct price display. Half-day sessions cost £125 while full-day classes charge £199. The prices demonstrate premium product status because the program offers small group instruction together with expert nutritionist-chefs and a science-based curriculum. The specialist cookery school charges competitive prices for its cooking training programs. The website does not provide corporate event pricing information because it requires customers to contact them directly for </w:t>
            </w:r>
            <w:proofErr w:type="spellStart"/>
            <w:r>
              <w:t>customized</w:t>
            </w:r>
            <w:proofErr w:type="spellEnd"/>
            <w:r>
              <w:t xml:space="preserve"> package solutions, which serves as a standard and logical method for businesses that offer </w:t>
            </w:r>
            <w:proofErr w:type="spellStart"/>
            <w:r>
              <w:t>personalized</w:t>
            </w:r>
            <w:proofErr w:type="spellEnd"/>
            <w:r>
              <w:t xml:space="preserve"> services.</w:t>
            </w:r>
          </w:p>
          <w:p w14:paraId="6658EA88" w14:textId="77777777" w:rsidR="00A25479" w:rsidRDefault="00A25479"/>
          <w:p w14:paraId="7C2A50CC" w14:textId="77777777" w:rsidR="00A25479" w:rsidRDefault="00A25479"/>
          <w:p w14:paraId="7E6AA9CD" w14:textId="77777777" w:rsidR="00A25479" w:rsidRDefault="00A25479"/>
          <w:p w14:paraId="5D011BE0" w14:textId="77777777" w:rsidR="00A25479" w:rsidRDefault="00A25479"/>
          <w:p w14:paraId="0E974AB4" w14:textId="77777777" w:rsidR="00A25479" w:rsidRDefault="00A25479"/>
        </w:tc>
      </w:tr>
      <w:tr w:rsidR="00A25479" w14:paraId="29864349" w14:textId="77777777">
        <w:tc>
          <w:tcPr>
            <w:tcW w:w="9360" w:type="dxa"/>
            <w:tcBorders>
              <w:top w:val="single" w:sz="6" w:space="0" w:color="000000"/>
              <w:left w:val="single" w:sz="6" w:space="0" w:color="000000"/>
              <w:bottom w:val="single" w:sz="6" w:space="0" w:color="000000"/>
              <w:right w:val="single" w:sz="6" w:space="0" w:color="000000"/>
            </w:tcBorders>
            <w:shd w:val="clear" w:color="auto" w:fill="D9D9D9"/>
            <w:tcMar>
              <w:top w:w="80" w:type="dxa"/>
              <w:left w:w="120" w:type="dxa"/>
              <w:bottom w:w="80" w:type="dxa"/>
              <w:right w:w="120" w:type="dxa"/>
            </w:tcMar>
          </w:tcPr>
          <w:p w14:paraId="3717DD01" w14:textId="77777777" w:rsidR="00A25479" w:rsidRDefault="006D72A0">
            <w:r>
              <w:rPr>
                <w:b/>
                <w:bCs/>
              </w:rPr>
              <w:lastRenderedPageBreak/>
              <w:t xml:space="preserve">Section 4 – </w:t>
            </w:r>
            <w:proofErr w:type="spellStart"/>
            <w:r>
              <w:rPr>
                <w:b/>
                <w:bCs/>
              </w:rPr>
              <w:t>Searchability</w:t>
            </w:r>
            <w:proofErr w:type="spellEnd"/>
          </w:p>
        </w:tc>
      </w:tr>
      <w:tr w:rsidR="00A25479" w14:paraId="0A39448A" w14:textId="77777777">
        <w:tc>
          <w:tcPr>
            <w:tcW w:w="936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tcPr>
          <w:p w14:paraId="1ED00BC8" w14:textId="77777777" w:rsidR="00A25479" w:rsidRDefault="006D72A0">
            <w:r>
              <w:rPr>
                <w:b/>
                <w:bCs/>
              </w:rPr>
              <w:t xml:space="preserve">Question 4a </w:t>
            </w:r>
            <w:r>
              <w:t xml:space="preserve">– What </w:t>
            </w:r>
            <w:r>
              <w:rPr>
                <w:b/>
                <w:bCs/>
              </w:rPr>
              <w:t>three</w:t>
            </w:r>
            <w:r>
              <w:t xml:space="preserve"> words would you type into Google to find this type of service?</w:t>
            </w:r>
          </w:p>
          <w:p w14:paraId="2E60BD57" w14:textId="77777777" w:rsidR="00A25479" w:rsidRDefault="006D72A0">
            <w:r>
              <w:t>1.  Cooking classes London</w:t>
            </w:r>
          </w:p>
          <w:p w14:paraId="504C8999" w14:textId="77777777" w:rsidR="00A25479" w:rsidRDefault="006D72A0">
            <w:r>
              <w:t>2.  Indian cookery class UK</w:t>
            </w:r>
          </w:p>
          <w:p w14:paraId="23478801" w14:textId="77777777" w:rsidR="00A25479" w:rsidRDefault="006D72A0">
            <w:r>
              <w:t>3.  Corporate team building cooking</w:t>
            </w:r>
          </w:p>
        </w:tc>
      </w:tr>
      <w:tr w:rsidR="00A25479" w14:paraId="76B4DDBE" w14:textId="77777777">
        <w:tc>
          <w:tcPr>
            <w:tcW w:w="936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tcPr>
          <w:p w14:paraId="5207221F" w14:textId="77777777" w:rsidR="00A25479" w:rsidRDefault="006D72A0">
            <w:r>
              <w:rPr>
                <w:noProof/>
              </w:rPr>
              <w:drawing>
                <wp:inline distT="0" distB="0" distL="0" distR="0" wp14:anchorId="4631463B" wp14:editId="6B600DBD">
                  <wp:extent cx="5973445" cy="340360"/>
                  <wp:effectExtent l="0" t="0" r="0" b="2540"/>
                  <wp:docPr id="13040269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02698" name="Picture 15"/>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0" y="0"/>
                            <a:ext cx="5974054" cy="340541"/>
                          </a:xfrm>
                          <a:prstGeom prst="rect">
                            <a:avLst/>
                          </a:prstGeom>
                        </pic:spPr>
                      </pic:pic>
                    </a:graphicData>
                  </a:graphic>
                </wp:inline>
              </w:drawing>
            </w:r>
          </w:p>
        </w:tc>
      </w:tr>
      <w:tr w:rsidR="00A25479" w14:paraId="663B35AD" w14:textId="77777777">
        <w:tc>
          <w:tcPr>
            <w:tcW w:w="936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tcPr>
          <w:p w14:paraId="13ABC41A" w14:textId="77777777" w:rsidR="00A25479" w:rsidRDefault="006D72A0">
            <w:r>
              <w:rPr>
                <w:b/>
                <w:bCs/>
              </w:rPr>
              <w:t>Answer:</w:t>
            </w:r>
          </w:p>
          <w:p w14:paraId="3F8ED982" w14:textId="77777777" w:rsidR="00A25479" w:rsidRDefault="006D72A0">
            <w:r>
              <w:t xml:space="preserve">The Cooking Academy shows strong SEO performance, because it appears in the top ten Google results for both 'cooking classes London' and 'Indian cookery class UK' search queries. The website uses </w:t>
            </w:r>
            <w:proofErr w:type="spellStart"/>
            <w:r>
              <w:t>keyword-optimized</w:t>
            </w:r>
            <w:proofErr w:type="spellEnd"/>
            <w:r>
              <w:t xml:space="preserve"> content which creates multiple location-specific pages and receives positive reviews from users who visit third-party sites like TripAdvisor and Google. To achieve consistent top-ten visibility on competitive search terms such as 'corporate team building cooking', businesses must invest in both paid advertising and content marketing.</w:t>
            </w:r>
          </w:p>
        </w:tc>
      </w:tr>
      <w:tr w:rsidR="00A25479" w14:paraId="44A83E46" w14:textId="77777777">
        <w:tc>
          <w:tcPr>
            <w:tcW w:w="9360" w:type="dxa"/>
            <w:tcBorders>
              <w:top w:val="single" w:sz="6" w:space="0" w:color="000000"/>
              <w:left w:val="single" w:sz="6" w:space="0" w:color="000000"/>
              <w:bottom w:val="single" w:sz="6" w:space="0" w:color="000000"/>
              <w:right w:val="single" w:sz="6" w:space="0" w:color="000000"/>
            </w:tcBorders>
            <w:shd w:val="clear" w:color="auto" w:fill="D9D9D9"/>
            <w:tcMar>
              <w:top w:w="80" w:type="dxa"/>
              <w:left w:w="120" w:type="dxa"/>
              <w:bottom w:w="80" w:type="dxa"/>
              <w:right w:w="120" w:type="dxa"/>
            </w:tcMar>
          </w:tcPr>
          <w:p w14:paraId="08872BCE" w14:textId="77777777" w:rsidR="00A25479" w:rsidRDefault="006D72A0">
            <w:r>
              <w:rPr>
                <w:b/>
                <w:bCs/>
              </w:rPr>
              <w:t>Section 5 – Reflection and Conclusion     (120 words maximum for each answer)</w:t>
            </w:r>
          </w:p>
        </w:tc>
      </w:tr>
      <w:tr w:rsidR="00A25479" w14:paraId="4A90E3C5" w14:textId="77777777">
        <w:tc>
          <w:tcPr>
            <w:tcW w:w="936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tcPr>
          <w:p w14:paraId="0569E55D" w14:textId="77777777" w:rsidR="00A25479" w:rsidRDefault="006D72A0">
            <w:r>
              <w:rPr>
                <w:noProof/>
              </w:rPr>
              <w:drawing>
                <wp:inline distT="0" distB="0" distL="0" distR="0" wp14:anchorId="5EFBF05D" wp14:editId="0240FE6C">
                  <wp:extent cx="5954395" cy="340360"/>
                  <wp:effectExtent l="0" t="0" r="0" b="2540"/>
                  <wp:docPr id="207258967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589672" name="Picture 17"/>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0" y="0"/>
                            <a:ext cx="5954594" cy="340541"/>
                          </a:xfrm>
                          <a:prstGeom prst="rect">
                            <a:avLst/>
                          </a:prstGeom>
                        </pic:spPr>
                      </pic:pic>
                    </a:graphicData>
                  </a:graphic>
                </wp:inline>
              </w:drawing>
            </w:r>
          </w:p>
        </w:tc>
      </w:tr>
      <w:tr w:rsidR="00A25479" w14:paraId="32C392E2" w14:textId="77777777">
        <w:tc>
          <w:tcPr>
            <w:tcW w:w="936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tcPr>
          <w:p w14:paraId="337EE53E" w14:textId="77777777" w:rsidR="00A25479" w:rsidRDefault="006D72A0">
            <w:r>
              <w:rPr>
                <w:b/>
                <w:bCs/>
              </w:rPr>
              <w:t>Answer:</w:t>
            </w:r>
          </w:p>
          <w:p w14:paraId="262D4BD9" w14:textId="77777777" w:rsidR="00A25479" w:rsidRDefault="006D72A0">
            <w:r>
              <w:t xml:space="preserve">Yes, </w:t>
            </w:r>
            <w:r>
              <w:t xml:space="preserve">British businesses must maintain their website presence because it remains necessary for their operations in 2026. The platform functions as a primary online location which enables customers to find information and assess business trustworthiness and make purchases. Social media platforms have become increasingly important yet they fail to match the credibility and substance which a well-constructed website delivers. The research conducted by </w:t>
            </w:r>
            <w:proofErr w:type="spellStart"/>
            <w:r>
              <w:t>Dwivedi</w:t>
            </w:r>
            <w:proofErr w:type="spellEnd"/>
            <w:r>
              <w:t xml:space="preserve"> et al. (2021) shows that businesses must establish their </w:t>
            </w:r>
            <w:r>
              <w:t xml:space="preserve">digital identity through professional websites which function as the fundamental element for their sustainable business development. The Cooking Academy needs a website because it provides service businesses with detailed information that customers can search which social media platforms cannot deliver. According to </w:t>
            </w:r>
            <w:proofErr w:type="spellStart"/>
            <w:r>
              <w:t>Bermeo-Giraldo</w:t>
            </w:r>
            <w:proofErr w:type="spellEnd"/>
            <w:r>
              <w:t xml:space="preserve"> et al. (2022) small and medium enterprises that build strong online presences achieve superior customer acquisition results when compared to enterprises that rely only on social m</w:t>
            </w:r>
            <w:r>
              <w:t>edia.</w:t>
            </w:r>
          </w:p>
        </w:tc>
      </w:tr>
      <w:tr w:rsidR="00A25479" w14:paraId="148BC4AB" w14:textId="77777777">
        <w:tc>
          <w:tcPr>
            <w:tcW w:w="936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tcPr>
          <w:p w14:paraId="13E6B3C8" w14:textId="77777777" w:rsidR="00A25479" w:rsidRDefault="006D72A0">
            <w:r>
              <w:rPr>
                <w:noProof/>
              </w:rPr>
              <w:drawing>
                <wp:inline distT="0" distB="0" distL="0" distR="0" wp14:anchorId="126D3886" wp14:editId="031E2482">
                  <wp:extent cx="5944235" cy="379095"/>
                  <wp:effectExtent l="0" t="0" r="0" b="1905"/>
                  <wp:docPr id="27346086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460867" name="Picture 18"/>
                          <pic:cNvPicPr>
                            <a:picLocks noChangeAspect="1"/>
                          </pic:cNvPicPr>
                        </pic:nvPicPr>
                        <pic:blipFill>
                          <a:blip r:embed="rId21">
                            <a:extLst>
                              <a:ext uri="{28A0092B-C50C-407E-A947-70E740481C1C}">
                                <a14:useLocalDpi xmlns:a14="http://schemas.microsoft.com/office/drawing/2010/main" val="0"/>
                              </a:ext>
                            </a:extLst>
                          </a:blip>
                          <a:stretch>
                            <a:fillRect/>
                          </a:stretch>
                        </pic:blipFill>
                        <pic:spPr>
                          <a:xfrm>
                            <a:off x="0" y="0"/>
                            <a:ext cx="5944865" cy="379459"/>
                          </a:xfrm>
                          <a:prstGeom prst="rect">
                            <a:avLst/>
                          </a:prstGeom>
                        </pic:spPr>
                      </pic:pic>
                    </a:graphicData>
                  </a:graphic>
                </wp:inline>
              </w:drawing>
            </w:r>
          </w:p>
        </w:tc>
      </w:tr>
      <w:tr w:rsidR="00A25479" w14:paraId="21A19AB7" w14:textId="77777777">
        <w:tc>
          <w:tcPr>
            <w:tcW w:w="936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tcPr>
          <w:p w14:paraId="510492C3" w14:textId="77777777" w:rsidR="00A25479" w:rsidRDefault="006D72A0">
            <w:r>
              <w:rPr>
                <w:b/>
                <w:bCs/>
              </w:rPr>
              <w:t>Answer:</w:t>
            </w:r>
          </w:p>
          <w:p w14:paraId="377F16FC" w14:textId="77777777" w:rsidR="00A25479" w:rsidRDefault="006D72A0">
            <w:r>
              <w:t>The website requires a live chat function which must be placed in an easily seen area to provide all users with access to the service. The customer experience becomes difficult because prospective customers need to contact us through email or telephone before they can make a booking. Sharma (2023) shows that business websites increase their conversion rates when they use instant communication tools which help customers resolve their doubts during their inquiry process. The Cooking Academy needs to establish</w:t>
            </w:r>
            <w:r>
              <w:t xml:space="preserve"> a live chat button on class listing pages and the homepage to provide real-time answers to visitor questions which will increase customer trust and result in more confirmed bookings.</w:t>
            </w:r>
          </w:p>
        </w:tc>
      </w:tr>
    </w:tbl>
    <w:p w14:paraId="4FB917CD" w14:textId="77777777" w:rsidR="00A25479" w:rsidRDefault="00A25479"/>
    <w:p w14:paraId="0AD2EB98" w14:textId="77777777" w:rsidR="00A25479" w:rsidRDefault="006D72A0">
      <w:pPr>
        <w:rPr>
          <w:b/>
          <w:bCs/>
          <w:sz w:val="24"/>
          <w:szCs w:val="24"/>
          <w:u w:val="single"/>
        </w:rPr>
      </w:pPr>
      <w:r>
        <w:rPr>
          <w:b/>
          <w:bCs/>
          <w:sz w:val="24"/>
          <w:szCs w:val="24"/>
          <w:u w:val="single"/>
        </w:rPr>
        <w:br w:type="page"/>
      </w:r>
    </w:p>
    <w:p w14:paraId="58A4CAB5" w14:textId="77777777" w:rsidR="00A25479" w:rsidRDefault="006D72A0">
      <w:r>
        <w:rPr>
          <w:b/>
          <w:bCs/>
          <w:sz w:val="24"/>
          <w:szCs w:val="24"/>
          <w:u w:val="single"/>
        </w:rPr>
        <w:lastRenderedPageBreak/>
        <w:t>Reference List</w:t>
      </w:r>
    </w:p>
    <w:p w14:paraId="45016D33" w14:textId="77777777" w:rsidR="00A25479" w:rsidRDefault="00A25479"/>
    <w:p w14:paraId="62C7297F" w14:textId="77777777" w:rsidR="00A25479" w:rsidRDefault="006D72A0">
      <w:pPr>
        <w:jc w:val="both"/>
        <w:rPr>
          <w:color w:val="000000" w:themeColor="text1"/>
        </w:rPr>
      </w:pPr>
      <w:proofErr w:type="spellStart"/>
      <w:r>
        <w:rPr>
          <w:color w:val="000000" w:themeColor="text1"/>
        </w:rPr>
        <w:t>Bermeo-Giraldo</w:t>
      </w:r>
      <w:proofErr w:type="spellEnd"/>
      <w:r>
        <w:rPr>
          <w:color w:val="000000" w:themeColor="text1"/>
        </w:rPr>
        <w:t xml:space="preserve">, M.C., Valencia-Arias, A., Ramos de Rosas, J.D., </w:t>
      </w:r>
      <w:proofErr w:type="spellStart"/>
      <w:r>
        <w:rPr>
          <w:color w:val="000000" w:themeColor="text1"/>
        </w:rPr>
        <w:t>Benjumea-Arias</w:t>
      </w:r>
      <w:proofErr w:type="spellEnd"/>
      <w:r>
        <w:rPr>
          <w:color w:val="000000" w:themeColor="text1"/>
        </w:rPr>
        <w:t xml:space="preserve">, M. and Villanueva </w:t>
      </w:r>
      <w:proofErr w:type="spellStart"/>
      <w:r>
        <w:rPr>
          <w:color w:val="000000" w:themeColor="text1"/>
        </w:rPr>
        <w:t>Calderón</w:t>
      </w:r>
      <w:proofErr w:type="spellEnd"/>
      <w:r>
        <w:rPr>
          <w:color w:val="000000" w:themeColor="text1"/>
        </w:rPr>
        <w:t>, J.A. (2022) ‘Factors influencing the use of digital marketing by small and medium-sized enterprises during COVID-19’, Informatics, 9(4). Available at: https://doi.org/10.3390/informatics9040086 (Accessed: 19 March 2026).</w:t>
      </w:r>
    </w:p>
    <w:p w14:paraId="0D8FE387" w14:textId="77777777" w:rsidR="00A25479" w:rsidRDefault="00A25479">
      <w:pPr>
        <w:jc w:val="both"/>
        <w:rPr>
          <w:color w:val="000000" w:themeColor="text1"/>
        </w:rPr>
      </w:pPr>
    </w:p>
    <w:p w14:paraId="64186538" w14:textId="77777777" w:rsidR="00A25479" w:rsidRDefault="006D72A0">
      <w:pPr>
        <w:jc w:val="both"/>
        <w:rPr>
          <w:color w:val="000000" w:themeColor="text1"/>
        </w:rPr>
      </w:pPr>
      <w:proofErr w:type="spellStart"/>
      <w:r>
        <w:rPr>
          <w:color w:val="000000" w:themeColor="text1"/>
        </w:rPr>
        <w:t>Dwivedi</w:t>
      </w:r>
      <w:proofErr w:type="spellEnd"/>
      <w:r>
        <w:rPr>
          <w:color w:val="000000" w:themeColor="text1"/>
        </w:rPr>
        <w:t xml:space="preserve">, Y.K., </w:t>
      </w:r>
      <w:proofErr w:type="spellStart"/>
      <w:r>
        <w:rPr>
          <w:color w:val="000000" w:themeColor="text1"/>
        </w:rPr>
        <w:t>Ismagilova</w:t>
      </w:r>
      <w:proofErr w:type="spellEnd"/>
      <w:r>
        <w:rPr>
          <w:color w:val="000000" w:themeColor="text1"/>
        </w:rPr>
        <w:t xml:space="preserve">, E., Hughes, D.L., Carlson, J., </w:t>
      </w:r>
      <w:proofErr w:type="spellStart"/>
      <w:r>
        <w:rPr>
          <w:color w:val="000000" w:themeColor="text1"/>
        </w:rPr>
        <w:t>Filieri</w:t>
      </w:r>
      <w:proofErr w:type="spellEnd"/>
      <w:r>
        <w:rPr>
          <w:color w:val="000000" w:themeColor="text1"/>
        </w:rPr>
        <w:t xml:space="preserve">, R., Jacobson, J., Jain, V., </w:t>
      </w:r>
      <w:proofErr w:type="spellStart"/>
      <w:r>
        <w:rPr>
          <w:color w:val="000000" w:themeColor="text1"/>
        </w:rPr>
        <w:t>Karjaluoto</w:t>
      </w:r>
      <w:proofErr w:type="spellEnd"/>
      <w:r>
        <w:rPr>
          <w:color w:val="000000" w:themeColor="text1"/>
        </w:rPr>
        <w:t xml:space="preserve">, H., </w:t>
      </w:r>
      <w:proofErr w:type="spellStart"/>
      <w:r>
        <w:rPr>
          <w:color w:val="000000" w:themeColor="text1"/>
        </w:rPr>
        <w:t>Kefi</w:t>
      </w:r>
      <w:proofErr w:type="spellEnd"/>
      <w:r>
        <w:rPr>
          <w:color w:val="000000" w:themeColor="text1"/>
        </w:rPr>
        <w:t xml:space="preserve">, H., </w:t>
      </w:r>
      <w:proofErr w:type="spellStart"/>
      <w:r>
        <w:rPr>
          <w:color w:val="000000" w:themeColor="text1"/>
        </w:rPr>
        <w:t>Krishen</w:t>
      </w:r>
      <w:proofErr w:type="spellEnd"/>
      <w:r>
        <w:rPr>
          <w:color w:val="000000" w:themeColor="text1"/>
        </w:rPr>
        <w:t xml:space="preserve">, A.S., Kumar, V., Rahman, M.M., Raman, R., </w:t>
      </w:r>
      <w:proofErr w:type="spellStart"/>
      <w:r>
        <w:rPr>
          <w:color w:val="000000" w:themeColor="text1"/>
        </w:rPr>
        <w:t>Rauschnabel</w:t>
      </w:r>
      <w:proofErr w:type="spellEnd"/>
      <w:r>
        <w:rPr>
          <w:color w:val="000000" w:themeColor="text1"/>
        </w:rPr>
        <w:t>, P.A., Rowley, J., Salo, J., Tran, G.A. and Wang, Y. (2021) ‘Setting the future of digital and social media marketing research: Perspectives and research propositions’, International Journal of Information Management, 59, p.102168. Available at: https://doi.org/10.1016/j.ijinfomgt.2020.102168 (Accessed: 19 March 2026).</w:t>
      </w:r>
    </w:p>
    <w:p w14:paraId="16EFF182" w14:textId="77777777" w:rsidR="00A25479" w:rsidRDefault="00A25479">
      <w:pPr>
        <w:jc w:val="both"/>
        <w:rPr>
          <w:color w:val="000000" w:themeColor="text1"/>
        </w:rPr>
      </w:pPr>
    </w:p>
    <w:p w14:paraId="0E10CBBE" w14:textId="77777777" w:rsidR="00A25479" w:rsidRDefault="006D72A0">
      <w:pPr>
        <w:jc w:val="both"/>
        <w:rPr>
          <w:color w:val="000000" w:themeColor="text1"/>
        </w:rPr>
      </w:pPr>
      <w:r>
        <w:rPr>
          <w:color w:val="000000" w:themeColor="text1"/>
        </w:rPr>
        <w:t>Sharma, H. (2023) ‘The importance of website usability in digital marketing: a review’, London Journal of Research in Computer Science and Technology, 23(3), pp. 25–32. Available at: https://journalspress.uk/index.php/LJRCST/article/view/194 (Accessed: 19 March 2026).</w:t>
      </w:r>
    </w:p>
    <w:p w14:paraId="3564DE63" w14:textId="77777777" w:rsidR="00A25479" w:rsidRDefault="00A25479">
      <w:pPr>
        <w:jc w:val="both"/>
        <w:rPr>
          <w:color w:val="000000" w:themeColor="text1"/>
        </w:rPr>
      </w:pPr>
    </w:p>
    <w:p w14:paraId="79B455CD" w14:textId="77777777" w:rsidR="00A25479" w:rsidRDefault="006D72A0">
      <w:pPr>
        <w:jc w:val="both"/>
        <w:rPr>
          <w:color w:val="000000" w:themeColor="text1"/>
        </w:rPr>
      </w:pPr>
      <w:r>
        <w:rPr>
          <w:color w:val="000000" w:themeColor="text1"/>
        </w:rPr>
        <w:t>The Cooking Academy. (2025). </w:t>
      </w:r>
      <w:r>
        <w:rPr>
          <w:i/>
          <w:iCs/>
          <w:color w:val="000000" w:themeColor="text1"/>
        </w:rPr>
        <w:t>Cooking Academy</w:t>
      </w:r>
      <w:r>
        <w:rPr>
          <w:color w:val="000000" w:themeColor="text1"/>
        </w:rPr>
        <w:t xml:space="preserve">. [online] Available at: </w:t>
      </w:r>
      <w:hyperlink r:id="rId22" w:history="1">
        <w:r>
          <w:rPr>
            <w:rStyle w:val="Hyperlink"/>
            <w:color w:val="000000" w:themeColor="text1"/>
          </w:rPr>
          <w:t>https://www.thecookingacademy.co.uk.</w:t>
        </w:r>
      </w:hyperlink>
      <w:r>
        <w:rPr>
          <w:color w:val="000000" w:themeColor="text1"/>
          <w:lang w:val="en-US"/>
        </w:rPr>
        <w:t xml:space="preserve"> </w:t>
      </w:r>
      <w:r>
        <w:rPr>
          <w:color w:val="000000" w:themeColor="text1"/>
        </w:rPr>
        <w:t>(Accessed: 19 March 2026).</w:t>
      </w:r>
    </w:p>
    <w:p w14:paraId="164C9183" w14:textId="77777777" w:rsidR="00A25479" w:rsidRDefault="00A25479"/>
    <w:p w14:paraId="1277019E" w14:textId="77777777" w:rsidR="00A25479" w:rsidRDefault="00A25479">
      <w:pPr>
        <w:pStyle w:val="NormalWeb"/>
        <w:spacing w:beforeAutospacing="0" w:afterAutospacing="0" w:line="315" w:lineRule="atLeast"/>
        <w:rPr>
          <w:rFonts w:ascii="Calibri" w:hAnsi="Calibri" w:cs="Calibri"/>
          <w:color w:val="000000"/>
          <w:sz w:val="27"/>
          <w:szCs w:val="27"/>
        </w:rPr>
      </w:pPr>
    </w:p>
    <w:p w14:paraId="7A85D89F" w14:textId="77777777" w:rsidR="00A25479" w:rsidRDefault="006D72A0">
      <w:pPr>
        <w:pStyle w:val="NormalWeb"/>
        <w:rPr>
          <w:rFonts w:ascii="Calibri" w:hAnsi="Calibri" w:cs="Calibri"/>
          <w:color w:val="000000"/>
          <w:sz w:val="27"/>
          <w:szCs w:val="27"/>
        </w:rPr>
      </w:pPr>
      <w:r>
        <w:rPr>
          <w:rFonts w:ascii="Calibri" w:hAnsi="Calibri" w:cs="Calibri"/>
          <w:color w:val="000000"/>
          <w:sz w:val="27"/>
          <w:szCs w:val="27"/>
        </w:rPr>
        <w:t>‌</w:t>
      </w:r>
    </w:p>
    <w:p w14:paraId="7BD43DE0" w14:textId="77777777" w:rsidR="00A25479" w:rsidRDefault="00A25479"/>
    <w:sectPr w:rsidR="00A25479">
      <w:pgSz w:w="12240" w:h="15840"/>
      <w:pgMar w:top="1080" w:right="1080" w:bottom="1080" w:left="108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20007A87" w:usb1="80000000" w:usb2="00000008" w:usb3="00000000" w:csb0="000001FF" w:csb1="00000000"/>
  </w:font>
  <w:font w:name="SimSun">
    <w:altName w:val="宋体"/>
    <w:panose1 w:val="02010600030101010101"/>
    <w:charset w:val="86"/>
    <w:family w:val="auto"/>
    <w:pitch w:val="default"/>
    <w:sig w:usb0="00000203" w:usb1="288F0000" w:usb2="00000006" w:usb3="00000000" w:csb0="0004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4"/>
  <w:displayBackgroundShape/>
  <w:hideSpellingErrors/>
  <w:hideGrammaticalErrors/>
  <w:proofState w:spelling="clean"/>
  <w:defaultTabStop w:val="720"/>
  <w:noPunctuationKerning/>
  <w:characterSpacingControl w:val="doNotCompress"/>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2A27"/>
    <w:rsid w:val="000D7DC3"/>
    <w:rsid w:val="0010567E"/>
    <w:rsid w:val="00172A27"/>
    <w:rsid w:val="003205D1"/>
    <w:rsid w:val="005550D8"/>
    <w:rsid w:val="005C47DF"/>
    <w:rsid w:val="006D72A0"/>
    <w:rsid w:val="00754CA2"/>
    <w:rsid w:val="00A25479"/>
    <w:rsid w:val="00AF1D55"/>
    <w:rsid w:val="00C112E7"/>
    <w:rsid w:val="00C26A3B"/>
    <w:rsid w:val="07921DC8"/>
    <w:rsid w:val="309E726D"/>
    <w:rsid w:val="71E46A2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71A70C00"/>
  <w15:docId w15:val="{FBF75050-F788-354F-8CAD-D48690067C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footnote text" w:semiHidden="1" w:uiPriority="99" w:unhideWhenUsed="1" w:qFormat="1"/>
    <w:lsdException w:name="caption" w:semiHidden="1" w:unhideWhenUsed="1" w:qFormat="1"/>
    <w:lsdException w:name="footnote reference" w:semiHidden="1" w:uiPriority="99" w:unhideWhenUsed="1" w:qFormat="1"/>
    <w:lsdException w:name="Title" w:qFormat="1"/>
    <w:lsdException w:name="Default Paragraph Font" w:semiHidden="1" w:uiPriority="1" w:unhideWhenUsed="1" w:qFormat="1"/>
    <w:lsdException w:name="Subtitle" w:qFormat="1"/>
    <w:lsdException w:name="Hyperlink" w:uiPriority="99" w:unhideWhenUsed="1"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iPriority="99"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qFormat="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Arial" w:eastAsia="Arial" w:hAnsi="Arial" w:cs="Arial"/>
      <w:sz w:val="22"/>
      <w:szCs w:val="22"/>
    </w:rPr>
  </w:style>
  <w:style w:type="paragraph" w:styleId="Heading1">
    <w:name w:val="heading 1"/>
    <w:next w:val="Normal"/>
    <w:qFormat/>
    <w:pPr>
      <w:outlineLvl w:val="0"/>
    </w:pPr>
    <w:rPr>
      <w:rFonts w:ascii="Arial" w:eastAsia="Arial" w:hAnsi="Arial" w:cs="Arial"/>
      <w:color w:val="2E74B5"/>
      <w:sz w:val="32"/>
      <w:szCs w:val="32"/>
    </w:rPr>
  </w:style>
  <w:style w:type="paragraph" w:styleId="Heading2">
    <w:name w:val="heading 2"/>
    <w:next w:val="Normal"/>
    <w:qFormat/>
    <w:pPr>
      <w:outlineLvl w:val="1"/>
    </w:pPr>
    <w:rPr>
      <w:rFonts w:ascii="Arial" w:eastAsia="Arial" w:hAnsi="Arial" w:cs="Arial"/>
      <w:color w:val="2E74B5"/>
      <w:sz w:val="26"/>
      <w:szCs w:val="26"/>
    </w:rPr>
  </w:style>
  <w:style w:type="paragraph" w:styleId="Heading3">
    <w:name w:val="heading 3"/>
    <w:next w:val="Normal"/>
    <w:qFormat/>
    <w:pPr>
      <w:outlineLvl w:val="2"/>
    </w:pPr>
    <w:rPr>
      <w:rFonts w:ascii="Arial" w:eastAsia="Arial" w:hAnsi="Arial" w:cs="Arial"/>
      <w:color w:val="1F4D78"/>
      <w:sz w:val="24"/>
      <w:szCs w:val="24"/>
    </w:rPr>
  </w:style>
  <w:style w:type="paragraph" w:styleId="Heading4">
    <w:name w:val="heading 4"/>
    <w:next w:val="Normal"/>
    <w:qFormat/>
    <w:pPr>
      <w:outlineLvl w:val="3"/>
    </w:pPr>
    <w:rPr>
      <w:rFonts w:ascii="Arial" w:eastAsia="Arial" w:hAnsi="Arial" w:cs="Arial"/>
      <w:i/>
      <w:iCs/>
      <w:color w:val="2E74B5"/>
      <w:sz w:val="22"/>
      <w:szCs w:val="22"/>
    </w:rPr>
  </w:style>
  <w:style w:type="paragraph" w:styleId="Heading5">
    <w:name w:val="heading 5"/>
    <w:next w:val="Normal"/>
    <w:qFormat/>
    <w:pPr>
      <w:outlineLvl w:val="4"/>
    </w:pPr>
    <w:rPr>
      <w:rFonts w:ascii="Arial" w:eastAsia="Arial" w:hAnsi="Arial" w:cs="Arial"/>
      <w:color w:val="2E74B5"/>
      <w:sz w:val="22"/>
      <w:szCs w:val="22"/>
    </w:rPr>
  </w:style>
  <w:style w:type="paragraph" w:styleId="Heading6">
    <w:name w:val="heading 6"/>
    <w:next w:val="Normal"/>
    <w:qFormat/>
    <w:pPr>
      <w:outlineLvl w:val="5"/>
    </w:pPr>
    <w:rPr>
      <w:rFonts w:ascii="Arial" w:eastAsia="Arial" w:hAnsi="Arial" w:cs="Arial"/>
      <w:color w:val="1F4D78"/>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uiPriority w:val="99"/>
    <w:semiHidden/>
    <w:unhideWhenUsed/>
    <w:qFormat/>
    <w:rPr>
      <w:vertAlign w:val="superscript"/>
    </w:rPr>
  </w:style>
  <w:style w:type="paragraph" w:styleId="FootnoteText">
    <w:name w:val="footnote text"/>
    <w:link w:val="FootnoteTextChar"/>
    <w:uiPriority w:val="99"/>
    <w:semiHidden/>
    <w:unhideWhenUsed/>
    <w:qFormat/>
    <w:rPr>
      <w:rFonts w:ascii="Arial" w:eastAsia="Arial" w:hAnsi="Arial" w:cs="Arial"/>
    </w:rPr>
  </w:style>
  <w:style w:type="character" w:styleId="Hyperlink">
    <w:name w:val="Hyperlink"/>
    <w:uiPriority w:val="99"/>
    <w:unhideWhenUsed/>
    <w:qFormat/>
    <w:rPr>
      <w:color w:val="0563C1"/>
      <w:u w:val="single"/>
    </w:rPr>
  </w:style>
  <w:style w:type="paragraph" w:styleId="NormalWeb">
    <w:name w:val="Normal (Web)"/>
    <w:qFormat/>
    <w:pPr>
      <w:spacing w:beforeAutospacing="1" w:afterAutospacing="1"/>
    </w:pPr>
    <w:rPr>
      <w:sz w:val="24"/>
      <w:szCs w:val="24"/>
      <w:lang w:val="en-US" w:eastAsia="zh-CN"/>
    </w:rPr>
  </w:style>
  <w:style w:type="paragraph" w:styleId="Title">
    <w:name w:val="Title"/>
    <w:qFormat/>
    <w:rPr>
      <w:rFonts w:ascii="Arial" w:eastAsia="Arial" w:hAnsi="Arial" w:cs="Arial"/>
      <w:sz w:val="56"/>
      <w:szCs w:val="56"/>
    </w:rPr>
  </w:style>
  <w:style w:type="paragraph" w:styleId="ListParagraph">
    <w:name w:val="List Paragraph"/>
    <w:qFormat/>
    <w:rPr>
      <w:rFonts w:ascii="Arial" w:eastAsia="Arial" w:hAnsi="Arial" w:cs="Arial"/>
      <w:sz w:val="22"/>
      <w:szCs w:val="22"/>
    </w:rPr>
  </w:style>
  <w:style w:type="character" w:customStyle="1" w:styleId="FootnoteTextChar">
    <w:name w:val="Footnote Text Char"/>
    <w:link w:val="FootnoteText"/>
    <w:uiPriority w:val="99"/>
    <w:semiHidden/>
    <w:unhideWhenUsed/>
    <w:qFormat/>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image" Target="media/image14.jpeg"/><Relationship Id="rId3" Type="http://schemas.openxmlformats.org/officeDocument/2006/relationships/webSettings" Target="webSettings.xml"/><Relationship Id="rId21" Type="http://schemas.openxmlformats.org/officeDocument/2006/relationships/image" Target="media/image17.jpeg"/><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image" Target="media/image13.jpeg"/><Relationship Id="rId2" Type="http://schemas.openxmlformats.org/officeDocument/2006/relationships/settings" Target="settings.xml"/><Relationship Id="rId16" Type="http://schemas.openxmlformats.org/officeDocument/2006/relationships/image" Target="media/image12.jpeg"/><Relationship Id="rId20" Type="http://schemas.openxmlformats.org/officeDocument/2006/relationships/image" Target="media/image16.jpeg"/><Relationship Id="rId1" Type="http://schemas.openxmlformats.org/officeDocument/2006/relationships/styles" Target="styles.xml"/><Relationship Id="rId6" Type="http://schemas.openxmlformats.org/officeDocument/2006/relationships/image" Target="media/image2.jpeg"/><Relationship Id="rId11" Type="http://schemas.openxmlformats.org/officeDocument/2006/relationships/image" Target="media/image7.jpeg"/><Relationship Id="rId24"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image" Target="media/image11.jpeg"/><Relationship Id="rId23" Type="http://schemas.openxmlformats.org/officeDocument/2006/relationships/fontTable" Target="fontTable.xml"/><Relationship Id="rId10" Type="http://schemas.openxmlformats.org/officeDocument/2006/relationships/image" Target="media/image6.jpeg"/><Relationship Id="rId19" Type="http://schemas.openxmlformats.org/officeDocument/2006/relationships/image" Target="media/image15.jpeg"/><Relationship Id="rId4" Type="http://schemas.openxmlformats.org/officeDocument/2006/relationships/hyperlink" Target="https://www.thecookingacademy.co.uk." TargetMode="External"/><Relationship Id="rId9" Type="http://schemas.openxmlformats.org/officeDocument/2006/relationships/image" Target="media/image5.jpeg"/><Relationship Id="rId14" Type="http://schemas.openxmlformats.org/officeDocument/2006/relationships/image" Target="media/image10.jpeg"/><Relationship Id="rId22" Type="http://schemas.openxmlformats.org/officeDocument/2006/relationships/hyperlink" Target="https://www.thecookingacademy.co.uk." TargetMode="Externa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1687</Words>
  <Characters>9621</Characters>
  <Application>Microsoft Office Word</Application>
  <DocSecurity>0</DocSecurity>
  <Lines>80</Lines>
  <Paragraphs>22</Paragraphs>
  <ScaleCrop>false</ScaleCrop>
  <Company/>
  <LinksUpToDate>false</LinksUpToDate>
  <CharactersWithSpaces>11286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 PC</dc:creator>
  <cp:lastModifiedBy>rahela ilie</cp:lastModifiedBy>
  <cp:revision>2</cp:revision>
  <dcterms:created xsi:type="dcterms:W3CDTF">2026-03-22T13:45:00Z</dcterms:created>
  <dcterms:modified xsi:type="dcterms:W3CDTF">2026-03-22T13:45:00Z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eyJoZGlkIjoiZDU4ZTQ0NjgwMzQ0NWQxMjYxNjkyMGYwMjdmYjBkZDgiLCJ1c2VySWQiOiI4ODEzODkxMzU2NTIzIn0=</vt:lpwstr>
  </property>
  <property fmtid="{D5CDD505-2E9C-101B-9397-08002B2CF9AE}" pid="3" name="KSOProductBuildVer">
    <vt:lpwstr>1033-12.1.0.25242</vt:lpwstr>
  </property>
  <property fmtid="{D5CDD505-2E9C-101B-9397-08002B2CF9AE}" pid="4" name="ICV">
    <vt:lpwstr>F0A6BCF7E636458A9F1EFBD698B5E7A1_13</vt:lpwstr>
  </property>
</Properties>
</file>