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Costantino Toth</w:t>
        <w:br w:type="textWrapping"/>
      </w:r>
      <w:hyperlink r:id="rId7">
        <w:r w:rsidDel="00000000" w:rsidR="00000000" w:rsidRPr="00000000">
          <w:rPr>
            <w:rFonts w:ascii="Times New Roman" w:cs="Times New Roman" w:eastAsia="Times New Roman" w:hAnsi="Times New Roman"/>
            <w:color w:val="1155cc"/>
            <w:sz w:val="24"/>
            <w:szCs w:val="24"/>
            <w:u w:val="single"/>
            <w:rtl w:val="0"/>
          </w:rPr>
          <w:t xml:space="preserve">2430606@student.uwtsd.ac.uk</w:t>
        </w:r>
      </w:hyperlink>
      <w:r w:rsidDel="00000000" w:rsidR="00000000" w:rsidRPr="00000000">
        <w:rPr>
          <w:rFonts w:ascii="Times New Roman" w:cs="Times New Roman" w:eastAsia="Times New Roman" w:hAnsi="Times New Roman"/>
          <w:sz w:val="24"/>
          <w:szCs w:val="24"/>
          <w:rtl w:val="0"/>
        </w:rPr>
        <w:t xml:space="preserve"> </w:t>
        <w:br w:type="textWrapping"/>
      </w:r>
      <w:hyperlink r:id="rId8">
        <w:r w:rsidDel="00000000" w:rsidR="00000000" w:rsidRPr="00000000">
          <w:rPr>
            <w:rFonts w:ascii="Times New Roman" w:cs="Times New Roman" w:eastAsia="Times New Roman" w:hAnsi="Times New Roman"/>
            <w:sz w:val="24"/>
            <w:szCs w:val="24"/>
            <w:rtl w:val="0"/>
          </w:rPr>
          <w:t xml:space="preserve">HPGR7014</w:t>
        </w:r>
      </w:hyperlink>
      <w:r w:rsidDel="00000000" w:rsidR="00000000" w:rsidRPr="00000000">
        <w:rPr>
          <w:rFonts w:ascii="Times New Roman" w:cs="Times New Roman" w:eastAsia="Times New Roman" w:hAnsi="Times New Roman"/>
          <w:sz w:val="24"/>
          <w:szCs w:val="24"/>
          <w:rtl w:val="0"/>
        </w:rPr>
        <w:br w:type="textWrapping"/>
        <w:t xml:space="preserve">05/16/2026</w:t>
        <w:br w:type="textWrapping"/>
      </w:r>
    </w:p>
    <w:p w:rsidR="00000000" w:rsidDel="00000000" w:rsidP="00000000" w:rsidRDefault="00000000" w:rsidRPr="00000000" w14:paraId="00000002">
      <w:pPr>
        <w:jc w:val="center"/>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sz w:val="24"/>
          <w:szCs w:val="24"/>
          <w:rtl w:val="0"/>
        </w:rPr>
        <w:t xml:space="preserve">Commentary on a spell from P. 5025 Papyrus: </w:t>
      </w:r>
      <w:r w:rsidDel="00000000" w:rsidR="00000000" w:rsidRPr="00000000">
        <w:rPr>
          <w:rFonts w:ascii="Times New Roman" w:cs="Times New Roman" w:eastAsia="Times New Roman" w:hAnsi="Times New Roman"/>
          <w:b w:val="1"/>
          <w:bCs w:val="1"/>
          <w:i w:val="1"/>
          <w:iCs w:val="1"/>
          <w:sz w:val="24"/>
          <w:szCs w:val="24"/>
          <w:rtl w:val="0"/>
        </w:rPr>
        <w:t xml:space="preserve">For memory</w:t>
      </w:r>
    </w:p>
    <w:p w:rsidR="00000000" w:rsidDel="00000000" w:rsidP="00000000" w:rsidRDefault="00000000" w:rsidRPr="00000000" w14:paraId="00000003">
      <w:pPr>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1552</w:t>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iCs w:val="1"/>
          <w:sz w:val="24"/>
          <w:szCs w:val="24"/>
          <w:rtl w:val="0"/>
        </w:rPr>
        <w:t xml:space="preserve">Contents:</w:t>
      </w:r>
      <w:r w:rsidDel="00000000" w:rsidR="00000000" w:rsidRPr="00000000">
        <w:rPr>
          <w:rFonts w:ascii="Times New Roman" w:cs="Times New Roman" w:eastAsia="Times New Roman" w:hAnsi="Times New Roman"/>
          <w:sz w:val="24"/>
          <w:szCs w:val="24"/>
          <w:rtl w:val="0"/>
        </w:rPr>
        <w:br w:type="textWrapping"/>
        <w:br w:type="textWrapping"/>
      </w:r>
      <w:r w:rsidDel="00000000" w:rsidR="00000000" w:rsidRPr="00000000">
        <w:rPr>
          <w:rFonts w:ascii="Times New Roman" w:cs="Times New Roman" w:eastAsia="Times New Roman" w:hAnsi="Times New Roman"/>
          <w:b w:val="1"/>
          <w:bCs w:val="1"/>
          <w:sz w:val="24"/>
          <w:szCs w:val="24"/>
          <w:rtl w:val="0"/>
        </w:rPr>
        <w:t xml:space="preserve">Introduction and background</w:t>
      </w:r>
      <w:r w:rsidDel="00000000" w:rsidR="00000000" w:rsidRPr="00000000">
        <w:rPr>
          <w:rFonts w:ascii="Times New Roman" w:cs="Times New Roman" w:eastAsia="Times New Roman" w:hAnsi="Times New Roman"/>
          <w:sz w:val="24"/>
          <w:szCs w:val="24"/>
          <w:rtl w:val="0"/>
        </w:rPr>
        <w:t xml:space="preserve"> — 2</w:t>
      </w:r>
    </w:p>
    <w:p w:rsidR="00000000" w:rsidDel="00000000" w:rsidP="00000000" w:rsidRDefault="00000000" w:rsidRPr="00000000" w14:paraId="00000007">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Text</w:t>
      </w:r>
      <w:r w:rsidDel="00000000" w:rsidR="00000000" w:rsidRPr="00000000">
        <w:rPr>
          <w:rFonts w:ascii="Times New Roman" w:cs="Times New Roman" w:eastAsia="Times New Roman" w:hAnsi="Times New Roman"/>
          <w:sz w:val="24"/>
          <w:szCs w:val="24"/>
          <w:rtl w:val="0"/>
        </w:rPr>
        <w:t xml:space="preserve"> — 3</w:t>
      </w:r>
    </w:p>
    <w:p w:rsidR="00000000" w:rsidDel="00000000" w:rsidP="00000000" w:rsidRDefault="00000000" w:rsidRPr="00000000" w14:paraId="00000009">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Translation</w:t>
      </w:r>
      <w:r w:rsidDel="00000000" w:rsidR="00000000" w:rsidRPr="00000000">
        <w:rPr>
          <w:rFonts w:ascii="Times New Roman" w:cs="Times New Roman" w:eastAsia="Times New Roman" w:hAnsi="Times New Roman"/>
          <w:sz w:val="24"/>
          <w:szCs w:val="24"/>
          <w:rtl w:val="0"/>
        </w:rPr>
        <w:t xml:space="preserve"> — 4</w:t>
      </w:r>
    </w:p>
    <w:p w:rsidR="00000000" w:rsidDel="00000000" w:rsidP="00000000" w:rsidRDefault="00000000" w:rsidRPr="00000000" w14:paraId="0000000B">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Commentary</w:t>
      </w:r>
      <w:r w:rsidDel="00000000" w:rsidR="00000000" w:rsidRPr="00000000">
        <w:rPr>
          <w:rFonts w:ascii="Times New Roman" w:cs="Times New Roman" w:eastAsia="Times New Roman" w:hAnsi="Times New Roman"/>
          <w:sz w:val="24"/>
          <w:szCs w:val="24"/>
          <w:rtl w:val="0"/>
        </w:rPr>
        <w:t xml:space="preserve"> — 6</w:t>
      </w:r>
    </w:p>
    <w:p w:rsidR="00000000" w:rsidDel="00000000" w:rsidP="00000000" w:rsidRDefault="00000000" w:rsidRPr="00000000" w14:paraId="0000000D">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Bibliography</w:t>
      </w:r>
      <w:r w:rsidDel="00000000" w:rsidR="00000000" w:rsidRPr="00000000">
        <w:rPr>
          <w:rFonts w:ascii="Times New Roman" w:cs="Times New Roman" w:eastAsia="Times New Roman" w:hAnsi="Times New Roman"/>
          <w:sz w:val="24"/>
          <w:szCs w:val="24"/>
          <w:rtl w:val="0"/>
        </w:rPr>
        <w:t xml:space="preserve"> — 9</w:t>
        <w:br w:type="textWrapping"/>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Introduction and background:</w:t>
      </w:r>
      <w:r w:rsidDel="00000000" w:rsidR="00000000" w:rsidRPr="00000000">
        <w:rPr>
          <w:rFonts w:ascii="Times New Roman" w:cs="Times New Roman" w:eastAsia="Times New Roman" w:hAnsi="Times New Roman"/>
          <w:sz w:val="24"/>
          <w:szCs w:val="24"/>
          <w:rtl w:val="0"/>
        </w:rPr>
        <w:br w:type="textWrapping"/>
        <w:tab/>
        <w:t xml:space="preserve">This commentary will examine one specific magical formula among many, titled </w:t>
      </w:r>
      <w:r w:rsidDel="00000000" w:rsidR="00000000" w:rsidRPr="00000000">
        <w:rPr>
          <w:rFonts w:ascii="Times New Roman" w:cs="Times New Roman" w:eastAsia="Times New Roman" w:hAnsi="Times New Roman"/>
          <w:sz w:val="24"/>
          <w:szCs w:val="24"/>
          <w:rtl w:val="0"/>
        </w:rPr>
        <w:t xml:space="preserve">µνηµονική or </w:t>
      </w:r>
      <w:r w:rsidDel="00000000" w:rsidR="00000000" w:rsidRPr="00000000">
        <w:rPr>
          <w:rFonts w:ascii="Times New Roman" w:cs="Times New Roman" w:eastAsia="Times New Roman" w:hAnsi="Times New Roman"/>
          <w:i w:val="1"/>
          <w:iCs w:val="1"/>
          <w:sz w:val="24"/>
          <w:szCs w:val="24"/>
          <w:rtl w:val="0"/>
        </w:rPr>
        <w:t xml:space="preserve">For memory,</w:t>
      </w:r>
      <w:r w:rsidDel="00000000" w:rsidR="00000000" w:rsidRPr="00000000">
        <w:rPr>
          <w:rFonts w:ascii="Times New Roman" w:cs="Times New Roman" w:eastAsia="Times New Roman" w:hAnsi="Times New Roman"/>
          <w:sz w:val="24"/>
          <w:szCs w:val="24"/>
          <w:rtl w:val="0"/>
        </w:rPr>
        <w:t xml:space="preserve"> found on the P. 5025 papyrus currently housed at the </w:t>
      </w:r>
      <w:r w:rsidDel="00000000" w:rsidR="00000000" w:rsidRPr="00000000">
        <w:rPr>
          <w:rFonts w:ascii="Times New Roman" w:cs="Times New Roman" w:eastAsia="Times New Roman" w:hAnsi="Times New Roman"/>
          <w:sz w:val="24"/>
          <w:szCs w:val="24"/>
          <w:rtl w:val="0"/>
        </w:rPr>
        <w:t xml:space="preserve">Ägyptisches Museum und Papyrussammlung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Berlin.</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The papyrus is part of a larger ‘magical handbook’, with the rest of it being housed at the </w:t>
      </w:r>
      <w:r w:rsidDel="00000000" w:rsidR="00000000" w:rsidRPr="00000000">
        <w:rPr>
          <w:rFonts w:ascii="Times New Roman" w:cs="Times New Roman" w:eastAsia="Times New Roman" w:hAnsi="Times New Roman"/>
          <w:sz w:val="24"/>
          <w:szCs w:val="24"/>
          <w:rtl w:val="0"/>
        </w:rPr>
        <w:t xml:space="preserve">Muzeum Narodowe in Warsaw</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3">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magical handbook is part of a larger artificial corpus of magical papyri from Roman Egypt, all dating between 1st cent. BCE and 4th cent. CE, that was excavated or traded in the latter part of the 19th century.</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The corpus thus has been compiled and titled through some different iterations, such as the </w:t>
      </w:r>
      <w:r w:rsidDel="00000000" w:rsidR="00000000" w:rsidRPr="00000000">
        <w:rPr>
          <w:rFonts w:ascii="Times New Roman" w:cs="Times New Roman" w:eastAsia="Times New Roman" w:hAnsi="Times New Roman"/>
          <w:i w:val="1"/>
          <w:iCs w:val="1"/>
          <w:sz w:val="24"/>
          <w:szCs w:val="24"/>
          <w:rtl w:val="0"/>
        </w:rPr>
        <w:t xml:space="preserve">Greek Magical Papyri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iCs w:val="1"/>
          <w:sz w:val="24"/>
          <w:szCs w:val="24"/>
          <w:rtl w:val="0"/>
        </w:rPr>
        <w:t xml:space="preserve">PGM</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with the most recent republication by Faraone and Tovollar re–naming the corpus as </w:t>
      </w:r>
      <w:r w:rsidDel="00000000" w:rsidR="00000000" w:rsidRPr="00000000">
        <w:rPr>
          <w:rFonts w:ascii="Times New Roman" w:cs="Times New Roman" w:eastAsia="Times New Roman" w:hAnsi="Times New Roman"/>
          <w:i w:val="1"/>
          <w:iCs w:val="1"/>
          <w:sz w:val="24"/>
          <w:szCs w:val="24"/>
          <w:rtl w:val="0"/>
        </w:rPr>
        <w:t xml:space="preserve">Greek Egyptian Magical Formularies </w:t>
      </w:r>
      <w:r w:rsidDel="00000000" w:rsidR="00000000" w:rsidRPr="00000000">
        <w:rPr>
          <w:rFonts w:ascii="Times New Roman" w:cs="Times New Roman" w:eastAsia="Times New Roman" w:hAnsi="Times New Roman"/>
          <w:sz w:val="24"/>
          <w:szCs w:val="24"/>
          <w:rtl w:val="0"/>
        </w:rPr>
        <w:t xml:space="preserve">(or </w:t>
      </w:r>
      <w:r w:rsidDel="00000000" w:rsidR="00000000" w:rsidRPr="00000000">
        <w:rPr>
          <w:rFonts w:ascii="Times New Roman" w:cs="Times New Roman" w:eastAsia="Times New Roman" w:hAnsi="Times New Roman"/>
          <w:i w:val="1"/>
          <w:iCs w:val="1"/>
          <w:sz w:val="24"/>
          <w:szCs w:val="24"/>
          <w:rtl w:val="0"/>
        </w:rPr>
        <w:t xml:space="preserve">GEMF</w:t>
      </w:r>
      <w:r w:rsidDel="00000000" w:rsidR="00000000" w:rsidRPr="00000000">
        <w:rPr>
          <w:rFonts w:ascii="Times New Roman" w:cs="Times New Roman" w:eastAsia="Times New Roman" w:hAnsi="Times New Roman"/>
          <w:sz w:val="24"/>
          <w:szCs w:val="24"/>
          <w:rtl w:val="0"/>
        </w:rPr>
        <w:t xml:space="preserve">, which this paper will use).</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4">
      <w:pPr>
        <w:spacing w:line="24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 range of characteristic similarities IS evident across the </w:t>
      </w:r>
      <w:r w:rsidDel="00000000" w:rsidR="00000000" w:rsidRPr="00000000">
        <w:rPr>
          <w:rFonts w:ascii="Times New Roman" w:cs="Times New Roman" w:eastAsia="Times New Roman" w:hAnsi="Times New Roman"/>
          <w:i w:val="1"/>
          <w:iCs w:val="1"/>
          <w:sz w:val="24"/>
          <w:szCs w:val="24"/>
          <w:rtl w:val="0"/>
        </w:rPr>
        <w:t xml:space="preserve">GEMF</w:t>
      </w:r>
      <w:r w:rsidDel="00000000" w:rsidR="00000000" w:rsidRPr="00000000">
        <w:rPr>
          <w:rFonts w:ascii="Times New Roman" w:cs="Times New Roman" w:eastAsia="Times New Roman" w:hAnsi="Times New Roman"/>
          <w:sz w:val="24"/>
          <w:szCs w:val="24"/>
          <w:rtl w:val="0"/>
        </w:rPr>
        <w:t xml:space="preserve">: the syncretic blend of Greek, Egyptian, and Near Eastern ritual practices, divine names of uncertain origins (</w:t>
      </w:r>
      <w:r w:rsidDel="00000000" w:rsidR="00000000" w:rsidRPr="00000000">
        <w:rPr>
          <w:rFonts w:ascii="Times New Roman" w:cs="Times New Roman" w:eastAsia="Times New Roman" w:hAnsi="Times New Roman"/>
          <w:i w:val="1"/>
          <w:iCs w:val="1"/>
          <w:sz w:val="24"/>
          <w:szCs w:val="24"/>
          <w:rtl w:val="0"/>
        </w:rPr>
        <w:t xml:space="preserve">voces magicae</w:t>
      </w:r>
      <w:r w:rsidDel="00000000" w:rsidR="00000000" w:rsidRPr="00000000">
        <w:rPr>
          <w:rFonts w:ascii="Times New Roman" w:cs="Times New Roman" w:eastAsia="Times New Roman" w:hAnsi="Times New Roman"/>
          <w:sz w:val="24"/>
          <w:szCs w:val="24"/>
          <w:rtl w:val="0"/>
        </w:rPr>
        <w:t xml:space="preserve">), abstract symbols known as </w:t>
      </w:r>
      <w:r w:rsidDel="00000000" w:rsidR="00000000" w:rsidRPr="00000000">
        <w:rPr>
          <w:rFonts w:ascii="Times New Roman" w:cs="Times New Roman" w:eastAsia="Times New Roman" w:hAnsi="Times New Roman"/>
          <w:i w:val="1"/>
          <w:iCs w:val="1"/>
          <w:sz w:val="24"/>
          <w:szCs w:val="24"/>
          <w:rtl w:val="0"/>
        </w:rPr>
        <w:t xml:space="preserve">charakteres</w:t>
      </w:r>
      <w:r w:rsidDel="00000000" w:rsidR="00000000" w:rsidRPr="00000000">
        <w:rPr>
          <w:rFonts w:ascii="Times New Roman" w:cs="Times New Roman" w:eastAsia="Times New Roman" w:hAnsi="Times New Roman"/>
          <w:sz w:val="24"/>
          <w:szCs w:val="24"/>
          <w:rtl w:val="0"/>
        </w:rPr>
        <w:t xml:space="preserve">, and enigmatic ingredients (to the present reader, at least)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For memory</w:t>
      </w:r>
      <w:r w:rsidDel="00000000" w:rsidR="00000000" w:rsidRPr="00000000">
        <w:rPr>
          <w:rFonts w:ascii="Times New Roman" w:cs="Times New Roman" w:eastAsia="Times New Roman" w:hAnsi="Times New Roman"/>
          <w:sz w:val="24"/>
          <w:szCs w:val="24"/>
          <w:rtl w:val="0"/>
        </w:rPr>
        <w:t xml:space="preserve">, despite being a shorter spell, contains many of the above features which define the </w:t>
      </w:r>
      <w:r w:rsidDel="00000000" w:rsidR="00000000" w:rsidRPr="00000000">
        <w:rPr>
          <w:rFonts w:ascii="Times New Roman" w:cs="Times New Roman" w:eastAsia="Times New Roman" w:hAnsi="Times New Roman"/>
          <w:i w:val="1"/>
          <w:iCs w:val="1"/>
          <w:sz w:val="24"/>
          <w:szCs w:val="24"/>
          <w:rtl w:val="0"/>
        </w:rPr>
        <w:t xml:space="preserve">GEMF</w:t>
      </w:r>
      <w:r w:rsidDel="00000000" w:rsidR="00000000" w:rsidRPr="00000000">
        <w:rPr>
          <w:rFonts w:ascii="Times New Roman" w:cs="Times New Roman" w:eastAsia="Times New Roman" w:hAnsi="Times New Roman"/>
          <w:sz w:val="24"/>
          <w:szCs w:val="24"/>
          <w:rtl w:val="0"/>
        </w:rPr>
        <w:t xml:space="preserve">. The spell asks the practitioner to prepare ‘Hermaic’ ink with a series of ingredients, write a string of </w:t>
      </w:r>
      <w:r w:rsidDel="00000000" w:rsidR="00000000" w:rsidRPr="00000000">
        <w:rPr>
          <w:rFonts w:ascii="Times New Roman" w:cs="Times New Roman" w:eastAsia="Times New Roman" w:hAnsi="Times New Roman"/>
          <w:i w:val="1"/>
          <w:iCs w:val="1"/>
          <w:sz w:val="24"/>
          <w:szCs w:val="24"/>
          <w:rtl w:val="0"/>
        </w:rPr>
        <w:t xml:space="preserve">voces magicae</w:t>
      </w:r>
      <w:r w:rsidDel="00000000" w:rsidR="00000000" w:rsidRPr="00000000">
        <w:rPr>
          <w:rFonts w:ascii="Times New Roman" w:cs="Times New Roman" w:eastAsia="Times New Roman" w:hAnsi="Times New Roman"/>
          <w:sz w:val="24"/>
          <w:szCs w:val="24"/>
          <w:rtl w:val="0"/>
        </w:rPr>
        <w:t xml:space="preserve"> with said ink, and wash them off. Then, during a period of fasting, the collected water should be drunk as the moon rises.</w:t>
      </w:r>
      <w:r w:rsidDel="00000000" w:rsidR="00000000" w:rsidRPr="00000000">
        <w:rPr>
          <w:rFonts w:ascii="Times New Roman" w:cs="Times New Roman" w:eastAsia="Times New Roman" w:hAnsi="Times New Roman"/>
          <w:sz w:val="24"/>
          <w:szCs w:val="24"/>
          <w:highlight w:val="white"/>
          <w:rtl w:val="0"/>
        </w:rPr>
        <w:br w:type="textWrapping"/>
        <w:tab/>
        <w:t xml:space="preserve">Mircea Eliade posited that any ritual collapses the temporal gap between the present and the original mythic event that the ritual suggests or refers to.</w:t>
      </w:r>
      <w:r w:rsidDel="00000000" w:rsidR="00000000" w:rsidRPr="00000000">
        <w:rPr>
          <w:rFonts w:ascii="Times New Roman" w:cs="Times New Roman" w:eastAsia="Times New Roman" w:hAnsi="Times New Roman"/>
          <w:sz w:val="24"/>
          <w:szCs w:val="24"/>
          <w:highlight w:val="white"/>
          <w:vertAlign w:val="superscript"/>
        </w:rPr>
        <w:footnoteReference w:customMarkFollows="0" w:id="4"/>
      </w:r>
      <w:r w:rsidDel="00000000" w:rsidR="00000000" w:rsidRPr="00000000">
        <w:rPr>
          <w:rFonts w:ascii="Times New Roman" w:cs="Times New Roman" w:eastAsia="Times New Roman" w:hAnsi="Times New Roman"/>
          <w:sz w:val="24"/>
          <w:szCs w:val="24"/>
          <w:highlight w:val="white"/>
          <w:rtl w:val="0"/>
        </w:rPr>
        <w:t xml:space="preserve"> This assertion becomes difficult to cleanly apply when scrutinizing any spell from the </w:t>
      </w:r>
      <w:r w:rsidDel="00000000" w:rsidR="00000000" w:rsidRPr="00000000">
        <w:rPr>
          <w:rFonts w:ascii="Times New Roman" w:cs="Times New Roman" w:eastAsia="Times New Roman" w:hAnsi="Times New Roman"/>
          <w:i w:val="1"/>
          <w:iCs w:val="1"/>
          <w:sz w:val="24"/>
          <w:szCs w:val="24"/>
          <w:highlight w:val="white"/>
          <w:rtl w:val="0"/>
        </w:rPr>
        <w:t xml:space="preserve">GEMF</w:t>
      </w:r>
      <w:r w:rsidDel="00000000" w:rsidR="00000000" w:rsidRPr="00000000">
        <w:rPr>
          <w:rFonts w:ascii="Times New Roman" w:cs="Times New Roman" w:eastAsia="Times New Roman" w:hAnsi="Times New Roman"/>
          <w:sz w:val="24"/>
          <w:szCs w:val="24"/>
          <w:highlight w:val="white"/>
          <w:rtl w:val="0"/>
        </w:rPr>
        <w:t xml:space="preserve">. One spell can, for instance, simultaneously invoke Ereshikgal, Persephone, Adonis, and Thot</w:t>
      </w:r>
      <w:r w:rsidDel="00000000" w:rsidR="00000000" w:rsidRPr="00000000">
        <w:rPr>
          <w:rFonts w:ascii="Times New Roman" w:cs="Times New Roman" w:eastAsia="Times New Roman" w:hAnsi="Times New Roman"/>
          <w:sz w:val="24"/>
          <w:szCs w:val="24"/>
          <w:rtl w:val="0"/>
        </w:rPr>
        <w:t xml:space="preserve">h</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while also outlining an incredibly elaborate procedure that muddies any attempt at discerning a singular ‘original’ myth.</w:t>
      </w:r>
      <w:r w:rsidDel="00000000" w:rsidR="00000000" w:rsidRPr="00000000">
        <w:rPr>
          <w:rFonts w:ascii="Times New Roman" w:cs="Times New Roman" w:eastAsia="Times New Roman" w:hAnsi="Times New Roman"/>
          <w:sz w:val="24"/>
          <w:szCs w:val="24"/>
          <w:highlight w:val="white"/>
          <w:vertAlign w:val="superscript"/>
        </w:rPr>
        <w:footnoteReference w:customMarkFollows="0" w:id="5"/>
      </w:r>
      <w:r w:rsidDel="00000000" w:rsidR="00000000" w:rsidRPr="00000000">
        <w:rPr>
          <w:rFonts w:ascii="Times New Roman" w:cs="Times New Roman" w:eastAsia="Times New Roman" w:hAnsi="Times New Roman"/>
          <w:sz w:val="24"/>
          <w:szCs w:val="24"/>
          <w:highlight w:val="white"/>
          <w:rtl w:val="0"/>
        </w:rPr>
        <w:t xml:space="preserve"> However, Eliade’s ‘mythic return’ can be modified here: it can be argued that many of the spells in </w:t>
      </w:r>
      <w:r w:rsidDel="00000000" w:rsidR="00000000" w:rsidRPr="00000000">
        <w:rPr>
          <w:rFonts w:ascii="Times New Roman" w:cs="Times New Roman" w:eastAsia="Times New Roman" w:hAnsi="Times New Roman"/>
          <w:i w:val="1"/>
          <w:iCs w:val="1"/>
          <w:sz w:val="24"/>
          <w:szCs w:val="24"/>
          <w:rtl w:val="0"/>
        </w:rPr>
        <w:t xml:space="preserve">GEMF</w:t>
      </w:r>
      <w:r w:rsidDel="00000000" w:rsidR="00000000" w:rsidRPr="00000000">
        <w:rPr>
          <w:rFonts w:ascii="Times New Roman" w:cs="Times New Roman" w:eastAsia="Times New Roman" w:hAnsi="Times New Roman"/>
          <w:sz w:val="24"/>
          <w:szCs w:val="24"/>
          <w:highlight w:val="white"/>
          <w:rtl w:val="0"/>
        </w:rPr>
        <w:t xml:space="preserve"> do not ‘return’ the practitioner to just one myth, but many. Many of the spells allow the practitioner to embody a range of narratives and/or attributes that, in sum, describe a singular deity. In the case of </w:t>
      </w:r>
      <w:r w:rsidDel="00000000" w:rsidR="00000000" w:rsidRPr="00000000">
        <w:rPr>
          <w:rFonts w:ascii="Times New Roman" w:cs="Times New Roman" w:eastAsia="Times New Roman" w:hAnsi="Times New Roman"/>
          <w:i w:val="1"/>
          <w:iCs w:val="1"/>
          <w:sz w:val="24"/>
          <w:szCs w:val="24"/>
          <w:rtl w:val="0"/>
        </w:rPr>
        <w:t xml:space="preserve">For memory</w:t>
      </w:r>
      <w:r w:rsidDel="00000000" w:rsidR="00000000" w:rsidRPr="00000000">
        <w:rPr>
          <w:rFonts w:ascii="Times New Roman" w:cs="Times New Roman" w:eastAsia="Times New Roman" w:hAnsi="Times New Roman"/>
          <w:sz w:val="24"/>
          <w:szCs w:val="24"/>
          <w:highlight w:val="white"/>
          <w:rtl w:val="0"/>
        </w:rPr>
        <w:t xml:space="preserve">, its various elements cumulatively ‘return’ the practitioner to the divine characteristics of Thoth, the Egyptian moon god, even if he is never explicitly invoked. The ingredients and actions requested in </w:t>
      </w:r>
      <w:r w:rsidDel="00000000" w:rsidR="00000000" w:rsidRPr="00000000">
        <w:rPr>
          <w:rFonts w:ascii="Times New Roman" w:cs="Times New Roman" w:eastAsia="Times New Roman" w:hAnsi="Times New Roman"/>
          <w:i w:val="1"/>
          <w:iCs w:val="1"/>
          <w:sz w:val="24"/>
          <w:szCs w:val="24"/>
          <w:rtl w:val="0"/>
        </w:rPr>
        <w:t xml:space="preserve">For memory</w:t>
      </w:r>
      <w:r w:rsidDel="00000000" w:rsidR="00000000" w:rsidRPr="00000000">
        <w:rPr>
          <w:rFonts w:ascii="Times New Roman" w:cs="Times New Roman" w:eastAsia="Times New Roman" w:hAnsi="Times New Roman"/>
          <w:sz w:val="24"/>
          <w:szCs w:val="24"/>
          <w:highlight w:val="white"/>
          <w:rtl w:val="0"/>
        </w:rPr>
        <w:t xml:space="preserve"> might seem arbitrary, but, through this ‘Eliadan’ mode of analysis, said elements are revealed to be logical instead of haphazard. </w:t>
        <w:br w:type="textWrapping"/>
      </w:r>
    </w:p>
    <w:p w:rsidR="00000000" w:rsidDel="00000000" w:rsidP="00000000" w:rsidRDefault="00000000" w:rsidRPr="00000000" w14:paraId="0000002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Text: </w:t>
      </w:r>
    </w:p>
    <w:p w:rsidR="00000000" w:rsidDel="00000000" w:rsidP="00000000" w:rsidRDefault="00000000" w:rsidRPr="00000000" w14:paraId="0000002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br w:type="textWrapping"/>
        <w:t xml:space="preserve">1</w:t>
        <w:tab/>
        <w:tab/>
        <w:tab/>
        <w:tab/>
        <w:tab/>
        <w:tab/>
      </w:r>
      <w:r w:rsidDel="00000000" w:rsidR="00000000" w:rsidRPr="00000000">
        <w:rPr>
          <w:rFonts w:ascii="Times New Roman" w:cs="Times New Roman" w:eastAsia="Times New Roman" w:hAnsi="Times New Roman"/>
          <w:sz w:val="24"/>
          <w:szCs w:val="24"/>
          <w:rtl w:val="0"/>
        </w:rPr>
        <w:t xml:space="preserve">µνηµονική</w:t>
      </w:r>
    </w:p>
    <w:p w:rsidR="00000000" w:rsidDel="00000000" w:rsidP="00000000" w:rsidRDefault="00000000" w:rsidRPr="00000000" w14:paraId="0000002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p w:rsidR="00000000" w:rsidDel="00000000" w:rsidP="00000000" w:rsidRDefault="00000000" w:rsidRPr="00000000" w14:paraId="0000002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tab/>
        <w:t xml:space="preserve">λαβὼν χάρτην ιερατικὸν γράψον τὰ προκείµενα </w:t>
      </w:r>
      <w:r w:rsidDel="00000000" w:rsidR="00000000" w:rsidRPr="00000000">
        <w:rPr>
          <w:rFonts w:ascii="Times New Roman" w:cs="Times New Roman" w:eastAsia="Times New Roman" w:hAnsi="Times New Roman"/>
          <w:sz w:val="24"/>
          <w:szCs w:val="24"/>
        </w:rPr>
        <w:drawing>
          <wp:inline distB="114300" distT="114300" distL="114300" distR="114300">
            <wp:extent cx="238280" cy="221847"/>
            <wp:effectExtent b="0" l="0" r="0" t="0"/>
            <wp:docPr id="4"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238280" cy="221847"/>
                    </a:xfrm>
                    <a:prstGeom prst="rect"/>
                    <a:ln/>
                  </pic:spPr>
                </pic:pic>
              </a:graphicData>
            </a:graphic>
          </wp:inline>
        </w:drawing>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Pr>
        <w:drawing>
          <wp:inline distB="114300" distT="114300" distL="114300" distR="114300">
            <wp:extent cx="202797" cy="202797"/>
            <wp:effectExtent b="0" l="0" r="0" t="0"/>
            <wp:docPr id="3"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202797" cy="202797"/>
                    </a:xfrm>
                    <a:prstGeom prst="rect"/>
                    <a:ln/>
                  </pic:spPr>
                </pic:pic>
              </a:graphicData>
            </a:graphic>
          </wp:inline>
        </w:drawing>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μ</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Fonts w:ascii="Times New Roman" w:cs="Times New Roman" w:eastAsia="Times New Roman" w:hAnsi="Times New Roman"/>
          <w:sz w:val="24"/>
          <w:szCs w:val="24"/>
          <w:rtl w:val="0"/>
        </w:rPr>
        <w:t xml:space="preserve"> Ἑρ–</w:t>
      </w:r>
    </w:p>
    <w:p w:rsidR="00000000" w:rsidDel="00000000" w:rsidP="00000000" w:rsidRDefault="00000000" w:rsidRPr="00000000" w14:paraId="0000002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tab/>
        <w:t xml:space="preserve">µαϊκῷ</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Fonts w:ascii="Times New Roman" w:cs="Times New Roman" w:eastAsia="Times New Roman" w:hAnsi="Times New Roman"/>
          <w:sz w:val="24"/>
          <w:szCs w:val="24"/>
          <w:rtl w:val="0"/>
        </w:rPr>
        <w:t xml:space="preserve"> καὶ γράψαϲ ὡϲ πρόκειται ἀπόκλυϲων εἰ</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ὕδωρ πηγαῖ–</w:t>
      </w:r>
    </w:p>
    <w:p w:rsidR="00000000" w:rsidDel="00000000" w:rsidP="00000000" w:rsidRDefault="00000000" w:rsidRPr="00000000" w14:paraId="0000002B">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tab/>
        <w:t xml:space="preserve">ον ἀπὸ ζ̅</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Fonts w:ascii="Times New Roman" w:cs="Times New Roman" w:eastAsia="Times New Roman" w:hAnsi="Times New Roman"/>
          <w:sz w:val="24"/>
          <w:szCs w:val="24"/>
          <w:rtl w:val="0"/>
        </w:rPr>
        <w:t xml:space="preserve"> πηγῶν καὶ πίε αὐτώ</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Fonts w:ascii="Times New Roman" w:cs="Times New Roman" w:eastAsia="Times New Roman" w:hAnsi="Times New Roman"/>
          <w:sz w:val="24"/>
          <w:szCs w:val="24"/>
          <w:rtl w:val="0"/>
        </w:rPr>
        <w:t xml:space="preserve"> ἐπὶ ἡµέραϲ</w:t>
      </w:r>
      <w:r w:rsidDel="00000000" w:rsidR="00000000" w:rsidRPr="00000000">
        <w:rPr>
          <w:rFonts w:ascii="Times New Roman" w:cs="Times New Roman" w:eastAsia="Times New Roman" w:hAnsi="Times New Roman"/>
          <w:sz w:val="24"/>
          <w:szCs w:val="24"/>
          <w:vertAlign w:val="superscript"/>
        </w:rPr>
        <w:footnoteReference w:customMarkFollows="0" w:id="13"/>
      </w:r>
      <w:r w:rsidDel="00000000" w:rsidR="00000000" w:rsidRPr="00000000">
        <w:rPr>
          <w:rFonts w:ascii="Times New Roman" w:cs="Times New Roman" w:eastAsia="Times New Roman" w:hAnsi="Times New Roman"/>
          <w:sz w:val="24"/>
          <w:szCs w:val="24"/>
          <w:rtl w:val="0"/>
        </w:rPr>
        <w:t xml:space="preserve"> ζ̅ νήϲτηϲ ἐξ ἀ–</w:t>
      </w:r>
    </w:p>
    <w:p w:rsidR="00000000" w:rsidDel="00000000" w:rsidP="00000000" w:rsidRDefault="00000000" w:rsidRPr="00000000" w14:paraId="0000002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tab/>
        <w:t xml:space="preserve">νατολῆϲ οὔϲηϲ τῆϲ </w:t>
      </w:r>
      <w:r w:rsidDel="00000000" w:rsidR="00000000" w:rsidRPr="00000000">
        <w:rPr>
          <w:rFonts w:ascii="Times New Roman" w:cs="Times New Roman" w:eastAsia="Times New Roman" w:hAnsi="Times New Roman"/>
          <w:sz w:val="24"/>
          <w:szCs w:val="24"/>
        </w:rPr>
        <w:drawing>
          <wp:inline distB="114300" distT="114300" distL="114300" distR="114300">
            <wp:extent cx="190500" cy="190500"/>
            <wp:effectExtent b="0" l="0" r="0" t="0"/>
            <wp:docPr id="1" name="image3.jpg"/>
            <a:graphic>
              <a:graphicData uri="http://schemas.openxmlformats.org/drawingml/2006/picture">
                <pic:pic>
                  <pic:nvPicPr>
                    <pic:cNvPr id="0" name="image3.jpg"/>
                    <pic:cNvPicPr preferRelativeResize="0"/>
                  </pic:nvPicPr>
                  <pic:blipFill>
                    <a:blip r:embed="rId11"/>
                    <a:srcRect b="10674" l="29831" r="0" t="13500"/>
                    <a:stretch>
                      <a:fillRect/>
                    </a:stretch>
                  </pic:blipFill>
                  <pic:spPr>
                    <a:xfrm>
                      <a:off x="0" y="0"/>
                      <a:ext cx="190500" cy="19050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14"/>
      </w:r>
      <w:r w:rsidDel="00000000" w:rsidR="00000000" w:rsidRPr="00000000">
        <w:rPr>
          <w:rFonts w:ascii="Times New Roman" w:cs="Times New Roman" w:eastAsia="Times New Roman" w:hAnsi="Times New Roman"/>
          <w:sz w:val="24"/>
          <w:szCs w:val="24"/>
          <w:rtl w:val="0"/>
        </w:rPr>
        <w:t xml:space="preserve"> πῖνε δὲ τὸ ἀρκοῦν. ἔϲτιν δὲ τὰ γρα–</w:t>
      </w:r>
    </w:p>
    <w:p w:rsidR="00000000" w:rsidDel="00000000" w:rsidP="00000000" w:rsidRDefault="00000000" w:rsidRPr="00000000" w14:paraId="0000002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tab/>
        <w:t xml:space="preserve">φόµενα εἰϲ τὸ πιττάκιον· </w:t>
      </w:r>
      <w:r w:rsidDel="00000000" w:rsidR="00000000" w:rsidRPr="00000000">
        <w:rPr>
          <w:rFonts w:ascii="Times New Roman" w:cs="Times New Roman" w:eastAsia="Times New Roman" w:hAnsi="Times New Roman"/>
          <w:sz w:val="24"/>
          <w:szCs w:val="24"/>
          <w:rtl w:val="0"/>
        </w:rPr>
        <w:t xml:space="preserve">καµβη </w:t>
      </w:r>
      <w:r w:rsidDel="00000000" w:rsidR="00000000" w:rsidRPr="00000000">
        <w:rPr>
          <w:rFonts w:ascii="Times New Roman" w:cs="Times New Roman" w:eastAsia="Times New Roman" w:hAnsi="Times New Roman"/>
          <w:sz w:val="24"/>
          <w:szCs w:val="24"/>
          <w:rtl w:val="0"/>
        </w:rPr>
        <w:t xml:space="preserve">χαµβρηϲιξιωφιαρπον </w:t>
      </w:r>
    </w:p>
    <w:p w:rsidR="00000000" w:rsidDel="00000000" w:rsidP="00000000" w:rsidRDefault="00000000" w:rsidRPr="00000000" w14:paraId="0000002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tab/>
        <w:t xml:space="preserve">χνουφι βριντατηνωφριβριϲκυλµααρουαζαρβαµεϲεν</w:t>
      </w:r>
    </w:p>
    <w:p w:rsidR="00000000" w:rsidDel="00000000" w:rsidP="00000000" w:rsidRDefault="00000000" w:rsidRPr="00000000" w14:paraId="0000002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tab/>
        <w:t xml:space="preserve">κριφι νιπτουµι χµουµαωφακτιω φι αρτωϲιβιβιου </w:t>
      </w:r>
    </w:p>
    <w:p w:rsidR="00000000" w:rsidDel="00000000" w:rsidP="00000000" w:rsidRDefault="00000000" w:rsidRPr="00000000" w14:paraId="0000003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tab/>
        <w:t xml:space="preserve">βιβιου ϲφηϲφηνουϲι νουϲι ϲιεγω ϲιεγω νουχανουχα</w:t>
      </w:r>
    </w:p>
    <w:p w:rsidR="00000000" w:rsidDel="00000000" w:rsidP="00000000" w:rsidRDefault="00000000" w:rsidRPr="00000000" w14:paraId="00000031">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tab/>
        <w:t xml:space="preserve">λινουχαλινουχαχυχβαχυχβακαξιωχυχ βαδητοφωθ </w:t>
      </w:r>
    </w:p>
    <w:p w:rsidR="00000000" w:rsidDel="00000000" w:rsidP="00000000" w:rsidRDefault="00000000" w:rsidRPr="00000000" w14:paraId="0000003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tab/>
        <w:t xml:space="preserve">ιιααοουυηηεεωω. ταῦτα ποιήϲαϲ ἀπόκλυϲον καὶ </w:t>
      </w:r>
    </w:p>
    <w:p w:rsidR="00000000" w:rsidDel="00000000" w:rsidP="00000000" w:rsidRDefault="00000000" w:rsidRPr="00000000" w14:paraId="0000003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tab/>
        <w:t xml:space="preserve">πίε ὡϲ πρόκειται. ἔϲτιν δὲ ϗ</w:t>
      </w:r>
      <w:r w:rsidDel="00000000" w:rsidR="00000000" w:rsidRPr="00000000">
        <w:rPr>
          <w:rFonts w:ascii="Times New Roman" w:cs="Times New Roman" w:eastAsia="Times New Roman" w:hAnsi="Times New Roman"/>
          <w:sz w:val="24"/>
          <w:szCs w:val="24"/>
          <w:vertAlign w:val="superscript"/>
        </w:rPr>
        <w:footnoteReference w:customMarkFollows="0" w:id="15"/>
      </w:r>
      <w:r w:rsidDel="00000000" w:rsidR="00000000" w:rsidRPr="00000000">
        <w:rPr>
          <w:rFonts w:ascii="Times New Roman" w:cs="Times New Roman" w:eastAsia="Times New Roman" w:hAnsi="Times New Roman"/>
          <w:sz w:val="24"/>
          <w:szCs w:val="24"/>
          <w:rtl w:val="0"/>
        </w:rPr>
        <w:t xml:space="preserve"> τοῦ µελανίου ἡ ϲκευή·</w:t>
      </w:r>
      <w:r w:rsidDel="00000000" w:rsidR="00000000" w:rsidRPr="00000000">
        <w:rPr>
          <w:rFonts w:ascii="Times New Roman" w:cs="Times New Roman" w:eastAsia="Times New Roman" w:hAnsi="Times New Roman"/>
          <w:sz w:val="24"/>
          <w:szCs w:val="24"/>
          <w:vertAlign w:val="superscript"/>
        </w:rPr>
        <w:footnoteReference w:customMarkFollows="0" w:id="16"/>
      </w:r>
      <w:r w:rsidDel="00000000" w:rsidR="00000000" w:rsidRPr="00000000">
        <w:rPr>
          <w:rFonts w:ascii="Times New Roman" w:cs="Times New Roman" w:eastAsia="Times New Roman" w:hAnsi="Times New Roman"/>
          <w:sz w:val="24"/>
          <w:szCs w:val="24"/>
          <w:rtl w:val="0"/>
        </w:rPr>
        <w:t xml:space="preserve"> τρωγλῖ–</w:t>
      </w:r>
    </w:p>
    <w:p w:rsidR="00000000" w:rsidDel="00000000" w:rsidP="00000000" w:rsidRDefault="00000000" w:rsidRPr="00000000" w14:paraId="0000003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tab/>
        <w:t xml:space="preserve">τιϲ  S</w:t>
      </w:r>
      <w:r w:rsidDel="00000000" w:rsidR="00000000" w:rsidRPr="00000000">
        <w:rPr>
          <w:rFonts w:ascii="Times New Roman" w:cs="Times New Roman" w:eastAsia="Times New Roman" w:hAnsi="Times New Roman"/>
          <w:sz w:val="24"/>
          <w:szCs w:val="24"/>
          <w:vertAlign w:val="superscript"/>
        </w:rPr>
        <w:footnoteReference w:customMarkFollows="0" w:id="17"/>
      </w:r>
      <w:r w:rsidDel="00000000" w:rsidR="00000000" w:rsidRPr="00000000">
        <w:rPr>
          <w:rFonts w:ascii="Times New Roman" w:cs="Times New Roman" w:eastAsia="Times New Roman" w:hAnsi="Times New Roman"/>
          <w:sz w:val="24"/>
          <w:szCs w:val="24"/>
          <w:rtl w:val="0"/>
        </w:rPr>
        <w:t xml:space="preserve"> δ̅, ιϲχάδαϲ καρικὰϲ γ̅, φοινίκων Νικολάων ὀϲτέα ζ̅, </w:t>
      </w:r>
    </w:p>
    <w:p w:rsidR="00000000" w:rsidDel="00000000" w:rsidP="00000000" w:rsidRDefault="00000000" w:rsidRPr="00000000" w14:paraId="0000003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w:t>
        <w:tab/>
        <w:t xml:space="preserve">ϲτροβίλια ἄβραχα ζ̅, ἀρτεµιϲίαϲ µονοκλώνου καρδίαϲ ζ̅,   </w:t>
      </w:r>
    </w:p>
    <w:p w:rsidR="00000000" w:rsidDel="00000000" w:rsidP="00000000" w:rsidRDefault="00000000" w:rsidRPr="00000000" w14:paraId="0000003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w:t>
        <w:tab/>
        <w:t xml:space="preserve">ιβεωϲ</w:t>
      </w:r>
      <w:r w:rsidDel="00000000" w:rsidR="00000000" w:rsidRPr="00000000">
        <w:rPr>
          <w:rFonts w:ascii="Times New Roman" w:cs="Times New Roman" w:eastAsia="Times New Roman" w:hAnsi="Times New Roman"/>
          <w:sz w:val="24"/>
          <w:szCs w:val="24"/>
          <w:vertAlign w:val="superscript"/>
        </w:rPr>
        <w:footnoteReference w:customMarkFollows="0" w:id="18"/>
      </w:r>
      <w:r w:rsidDel="00000000" w:rsidR="00000000" w:rsidRPr="00000000">
        <w:rPr>
          <w:rFonts w:ascii="Times New Roman" w:cs="Times New Roman" w:eastAsia="Times New Roman" w:hAnsi="Times New Roman"/>
          <w:sz w:val="24"/>
          <w:szCs w:val="24"/>
          <w:rtl w:val="0"/>
        </w:rPr>
        <w:t xml:space="preserve"> Ἑρµαϊκῆϲ πτερὰ ζ̅, ὕδωρ πηγαῖον. ταῦτα καύϲαϲ ποί–</w:t>
      </w:r>
    </w:p>
    <w:p w:rsidR="00000000" w:rsidDel="00000000" w:rsidP="00000000" w:rsidRDefault="00000000" w:rsidRPr="00000000" w14:paraId="0000003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w:t>
        <w:tab/>
        <w:t xml:space="preserve">ει καὶ γράφε.</w:t>
      </w:r>
    </w:p>
    <w:p w:rsidR="00000000" w:rsidDel="00000000" w:rsidP="00000000" w:rsidRDefault="00000000" w:rsidRPr="00000000" w14:paraId="00000038">
      <w:pPr>
        <w:spacing w:line="24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Translation:</w:t>
      </w:r>
    </w:p>
    <w:p w:rsidR="00000000" w:rsidDel="00000000" w:rsidP="00000000" w:rsidRDefault="00000000" w:rsidRPr="00000000" w14:paraId="0000003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tab/>
        <w:tab/>
        <w:tab/>
        <w:tab/>
        <w:tab/>
        <w:t xml:space="preserve">For memory</w:t>
      </w:r>
    </w:p>
    <w:p w:rsidR="00000000" w:rsidDel="00000000" w:rsidP="00000000" w:rsidRDefault="00000000" w:rsidRPr="00000000" w14:paraId="0000003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p w:rsidR="00000000" w:rsidDel="00000000" w:rsidP="00000000" w:rsidRDefault="00000000" w:rsidRPr="00000000" w14:paraId="0000003B">
      <w:pPr>
        <w:spacing w:line="24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3</w:t>
        <w:tab/>
      </w:r>
      <w:r w:rsidDel="00000000" w:rsidR="00000000" w:rsidRPr="00000000">
        <w:rPr>
          <w:rFonts w:ascii="Times New Roman" w:cs="Times New Roman" w:eastAsia="Times New Roman" w:hAnsi="Times New Roman"/>
          <w:sz w:val="24"/>
          <w:szCs w:val="24"/>
          <w:highlight w:val="white"/>
          <w:rtl w:val="0"/>
        </w:rPr>
        <w:t xml:space="preserve">Taking a Hieratic papyrus, write the prescribed [names] with Hermaic myrrh ink,</w:t>
      </w:r>
    </w:p>
    <w:p w:rsidR="00000000" w:rsidDel="00000000" w:rsidP="00000000" w:rsidRDefault="00000000" w:rsidRPr="00000000" w14:paraId="0000003C">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w:t>
        <w:tab/>
        <w:t xml:space="preserve">and, having written them as prescribed, wash them away into fresh water </w:t>
      </w:r>
    </w:p>
    <w:p w:rsidR="00000000" w:rsidDel="00000000" w:rsidP="00000000" w:rsidRDefault="00000000" w:rsidRPr="00000000" w14:paraId="0000003D">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w:t>
        <w:tab/>
        <w:t xml:space="preserve">from seven springs, and drink the water for 7 days of fasting </w:t>
      </w:r>
    </w:p>
    <w:p w:rsidR="00000000" w:rsidDel="00000000" w:rsidP="00000000" w:rsidRDefault="00000000" w:rsidRPr="00000000" w14:paraId="0000003E">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w:t>
        <w:tab/>
        <w:t xml:space="preserve">while the moon waxes.</w:t>
      </w:r>
      <w:r w:rsidDel="00000000" w:rsidR="00000000" w:rsidRPr="00000000">
        <w:rPr>
          <w:rFonts w:ascii="Times New Roman" w:cs="Times New Roman" w:eastAsia="Times New Roman" w:hAnsi="Times New Roman"/>
          <w:sz w:val="24"/>
          <w:szCs w:val="24"/>
          <w:highlight w:val="white"/>
          <w:vertAlign w:val="superscript"/>
        </w:rPr>
        <w:footnoteReference w:customMarkFollows="0" w:id="19"/>
      </w:r>
      <w:r w:rsidDel="00000000" w:rsidR="00000000" w:rsidRPr="00000000">
        <w:rPr>
          <w:rFonts w:ascii="Times New Roman" w:cs="Times New Roman" w:eastAsia="Times New Roman" w:hAnsi="Times New Roman"/>
          <w:sz w:val="24"/>
          <w:szCs w:val="24"/>
          <w:highlight w:val="white"/>
          <w:rtl w:val="0"/>
        </w:rPr>
        <w:t xml:space="preserve"> And drink a sufficient amount. This is what is written </w:t>
      </w:r>
    </w:p>
    <w:p w:rsidR="00000000" w:rsidDel="00000000" w:rsidP="00000000" w:rsidRDefault="00000000" w:rsidRPr="00000000" w14:paraId="0000003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7</w:t>
        <w:tab/>
        <w:t xml:space="preserve">on the paper: </w:t>
      </w:r>
      <w:r w:rsidDel="00000000" w:rsidR="00000000" w:rsidRPr="00000000">
        <w:rPr>
          <w:rFonts w:ascii="Times New Roman" w:cs="Times New Roman" w:eastAsia="Times New Roman" w:hAnsi="Times New Roman"/>
          <w:sz w:val="24"/>
          <w:szCs w:val="24"/>
          <w:rtl w:val="0"/>
        </w:rPr>
        <w:t xml:space="preserve">Kamb</w:t>
      </w:r>
      <w:r w:rsidDel="00000000" w:rsidR="00000000" w:rsidRPr="00000000">
        <w:rPr>
          <w:rFonts w:ascii="Times New Roman" w:cs="Times New Roman" w:eastAsia="Times New Roman" w:hAnsi="Times New Roman"/>
          <w:sz w:val="24"/>
          <w:szCs w:val="24"/>
          <w:rtl w:val="0"/>
        </w:rPr>
        <w:t xml:space="preserve">ē</w:t>
      </w:r>
      <w:r w:rsidDel="00000000" w:rsidR="00000000" w:rsidRPr="00000000">
        <w:rPr>
          <w:rFonts w:ascii="Times New Roman" w:cs="Times New Roman" w:eastAsia="Times New Roman" w:hAnsi="Times New Roman"/>
          <w:sz w:val="24"/>
          <w:szCs w:val="24"/>
          <w:vertAlign w:val="superscript"/>
        </w:rPr>
        <w:footnoteReference w:customMarkFollows="0" w:id="20"/>
      </w:r>
      <w:r w:rsidDel="00000000" w:rsidR="00000000" w:rsidRPr="00000000">
        <w:rPr>
          <w:rFonts w:ascii="Times New Roman" w:cs="Times New Roman" w:eastAsia="Times New Roman" w:hAnsi="Times New Roman"/>
          <w:sz w:val="24"/>
          <w:szCs w:val="24"/>
          <w:rtl w:val="0"/>
        </w:rPr>
        <w:t xml:space="preserve">chambr</w:t>
      </w:r>
      <w:r w:rsidDel="00000000" w:rsidR="00000000" w:rsidRPr="00000000">
        <w:rPr>
          <w:rFonts w:ascii="Times New Roman" w:cs="Times New Roman" w:eastAsia="Times New Roman" w:hAnsi="Times New Roman"/>
          <w:sz w:val="24"/>
          <w:szCs w:val="24"/>
          <w:highlight w:val="white"/>
          <w:rtl w:val="0"/>
        </w:rPr>
        <w:t xml:space="preserve">ē</w:t>
      </w:r>
      <w:r w:rsidDel="00000000" w:rsidR="00000000" w:rsidRPr="00000000">
        <w:rPr>
          <w:rFonts w:ascii="Times New Roman" w:cs="Times New Roman" w:eastAsia="Times New Roman" w:hAnsi="Times New Roman"/>
          <w:sz w:val="24"/>
          <w:szCs w:val="24"/>
          <w:rtl w:val="0"/>
        </w:rPr>
        <w:t xml:space="preserve">sixi</w:t>
      </w:r>
      <w:r w:rsidDel="00000000" w:rsidR="00000000" w:rsidRPr="00000000">
        <w:rPr>
          <w:rFonts w:ascii="Times New Roman" w:cs="Times New Roman" w:eastAsia="Times New Roman" w:hAnsi="Times New Roman"/>
          <w:sz w:val="24"/>
          <w:szCs w:val="24"/>
          <w:highlight w:val="white"/>
          <w:rtl w:val="0"/>
        </w:rPr>
        <w:t xml:space="preserve">ō</w:t>
      </w:r>
      <w:r w:rsidDel="00000000" w:rsidR="00000000" w:rsidRPr="00000000">
        <w:rPr>
          <w:rFonts w:ascii="Times New Roman" w:cs="Times New Roman" w:eastAsia="Times New Roman" w:hAnsi="Times New Roman"/>
          <w:sz w:val="24"/>
          <w:szCs w:val="24"/>
          <w:rtl w:val="0"/>
        </w:rPr>
        <w:t xml:space="preserve">phiarpon</w:t>
        <w:br w:type="textWrapping"/>
        <w:t xml:space="preserve">8</w:t>
        <w:tab/>
      </w:r>
      <w:r w:rsidDel="00000000" w:rsidR="00000000" w:rsidRPr="00000000">
        <w:rPr>
          <w:rFonts w:ascii="Times New Roman" w:cs="Times New Roman" w:eastAsia="Times New Roman" w:hAnsi="Times New Roman"/>
          <w:sz w:val="24"/>
          <w:szCs w:val="24"/>
          <w:rtl w:val="0"/>
        </w:rPr>
        <w:t xml:space="preserve">Chnouphi</w:t>
      </w:r>
      <w:r w:rsidDel="00000000" w:rsidR="00000000" w:rsidRPr="00000000">
        <w:rPr>
          <w:rFonts w:ascii="Times New Roman" w:cs="Times New Roman" w:eastAsia="Times New Roman" w:hAnsi="Times New Roman"/>
          <w:sz w:val="24"/>
          <w:szCs w:val="24"/>
          <w:rtl w:val="0"/>
        </w:rPr>
        <w:t xml:space="preserve"> Brintat</w:t>
      </w:r>
      <w:r w:rsidDel="00000000" w:rsidR="00000000" w:rsidRPr="00000000">
        <w:rPr>
          <w:rFonts w:ascii="Times New Roman" w:cs="Times New Roman" w:eastAsia="Times New Roman" w:hAnsi="Times New Roman"/>
          <w:sz w:val="24"/>
          <w:szCs w:val="24"/>
          <w:highlight w:val="white"/>
          <w:rtl w:val="0"/>
        </w:rPr>
        <w:t xml:space="preserve">ēnōphri</w:t>
      </w:r>
      <w:r w:rsidDel="00000000" w:rsidR="00000000" w:rsidRPr="00000000">
        <w:rPr>
          <w:rFonts w:ascii="Times New Roman" w:cs="Times New Roman" w:eastAsia="Times New Roman" w:hAnsi="Times New Roman"/>
          <w:sz w:val="24"/>
          <w:szCs w:val="24"/>
          <w:rtl w:val="0"/>
        </w:rPr>
        <w:t xml:space="preserve">briskulmaarouazarbamesen</w:t>
      </w:r>
      <w:r w:rsidDel="00000000" w:rsidR="00000000" w:rsidRPr="00000000">
        <w:rPr>
          <w:rFonts w:ascii="Times New Roman" w:cs="Times New Roman" w:eastAsia="Times New Roman" w:hAnsi="Times New Roman"/>
          <w:sz w:val="24"/>
          <w:szCs w:val="24"/>
          <w:vertAlign w:val="superscript"/>
        </w:rPr>
        <w:footnoteReference w:customMarkFollows="0" w:id="21"/>
      </w:r>
      <w:r w:rsidDel="00000000" w:rsidR="00000000" w:rsidRPr="00000000">
        <w:rPr>
          <w:rtl w:val="0"/>
        </w:rPr>
      </w:r>
    </w:p>
    <w:p w:rsidR="00000000" w:rsidDel="00000000" w:rsidP="00000000" w:rsidRDefault="00000000" w:rsidRPr="00000000" w14:paraId="0000004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tab/>
        <w:t xml:space="preserve">Kriphi Niptoumichmouma</w:t>
      </w:r>
      <w:r w:rsidDel="00000000" w:rsidR="00000000" w:rsidRPr="00000000">
        <w:rPr>
          <w:rFonts w:ascii="Times New Roman" w:cs="Times New Roman" w:eastAsia="Times New Roman" w:hAnsi="Times New Roman"/>
          <w:sz w:val="24"/>
          <w:szCs w:val="24"/>
          <w:highlight w:val="white"/>
          <w:rtl w:val="0"/>
        </w:rPr>
        <w:t xml:space="preserve">ōphaktiō</w:t>
      </w:r>
      <w:r w:rsidDel="00000000" w:rsidR="00000000" w:rsidRPr="00000000">
        <w:rPr>
          <w:rFonts w:ascii="Times New Roman" w:cs="Times New Roman" w:eastAsia="Times New Roman" w:hAnsi="Times New Roman"/>
          <w:sz w:val="24"/>
          <w:szCs w:val="24"/>
          <w:rtl w:val="0"/>
        </w:rPr>
        <w:t xml:space="preserve"> Phi Art</w:t>
      </w:r>
      <w:r w:rsidDel="00000000" w:rsidR="00000000" w:rsidRPr="00000000">
        <w:rPr>
          <w:rFonts w:ascii="Times New Roman" w:cs="Times New Roman" w:eastAsia="Times New Roman" w:hAnsi="Times New Roman"/>
          <w:sz w:val="24"/>
          <w:szCs w:val="24"/>
          <w:highlight w:val="white"/>
          <w:rtl w:val="0"/>
        </w:rPr>
        <w:t xml:space="preserve">ōsibibiou</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1">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tab/>
        <w:t xml:space="preserve">Bibiou Sph</w:t>
      </w:r>
      <w:r w:rsidDel="00000000" w:rsidR="00000000" w:rsidRPr="00000000">
        <w:rPr>
          <w:rFonts w:ascii="Times New Roman" w:cs="Times New Roman" w:eastAsia="Times New Roman" w:hAnsi="Times New Roman"/>
          <w:sz w:val="24"/>
          <w:szCs w:val="24"/>
          <w:highlight w:val="white"/>
          <w:rtl w:val="0"/>
        </w:rPr>
        <w:t xml:space="preserve">ēsphēnousi</w:t>
      </w:r>
      <w:r w:rsidDel="00000000" w:rsidR="00000000" w:rsidRPr="00000000">
        <w:rPr>
          <w:rFonts w:ascii="Times New Roman" w:cs="Times New Roman" w:eastAsia="Times New Roman" w:hAnsi="Times New Roman"/>
          <w:sz w:val="24"/>
          <w:szCs w:val="24"/>
          <w:rtl w:val="0"/>
        </w:rPr>
        <w:t xml:space="preserve"> Nousi Sieg</w:t>
      </w:r>
      <w:r w:rsidDel="00000000" w:rsidR="00000000" w:rsidRPr="00000000">
        <w:rPr>
          <w:rFonts w:ascii="Times New Roman" w:cs="Times New Roman" w:eastAsia="Times New Roman" w:hAnsi="Times New Roman"/>
          <w:sz w:val="24"/>
          <w:szCs w:val="24"/>
          <w:highlight w:val="white"/>
          <w:rtl w:val="0"/>
        </w:rPr>
        <w:t xml:space="preserve">ō</w:t>
      </w:r>
      <w:r w:rsidDel="00000000" w:rsidR="00000000" w:rsidRPr="00000000">
        <w:rPr>
          <w:rFonts w:ascii="Times New Roman" w:cs="Times New Roman" w:eastAsia="Times New Roman" w:hAnsi="Times New Roman"/>
          <w:sz w:val="24"/>
          <w:szCs w:val="24"/>
          <w:rtl w:val="0"/>
        </w:rPr>
        <w:t xml:space="preserve"> Sieg</w:t>
      </w:r>
      <w:r w:rsidDel="00000000" w:rsidR="00000000" w:rsidRPr="00000000">
        <w:rPr>
          <w:rFonts w:ascii="Times New Roman" w:cs="Times New Roman" w:eastAsia="Times New Roman" w:hAnsi="Times New Roman"/>
          <w:sz w:val="24"/>
          <w:szCs w:val="24"/>
          <w:highlight w:val="white"/>
          <w:rtl w:val="0"/>
        </w:rPr>
        <w:t xml:space="preserve">ō</w:t>
      </w:r>
      <w:r w:rsidDel="00000000" w:rsidR="00000000" w:rsidRPr="00000000">
        <w:rPr>
          <w:rFonts w:ascii="Times New Roman" w:cs="Times New Roman" w:eastAsia="Times New Roman" w:hAnsi="Times New Roman"/>
          <w:sz w:val="24"/>
          <w:szCs w:val="24"/>
          <w:rtl w:val="0"/>
        </w:rPr>
        <w:t xml:space="preserve"> Nouchanoucha</w:t>
      </w:r>
    </w:p>
    <w:p w:rsidR="00000000" w:rsidDel="00000000" w:rsidP="00000000" w:rsidRDefault="00000000" w:rsidRPr="00000000" w14:paraId="0000004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tab/>
        <w:t xml:space="preserve">Linouchalinouchachuchbachuchbakaxi</w:t>
      </w:r>
      <w:r w:rsidDel="00000000" w:rsidR="00000000" w:rsidRPr="00000000">
        <w:rPr>
          <w:rFonts w:ascii="Times New Roman" w:cs="Times New Roman" w:eastAsia="Times New Roman" w:hAnsi="Times New Roman"/>
          <w:sz w:val="24"/>
          <w:szCs w:val="24"/>
          <w:highlight w:val="white"/>
          <w:rtl w:val="0"/>
        </w:rPr>
        <w:t xml:space="preserve">ō</w:t>
      </w:r>
      <w:r w:rsidDel="00000000" w:rsidR="00000000" w:rsidRPr="00000000">
        <w:rPr>
          <w:rFonts w:ascii="Times New Roman" w:cs="Times New Roman" w:eastAsia="Times New Roman" w:hAnsi="Times New Roman"/>
          <w:sz w:val="24"/>
          <w:szCs w:val="24"/>
          <w:rtl w:val="0"/>
        </w:rPr>
        <w:t xml:space="preserve">chuchbad</w:t>
      </w:r>
      <w:r w:rsidDel="00000000" w:rsidR="00000000" w:rsidRPr="00000000">
        <w:rPr>
          <w:rFonts w:ascii="Times New Roman" w:cs="Times New Roman" w:eastAsia="Times New Roman" w:hAnsi="Times New Roman"/>
          <w:sz w:val="24"/>
          <w:szCs w:val="24"/>
          <w:highlight w:val="white"/>
          <w:rtl w:val="0"/>
        </w:rPr>
        <w:t xml:space="preserve">ētophōth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vertAlign w:val="superscript"/>
        </w:rPr>
        <w:footnoteReference w:customMarkFollows="0" w:id="22"/>
      </w:r>
      <w:r w:rsidDel="00000000" w:rsidR="00000000" w:rsidRPr="00000000">
        <w:rPr>
          <w:rtl w:val="0"/>
        </w:rPr>
      </w:r>
    </w:p>
    <w:p w:rsidR="00000000" w:rsidDel="00000000" w:rsidP="00000000" w:rsidRDefault="00000000" w:rsidRPr="00000000" w14:paraId="0000004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tab/>
        <w:t xml:space="preserve">Iiaaoouu</w:t>
      </w:r>
      <w:r w:rsidDel="00000000" w:rsidR="00000000" w:rsidRPr="00000000">
        <w:rPr>
          <w:rFonts w:ascii="Times New Roman" w:cs="Times New Roman" w:eastAsia="Times New Roman" w:hAnsi="Times New Roman"/>
          <w:sz w:val="24"/>
          <w:szCs w:val="24"/>
          <w:highlight w:val="white"/>
          <w:rtl w:val="0"/>
        </w:rPr>
        <w:t xml:space="preserve">ēēeeōō</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23"/>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Having done this, wash away and</w:t>
      </w:r>
    </w:p>
    <w:p w:rsidR="00000000" w:rsidDel="00000000" w:rsidP="00000000" w:rsidRDefault="00000000" w:rsidRPr="00000000" w14:paraId="0000004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tab/>
        <w:t xml:space="preserve">drink the names as shown. And also this is the ink’s material:</w:t>
      </w:r>
    </w:p>
    <w:p w:rsidR="00000000" w:rsidDel="00000000" w:rsidP="00000000" w:rsidRDefault="00000000" w:rsidRPr="00000000" w14:paraId="0000004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tab/>
        <w:t xml:space="preserve">4 drachmai</w:t>
      </w:r>
      <w:r w:rsidDel="00000000" w:rsidR="00000000" w:rsidRPr="00000000">
        <w:rPr>
          <w:rFonts w:ascii="Times New Roman" w:cs="Times New Roman" w:eastAsia="Times New Roman" w:hAnsi="Times New Roman"/>
          <w:sz w:val="24"/>
          <w:szCs w:val="24"/>
          <w:vertAlign w:val="superscript"/>
        </w:rPr>
        <w:footnoteReference w:customMarkFollows="0" w:id="24"/>
      </w:r>
      <w:r w:rsidDel="00000000" w:rsidR="00000000" w:rsidRPr="00000000">
        <w:rPr>
          <w:rFonts w:ascii="Times New Roman" w:cs="Times New Roman" w:eastAsia="Times New Roman" w:hAnsi="Times New Roman"/>
          <w:sz w:val="24"/>
          <w:szCs w:val="24"/>
          <w:rtl w:val="0"/>
        </w:rPr>
        <w:t xml:space="preserve"> of Troglitis</w:t>
      </w:r>
      <w:r w:rsidDel="00000000" w:rsidR="00000000" w:rsidRPr="00000000">
        <w:rPr>
          <w:rFonts w:ascii="Times New Roman" w:cs="Times New Roman" w:eastAsia="Times New Roman" w:hAnsi="Times New Roman"/>
          <w:sz w:val="24"/>
          <w:szCs w:val="24"/>
          <w:vertAlign w:val="superscript"/>
        </w:rPr>
        <w:footnoteReference w:customMarkFollows="0" w:id="25"/>
      </w:r>
      <w:r w:rsidDel="00000000" w:rsidR="00000000" w:rsidRPr="00000000">
        <w:rPr>
          <w:rFonts w:ascii="Times New Roman" w:cs="Times New Roman" w:eastAsia="Times New Roman" w:hAnsi="Times New Roman"/>
          <w:sz w:val="24"/>
          <w:szCs w:val="24"/>
          <w:rtl w:val="0"/>
        </w:rPr>
        <w:t xml:space="preserve"> myrrh</w:t>
      </w:r>
      <w:r w:rsidDel="00000000" w:rsidR="00000000" w:rsidRPr="00000000">
        <w:rPr>
          <w:rFonts w:ascii="Times New Roman" w:cs="Times New Roman" w:eastAsia="Times New Roman" w:hAnsi="Times New Roman"/>
          <w:sz w:val="24"/>
          <w:szCs w:val="24"/>
          <w:vertAlign w:val="superscript"/>
        </w:rPr>
        <w:footnoteReference w:customMarkFollows="0" w:id="26"/>
      </w:r>
      <w:r w:rsidDel="00000000" w:rsidR="00000000" w:rsidRPr="00000000">
        <w:rPr>
          <w:rFonts w:ascii="Times New Roman" w:cs="Times New Roman" w:eastAsia="Times New Roman" w:hAnsi="Times New Roman"/>
          <w:sz w:val="24"/>
          <w:szCs w:val="24"/>
          <w:rtl w:val="0"/>
        </w:rPr>
        <w:t xml:space="preserve">, 3 dried Carian</w:t>
      </w:r>
      <w:r w:rsidDel="00000000" w:rsidR="00000000" w:rsidRPr="00000000">
        <w:rPr>
          <w:rFonts w:ascii="Times New Roman" w:cs="Times New Roman" w:eastAsia="Times New Roman" w:hAnsi="Times New Roman"/>
          <w:sz w:val="24"/>
          <w:szCs w:val="24"/>
          <w:vertAlign w:val="superscript"/>
        </w:rPr>
        <w:footnoteReference w:customMarkFollows="0" w:id="27"/>
      </w:r>
      <w:r w:rsidDel="00000000" w:rsidR="00000000" w:rsidRPr="00000000">
        <w:rPr>
          <w:rFonts w:ascii="Times New Roman" w:cs="Times New Roman" w:eastAsia="Times New Roman" w:hAnsi="Times New Roman"/>
          <w:sz w:val="24"/>
          <w:szCs w:val="24"/>
          <w:rtl w:val="0"/>
        </w:rPr>
        <w:t xml:space="preserve"> figs, 7 Nicolaus</w:t>
      </w:r>
      <w:r w:rsidDel="00000000" w:rsidR="00000000" w:rsidRPr="00000000">
        <w:rPr>
          <w:rFonts w:ascii="Times New Roman" w:cs="Times New Roman" w:eastAsia="Times New Roman" w:hAnsi="Times New Roman"/>
          <w:sz w:val="24"/>
          <w:szCs w:val="24"/>
          <w:vertAlign w:val="superscript"/>
        </w:rPr>
        <w:footnoteReference w:customMarkFollows="0" w:id="28"/>
      </w:r>
      <w:r w:rsidDel="00000000" w:rsidR="00000000" w:rsidRPr="00000000">
        <w:rPr>
          <w:rFonts w:ascii="Times New Roman" w:cs="Times New Roman" w:eastAsia="Times New Roman" w:hAnsi="Times New Roman"/>
          <w:sz w:val="24"/>
          <w:szCs w:val="24"/>
          <w:rtl w:val="0"/>
        </w:rPr>
        <w:t xml:space="preserve"> date pits,</w:t>
      </w:r>
    </w:p>
    <w:p w:rsidR="00000000" w:rsidDel="00000000" w:rsidP="00000000" w:rsidRDefault="00000000" w:rsidRPr="00000000" w14:paraId="0000004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w:t>
        <w:tab/>
        <w:t xml:space="preserve">7 unwetted pinecones, 7 piths of single–stemmed wormwood,</w:t>
        <w:br w:type="textWrapping"/>
        <w:t xml:space="preserve">16</w:t>
        <w:tab/>
        <w:t xml:space="preserve">7 feathers of a Hermaic ibis,</w:t>
      </w:r>
      <w:r w:rsidDel="00000000" w:rsidR="00000000" w:rsidRPr="00000000">
        <w:rPr>
          <w:rFonts w:ascii="Times New Roman" w:cs="Times New Roman" w:eastAsia="Times New Roman" w:hAnsi="Times New Roman"/>
          <w:sz w:val="24"/>
          <w:szCs w:val="24"/>
          <w:vertAlign w:val="superscript"/>
        </w:rPr>
        <w:footnoteReference w:customMarkFollows="0" w:id="29"/>
      </w:r>
      <w:r w:rsidDel="00000000" w:rsidR="00000000" w:rsidRPr="00000000">
        <w:rPr>
          <w:rFonts w:ascii="Times New Roman" w:cs="Times New Roman" w:eastAsia="Times New Roman" w:hAnsi="Times New Roman"/>
          <w:sz w:val="24"/>
          <w:szCs w:val="24"/>
          <w:rtl w:val="0"/>
        </w:rPr>
        <w:t xml:space="preserve"> spring water. Ηaving burned these [together], </w:t>
      </w:r>
    </w:p>
    <w:p w:rsidR="00000000" w:rsidDel="00000000" w:rsidP="00000000" w:rsidRDefault="00000000" w:rsidRPr="00000000" w14:paraId="0000004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w:t>
        <w:tab/>
        <w:t xml:space="preserve">make [the ink] and write.</w:t>
      </w:r>
    </w:p>
    <w:p w:rsidR="00000000" w:rsidDel="00000000" w:rsidP="00000000" w:rsidRDefault="00000000" w:rsidRPr="00000000" w14:paraId="00000048">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bCs w:val="1"/>
          <w:sz w:val="24"/>
          <w:szCs w:val="24"/>
          <w:rtl w:val="0"/>
        </w:rPr>
        <w:t xml:space="preserve">Commentary:</w:t>
      </w:r>
      <w:r w:rsidDel="00000000" w:rsidR="00000000" w:rsidRPr="00000000">
        <w:rPr>
          <w:rtl w:val="0"/>
        </w:rPr>
      </w:r>
    </w:p>
    <w:p w:rsidR="00000000" w:rsidDel="00000000" w:rsidP="00000000" w:rsidRDefault="00000000" w:rsidRPr="00000000" w14:paraId="00000074">
      <w:pPr>
        <w:spacing w:line="24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bCs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ab/>
      </w:r>
      <w:r w:rsidDel="00000000" w:rsidR="00000000" w:rsidRPr="00000000">
        <w:rPr>
          <w:rFonts w:ascii="Times New Roman" w:cs="Times New Roman" w:eastAsia="Times New Roman" w:hAnsi="Times New Roman"/>
          <w:b w:val="1"/>
          <w:bCs w:val="1"/>
          <w:sz w:val="24"/>
          <w:szCs w:val="24"/>
          <w:rtl w:val="0"/>
        </w:rPr>
        <w:t xml:space="preserve">µνηµονική</w:t>
      </w:r>
      <w:r w:rsidDel="00000000" w:rsidR="00000000" w:rsidRPr="00000000">
        <w:rPr>
          <w:rFonts w:ascii="Times New Roman" w:cs="Times New Roman" w:eastAsia="Times New Roman" w:hAnsi="Times New Roman"/>
          <w:b w:val="1"/>
          <w:bCs w:val="1"/>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Within the context of the whole papyrus, this spell serves an ‘auxiliary’ function. That is, in order to successfully execute the main lengthier procedures outlined (two formulae for acquiring a supernatural assistant— paredros —and one invoking Apollo), the scribe has written this spell in order to aid the practitioner in memorizing the plethora of steps, ingredients, names, and hymns required.</w:t>
        <w:br w:type="textWrapping"/>
        <w:br w:type="textWrapping"/>
      </w:r>
      <w:r w:rsidDel="00000000" w:rsidR="00000000" w:rsidRPr="00000000">
        <w:rPr>
          <w:rFonts w:ascii="Times New Roman" w:cs="Times New Roman" w:eastAsia="Times New Roman" w:hAnsi="Times New Roman"/>
          <w:b w:val="1"/>
          <w:bCs w:val="1"/>
          <w:sz w:val="24"/>
          <w:szCs w:val="24"/>
          <w:highlight w:val="white"/>
          <w:rtl w:val="0"/>
        </w:rPr>
        <w:t xml:space="preserve">3–4</w:t>
      </w:r>
      <w:r w:rsidDel="00000000" w:rsidR="00000000" w:rsidRPr="00000000">
        <w:rPr>
          <w:rFonts w:ascii="Times New Roman" w:cs="Times New Roman" w:eastAsia="Times New Roman" w:hAnsi="Times New Roman"/>
          <w:sz w:val="24"/>
          <w:szCs w:val="24"/>
          <w:highlight w:val="white"/>
          <w:rtl w:val="0"/>
        </w:rPr>
        <w:tab/>
      </w: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202797" cy="202797"/>
            <wp:effectExtent b="0" l="0" r="0" t="0"/>
            <wp:docPr id="2"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202797" cy="202797"/>
                    </a:xfrm>
                    <a:prstGeom prst="rect"/>
                    <a:ln/>
                  </pic:spPr>
                </pic:pic>
              </a:graphicData>
            </a:graphic>
          </wp:inline>
        </w:drawing>
      </w:r>
      <w:r w:rsidDel="00000000" w:rsidR="00000000" w:rsidRPr="00000000">
        <w:rPr>
          <w:rFonts w:ascii="Times New Roman" w:cs="Times New Roman" w:eastAsia="Times New Roman" w:hAnsi="Times New Roman"/>
          <w:b w:val="1"/>
          <w:bCs w:val="1"/>
          <w:sz w:val="24"/>
          <w:szCs w:val="24"/>
          <w:rtl w:val="0"/>
        </w:rPr>
        <w:t xml:space="preserve"> μ Ἑρµαϊκῷ:</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Seemingly contrary to my argument, the only deity explicitly mentioned in this spell is Hermes when calling for ‘Hermaic ink’ and, in line 16, for a ‘Hermaic ibis.’ Yet, in the Ptolemaic–Roman milieu of Egypt, the influx of Greek immigrants resulted in the synthesis of various Greek deities with Egyptian ones.</w:t>
      </w:r>
      <w:r w:rsidDel="00000000" w:rsidR="00000000" w:rsidRPr="00000000">
        <w:rPr>
          <w:rFonts w:ascii="Times New Roman" w:cs="Times New Roman" w:eastAsia="Times New Roman" w:hAnsi="Times New Roman"/>
          <w:sz w:val="24"/>
          <w:szCs w:val="24"/>
          <w:highlight w:val="white"/>
          <w:vertAlign w:val="superscript"/>
        </w:rPr>
        <w:footnoteReference w:customMarkFollows="0" w:id="30"/>
      </w:r>
      <w:r w:rsidDel="00000000" w:rsidR="00000000" w:rsidRPr="00000000">
        <w:rPr>
          <w:rFonts w:ascii="Times New Roman" w:cs="Times New Roman" w:eastAsia="Times New Roman" w:hAnsi="Times New Roman"/>
          <w:sz w:val="24"/>
          <w:szCs w:val="24"/>
          <w:highlight w:val="white"/>
          <w:rtl w:val="0"/>
        </w:rPr>
        <w:t xml:space="preserve"> The fusion between the Greek Hermes and Egyptian Thoth was firmly established in Greco–Roman Egypt, with one possible reason for this lying in their similar roles as psychopomps.</w:t>
      </w:r>
      <w:r w:rsidDel="00000000" w:rsidR="00000000" w:rsidRPr="00000000">
        <w:rPr>
          <w:rFonts w:ascii="Times New Roman" w:cs="Times New Roman" w:eastAsia="Times New Roman" w:hAnsi="Times New Roman"/>
          <w:sz w:val="24"/>
          <w:szCs w:val="24"/>
          <w:highlight w:val="white"/>
          <w:vertAlign w:val="superscript"/>
        </w:rPr>
        <w:footnoteReference w:customMarkFollows="0" w:id="31"/>
      </w:r>
      <w:r w:rsidDel="00000000" w:rsidR="00000000" w:rsidRPr="00000000">
        <w:rPr>
          <w:rFonts w:ascii="Times New Roman" w:cs="Times New Roman" w:eastAsia="Times New Roman" w:hAnsi="Times New Roman"/>
          <w:sz w:val="24"/>
          <w:szCs w:val="24"/>
          <w:highlight w:val="white"/>
          <w:rtl w:val="0"/>
        </w:rPr>
        <w:t xml:space="preserve"> In fact, Plutarch (c.</w:t>
      </w:r>
      <w:r w:rsidDel="00000000" w:rsidR="00000000" w:rsidRPr="00000000">
        <w:rPr>
          <w:rFonts w:ascii="Times New Roman" w:cs="Times New Roman" w:eastAsia="Times New Roman" w:hAnsi="Times New Roman"/>
          <w:sz w:val="24"/>
          <w:szCs w:val="24"/>
          <w:highlight w:val="white"/>
          <w:rtl w:val="0"/>
        </w:rPr>
        <w:t xml:space="preserve">50 CE – c. 120 CE</w:t>
      </w:r>
      <w:r w:rsidDel="00000000" w:rsidR="00000000" w:rsidRPr="00000000">
        <w:rPr>
          <w:rFonts w:ascii="Times New Roman" w:cs="Times New Roman" w:eastAsia="Times New Roman" w:hAnsi="Times New Roman"/>
          <w:sz w:val="24"/>
          <w:szCs w:val="24"/>
          <w:highlight w:val="white"/>
          <w:rtl w:val="0"/>
        </w:rPr>
        <w:t xml:space="preserve">) simply refers to Thoth as ‘Hermes’ (τοῦ Ἑρμοῦ) when describing the Egyptian myth of Horus’ legal contest with his uncle, Seth, and how Hermes (Thoth) aided Horus in winning the case.</w:t>
      </w:r>
      <w:r w:rsidDel="00000000" w:rsidR="00000000" w:rsidRPr="00000000">
        <w:rPr>
          <w:rFonts w:ascii="Times New Roman" w:cs="Times New Roman" w:eastAsia="Times New Roman" w:hAnsi="Times New Roman"/>
          <w:sz w:val="24"/>
          <w:szCs w:val="24"/>
          <w:highlight w:val="white"/>
          <w:vertAlign w:val="superscript"/>
        </w:rPr>
        <w:footnoteReference w:customMarkFollows="0" w:id="32"/>
      </w:r>
      <w:r w:rsidDel="00000000" w:rsidR="00000000" w:rsidRPr="00000000">
        <w:rPr>
          <w:rFonts w:ascii="Times New Roman" w:cs="Times New Roman" w:eastAsia="Times New Roman" w:hAnsi="Times New Roman"/>
          <w:sz w:val="24"/>
          <w:szCs w:val="24"/>
          <w:highlight w:val="white"/>
          <w:rtl w:val="0"/>
        </w:rPr>
        <w:t xml:space="preserve"> </w:t>
        <w:br w:type="textWrapping"/>
        <w:br w:type="textWrapping"/>
      </w:r>
      <w:r w:rsidDel="00000000" w:rsidR="00000000" w:rsidRPr="00000000">
        <w:rPr>
          <w:rFonts w:ascii="Times New Roman" w:cs="Times New Roman" w:eastAsia="Times New Roman" w:hAnsi="Times New Roman"/>
          <w:b w:val="1"/>
          <w:bCs w:val="1"/>
          <w:sz w:val="24"/>
          <w:szCs w:val="24"/>
          <w:highlight w:val="white"/>
          <w:rtl w:val="0"/>
        </w:rPr>
        <w:t xml:space="preserve">4–5</w:t>
      </w:r>
      <w:r w:rsidDel="00000000" w:rsidR="00000000" w:rsidRPr="00000000">
        <w:rPr>
          <w:rFonts w:ascii="Times New Roman" w:cs="Times New Roman" w:eastAsia="Times New Roman" w:hAnsi="Times New Roman"/>
          <w:sz w:val="24"/>
          <w:szCs w:val="24"/>
          <w:highlight w:val="white"/>
          <w:rtl w:val="0"/>
        </w:rPr>
        <w:tab/>
      </w:r>
      <w:r w:rsidDel="00000000" w:rsidR="00000000" w:rsidRPr="00000000">
        <w:rPr>
          <w:rFonts w:ascii="Times New Roman" w:cs="Times New Roman" w:eastAsia="Times New Roman" w:hAnsi="Times New Roman"/>
          <w:b w:val="1"/>
          <w:bCs w:val="1"/>
          <w:sz w:val="24"/>
          <w:szCs w:val="24"/>
          <w:rtl w:val="0"/>
        </w:rPr>
        <w:t xml:space="preserve">καὶ γράψαϲ ὡϲ πρόκειται ἀπόκλυϲων* εἰ</w:t>
      </w:r>
      <w:r w:rsidDel="00000000" w:rsidR="00000000" w:rsidRPr="00000000">
        <w:rPr>
          <w:rFonts w:ascii="Times New Roman" w:cs="Times New Roman" w:eastAsia="Times New Roman" w:hAnsi="Times New Roman"/>
          <w:b w:val="1"/>
          <w:bCs w:val="1"/>
          <w:sz w:val="24"/>
          <w:szCs w:val="24"/>
          <w:vertAlign w:val="superscript"/>
        </w:rPr>
        <w:footnoteReference w:customMarkFollows="0" w:id="33"/>
      </w:r>
      <w:r w:rsidDel="00000000" w:rsidR="00000000" w:rsidRPr="00000000">
        <w:rPr>
          <w:rFonts w:ascii="Times New Roman" w:cs="Times New Roman" w:eastAsia="Times New Roman" w:hAnsi="Times New Roman"/>
          <w:b w:val="1"/>
          <w:bCs w:val="1"/>
          <w:sz w:val="24"/>
          <w:szCs w:val="24"/>
          <w:rtl w:val="0"/>
        </w:rPr>
        <w:t xml:space="preserve"> ὕδωρ πηγαῖον ἀπὸ ζ̅ πηγῶν καὶ πίε αὐτώ:</w:t>
      </w:r>
      <w:r w:rsidDel="00000000" w:rsidR="00000000" w:rsidRPr="00000000">
        <w:rPr>
          <w:rFonts w:ascii="Times New Roman" w:cs="Times New Roman" w:eastAsia="Times New Roman" w:hAnsi="Times New Roman"/>
          <w:sz w:val="24"/>
          <w:szCs w:val="24"/>
          <w:highlight w:val="white"/>
          <w:rtl w:val="0"/>
        </w:rPr>
        <w:tab/>
        <w:br w:type="textWrapping"/>
        <w:t xml:space="preserve">Many of Thoth’s epithets make clear his position as a god of words and magic, suc</w:t>
      </w:r>
      <w:r w:rsidDel="00000000" w:rsidR="00000000" w:rsidRPr="00000000">
        <w:rPr>
          <w:rFonts w:ascii="Times New Roman" w:cs="Times New Roman" w:eastAsia="Times New Roman" w:hAnsi="Times New Roman"/>
          <w:sz w:val="24"/>
          <w:szCs w:val="24"/>
          <w:rtl w:val="0"/>
        </w:rPr>
        <w:t xml:space="preserve">h as </w:t>
      </w:r>
      <w:r w:rsidDel="00000000" w:rsidR="00000000" w:rsidRPr="00000000">
        <w:rPr>
          <w:rFonts w:ascii="Times New Roman" w:cs="Times New Roman" w:eastAsia="Times New Roman" w:hAnsi="Times New Roman"/>
          <w:sz w:val="24"/>
          <w:szCs w:val="24"/>
          <w:rtl w:val="0"/>
        </w:rPr>
        <w:t xml:space="preserve">“...who hath given words”, “lord of magic”, “lord of speech”, and “lord of script.”</w:t>
      </w:r>
      <w:r w:rsidDel="00000000" w:rsidR="00000000" w:rsidRPr="00000000">
        <w:rPr>
          <w:rFonts w:ascii="Times New Roman" w:cs="Times New Roman" w:eastAsia="Times New Roman" w:hAnsi="Times New Roman"/>
          <w:sz w:val="24"/>
          <w:szCs w:val="24"/>
          <w:highlight w:val="white"/>
          <w:vertAlign w:val="superscript"/>
        </w:rPr>
        <w:footnoteReference w:customMarkFollows="0" w:id="34"/>
      </w:r>
      <w:r w:rsidDel="00000000" w:rsidR="00000000" w:rsidRPr="00000000">
        <w:rPr>
          <w:rFonts w:ascii="Times New Roman" w:cs="Times New Roman" w:eastAsia="Times New Roman" w:hAnsi="Times New Roman"/>
          <w:sz w:val="24"/>
          <w:szCs w:val="24"/>
          <w:highlight w:val="white"/>
          <w:rtl w:val="0"/>
        </w:rPr>
        <w:t xml:space="preserve"> It should be remembered, however, that words and magic were not segregated under Thoth’s governance. In Egyptian religion, words themselves (spoken or written) were thought to be imbued with mystical potency— this belief is what underlies the direction to write a series of </w:t>
      </w:r>
      <w:r w:rsidDel="00000000" w:rsidR="00000000" w:rsidRPr="00000000">
        <w:rPr>
          <w:rFonts w:ascii="Times New Roman" w:cs="Times New Roman" w:eastAsia="Times New Roman" w:hAnsi="Times New Roman"/>
          <w:i w:val="1"/>
          <w:iCs w:val="1"/>
          <w:sz w:val="24"/>
          <w:szCs w:val="24"/>
          <w:highlight w:val="white"/>
          <w:rtl w:val="0"/>
        </w:rPr>
        <w:t xml:space="preserve">voces magicae</w:t>
      </w:r>
      <w:r w:rsidDel="00000000" w:rsidR="00000000" w:rsidRPr="00000000">
        <w:rPr>
          <w:rFonts w:ascii="Times New Roman" w:cs="Times New Roman" w:eastAsia="Times New Roman" w:hAnsi="Times New Roman"/>
          <w:sz w:val="24"/>
          <w:szCs w:val="24"/>
          <w:highlight w:val="white"/>
          <w:rtl w:val="0"/>
        </w:rPr>
        <w:t xml:space="preserve">, wash them off the papyrus, and drink them: in drinking the diluted script, its power is integrated into the practitioner.</w:t>
      </w:r>
      <w:r w:rsidDel="00000000" w:rsidR="00000000" w:rsidRPr="00000000">
        <w:rPr>
          <w:rFonts w:ascii="Times New Roman" w:cs="Times New Roman" w:eastAsia="Times New Roman" w:hAnsi="Times New Roman"/>
          <w:sz w:val="24"/>
          <w:szCs w:val="24"/>
          <w:highlight w:val="white"/>
          <w:vertAlign w:val="superscript"/>
        </w:rPr>
        <w:footnoteReference w:customMarkFollows="0" w:id="35"/>
      </w:r>
      <w:r w:rsidDel="00000000" w:rsidR="00000000" w:rsidRPr="00000000">
        <w:rPr>
          <w:rFonts w:ascii="Times New Roman" w:cs="Times New Roman" w:eastAsia="Times New Roman" w:hAnsi="Times New Roman"/>
          <w:sz w:val="24"/>
          <w:szCs w:val="24"/>
          <w:highlight w:val="white"/>
          <w:rtl w:val="0"/>
        </w:rPr>
        <w:t xml:space="preserve"> With this in mind, Thoth does not perchance govern two separate realms— i.e., words </w:t>
      </w:r>
      <w:r w:rsidDel="00000000" w:rsidR="00000000" w:rsidRPr="00000000">
        <w:rPr>
          <w:rFonts w:ascii="Times New Roman" w:cs="Times New Roman" w:eastAsia="Times New Roman" w:hAnsi="Times New Roman"/>
          <w:i w:val="1"/>
          <w:iCs w:val="1"/>
          <w:sz w:val="24"/>
          <w:szCs w:val="24"/>
          <w:highlight w:val="white"/>
          <w:rtl w:val="0"/>
        </w:rPr>
        <w:t xml:space="preserve">and</w:t>
      </w:r>
      <w:r w:rsidDel="00000000" w:rsidR="00000000" w:rsidRPr="00000000">
        <w:rPr>
          <w:rFonts w:ascii="Times New Roman" w:cs="Times New Roman" w:eastAsia="Times New Roman" w:hAnsi="Times New Roman"/>
          <w:sz w:val="24"/>
          <w:szCs w:val="24"/>
          <w:highlight w:val="white"/>
          <w:rtl w:val="0"/>
        </w:rPr>
        <w:t xml:space="preserve"> magic —but, rather, he is the god of words </w:t>
      </w:r>
      <w:r w:rsidDel="00000000" w:rsidR="00000000" w:rsidRPr="00000000">
        <w:rPr>
          <w:rFonts w:ascii="Times New Roman" w:cs="Times New Roman" w:eastAsia="Times New Roman" w:hAnsi="Times New Roman"/>
          <w:i w:val="1"/>
          <w:iCs w:val="1"/>
          <w:sz w:val="24"/>
          <w:szCs w:val="24"/>
          <w:highlight w:val="white"/>
          <w:rtl w:val="0"/>
        </w:rPr>
        <w:t xml:space="preserve">because </w:t>
      </w:r>
      <w:r w:rsidDel="00000000" w:rsidR="00000000" w:rsidRPr="00000000">
        <w:rPr>
          <w:rFonts w:ascii="Times New Roman" w:cs="Times New Roman" w:eastAsia="Times New Roman" w:hAnsi="Times New Roman"/>
          <w:sz w:val="24"/>
          <w:szCs w:val="24"/>
          <w:highlight w:val="white"/>
          <w:rtl w:val="0"/>
        </w:rPr>
        <w:t xml:space="preserve">he is the god of magic, and vice versa. The two are inextricably linked. Therefore, the very act of writing on a papyrus can contain ritual meaning, one in which the magical practitioner returns </w:t>
      </w:r>
      <w:r w:rsidDel="00000000" w:rsidR="00000000" w:rsidRPr="00000000">
        <w:rPr>
          <w:rFonts w:ascii="Times New Roman" w:cs="Times New Roman" w:eastAsia="Times New Roman" w:hAnsi="Times New Roman"/>
          <w:i w:val="1"/>
          <w:iCs w:val="1"/>
          <w:sz w:val="24"/>
          <w:szCs w:val="24"/>
          <w:highlight w:val="white"/>
          <w:rtl w:val="0"/>
        </w:rPr>
        <w:t xml:space="preserve">all’Eliade</w:t>
      </w:r>
      <w:r w:rsidDel="00000000" w:rsidR="00000000" w:rsidRPr="00000000">
        <w:rPr>
          <w:rFonts w:ascii="Times New Roman" w:cs="Times New Roman" w:eastAsia="Times New Roman" w:hAnsi="Times New Roman"/>
          <w:sz w:val="24"/>
          <w:szCs w:val="24"/>
          <w:highlight w:val="white"/>
          <w:rtl w:val="0"/>
        </w:rPr>
        <w:t xml:space="preserve"> to the original magical practitioner </w:t>
      </w:r>
      <w:r w:rsidDel="00000000" w:rsidR="00000000" w:rsidRPr="00000000">
        <w:rPr>
          <w:rFonts w:ascii="Times New Roman" w:cs="Times New Roman" w:eastAsia="Times New Roman" w:hAnsi="Times New Roman"/>
          <w:i w:val="1"/>
          <w:iCs w:val="1"/>
          <w:sz w:val="24"/>
          <w:szCs w:val="24"/>
          <w:highlight w:val="white"/>
          <w:rtl w:val="0"/>
        </w:rPr>
        <w:t xml:space="preserve">par excellence</w:t>
      </w:r>
      <w:r w:rsidDel="00000000" w:rsidR="00000000" w:rsidRPr="00000000">
        <w:rPr>
          <w:rFonts w:ascii="Times New Roman" w:cs="Times New Roman" w:eastAsia="Times New Roman" w:hAnsi="Times New Roman"/>
          <w:sz w:val="24"/>
          <w:szCs w:val="24"/>
          <w:highlight w:val="white"/>
          <w:rtl w:val="0"/>
        </w:rPr>
        <w:t xml:space="preserve">, Thoth.</w:t>
      </w:r>
    </w:p>
    <w:p w:rsidR="00000000" w:rsidDel="00000000" w:rsidP="00000000" w:rsidRDefault="00000000" w:rsidRPr="00000000" w14:paraId="00000075">
      <w:pPr>
        <w:spacing w:line="240" w:lineRule="auto"/>
        <w:ind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6">
      <w:pPr>
        <w:spacing w:line="24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bCs w:val="1"/>
          <w:sz w:val="24"/>
          <w:szCs w:val="24"/>
          <w:highlight w:val="white"/>
          <w:rtl w:val="0"/>
        </w:rPr>
        <w:t xml:space="preserve">5–6</w:t>
      </w:r>
      <w:r w:rsidDel="00000000" w:rsidR="00000000" w:rsidRPr="00000000">
        <w:rPr>
          <w:rFonts w:ascii="Times New Roman" w:cs="Times New Roman" w:eastAsia="Times New Roman" w:hAnsi="Times New Roman"/>
          <w:sz w:val="24"/>
          <w:szCs w:val="24"/>
          <w:highlight w:val="white"/>
          <w:rtl w:val="0"/>
        </w:rPr>
        <w:tab/>
      </w:r>
      <w:r w:rsidDel="00000000" w:rsidR="00000000" w:rsidRPr="00000000">
        <w:rPr>
          <w:rFonts w:ascii="Times New Roman" w:cs="Times New Roman" w:eastAsia="Times New Roman" w:hAnsi="Times New Roman"/>
          <w:b w:val="1"/>
          <w:bCs w:val="1"/>
          <w:sz w:val="24"/>
          <w:szCs w:val="24"/>
          <w:rtl w:val="0"/>
        </w:rPr>
        <w:t xml:space="preserve">καὶ πίε αὐτώ ἐπὶ ἡµέραϲ ζ̅ νήϲτηϲ ἐξ ἀνατολῆϲ οὔϲηϲ τῆϲ </w:t>
      </w: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190500" cy="190500"/>
            <wp:effectExtent b="0" l="0" r="0" t="0"/>
            <wp:docPr id="5" name="image3.jpg"/>
            <a:graphic>
              <a:graphicData uri="http://schemas.openxmlformats.org/drawingml/2006/picture">
                <pic:pic>
                  <pic:nvPicPr>
                    <pic:cNvPr id="0" name="image3.jpg"/>
                    <pic:cNvPicPr preferRelativeResize="0"/>
                  </pic:nvPicPr>
                  <pic:blipFill>
                    <a:blip r:embed="rId11"/>
                    <a:srcRect b="10674" l="29831" r="0" t="13500"/>
                    <a:stretch>
                      <a:fillRect/>
                    </a:stretch>
                  </pic:blipFill>
                  <pic:spPr>
                    <a:xfrm>
                      <a:off x="0" y="0"/>
                      <a:ext cx="190500" cy="190500"/>
                    </a:xfrm>
                    <a:prstGeom prst="rect"/>
                    <a:ln/>
                  </pic:spPr>
                </pic:pic>
              </a:graphicData>
            </a:graphic>
          </wp:inline>
        </w:drawing>
      </w:r>
      <w:r w:rsidDel="00000000" w:rsidR="00000000" w:rsidRPr="00000000">
        <w:rPr>
          <w:rFonts w:ascii="Times New Roman" w:cs="Times New Roman" w:eastAsia="Times New Roman" w:hAnsi="Times New Roman"/>
          <w:b w:val="1"/>
          <w:bCs w:val="1"/>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The spell’s requirement that the practitioner drink the ink during the waxing phase of the moon is a further outlining of Thoth: the moon’s reappearance after its waning and vanishing at New Moon was mythically described as Thoth healing Horus’ damaged eye and returning it to its rightful owner.</w:t>
      </w:r>
      <w:r w:rsidDel="00000000" w:rsidR="00000000" w:rsidRPr="00000000">
        <w:rPr>
          <w:rFonts w:ascii="Times New Roman" w:cs="Times New Roman" w:eastAsia="Times New Roman" w:hAnsi="Times New Roman"/>
          <w:sz w:val="24"/>
          <w:szCs w:val="24"/>
          <w:highlight w:val="white"/>
          <w:vertAlign w:val="superscript"/>
        </w:rPr>
        <w:footnoteReference w:customMarkFollows="0" w:id="36"/>
      </w:r>
      <w:r w:rsidDel="00000000" w:rsidR="00000000" w:rsidRPr="00000000">
        <w:rPr>
          <w:rFonts w:ascii="Times New Roman" w:cs="Times New Roman" w:eastAsia="Times New Roman" w:hAnsi="Times New Roman"/>
          <w:sz w:val="24"/>
          <w:szCs w:val="24"/>
          <w:highlight w:val="white"/>
          <w:rtl w:val="0"/>
        </w:rPr>
        <w:t xml:space="preserve"> Many of Thoth’s epithets further make clear his lunar character or, at least, some connection to the moon, such as ‘Re that shines in the night’,‘Silver Sun’, and ‘the moon shining in the heavens.’</w:t>
      </w:r>
      <w:r w:rsidDel="00000000" w:rsidR="00000000" w:rsidRPr="00000000">
        <w:rPr>
          <w:rFonts w:ascii="Times New Roman" w:cs="Times New Roman" w:eastAsia="Times New Roman" w:hAnsi="Times New Roman"/>
          <w:sz w:val="24"/>
          <w:szCs w:val="24"/>
          <w:highlight w:val="white"/>
          <w:vertAlign w:val="superscript"/>
        </w:rPr>
        <w:footnoteReference w:customMarkFollows="0" w:id="37"/>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77">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8">
      <w:pPr>
        <w:spacing w:line="240" w:lineRule="auto"/>
        <w:ind w:left="0" w:firstLine="0"/>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highlight w:val="white"/>
          <w:rtl w:val="0"/>
        </w:rPr>
        <w:t xml:space="preserve">7–12</w:t>
        <w:tab/>
      </w:r>
      <w:r w:rsidDel="00000000" w:rsidR="00000000" w:rsidRPr="00000000">
        <w:rPr>
          <w:rFonts w:ascii="Times New Roman" w:cs="Times New Roman" w:eastAsia="Times New Roman" w:hAnsi="Times New Roman"/>
          <w:b w:val="1"/>
          <w:bCs w:val="1"/>
          <w:sz w:val="24"/>
          <w:szCs w:val="24"/>
          <w:rtl w:val="0"/>
        </w:rPr>
        <w:t xml:space="preserve">καµβη… ιιααοουυηηεεωω:</w:t>
      </w:r>
      <w:r w:rsidDel="00000000" w:rsidR="00000000" w:rsidRPr="00000000">
        <w:rPr>
          <w:rFonts w:ascii="Times New Roman" w:cs="Times New Roman" w:eastAsia="Times New Roman" w:hAnsi="Times New Roman"/>
          <w:sz w:val="24"/>
          <w:szCs w:val="24"/>
          <w:rtl w:val="0"/>
        </w:rPr>
        <w:t xml:space="preserve"> It was a commonly held notion amongst Hellenized audiences that certain scripts, such as hieroglyphs and Hebrew, were magically potent. The magical papyri are replete with the use of </w:t>
      </w:r>
      <w:r w:rsidDel="00000000" w:rsidR="00000000" w:rsidRPr="00000000">
        <w:rPr>
          <w:rFonts w:ascii="Times New Roman" w:cs="Times New Roman" w:eastAsia="Times New Roman" w:hAnsi="Times New Roman"/>
          <w:i w:val="1"/>
          <w:iCs w:val="1"/>
          <w:sz w:val="24"/>
          <w:szCs w:val="24"/>
          <w:rtl w:val="0"/>
        </w:rPr>
        <w:t xml:space="preserve">voces magicae</w:t>
      </w:r>
      <w:r w:rsidDel="00000000" w:rsidR="00000000" w:rsidRPr="00000000">
        <w:rPr>
          <w:rFonts w:ascii="Times New Roman" w:cs="Times New Roman" w:eastAsia="Times New Roman" w:hAnsi="Times New Roman"/>
          <w:sz w:val="24"/>
          <w:szCs w:val="24"/>
          <w:rtl w:val="0"/>
        </w:rPr>
        <w:t xml:space="preserve">, incorporating the names of Jewish, Egyptian, Greek, Mesopotamian, and even Christian entities.</w:t>
      </w:r>
      <w:r w:rsidDel="00000000" w:rsidR="00000000" w:rsidRPr="00000000">
        <w:rPr>
          <w:rFonts w:ascii="Times New Roman" w:cs="Times New Roman" w:eastAsia="Times New Roman" w:hAnsi="Times New Roman"/>
          <w:sz w:val="24"/>
          <w:szCs w:val="24"/>
          <w:vertAlign w:val="superscript"/>
        </w:rPr>
        <w:footnoteReference w:customMarkFollows="0" w:id="38"/>
      </w:r>
      <w:r w:rsidDel="00000000" w:rsidR="00000000" w:rsidRPr="00000000">
        <w:rPr>
          <w:rFonts w:ascii="Times New Roman" w:cs="Times New Roman" w:eastAsia="Times New Roman" w:hAnsi="Times New Roman"/>
          <w:sz w:val="24"/>
          <w:szCs w:val="24"/>
          <w:rtl w:val="0"/>
        </w:rPr>
        <w:t xml:space="preserve"> Other times, as evidenced here, there are words with no discernible meaning that are rendered to sound ‘Jewish’ or ‘Egyptian.’</w:t>
      </w:r>
      <w:r w:rsidDel="00000000" w:rsidR="00000000" w:rsidRPr="00000000">
        <w:rPr>
          <w:rFonts w:ascii="Times New Roman" w:cs="Times New Roman" w:eastAsia="Times New Roman" w:hAnsi="Times New Roman"/>
          <w:sz w:val="24"/>
          <w:szCs w:val="24"/>
          <w:vertAlign w:val="superscript"/>
        </w:rPr>
        <w:footnoteReference w:customMarkFollows="0" w:id="39"/>
      </w:r>
      <w:r w:rsidDel="00000000" w:rsidR="00000000" w:rsidRPr="00000000">
        <w:rPr>
          <w:rFonts w:ascii="Times New Roman" w:cs="Times New Roman" w:eastAsia="Times New Roman" w:hAnsi="Times New Roman"/>
          <w:sz w:val="24"/>
          <w:szCs w:val="24"/>
          <w:rtl w:val="0"/>
        </w:rPr>
        <w:t xml:space="preserve"> As Versnel states, it is precisely these words’ lack of semantic meaning that imbues them with meaning and creates a sense of supratemporality.</w:t>
      </w:r>
      <w:r w:rsidDel="00000000" w:rsidR="00000000" w:rsidRPr="00000000">
        <w:rPr>
          <w:rFonts w:ascii="Times New Roman" w:cs="Times New Roman" w:eastAsia="Times New Roman" w:hAnsi="Times New Roman"/>
          <w:sz w:val="24"/>
          <w:szCs w:val="24"/>
          <w:vertAlign w:val="superscript"/>
        </w:rPr>
        <w:footnoteReference w:customMarkFollows="0" w:id="40"/>
      </w:r>
      <w:r w:rsidDel="00000000" w:rsidR="00000000" w:rsidRPr="00000000">
        <w:rPr>
          <w:rFonts w:ascii="Times New Roman" w:cs="Times New Roman" w:eastAsia="Times New Roman" w:hAnsi="Times New Roman"/>
          <w:sz w:val="24"/>
          <w:szCs w:val="24"/>
          <w:rtl w:val="0"/>
        </w:rPr>
        <w:t xml:space="preserve"> As for the link between </w:t>
      </w:r>
      <w:r w:rsidDel="00000000" w:rsidR="00000000" w:rsidRPr="00000000">
        <w:rPr>
          <w:rFonts w:ascii="Times New Roman" w:cs="Times New Roman" w:eastAsia="Times New Roman" w:hAnsi="Times New Roman"/>
          <w:i w:val="1"/>
          <w:iCs w:val="1"/>
          <w:sz w:val="24"/>
          <w:szCs w:val="24"/>
          <w:rtl w:val="0"/>
        </w:rPr>
        <w:t xml:space="preserve">voces magicae</w:t>
      </w:r>
      <w:r w:rsidDel="00000000" w:rsidR="00000000" w:rsidRPr="00000000">
        <w:rPr>
          <w:rFonts w:ascii="Times New Roman" w:cs="Times New Roman" w:eastAsia="Times New Roman" w:hAnsi="Times New Roman"/>
          <w:sz w:val="24"/>
          <w:szCs w:val="24"/>
          <w:rtl w:val="0"/>
        </w:rPr>
        <w:t xml:space="preserve"> and Thoth, many of his epithets describe his mastery and/or creation of magic words (“who first fashioned signs and wrote magic”).</w:t>
      </w:r>
      <w:r w:rsidDel="00000000" w:rsidR="00000000" w:rsidRPr="00000000">
        <w:rPr>
          <w:rFonts w:ascii="Times New Roman" w:cs="Times New Roman" w:eastAsia="Times New Roman" w:hAnsi="Times New Roman"/>
          <w:sz w:val="24"/>
          <w:szCs w:val="24"/>
          <w:vertAlign w:val="superscript"/>
        </w:rPr>
        <w:footnoteReference w:customMarkFollows="0" w:id="41"/>
      </w:r>
      <w:r w:rsidDel="00000000" w:rsidR="00000000" w:rsidRPr="00000000">
        <w:rPr>
          <w:rFonts w:ascii="Times New Roman" w:cs="Times New Roman" w:eastAsia="Times New Roman" w:hAnsi="Times New Roman"/>
          <w:sz w:val="24"/>
          <w:szCs w:val="24"/>
          <w:rtl w:val="0"/>
        </w:rPr>
        <w:t xml:space="preserve"> Therefore, to make effective use of the </w:t>
      </w:r>
      <w:r w:rsidDel="00000000" w:rsidR="00000000" w:rsidRPr="00000000">
        <w:rPr>
          <w:rFonts w:ascii="Times New Roman" w:cs="Times New Roman" w:eastAsia="Times New Roman" w:hAnsi="Times New Roman"/>
          <w:i w:val="1"/>
          <w:iCs w:val="1"/>
          <w:sz w:val="24"/>
          <w:szCs w:val="24"/>
          <w:rtl w:val="0"/>
        </w:rPr>
        <w:t xml:space="preserve">voces magicae</w:t>
      </w:r>
      <w:r w:rsidDel="00000000" w:rsidR="00000000" w:rsidRPr="00000000">
        <w:rPr>
          <w:rFonts w:ascii="Times New Roman" w:cs="Times New Roman" w:eastAsia="Times New Roman" w:hAnsi="Times New Roman"/>
          <w:sz w:val="24"/>
          <w:szCs w:val="24"/>
          <w:rtl w:val="0"/>
        </w:rPr>
        <w:t xml:space="preserve"> was to perform a ‘Thothian’ action.</w:t>
        <w:br w:type="textWrapping"/>
        <w:br w:type="textWrapping"/>
      </w:r>
      <w:r w:rsidDel="00000000" w:rsidR="00000000" w:rsidRPr="00000000">
        <w:rPr>
          <w:rFonts w:ascii="Times New Roman" w:cs="Times New Roman" w:eastAsia="Times New Roman" w:hAnsi="Times New Roman"/>
          <w:b w:val="1"/>
          <w:bCs w:val="1"/>
          <w:sz w:val="24"/>
          <w:szCs w:val="24"/>
          <w:rtl w:val="0"/>
        </w:rPr>
        <w:t xml:space="preserve">13–16</w:t>
        <w:tab/>
        <w:t xml:space="preserve">τρωγλῖτιϲ S δ̅, ιϲχάδαϲ καρικὰϲ γ̅, φοινίκων Νικολάων ὀϲτέα ζ̅, ϲτροβίλια ἄβραχα ζ̅, ἀρτεµιϲίαϲ µονοκλώνου καρδίαϲ ζ̅, ιβεωϲ Ἑρµαϊκῆϲ πτερὰ ζ̅, ὕδωρ πηγαῖον:</w:t>
      </w:r>
      <w:r w:rsidDel="00000000" w:rsidR="00000000" w:rsidRPr="00000000">
        <w:rPr>
          <w:rtl w:val="0"/>
        </w:rPr>
      </w:r>
    </w:p>
    <w:p w:rsidR="00000000" w:rsidDel="00000000" w:rsidP="00000000" w:rsidRDefault="00000000" w:rsidRPr="00000000" w14:paraId="00000079">
      <w:pPr>
        <w:spacing w:line="24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Some of the ingredients here share an obvious link to either Thoth or the moon, mainly myrrh and the ibis.</w:t>
      </w:r>
      <w:r w:rsidDel="00000000" w:rsidR="00000000" w:rsidRPr="00000000">
        <w:rPr>
          <w:rFonts w:ascii="Times New Roman" w:cs="Times New Roman" w:eastAsia="Times New Roman" w:hAnsi="Times New Roman"/>
          <w:sz w:val="24"/>
          <w:szCs w:val="24"/>
          <w:highlight w:val="white"/>
          <w:vertAlign w:val="superscript"/>
        </w:rPr>
        <w:footnoteReference w:customMarkFollows="0" w:id="42"/>
      </w:r>
      <w:r w:rsidDel="00000000" w:rsidR="00000000" w:rsidRPr="00000000">
        <w:rPr>
          <w:rFonts w:ascii="Times New Roman" w:cs="Times New Roman" w:eastAsia="Times New Roman" w:hAnsi="Times New Roman"/>
          <w:sz w:val="24"/>
          <w:szCs w:val="24"/>
          <w:highlight w:val="white"/>
          <w:rtl w:val="0"/>
        </w:rPr>
        <w:t xml:space="preserve"> The ibis was the symbol for Thoth since the Old Kingdom (while there was no such link between the ibis and Hermes before late antiquity).</w:t>
      </w:r>
      <w:r w:rsidDel="00000000" w:rsidR="00000000" w:rsidRPr="00000000">
        <w:rPr>
          <w:rFonts w:ascii="Times New Roman" w:cs="Times New Roman" w:eastAsia="Times New Roman" w:hAnsi="Times New Roman"/>
          <w:sz w:val="24"/>
          <w:szCs w:val="24"/>
          <w:highlight w:val="white"/>
          <w:vertAlign w:val="superscript"/>
        </w:rPr>
        <w:footnoteReference w:customMarkFollows="0" w:id="43"/>
      </w:r>
      <w:r w:rsidDel="00000000" w:rsidR="00000000" w:rsidRPr="00000000">
        <w:rPr>
          <w:rFonts w:ascii="Times New Roman" w:cs="Times New Roman" w:eastAsia="Times New Roman" w:hAnsi="Times New Roman"/>
          <w:sz w:val="24"/>
          <w:szCs w:val="24"/>
          <w:highlight w:val="white"/>
          <w:rtl w:val="0"/>
        </w:rPr>
        <w:t xml:space="preserve"> So entrenched was this symbolic link between bird and deity that the ibis was bred and farmed specifically to be mummified as votive offerings to Thoth.</w:t>
      </w:r>
      <w:r w:rsidDel="00000000" w:rsidR="00000000" w:rsidRPr="00000000">
        <w:rPr>
          <w:rFonts w:ascii="Times New Roman" w:cs="Times New Roman" w:eastAsia="Times New Roman" w:hAnsi="Times New Roman"/>
          <w:sz w:val="24"/>
          <w:szCs w:val="24"/>
          <w:highlight w:val="white"/>
          <w:vertAlign w:val="superscript"/>
        </w:rPr>
        <w:footnoteReference w:customMarkFollows="0" w:id="44"/>
      </w:r>
      <w:r w:rsidDel="00000000" w:rsidR="00000000" w:rsidRPr="00000000">
        <w:rPr>
          <w:rFonts w:ascii="Times New Roman" w:cs="Times New Roman" w:eastAsia="Times New Roman" w:hAnsi="Times New Roman"/>
          <w:sz w:val="24"/>
          <w:szCs w:val="24"/>
          <w:highlight w:val="white"/>
          <w:rtl w:val="0"/>
        </w:rPr>
        <w:t xml:space="preserve"> Remembering that animals were not just indexical symbols of certain gods but active agents and manifestations of them, to utilize them via sacrifice, in part or in whole, was thought to harvest the divine power of said gods.</w:t>
      </w:r>
      <w:r w:rsidDel="00000000" w:rsidR="00000000" w:rsidRPr="00000000">
        <w:rPr>
          <w:rFonts w:ascii="Times New Roman" w:cs="Times New Roman" w:eastAsia="Times New Roman" w:hAnsi="Times New Roman"/>
          <w:sz w:val="24"/>
          <w:szCs w:val="24"/>
          <w:highlight w:val="white"/>
          <w:vertAlign w:val="superscript"/>
        </w:rPr>
        <w:footnoteReference w:customMarkFollows="0" w:id="45"/>
      </w:r>
      <w:r w:rsidDel="00000000" w:rsidR="00000000" w:rsidRPr="00000000">
        <w:rPr>
          <w:rFonts w:ascii="Times New Roman" w:cs="Times New Roman" w:eastAsia="Times New Roman" w:hAnsi="Times New Roman"/>
          <w:sz w:val="24"/>
          <w:szCs w:val="24"/>
          <w:highlight w:val="white"/>
          <w:rtl w:val="0"/>
        </w:rPr>
        <w:t xml:space="preserve"> Among the many pictorial representations of Thoth, the most famous is arguably of him as an ibis–headed man. As such, the inclusion of the ibis is made rational within the Thothian mytho–symbolic matrix. It is again evident that the usage of the term ‘Hermaic’ here is an </w:t>
      </w:r>
      <w:r w:rsidDel="00000000" w:rsidR="00000000" w:rsidRPr="00000000">
        <w:rPr>
          <w:rFonts w:ascii="Times New Roman" w:cs="Times New Roman" w:eastAsia="Times New Roman" w:hAnsi="Times New Roman"/>
          <w:i w:val="1"/>
          <w:iCs w:val="1"/>
          <w:sz w:val="24"/>
          <w:szCs w:val="24"/>
          <w:highlight w:val="white"/>
          <w:rtl w:val="0"/>
        </w:rPr>
        <w:t xml:space="preserve">interpretatio</w:t>
      </w:r>
      <w:r w:rsidDel="00000000" w:rsidR="00000000" w:rsidRPr="00000000">
        <w:rPr>
          <w:rFonts w:ascii="Times New Roman" w:cs="Times New Roman" w:eastAsia="Times New Roman" w:hAnsi="Times New Roman"/>
          <w:i w:val="1"/>
          <w:iCs w:val="1"/>
          <w:sz w:val="24"/>
          <w:szCs w:val="24"/>
          <w:highlight w:val="white"/>
          <w:rtl w:val="0"/>
        </w:rPr>
        <w:t xml:space="preserve"> graeca </w:t>
      </w:r>
      <w:r w:rsidDel="00000000" w:rsidR="00000000" w:rsidRPr="00000000">
        <w:rPr>
          <w:rFonts w:ascii="Times New Roman" w:cs="Times New Roman" w:eastAsia="Times New Roman" w:hAnsi="Times New Roman"/>
          <w:sz w:val="24"/>
          <w:szCs w:val="24"/>
          <w:highlight w:val="white"/>
          <w:rtl w:val="0"/>
        </w:rPr>
        <w:t xml:space="preserve">of Thoth. </w:t>
      </w:r>
    </w:p>
    <w:p w:rsidR="00000000" w:rsidDel="00000000" w:rsidP="00000000" w:rsidRDefault="00000000" w:rsidRPr="00000000" w14:paraId="0000007A">
      <w:pPr>
        <w:spacing w:line="240" w:lineRule="auto"/>
        <w:ind w:left="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However, the symbolic link between other ingredients and the moon or Thoth is not readily apparent. Instead, many of these ingredients share an element of ‘foreignness’: figs from Anatolia, myrrh from the ‘Cave Dwellers’ of</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Africa’s interior, and dates from somewhere we are not presently sure of.</w:t>
      </w:r>
      <w:r w:rsidDel="00000000" w:rsidR="00000000" w:rsidRPr="00000000">
        <w:rPr>
          <w:rFonts w:ascii="Times New Roman" w:cs="Times New Roman" w:eastAsia="Times New Roman" w:hAnsi="Times New Roman"/>
          <w:sz w:val="24"/>
          <w:szCs w:val="24"/>
          <w:highlight w:val="white"/>
          <w:rtl w:val="0"/>
        </w:rPr>
        <w:t xml:space="preserve"> In light of another of Thoth’s epithets—“Lord of Foreign Lands”—, each ingredient’s individual sympathy with him becomes secondary; rather, it is the act itself of collecting these ingredients, many of which would have been imported and available at the marketplace, that establishes a connection to Thoth.</w:t>
      </w:r>
      <w:r w:rsidDel="00000000" w:rsidR="00000000" w:rsidRPr="00000000">
        <w:rPr>
          <w:rFonts w:ascii="Times New Roman" w:cs="Times New Roman" w:eastAsia="Times New Roman" w:hAnsi="Times New Roman"/>
          <w:sz w:val="24"/>
          <w:szCs w:val="24"/>
          <w:highlight w:val="white"/>
          <w:vertAlign w:val="superscript"/>
        </w:rPr>
        <w:footnoteReference w:customMarkFollows="0" w:id="46"/>
      </w:r>
      <w:r w:rsidDel="00000000" w:rsidR="00000000" w:rsidRPr="00000000">
        <w:rPr>
          <w:rtl w:val="0"/>
        </w:rPr>
      </w:r>
    </w:p>
    <w:p w:rsidR="00000000" w:rsidDel="00000000" w:rsidP="00000000" w:rsidRDefault="00000000" w:rsidRPr="00000000" w14:paraId="0000007B">
      <w:pPr>
        <w:spacing w:line="24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br w:type="textWrapping"/>
      </w:r>
      <w:r w:rsidDel="00000000" w:rsidR="00000000" w:rsidRPr="00000000">
        <w:rPr>
          <w:rFonts w:ascii="Times New Roman" w:cs="Times New Roman" w:eastAsia="Times New Roman" w:hAnsi="Times New Roman"/>
          <w:b w:val="1"/>
          <w:bCs w:val="1"/>
          <w:sz w:val="24"/>
          <w:szCs w:val="24"/>
          <w:highlight w:val="white"/>
          <w:rtl w:val="0"/>
        </w:rPr>
        <w:t xml:space="preserve">Conclusion:</w:t>
      </w:r>
      <w:r w:rsidDel="00000000" w:rsidR="00000000" w:rsidRPr="00000000">
        <w:rPr>
          <w:rFonts w:ascii="Times New Roman" w:cs="Times New Roman" w:eastAsia="Times New Roman" w:hAnsi="Times New Roman"/>
          <w:sz w:val="24"/>
          <w:szCs w:val="24"/>
          <w:highlight w:val="white"/>
          <w:rtl w:val="0"/>
        </w:rPr>
        <w:br w:type="textWrapping"/>
        <w:tab/>
        <w:t xml:space="preserve">This commentary has employed a narrow scope by focusing on a comparatively shorter spell, eliding scrutiny of the spell’s intertextual relationship to other spells on P. 2052, as well as larger questions on the entire papyrus’ provenance, and the identities of its author(s) and intended audience.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Despite the admittedly constrained analysis of </w:t>
      </w:r>
      <w:r w:rsidDel="00000000" w:rsidR="00000000" w:rsidRPr="00000000">
        <w:rPr>
          <w:rFonts w:ascii="Times New Roman" w:cs="Times New Roman" w:eastAsia="Times New Roman" w:hAnsi="Times New Roman"/>
          <w:i w:val="1"/>
          <w:iCs w:val="1"/>
          <w:sz w:val="24"/>
          <w:szCs w:val="24"/>
          <w:rtl w:val="0"/>
        </w:rPr>
        <w:t xml:space="preserve">For memory,</w:t>
      </w:r>
      <w:r w:rsidDel="00000000" w:rsidR="00000000" w:rsidRPr="00000000">
        <w:rPr>
          <w:rFonts w:ascii="Times New Roman" w:cs="Times New Roman" w:eastAsia="Times New Roman" w:hAnsi="Times New Roman"/>
          <w:sz w:val="24"/>
          <w:szCs w:val="24"/>
          <w:highlight w:val="white"/>
          <w:rtl w:val="0"/>
        </w:rPr>
        <w:t xml:space="preserve">, the commentary has aimed to demonstrate the potential fruitfulness of employing an Eliade–inspired lens when examining any other spell found within the magical papyri. The possibility is presented that even a shorter or more ‘basic’ spell, like </w:t>
      </w:r>
      <w:r w:rsidDel="00000000" w:rsidR="00000000" w:rsidRPr="00000000">
        <w:rPr>
          <w:rFonts w:ascii="Times New Roman" w:cs="Times New Roman" w:eastAsia="Times New Roman" w:hAnsi="Times New Roman"/>
          <w:i w:val="1"/>
          <w:iCs w:val="1"/>
          <w:sz w:val="24"/>
          <w:szCs w:val="24"/>
          <w:rtl w:val="0"/>
        </w:rPr>
        <w:t xml:space="preserve">For memory,</w:t>
      </w:r>
      <w:r w:rsidDel="00000000" w:rsidR="00000000" w:rsidRPr="00000000">
        <w:rPr>
          <w:rFonts w:ascii="Times New Roman" w:cs="Times New Roman" w:eastAsia="Times New Roman" w:hAnsi="Times New Roman"/>
          <w:sz w:val="24"/>
          <w:szCs w:val="24"/>
          <w:highlight w:val="white"/>
          <w:rtl w:val="0"/>
        </w:rPr>
        <w:t xml:space="preserve"> might have housed a rich and complex matrix of religious meanings. </w:t>
      </w:r>
      <w:r w:rsidDel="00000000" w:rsidR="00000000" w:rsidRPr="00000000">
        <w:rPr>
          <w:rFonts w:ascii="Times New Roman" w:cs="Times New Roman" w:eastAsia="Times New Roman" w:hAnsi="Times New Roman"/>
          <w:i w:val="1"/>
          <w:iCs w:val="1"/>
          <w:sz w:val="24"/>
          <w:szCs w:val="24"/>
          <w:rtl w:val="0"/>
        </w:rPr>
        <w:t xml:space="preserve">For memory</w:t>
      </w:r>
      <w:r w:rsidDel="00000000" w:rsidR="00000000" w:rsidRPr="00000000">
        <w:rPr>
          <w:rFonts w:ascii="Times New Roman" w:cs="Times New Roman" w:eastAsia="Times New Roman" w:hAnsi="Times New Roman"/>
          <w:sz w:val="24"/>
          <w:szCs w:val="24"/>
          <w:highlight w:val="white"/>
          <w:rtl w:val="0"/>
        </w:rPr>
        <w:t xml:space="preserve"> encapsulates a diverse set of characteristics attributed to the moon god, Thoth.  </w:t>
      </w:r>
      <w:r w:rsidDel="00000000" w:rsidR="00000000" w:rsidRPr="00000000">
        <w:rPr>
          <w:rFonts w:ascii="Times New Roman" w:cs="Times New Roman" w:eastAsia="Times New Roman" w:hAnsi="Times New Roman"/>
          <w:sz w:val="24"/>
          <w:szCs w:val="24"/>
          <w:highlight w:val="white"/>
          <w:rtl w:val="0"/>
        </w:rPr>
        <w:br w:type="textWrapping"/>
      </w:r>
      <w:r w:rsidDel="00000000" w:rsidR="00000000" w:rsidRPr="00000000">
        <w:rPr>
          <w:rFonts w:ascii="Times New Roman" w:cs="Times New Roman" w:eastAsia="Times New Roman" w:hAnsi="Times New Roman"/>
          <w:sz w:val="24"/>
          <w:szCs w:val="24"/>
          <w:highlight w:val="white"/>
          <w:rtl w:val="0"/>
        </w:rPr>
        <w:br w:type="textWrapping"/>
        <w:br w:type="textWrapping"/>
      </w:r>
    </w:p>
    <w:p w:rsidR="00000000" w:rsidDel="00000000" w:rsidP="00000000" w:rsidRDefault="00000000" w:rsidRPr="00000000" w14:paraId="0000007C">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D">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E">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F">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0">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1">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2">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3">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4">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5">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6">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7">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8">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9">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A">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B">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C">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D">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E">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F">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0">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1">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2">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3">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highlight w:val="white"/>
          <w:rtl w:val="0"/>
        </w:rPr>
        <w:t xml:space="preserve">Bibliography:</w:t>
      </w:r>
      <w:r w:rsidDel="00000000" w:rsidR="00000000" w:rsidRPr="00000000">
        <w:rPr>
          <w:rFonts w:ascii="Times New Roman" w:cs="Times New Roman" w:eastAsia="Times New Roman" w:hAnsi="Times New Roman"/>
          <w:sz w:val="24"/>
          <w:szCs w:val="24"/>
          <w:highlight w:val="white"/>
          <w:rtl w:val="0"/>
        </w:rPr>
        <w:br w:type="textWrapping"/>
      </w:r>
      <w:r w:rsidDel="00000000" w:rsidR="00000000" w:rsidRPr="00000000">
        <w:rPr>
          <w:rFonts w:ascii="Times New Roman" w:cs="Times New Roman" w:eastAsia="Times New Roman" w:hAnsi="Times New Roman"/>
          <w:sz w:val="24"/>
          <w:szCs w:val="24"/>
          <w:rtl w:val="0"/>
        </w:rPr>
        <w:t xml:space="preserve">Arnott, William Geoffrey, </w:t>
      </w:r>
      <w:r w:rsidDel="00000000" w:rsidR="00000000" w:rsidRPr="00000000">
        <w:rPr>
          <w:rFonts w:ascii="Times New Roman" w:cs="Times New Roman" w:eastAsia="Times New Roman" w:hAnsi="Times New Roman"/>
          <w:i w:val="1"/>
          <w:iCs w:val="1"/>
          <w:sz w:val="24"/>
          <w:szCs w:val="24"/>
          <w:rtl w:val="0"/>
        </w:rPr>
        <w:t xml:space="preserve">Birds in the Ancient World from A to Z</w:t>
      </w:r>
      <w:r w:rsidDel="00000000" w:rsidR="00000000" w:rsidRPr="00000000">
        <w:rPr>
          <w:rFonts w:ascii="Times New Roman" w:cs="Times New Roman" w:eastAsia="Times New Roman" w:hAnsi="Times New Roman"/>
          <w:sz w:val="24"/>
          <w:szCs w:val="24"/>
          <w:rtl w:val="0"/>
        </w:rPr>
        <w:t xml:space="preserve"> (London: Routledge, 2007)</w:t>
      </w:r>
    </w:p>
    <w:p w:rsidR="00000000" w:rsidDel="00000000" w:rsidP="00000000" w:rsidRDefault="00000000" w:rsidRPr="00000000" w14:paraId="00000094">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br w:type="textWrapping"/>
      </w:r>
      <w:r w:rsidDel="00000000" w:rsidR="00000000" w:rsidRPr="00000000">
        <w:rPr>
          <w:rFonts w:ascii="Times New Roman" w:cs="Times New Roman" w:eastAsia="Times New Roman" w:hAnsi="Times New Roman"/>
          <w:sz w:val="24"/>
          <w:szCs w:val="24"/>
          <w:rtl w:val="0"/>
        </w:rPr>
        <w:t xml:space="preserve">Bakker, Egbert J. (ed.), </w:t>
      </w:r>
      <w:r w:rsidDel="00000000" w:rsidR="00000000" w:rsidRPr="00000000">
        <w:rPr>
          <w:rFonts w:ascii="Times New Roman" w:cs="Times New Roman" w:eastAsia="Times New Roman" w:hAnsi="Times New Roman"/>
          <w:i w:val="1"/>
          <w:iCs w:val="1"/>
          <w:sz w:val="24"/>
          <w:szCs w:val="24"/>
          <w:rtl w:val="0"/>
        </w:rPr>
        <w:t xml:space="preserve">A Companion to the Greek Language </w:t>
      </w:r>
      <w:r w:rsidDel="00000000" w:rsidR="00000000" w:rsidRPr="00000000">
        <w:rPr>
          <w:rFonts w:ascii="Times New Roman" w:cs="Times New Roman" w:eastAsia="Times New Roman" w:hAnsi="Times New Roman"/>
          <w:sz w:val="24"/>
          <w:szCs w:val="24"/>
          <w:rtl w:val="0"/>
        </w:rPr>
        <w:t xml:space="preserve">(West Sussex: Wiley—Blackwell, 2010)</w:t>
      </w:r>
      <w:r w:rsidDel="00000000" w:rsidR="00000000" w:rsidRPr="00000000">
        <w:rPr>
          <w:rtl w:val="0"/>
        </w:rPr>
      </w:r>
    </w:p>
    <w:p w:rsidR="00000000" w:rsidDel="00000000" w:rsidP="00000000" w:rsidRDefault="00000000" w:rsidRPr="00000000" w14:paraId="00000095">
      <w:pPr>
        <w:spacing w:line="24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br w:type="textWrapping"/>
        <w:t xml:space="preserve">Berliner Papyrusdatenbank, Berliner Papyrusdatenbank (n.d.) &lt;</w:t>
      </w:r>
      <w:hyperlink r:id="rId12">
        <w:r w:rsidDel="00000000" w:rsidR="00000000" w:rsidRPr="00000000">
          <w:rPr>
            <w:rFonts w:ascii="Times New Roman" w:cs="Times New Roman" w:eastAsia="Times New Roman" w:hAnsi="Times New Roman"/>
            <w:sz w:val="24"/>
            <w:szCs w:val="24"/>
            <w:highlight w:val="white"/>
            <w:u w:val="single"/>
            <w:rtl w:val="0"/>
          </w:rPr>
          <w:t xml:space="preserve">https://berlpap.smb.museum/record/?result=0&amp;Alle=P.+5025&amp;lang=en</w:t>
        </w:r>
      </w:hyperlink>
      <w:r w:rsidDel="00000000" w:rsidR="00000000" w:rsidRPr="00000000">
        <w:rPr>
          <w:rFonts w:ascii="Times New Roman" w:cs="Times New Roman" w:eastAsia="Times New Roman" w:hAnsi="Times New Roman"/>
          <w:sz w:val="24"/>
          <w:szCs w:val="24"/>
          <w:highlight w:val="white"/>
          <w:rtl w:val="0"/>
        </w:rPr>
        <w:t xml:space="preserve">&gt; [accessed 01 May 2026]</w:t>
        <w:br w:type="textWrapping"/>
        <w:br w:type="textWrapping"/>
      </w:r>
      <w:r w:rsidDel="00000000" w:rsidR="00000000" w:rsidRPr="00000000">
        <w:rPr>
          <w:rFonts w:ascii="Times New Roman" w:cs="Times New Roman" w:eastAsia="Times New Roman" w:hAnsi="Times New Roman"/>
          <w:sz w:val="24"/>
          <w:szCs w:val="24"/>
          <w:rtl w:val="0"/>
        </w:rPr>
        <w:t xml:space="preserve">Betz, Hans Dieter (ed.), </w:t>
      </w:r>
      <w:r w:rsidDel="00000000" w:rsidR="00000000" w:rsidRPr="00000000">
        <w:rPr>
          <w:rFonts w:ascii="Times New Roman" w:cs="Times New Roman" w:eastAsia="Times New Roman" w:hAnsi="Times New Roman"/>
          <w:i w:val="1"/>
          <w:iCs w:val="1"/>
          <w:sz w:val="24"/>
          <w:szCs w:val="24"/>
          <w:rtl w:val="0"/>
        </w:rPr>
        <w:t xml:space="preserve">The Greek Magical Papyri in Translation: Including the Demotic Spells, </w:t>
      </w:r>
      <w:r w:rsidDel="00000000" w:rsidR="00000000" w:rsidRPr="00000000">
        <w:rPr>
          <w:rFonts w:ascii="Times New Roman" w:cs="Times New Roman" w:eastAsia="Times New Roman" w:hAnsi="Times New Roman"/>
          <w:sz w:val="24"/>
          <w:szCs w:val="24"/>
          <w:rtl w:val="0"/>
        </w:rPr>
        <w:t xml:space="preserve">2nd edn. (Chicago and London: Chicago University Press, 1992)</w:t>
        <w:br w:type="textWrapping"/>
        <w:br w:type="textWrapping"/>
      </w:r>
      <w:r w:rsidDel="00000000" w:rsidR="00000000" w:rsidRPr="00000000">
        <w:rPr>
          <w:rFonts w:ascii="Times New Roman" w:cs="Times New Roman" w:eastAsia="Times New Roman" w:hAnsi="Times New Roman"/>
          <w:sz w:val="24"/>
          <w:szCs w:val="24"/>
          <w:highlight w:val="white"/>
          <w:rtl w:val="0"/>
        </w:rPr>
        <w:t xml:space="preserve">Bohak, Gideon, ‘Hebrew, Hebrew Everywhere? Notes on the Interpretation of Voces Magicae’, in </w:t>
      </w:r>
      <w:r w:rsidDel="00000000" w:rsidR="00000000" w:rsidRPr="00000000">
        <w:rPr>
          <w:rFonts w:ascii="Times New Roman" w:cs="Times New Roman" w:eastAsia="Times New Roman" w:hAnsi="Times New Roman"/>
          <w:i w:val="1"/>
          <w:iCs w:val="1"/>
          <w:sz w:val="24"/>
          <w:szCs w:val="24"/>
          <w:highlight w:val="white"/>
          <w:rtl w:val="0"/>
        </w:rPr>
        <w:t xml:space="preserve">Prayer, Magic, and the Stars in the Ancient and Late Antique World </w:t>
      </w:r>
      <w:r w:rsidDel="00000000" w:rsidR="00000000" w:rsidRPr="00000000">
        <w:rPr>
          <w:rFonts w:ascii="Times New Roman" w:cs="Times New Roman" w:eastAsia="Times New Roman" w:hAnsi="Times New Roman"/>
          <w:sz w:val="24"/>
          <w:szCs w:val="24"/>
          <w:highlight w:val="white"/>
          <w:rtl w:val="0"/>
        </w:rPr>
        <w:t xml:space="preserve">(University Park: Pennsylvania State Press, 2003), pp. 69—82</w:t>
        <w:br w:type="textWrapping"/>
      </w:r>
    </w:p>
    <w:p w:rsidR="00000000" w:rsidDel="00000000" w:rsidP="00000000" w:rsidRDefault="00000000" w:rsidRPr="00000000" w14:paraId="00000096">
      <w:pPr>
        <w:spacing w:line="24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Boylan, Patrick, </w:t>
      </w:r>
      <w:r w:rsidDel="00000000" w:rsidR="00000000" w:rsidRPr="00000000">
        <w:rPr>
          <w:rFonts w:ascii="Times New Roman" w:cs="Times New Roman" w:eastAsia="Times New Roman" w:hAnsi="Times New Roman"/>
          <w:i w:val="1"/>
          <w:iCs w:val="1"/>
          <w:sz w:val="24"/>
          <w:szCs w:val="24"/>
          <w:rtl w:val="0"/>
        </w:rPr>
        <w:t xml:space="preserve">Thoth, the Hermes of Egypt: A Study of Some Aspects of Theological Thought in Ancient Egypt </w:t>
      </w:r>
      <w:r w:rsidDel="00000000" w:rsidR="00000000" w:rsidRPr="00000000">
        <w:rPr>
          <w:rFonts w:ascii="Times New Roman" w:cs="Times New Roman" w:eastAsia="Times New Roman" w:hAnsi="Times New Roman"/>
          <w:sz w:val="24"/>
          <w:szCs w:val="24"/>
          <w:rtl w:val="0"/>
        </w:rPr>
        <w:t xml:space="preserve">(Chicago: Ares Publishers, 1979)</w:t>
      </w:r>
      <w:r w:rsidDel="00000000" w:rsidR="00000000" w:rsidRPr="00000000">
        <w:rPr>
          <w:rtl w:val="0"/>
        </w:rPr>
      </w:r>
    </w:p>
    <w:p w:rsidR="00000000" w:rsidDel="00000000" w:rsidP="00000000" w:rsidRDefault="00000000" w:rsidRPr="00000000" w14:paraId="00000097">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8">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Brashear</w:t>
      </w:r>
      <w:r w:rsidDel="00000000" w:rsidR="00000000" w:rsidRPr="00000000">
        <w:rPr>
          <w:rFonts w:ascii="Times New Roman" w:cs="Times New Roman" w:eastAsia="Times New Roman" w:hAnsi="Times New Roman"/>
          <w:i w:val="1"/>
          <w:iCs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William M., ‘The Greek Magical Papyri: An Introduction and Survey; Annotated Bibliography (1928–1994)’, in </w:t>
      </w:r>
      <w:r w:rsidDel="00000000" w:rsidR="00000000" w:rsidRPr="00000000">
        <w:rPr>
          <w:rFonts w:ascii="Times New Roman" w:cs="Times New Roman" w:eastAsia="Times New Roman" w:hAnsi="Times New Roman"/>
          <w:i w:val="1"/>
          <w:iCs w:val="1"/>
          <w:sz w:val="24"/>
          <w:szCs w:val="24"/>
          <w:rtl w:val="0"/>
        </w:rPr>
        <w:t xml:space="preserve">Aufstieg und Niedergang der römischen Welt</w:t>
      </w:r>
      <w:r w:rsidDel="00000000" w:rsidR="00000000" w:rsidRPr="00000000">
        <w:rPr>
          <w:rFonts w:ascii="Times New Roman" w:cs="Times New Roman" w:eastAsia="Times New Roman" w:hAnsi="Times New Roman"/>
          <w:i w:val="1"/>
          <w:iCs w:val="1"/>
          <w:sz w:val="24"/>
          <w:szCs w:val="24"/>
          <w:highlight w:val="white"/>
          <w:rtl w:val="0"/>
        </w:rPr>
        <w:t xml:space="preserve"> II</w:t>
      </w:r>
      <w:r w:rsidDel="00000000" w:rsidR="00000000" w:rsidRPr="00000000">
        <w:rPr>
          <w:rFonts w:ascii="Times New Roman" w:cs="Times New Roman" w:eastAsia="Times New Roman" w:hAnsi="Times New Roman"/>
          <w:sz w:val="24"/>
          <w:szCs w:val="24"/>
          <w:rtl w:val="0"/>
        </w:rPr>
        <w:t xml:space="preserve">, 18.5 (1995), pp. 3380–3684.</w:t>
        <w:br w:type="textWrapping"/>
        <w:br w:type="textWrapping"/>
      </w:r>
      <w:r w:rsidDel="00000000" w:rsidR="00000000" w:rsidRPr="00000000">
        <w:rPr>
          <w:rFonts w:ascii="Times New Roman" w:cs="Times New Roman" w:eastAsia="Times New Roman" w:hAnsi="Times New Roman"/>
          <w:sz w:val="24"/>
          <w:szCs w:val="24"/>
          <w:rtl w:val="0"/>
        </w:rPr>
        <w:t xml:space="preserve">Brixhe, Claude, ‘Linguistic Diversity in Asia Minor during the Empire: </w:t>
      </w:r>
      <w:r w:rsidDel="00000000" w:rsidR="00000000" w:rsidRPr="00000000">
        <w:rPr>
          <w:rFonts w:ascii="Times New Roman" w:cs="Times New Roman" w:eastAsia="Times New Roman" w:hAnsi="Times New Roman"/>
          <w:i w:val="1"/>
          <w:iCs w:val="1"/>
          <w:sz w:val="24"/>
          <w:szCs w:val="24"/>
          <w:rtl w:val="0"/>
        </w:rPr>
        <w:t xml:space="preserve">Koine</w:t>
      </w:r>
      <w:r w:rsidDel="00000000" w:rsidR="00000000" w:rsidRPr="00000000">
        <w:rPr>
          <w:rFonts w:ascii="Times New Roman" w:cs="Times New Roman" w:eastAsia="Times New Roman" w:hAnsi="Times New Roman"/>
          <w:sz w:val="24"/>
          <w:szCs w:val="24"/>
          <w:rtl w:val="0"/>
        </w:rPr>
        <w:t xml:space="preserve"> and Non-Greek Languages’, in </w:t>
      </w:r>
      <w:r w:rsidDel="00000000" w:rsidR="00000000" w:rsidRPr="00000000">
        <w:rPr>
          <w:rFonts w:ascii="Times New Roman" w:cs="Times New Roman" w:eastAsia="Times New Roman" w:hAnsi="Times New Roman"/>
          <w:i w:val="1"/>
          <w:iCs w:val="1"/>
          <w:sz w:val="24"/>
          <w:szCs w:val="24"/>
          <w:rtl w:val="0"/>
        </w:rPr>
        <w:t xml:space="preserve">A Companion to the Greek Language, </w:t>
      </w:r>
      <w:r w:rsidDel="00000000" w:rsidR="00000000" w:rsidRPr="00000000">
        <w:rPr>
          <w:rFonts w:ascii="Times New Roman" w:cs="Times New Roman" w:eastAsia="Times New Roman" w:hAnsi="Times New Roman"/>
          <w:sz w:val="24"/>
          <w:szCs w:val="24"/>
          <w:rtl w:val="0"/>
        </w:rPr>
        <w:t xml:space="preserve">ed. by Egbert J. Bakker (West Sussex: Wiley—Blackwell, 2010), pp. 228—252</w:t>
        <w:br w:type="textWrapping"/>
        <w:br w:type="textWrapping"/>
        <w:t xml:space="preserve">Christiansen, Thomas, ‘Manufacture of Black Ink in the Ancient Mediterranean’, in </w:t>
      </w:r>
      <w:r w:rsidDel="00000000" w:rsidR="00000000" w:rsidRPr="00000000">
        <w:rPr>
          <w:rFonts w:ascii="Times New Roman" w:cs="Times New Roman" w:eastAsia="Times New Roman" w:hAnsi="Times New Roman"/>
          <w:i w:val="1"/>
          <w:iCs w:val="1"/>
          <w:sz w:val="24"/>
          <w:szCs w:val="24"/>
          <w:rtl w:val="0"/>
        </w:rPr>
        <w:t xml:space="preserve">Bulletin of the American Society of Papyrologists,</w:t>
      </w:r>
      <w:r w:rsidDel="00000000" w:rsidR="00000000" w:rsidRPr="00000000">
        <w:rPr>
          <w:rFonts w:ascii="Times New Roman" w:cs="Times New Roman" w:eastAsia="Times New Roman" w:hAnsi="Times New Roman"/>
          <w:sz w:val="24"/>
          <w:szCs w:val="24"/>
          <w:rtl w:val="0"/>
        </w:rPr>
        <w:t xml:space="preserve"> 54 (2017), pp. 167–195</w:t>
      </w:r>
      <w:r w:rsidDel="00000000" w:rsidR="00000000" w:rsidRPr="00000000">
        <w:rPr>
          <w:rFonts w:ascii="Times New Roman" w:cs="Times New Roman" w:eastAsia="Times New Roman" w:hAnsi="Times New Roman"/>
          <w:sz w:val="24"/>
          <w:szCs w:val="24"/>
          <w:rtl w:val="0"/>
        </w:rPr>
        <w:br w:type="textWrapping"/>
        <w:br w:type="textWrapping"/>
      </w:r>
      <w:r w:rsidDel="00000000" w:rsidR="00000000" w:rsidRPr="00000000">
        <w:rPr>
          <w:rFonts w:ascii="Times New Roman" w:cs="Times New Roman" w:eastAsia="Times New Roman" w:hAnsi="Times New Roman"/>
          <w:sz w:val="24"/>
          <w:szCs w:val="24"/>
          <w:rtl w:val="0"/>
        </w:rPr>
        <w:t xml:space="preserve">Chronopoulou, Eleni, </w:t>
      </w:r>
      <w:r w:rsidDel="00000000" w:rsidR="00000000" w:rsidRPr="00000000">
        <w:rPr>
          <w:rFonts w:ascii="Times New Roman" w:cs="Times New Roman" w:eastAsia="Times New Roman" w:hAnsi="Times New Roman"/>
          <w:i w:val="1"/>
          <w:iCs w:val="1"/>
          <w:sz w:val="24"/>
          <w:szCs w:val="24"/>
          <w:rtl w:val="0"/>
        </w:rPr>
        <w:t xml:space="preserve">Edition of the Greek Magical Papyri (PGM) I and VI+II: Introduction, Text and Commentary,</w:t>
      </w:r>
      <w:r w:rsidDel="00000000" w:rsidR="00000000" w:rsidRPr="00000000">
        <w:rPr>
          <w:rFonts w:ascii="Times New Roman" w:cs="Times New Roman" w:eastAsia="Times New Roman" w:hAnsi="Times New Roman"/>
          <w:sz w:val="24"/>
          <w:szCs w:val="24"/>
          <w:rtl w:val="0"/>
        </w:rPr>
        <w:t xml:space="preserve"> Ph.D. diss., Universitat Pompeu Fabra (2017)</w:t>
      </w:r>
    </w:p>
    <w:p w:rsidR="00000000" w:rsidDel="00000000" w:rsidP="00000000" w:rsidRDefault="00000000" w:rsidRPr="00000000" w14:paraId="00000099">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Collier, Mark, Manley, Bill, </w:t>
      </w:r>
      <w:r w:rsidDel="00000000" w:rsidR="00000000" w:rsidRPr="00000000">
        <w:rPr>
          <w:rFonts w:ascii="Times New Roman" w:cs="Times New Roman" w:eastAsia="Times New Roman" w:hAnsi="Times New Roman"/>
          <w:i w:val="1"/>
          <w:iCs w:val="1"/>
          <w:sz w:val="24"/>
          <w:szCs w:val="24"/>
          <w:rtl w:val="0"/>
        </w:rPr>
        <w:t xml:space="preserve">How To Read Egyptian Hieroglyphs: A Step-By-Step Guide to Teach Yourself</w:t>
      </w:r>
      <w:r w:rsidDel="00000000" w:rsidR="00000000" w:rsidRPr="00000000">
        <w:rPr>
          <w:rFonts w:ascii="Times New Roman" w:cs="Times New Roman" w:eastAsia="Times New Roman" w:hAnsi="Times New Roman"/>
          <w:sz w:val="24"/>
          <w:szCs w:val="24"/>
          <w:rtl w:val="0"/>
        </w:rPr>
        <w:t xml:space="preserve"> (Berkeley, Los Angeles: University of California Press, 1998)</w:t>
      </w:r>
    </w:p>
    <w:p w:rsidR="00000000" w:rsidDel="00000000" w:rsidP="00000000" w:rsidRDefault="00000000" w:rsidRPr="00000000" w14:paraId="0000009B">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br w:type="textWrapping"/>
        <w:t xml:space="preserve">Dosoo, Korshi, Galoppin, Thomas, ‘Animals in Graeco–Egyptian Magical Practice’, in</w:t>
      </w:r>
      <w:r w:rsidDel="00000000" w:rsidR="00000000" w:rsidRPr="00000000">
        <w:rPr>
          <w:rFonts w:ascii="Times New Roman" w:cs="Times New Roman" w:eastAsia="Times New Roman" w:hAnsi="Times New Roman"/>
          <w:i w:val="1"/>
          <w:iCs w:val="1"/>
          <w:sz w:val="24"/>
          <w:szCs w:val="24"/>
          <w:rtl w:val="0"/>
        </w:rPr>
        <w:t xml:space="preserve"> Magikon zōon: Animal and Magic from Antiquity to the Middle Ages</w:t>
      </w:r>
      <w:r w:rsidDel="00000000" w:rsidR="00000000" w:rsidRPr="00000000">
        <w:rPr>
          <w:rFonts w:ascii="Times New Roman" w:cs="Times New Roman" w:eastAsia="Times New Roman" w:hAnsi="Times New Roman"/>
          <w:sz w:val="24"/>
          <w:szCs w:val="24"/>
          <w:rtl w:val="0"/>
        </w:rPr>
        <w:t xml:space="preserve">, ed. by </w:t>
      </w:r>
      <w:hyperlink r:id="rId13">
        <w:r w:rsidDel="00000000" w:rsidR="00000000" w:rsidRPr="00000000">
          <w:rPr>
            <w:rFonts w:ascii="Times New Roman" w:cs="Times New Roman" w:eastAsia="Times New Roman" w:hAnsi="Times New Roman"/>
            <w:sz w:val="24"/>
            <w:szCs w:val="24"/>
            <w:rtl w:val="0"/>
          </w:rPr>
          <w:t xml:space="preserve">Jean-Charles Coulon</w:t>
        </w:r>
      </w:hyperlink>
      <w:r w:rsidDel="00000000" w:rsidR="00000000" w:rsidRPr="00000000">
        <w:rPr>
          <w:rFonts w:ascii="Times New Roman" w:cs="Times New Roman" w:eastAsia="Times New Roman" w:hAnsi="Times New Roman"/>
          <w:sz w:val="24"/>
          <w:szCs w:val="24"/>
          <w:rtl w:val="0"/>
        </w:rPr>
        <w:t xml:space="preserve"> and </w:t>
      </w:r>
      <w:hyperlink r:id="rId14">
        <w:r w:rsidDel="00000000" w:rsidR="00000000" w:rsidRPr="00000000">
          <w:rPr>
            <w:rFonts w:ascii="Times New Roman" w:cs="Times New Roman" w:eastAsia="Times New Roman" w:hAnsi="Times New Roman"/>
            <w:sz w:val="24"/>
            <w:szCs w:val="24"/>
            <w:rtl w:val="0"/>
          </w:rPr>
          <w:t xml:space="preserve">Korshi Dosoo</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Paris: Institut de recherche et d’histoire des textes, 2022</w:t>
      </w:r>
      <w:r w:rsidDel="00000000" w:rsidR="00000000" w:rsidRPr="00000000">
        <w:rPr>
          <w:rFonts w:ascii="Times New Roman" w:cs="Times New Roman" w:eastAsia="Times New Roman" w:hAnsi="Times New Roman"/>
          <w:sz w:val="24"/>
          <w:szCs w:val="24"/>
          <w:rtl w:val="0"/>
        </w:rPr>
        <w:t xml:space="preserve"> ), pp. 203–256, pp. 214–6.</w:t>
      </w:r>
    </w:p>
    <w:p w:rsidR="00000000" w:rsidDel="00000000" w:rsidP="00000000" w:rsidRDefault="00000000" w:rsidRPr="00000000" w14:paraId="0000009C">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br w:type="textWrapping"/>
        <w:t xml:space="preserve">Edmonds, Radcliffe G. III, </w:t>
      </w:r>
      <w:r w:rsidDel="00000000" w:rsidR="00000000" w:rsidRPr="00000000">
        <w:rPr>
          <w:rFonts w:ascii="Times New Roman" w:cs="Times New Roman" w:eastAsia="Times New Roman" w:hAnsi="Times New Roman"/>
          <w:i w:val="1"/>
          <w:iCs w:val="1"/>
          <w:sz w:val="24"/>
          <w:szCs w:val="24"/>
          <w:rtl w:val="0"/>
        </w:rPr>
        <w:t xml:space="preserve">Drawing Down the Moon: Magic in the Ancient Greco-Roman World </w:t>
      </w:r>
      <w:r w:rsidDel="00000000" w:rsidR="00000000" w:rsidRPr="00000000">
        <w:rPr>
          <w:rFonts w:ascii="Times New Roman" w:cs="Times New Roman" w:eastAsia="Times New Roman" w:hAnsi="Times New Roman"/>
          <w:sz w:val="24"/>
          <w:szCs w:val="24"/>
          <w:rtl w:val="0"/>
        </w:rPr>
        <w:t xml:space="preserve">(Princeton: Princeton University Press, 2019)</w:t>
      </w:r>
      <w:r w:rsidDel="00000000" w:rsidR="00000000" w:rsidRPr="00000000">
        <w:rPr>
          <w:rFonts w:ascii="Times New Roman" w:cs="Times New Roman" w:eastAsia="Times New Roman" w:hAnsi="Times New Roman"/>
          <w:sz w:val="24"/>
          <w:szCs w:val="24"/>
          <w:rtl w:val="0"/>
        </w:rPr>
        <w:br w:type="textWrapping"/>
        <w:br w:type="textWrapping"/>
        <w:t xml:space="preserve">Eliade, Mircea, ‘The Eternal Return’, in </w:t>
      </w:r>
      <w:r w:rsidDel="00000000" w:rsidR="00000000" w:rsidRPr="00000000">
        <w:rPr>
          <w:rFonts w:ascii="Times New Roman" w:cs="Times New Roman" w:eastAsia="Times New Roman" w:hAnsi="Times New Roman"/>
          <w:i w:val="1"/>
          <w:iCs w:val="1"/>
          <w:sz w:val="24"/>
          <w:szCs w:val="24"/>
          <w:rtl w:val="0"/>
        </w:rPr>
        <w:t xml:space="preserve">Parabola: The Magazine of Myth and Tradition</w:t>
      </w:r>
      <w:r w:rsidDel="00000000" w:rsidR="00000000" w:rsidRPr="00000000">
        <w:rPr>
          <w:rFonts w:ascii="Times New Roman" w:cs="Times New Roman" w:eastAsia="Times New Roman" w:hAnsi="Times New Roman"/>
          <w:sz w:val="24"/>
          <w:szCs w:val="24"/>
          <w:rtl w:val="0"/>
        </w:rPr>
        <w:t xml:space="preserve">, 8.2 (1988), pp. 4–15</w:t>
      </w:r>
    </w:p>
    <w:p w:rsidR="00000000" w:rsidDel="00000000" w:rsidP="00000000" w:rsidRDefault="00000000" w:rsidRPr="00000000" w14:paraId="0000009D">
      <w:pPr>
        <w:spacing w:line="24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Faraone, Christopher A. (ed.), Tovar, Sofía Torallas (ed.), </w:t>
      </w:r>
      <w:r w:rsidDel="00000000" w:rsidR="00000000" w:rsidRPr="00000000">
        <w:rPr>
          <w:rFonts w:ascii="Times New Roman" w:cs="Times New Roman" w:eastAsia="Times New Roman" w:hAnsi="Times New Roman"/>
          <w:i w:val="1"/>
          <w:iCs w:val="1"/>
          <w:sz w:val="24"/>
          <w:szCs w:val="24"/>
          <w:rtl w:val="0"/>
        </w:rPr>
        <w:t xml:space="preserve">Greek and Egyptian Magical Formularies: Text and Translation, Vol. 1</w:t>
      </w:r>
      <w:r w:rsidDel="00000000" w:rsidR="00000000" w:rsidRPr="00000000">
        <w:rPr>
          <w:rFonts w:ascii="Times New Roman" w:cs="Times New Roman" w:eastAsia="Times New Roman" w:hAnsi="Times New Roman"/>
          <w:sz w:val="24"/>
          <w:szCs w:val="24"/>
          <w:rtl w:val="0"/>
        </w:rPr>
        <w:t xml:space="preserve"> (Berkley: California Classical Studies, 2022)</w:t>
      </w:r>
    </w:p>
    <w:p w:rsidR="00000000" w:rsidDel="00000000" w:rsidP="00000000" w:rsidRDefault="00000000" w:rsidRPr="00000000" w14:paraId="0000009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Frankfurter, David, “Ritual Expertise in Roman Egypt and the Problem of the Category ‘Magician’ ”, in </w:t>
      </w:r>
      <w:r w:rsidDel="00000000" w:rsidR="00000000" w:rsidRPr="00000000">
        <w:rPr>
          <w:rFonts w:ascii="Times New Roman" w:cs="Times New Roman" w:eastAsia="Times New Roman" w:hAnsi="Times New Roman"/>
          <w:i w:val="1"/>
          <w:iCs w:val="1"/>
          <w:sz w:val="24"/>
          <w:szCs w:val="24"/>
          <w:rtl w:val="0"/>
        </w:rPr>
        <w:t xml:space="preserve">Envisioning Magic. A Princeton Seminar and Symposium, </w:t>
      </w:r>
      <w:r w:rsidDel="00000000" w:rsidR="00000000" w:rsidRPr="00000000">
        <w:rPr>
          <w:rFonts w:ascii="Times New Roman" w:cs="Times New Roman" w:eastAsia="Times New Roman" w:hAnsi="Times New Roman"/>
          <w:sz w:val="24"/>
          <w:szCs w:val="24"/>
          <w:rtl w:val="0"/>
        </w:rPr>
        <w:t xml:space="preserve">ed. by P. Schäfer and H. G. Kippenberg </w:t>
      </w:r>
      <w:r w:rsidDel="00000000" w:rsidR="00000000" w:rsidRPr="00000000">
        <w:rPr>
          <w:rFonts w:ascii="Times New Roman" w:cs="Times New Roman" w:eastAsia="Times New Roman" w:hAnsi="Times New Roman"/>
          <w:sz w:val="24"/>
          <w:szCs w:val="24"/>
          <w:rtl w:val="0"/>
        </w:rPr>
        <w:t xml:space="preserve">(Leiden: Brill, 1997) p. 115–135. </w:t>
        <w:br w:type="textWrapping"/>
        <w:br w:type="textWrapping"/>
        <w:t xml:space="preserve">Ikram, Salima, ‘Creatures of the Gods: Animal Mummies from Ancient Egypt’, in </w:t>
      </w:r>
      <w:r w:rsidDel="00000000" w:rsidR="00000000" w:rsidRPr="00000000">
        <w:rPr>
          <w:rFonts w:ascii="Times New Roman" w:cs="Times New Roman" w:eastAsia="Times New Roman" w:hAnsi="Times New Roman"/>
          <w:i w:val="1"/>
          <w:iCs w:val="1"/>
          <w:sz w:val="24"/>
          <w:szCs w:val="24"/>
          <w:rtl w:val="0"/>
        </w:rPr>
        <w:t xml:space="preserve">Anthronotes</w:t>
      </w:r>
      <w:r w:rsidDel="00000000" w:rsidR="00000000" w:rsidRPr="00000000">
        <w:rPr>
          <w:rFonts w:ascii="Times New Roman" w:cs="Times New Roman" w:eastAsia="Times New Roman" w:hAnsi="Times New Roman"/>
          <w:sz w:val="24"/>
          <w:szCs w:val="24"/>
          <w:rtl w:val="0"/>
        </w:rPr>
        <w:t xml:space="preserve">, 33.1 (2012), pp. 1–5</w:t>
      </w:r>
    </w:p>
    <w:p w:rsidR="00000000" w:rsidDel="00000000" w:rsidP="00000000" w:rsidRDefault="00000000" w:rsidRPr="00000000" w14:paraId="000000A1">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2">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Kim, Lawrence, ‘The Literary Heritage as Language: Atticism and the Second Sophistic’, in </w:t>
      </w:r>
      <w:r w:rsidDel="00000000" w:rsidR="00000000" w:rsidRPr="00000000">
        <w:rPr>
          <w:rFonts w:ascii="Times New Roman" w:cs="Times New Roman" w:eastAsia="Times New Roman" w:hAnsi="Times New Roman"/>
          <w:i w:val="1"/>
          <w:iCs w:val="1"/>
          <w:sz w:val="24"/>
          <w:szCs w:val="24"/>
          <w:rtl w:val="0"/>
        </w:rPr>
        <w:t xml:space="preserve">A Companion to the Greek Language, </w:t>
      </w:r>
      <w:r w:rsidDel="00000000" w:rsidR="00000000" w:rsidRPr="00000000">
        <w:rPr>
          <w:rFonts w:ascii="Times New Roman" w:cs="Times New Roman" w:eastAsia="Times New Roman" w:hAnsi="Times New Roman"/>
          <w:sz w:val="24"/>
          <w:szCs w:val="24"/>
          <w:rtl w:val="0"/>
        </w:rPr>
        <w:t xml:space="preserve">ed. by Egbert J. Bakker (West Sussex: Wiley—Blackwell, 2010), pp. 468—482</w:t>
      </w:r>
    </w:p>
    <w:p w:rsidR="00000000" w:rsidDel="00000000" w:rsidP="00000000" w:rsidRDefault="00000000" w:rsidRPr="00000000" w14:paraId="000000A3">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LiDonnici, Lynn R., ‘Single-Stemmed Wormwood, Pinecones and Myrrh: Expense and Availability of Recipe Ingredients in the </w:t>
      </w:r>
      <w:r w:rsidDel="00000000" w:rsidR="00000000" w:rsidRPr="00000000">
        <w:rPr>
          <w:rFonts w:ascii="Times New Roman" w:cs="Times New Roman" w:eastAsia="Times New Roman" w:hAnsi="Times New Roman"/>
          <w:i w:val="1"/>
          <w:iCs w:val="1"/>
          <w:sz w:val="24"/>
          <w:szCs w:val="24"/>
          <w:rtl w:val="0"/>
        </w:rPr>
        <w:t xml:space="preserve">Greek Magical Papyri’, Kernos</w:t>
      </w:r>
      <w:r w:rsidDel="00000000" w:rsidR="00000000" w:rsidRPr="00000000">
        <w:rPr>
          <w:rFonts w:ascii="Times New Roman" w:cs="Times New Roman" w:eastAsia="Times New Roman" w:hAnsi="Times New Roman"/>
          <w:sz w:val="24"/>
          <w:szCs w:val="24"/>
          <w:rtl w:val="0"/>
        </w:rPr>
        <w:t xml:space="preserve">, 14 (2001), pp. 61-91</w:t>
        <w:br w:type="textWrapping"/>
        <w:br w:type="textWrapping"/>
        <w:t xml:space="preserve">Liddell, H. G. (ed.), Scott, R. (ed.), </w:t>
      </w:r>
      <w:r w:rsidDel="00000000" w:rsidR="00000000" w:rsidRPr="00000000">
        <w:rPr>
          <w:rFonts w:ascii="Times New Roman" w:cs="Times New Roman" w:eastAsia="Times New Roman" w:hAnsi="Times New Roman"/>
          <w:i w:val="1"/>
          <w:iCs w:val="1"/>
          <w:sz w:val="24"/>
          <w:szCs w:val="24"/>
          <w:rtl w:val="0"/>
        </w:rPr>
        <w:t xml:space="preserve">A Greek–English Lexicon</w:t>
      </w:r>
      <w:r w:rsidDel="00000000" w:rsidR="00000000" w:rsidRPr="00000000">
        <w:rPr>
          <w:rFonts w:ascii="Times New Roman" w:cs="Times New Roman" w:eastAsia="Times New Roman" w:hAnsi="Times New Roman"/>
          <w:sz w:val="24"/>
          <w:szCs w:val="24"/>
          <w:rtl w:val="0"/>
        </w:rPr>
        <w:t xml:space="preserve">, 7th edn. (Oxford: Oxford University Press, 1996)</w:t>
        <w:br w:type="textWrapping"/>
        <w:br w:type="textWrapping"/>
        <w:t xml:space="preserve">Plutarch, </w:t>
      </w:r>
      <w:r w:rsidDel="00000000" w:rsidR="00000000" w:rsidRPr="00000000">
        <w:rPr>
          <w:rFonts w:ascii="Times New Roman" w:cs="Times New Roman" w:eastAsia="Times New Roman" w:hAnsi="Times New Roman"/>
          <w:i w:val="1"/>
          <w:iCs w:val="1"/>
          <w:sz w:val="24"/>
          <w:szCs w:val="24"/>
          <w:rtl w:val="0"/>
        </w:rPr>
        <w:t xml:space="preserve">Moralia, Vol. 5</w:t>
      </w:r>
      <w:r w:rsidDel="00000000" w:rsidR="00000000" w:rsidRPr="00000000">
        <w:rPr>
          <w:rFonts w:ascii="Times New Roman" w:cs="Times New Roman" w:eastAsia="Times New Roman" w:hAnsi="Times New Roman"/>
          <w:sz w:val="24"/>
          <w:szCs w:val="24"/>
          <w:rtl w:val="0"/>
        </w:rPr>
        <w:t xml:space="preserve">, trans. by Frank Cole Babbit, Loeb Classical Library 306 (Cambridge: Harvard University Press, 1936)</w:t>
        <w:br w:type="textWrapping"/>
        <w:br w:type="textWrapping"/>
      </w:r>
      <w:r w:rsidDel="00000000" w:rsidR="00000000" w:rsidRPr="00000000">
        <w:rPr>
          <w:rFonts w:ascii="Times New Roman" w:cs="Times New Roman" w:eastAsia="Times New Roman" w:hAnsi="Times New Roman"/>
          <w:sz w:val="24"/>
          <w:szCs w:val="24"/>
          <w:rtl w:val="0"/>
        </w:rPr>
        <w:t xml:space="preserve">Tallet, Gaëlle, Zivie‐Coche, Christiane, ‘Imported Cults’, in </w:t>
      </w:r>
      <w:r w:rsidDel="00000000" w:rsidR="00000000" w:rsidRPr="00000000">
        <w:rPr>
          <w:rFonts w:ascii="Times New Roman" w:cs="Times New Roman" w:eastAsia="Times New Roman" w:hAnsi="Times New Roman"/>
          <w:i w:val="1"/>
          <w:iCs w:val="1"/>
          <w:sz w:val="24"/>
          <w:szCs w:val="24"/>
          <w:rtl w:val="0"/>
        </w:rPr>
        <w:t xml:space="preserve">The Oxford Handbook of Roman Egypt</w:t>
      </w:r>
      <w:r w:rsidDel="00000000" w:rsidR="00000000" w:rsidRPr="00000000">
        <w:rPr>
          <w:rFonts w:ascii="Times New Roman" w:cs="Times New Roman" w:eastAsia="Times New Roman" w:hAnsi="Times New Roman"/>
          <w:sz w:val="24"/>
          <w:szCs w:val="24"/>
          <w:rtl w:val="0"/>
        </w:rPr>
        <w:t xml:space="preserve">, ed. by Christina Riggs (Oxford: Oxford University Press, 2012), pp. 436–456</w:t>
        <w:br w:type="textWrapping"/>
        <w:br w:type="textWrapping"/>
        <w:t xml:space="preserve">Ritner, Robert K., </w:t>
      </w:r>
      <w:r w:rsidDel="00000000" w:rsidR="00000000" w:rsidRPr="00000000">
        <w:rPr>
          <w:rFonts w:ascii="Times New Roman" w:cs="Times New Roman" w:eastAsia="Times New Roman" w:hAnsi="Times New Roman"/>
          <w:i w:val="1"/>
          <w:iCs w:val="1"/>
          <w:sz w:val="24"/>
          <w:szCs w:val="24"/>
          <w:rtl w:val="0"/>
        </w:rPr>
        <w:t xml:space="preserve">The Mechanics of Ancient Egyptian Magical Practice</w:t>
      </w:r>
      <w:r w:rsidDel="00000000" w:rsidR="00000000" w:rsidRPr="00000000">
        <w:rPr>
          <w:rFonts w:ascii="Times New Roman" w:cs="Times New Roman" w:eastAsia="Times New Roman" w:hAnsi="Times New Roman"/>
          <w:sz w:val="24"/>
          <w:szCs w:val="24"/>
          <w:rtl w:val="0"/>
        </w:rPr>
        <w:t xml:space="preserve">, (Chicago: The Oriental Institute, 2008)</w:t>
      </w:r>
    </w:p>
    <w:p w:rsidR="00000000" w:rsidDel="00000000" w:rsidP="00000000" w:rsidRDefault="00000000" w:rsidRPr="00000000" w14:paraId="000000A5">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br w:type="textWrapping"/>
        <w:t xml:space="preserve">Tovar, Sofía Torallas, ‘Greek in Egypt’, in </w:t>
      </w:r>
      <w:r w:rsidDel="00000000" w:rsidR="00000000" w:rsidRPr="00000000">
        <w:rPr>
          <w:rFonts w:ascii="Times New Roman" w:cs="Times New Roman" w:eastAsia="Times New Roman" w:hAnsi="Times New Roman"/>
          <w:i w:val="1"/>
          <w:iCs w:val="1"/>
          <w:sz w:val="24"/>
          <w:szCs w:val="24"/>
          <w:rtl w:val="0"/>
        </w:rPr>
        <w:t xml:space="preserve">A Companion to the Greek Language, </w:t>
      </w:r>
      <w:r w:rsidDel="00000000" w:rsidR="00000000" w:rsidRPr="00000000">
        <w:rPr>
          <w:rFonts w:ascii="Times New Roman" w:cs="Times New Roman" w:eastAsia="Times New Roman" w:hAnsi="Times New Roman"/>
          <w:sz w:val="24"/>
          <w:szCs w:val="24"/>
          <w:rtl w:val="0"/>
        </w:rPr>
        <w:t xml:space="preserve">ed. by Egbert J. Bakker (West Sussex: Wiley—Blackwell, 2010), pp. 253–266</w:t>
        <w:br w:type="textWrapping"/>
        <w:br w:type="textWrapping"/>
      </w:r>
      <w:r w:rsidDel="00000000" w:rsidR="00000000" w:rsidRPr="00000000">
        <w:rPr>
          <w:rFonts w:ascii="Times New Roman" w:cs="Times New Roman" w:eastAsia="Times New Roman" w:hAnsi="Times New Roman"/>
          <w:sz w:val="24"/>
          <w:szCs w:val="24"/>
          <w:rtl w:val="0"/>
        </w:rPr>
        <w:t xml:space="preserve">Versnel, H.S., ‘The Poetics of the Magic Charm: An Essay in the Power of Words’, in </w:t>
      </w:r>
      <w:r w:rsidDel="00000000" w:rsidR="00000000" w:rsidRPr="00000000">
        <w:rPr>
          <w:rFonts w:ascii="Times New Roman" w:cs="Times New Roman" w:eastAsia="Times New Roman" w:hAnsi="Times New Roman"/>
          <w:i w:val="1"/>
          <w:iCs w:val="1"/>
          <w:sz w:val="24"/>
          <w:szCs w:val="24"/>
          <w:rtl w:val="0"/>
        </w:rPr>
        <w:t xml:space="preserve">Magic and Ritual in the Ancient World</w:t>
      </w:r>
      <w:r w:rsidDel="00000000" w:rsidR="00000000" w:rsidRPr="00000000">
        <w:rPr>
          <w:rFonts w:ascii="Times New Roman" w:cs="Times New Roman" w:eastAsia="Times New Roman" w:hAnsi="Times New Roman"/>
          <w:sz w:val="24"/>
          <w:szCs w:val="24"/>
          <w:rtl w:val="0"/>
        </w:rPr>
        <w:t xml:space="preserve">, ed. by Paul Mirecki and Marvin Meyer (London and Leiden: Brill, 2002), pp. 105–58.</w:t>
      </w:r>
      <w:r w:rsidDel="00000000" w:rsidR="00000000" w:rsidRPr="00000000">
        <w:rPr>
          <w:rtl w:val="0"/>
        </w:rPr>
      </w:r>
    </w:p>
    <w:p w:rsidR="00000000" w:rsidDel="00000000" w:rsidP="00000000" w:rsidRDefault="00000000" w:rsidRPr="00000000" w14:paraId="000000A6">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240" w:lineRule="auto"/>
        <w:ind w:left="0" w:firstLine="0"/>
        <w:rPr>
          <w:rFonts w:ascii="Times New Roman" w:cs="Times New Roman" w:eastAsia="Times New Roman" w:hAnsi="Times New Roman"/>
          <w:color w:val="141413"/>
          <w:sz w:val="24"/>
          <w:szCs w:val="24"/>
        </w:rPr>
      </w:pPr>
      <w:r w:rsidDel="00000000" w:rsidR="00000000" w:rsidRPr="00000000">
        <w:rPr>
          <w:rtl w:val="0"/>
        </w:rPr>
      </w:r>
    </w:p>
    <w:sectPr>
      <w:headerReference r:id="rId1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19">
    <w:p w:rsidR="00000000" w:rsidDel="00000000" w:rsidP="00000000" w:rsidRDefault="00000000" w:rsidRPr="00000000" w14:paraId="000000A9">
      <w:pPr>
        <w:spacing w:line="240" w:lineRule="auto"/>
        <w:rPr>
          <w:rFonts w:ascii="Times New Roman" w:cs="Times New Roman" w:eastAsia="Times New Roman" w:hAnsi="Times New Roman"/>
          <w:color w:val="141413"/>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It is unclear what is meant by </w:t>
      </w:r>
      <w:r w:rsidDel="00000000" w:rsidR="00000000" w:rsidRPr="00000000">
        <w:rPr>
          <w:rFonts w:ascii="Times New Roman" w:cs="Times New Roman" w:eastAsia="Times New Roman" w:hAnsi="Times New Roman"/>
          <w:color w:val="141413"/>
          <w:sz w:val="20"/>
          <w:szCs w:val="20"/>
          <w:rtl w:val="0"/>
        </w:rPr>
        <w:t xml:space="preserve">ἀνατολῆϲ οὔϲηϲ: O’Neill and Tovar respectively translate it as ‘while the moon is in </w:t>
      </w:r>
    </w:p>
    <w:p w:rsidR="00000000" w:rsidDel="00000000" w:rsidP="00000000" w:rsidRDefault="00000000" w:rsidRPr="00000000" w14:paraId="000000AA">
      <w:pPr>
        <w:spacing w:line="240" w:lineRule="auto"/>
        <w:ind w:firstLine="720"/>
        <w:rPr>
          <w:rFonts w:ascii="Times New Roman" w:cs="Times New Roman" w:eastAsia="Times New Roman" w:hAnsi="Times New Roman"/>
          <w:color w:val="141413"/>
          <w:sz w:val="20"/>
          <w:szCs w:val="20"/>
        </w:rPr>
      </w:pPr>
      <w:r w:rsidDel="00000000" w:rsidR="00000000" w:rsidRPr="00000000">
        <w:rPr>
          <w:rFonts w:ascii="Times New Roman" w:cs="Times New Roman" w:eastAsia="Times New Roman" w:hAnsi="Times New Roman"/>
          <w:color w:val="141413"/>
          <w:sz w:val="20"/>
          <w:szCs w:val="20"/>
          <w:rtl w:val="0"/>
        </w:rPr>
        <w:t xml:space="preserve">the East’ and ‘while the moon is rising.’ Does this suggest the formula is to be performed during the</w:t>
      </w:r>
    </w:p>
    <w:p w:rsidR="00000000" w:rsidDel="00000000" w:rsidP="00000000" w:rsidRDefault="00000000" w:rsidRPr="00000000" w14:paraId="000000AB">
      <w:pPr>
        <w:spacing w:line="240" w:lineRule="auto"/>
        <w:ind w:firstLine="720"/>
        <w:rPr>
          <w:rFonts w:ascii="Times New Roman" w:cs="Times New Roman" w:eastAsia="Times New Roman" w:hAnsi="Times New Roman"/>
          <w:color w:val="141413"/>
          <w:sz w:val="20"/>
          <w:szCs w:val="20"/>
        </w:rPr>
      </w:pPr>
      <w:r w:rsidDel="00000000" w:rsidR="00000000" w:rsidRPr="00000000">
        <w:rPr>
          <w:rFonts w:ascii="Times New Roman" w:cs="Times New Roman" w:eastAsia="Times New Roman" w:hAnsi="Times New Roman"/>
          <w:color w:val="141413"/>
          <w:sz w:val="20"/>
          <w:szCs w:val="20"/>
          <w:rtl w:val="0"/>
        </w:rPr>
        <w:t xml:space="preserve"> waxing phase of the moon or does any visible phase of the moon suffice, as long as it is located in the </w:t>
      </w:r>
    </w:p>
    <w:p w:rsidR="00000000" w:rsidDel="00000000" w:rsidP="00000000" w:rsidRDefault="00000000" w:rsidRPr="00000000" w14:paraId="000000AC">
      <w:pPr>
        <w:spacing w:line="240" w:lineRule="auto"/>
        <w:ind w:left="720" w:firstLine="0"/>
        <w:rPr>
          <w:sz w:val="20"/>
          <w:szCs w:val="20"/>
          <w:highlight w:val="red"/>
        </w:rPr>
      </w:pPr>
      <w:r w:rsidDel="00000000" w:rsidR="00000000" w:rsidRPr="00000000">
        <w:rPr>
          <w:rFonts w:ascii="Times New Roman" w:cs="Times New Roman" w:eastAsia="Times New Roman" w:hAnsi="Times New Roman"/>
          <w:color w:val="141413"/>
          <w:sz w:val="20"/>
          <w:szCs w:val="20"/>
          <w:rtl w:val="0"/>
        </w:rPr>
        <w:t xml:space="preserve">eastern portion of the sky? I choose ‘waxing’ based on a mythical logic, detailed below in the commentary. </w:t>
      </w:r>
      <w:r w:rsidDel="00000000" w:rsidR="00000000" w:rsidRPr="00000000">
        <w:rPr>
          <w:rtl w:val="0"/>
        </w:rPr>
      </w:r>
    </w:p>
  </w:footnote>
  <w:footnote w:id="15">
    <w:p w:rsidR="00000000" w:rsidDel="00000000" w:rsidP="00000000" w:rsidRDefault="00000000" w:rsidRPr="00000000" w14:paraId="000000A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και </w:t>
      </w:r>
    </w:p>
  </w:footnote>
  <w:footnote w:id="6">
    <w:p w:rsidR="00000000" w:rsidDel="00000000" w:rsidP="00000000" w:rsidRDefault="00000000" w:rsidRPr="00000000" w14:paraId="000000A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A single square symbol means ὄνομα, while the doubled symbol  means ὀνόματα. In Middle Egyptian</w:t>
      </w:r>
    </w:p>
    <w:p w:rsidR="00000000" w:rsidDel="00000000" w:rsidP="00000000" w:rsidRDefault="00000000" w:rsidRPr="00000000" w14:paraId="000000AF">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(and perhaps later stages of Egyptian), repeating the hieroglyph served a pluralizing function.</w:t>
      </w:r>
    </w:p>
    <w:p w:rsidR="00000000" w:rsidDel="00000000" w:rsidP="00000000" w:rsidRDefault="00000000" w:rsidRPr="00000000" w14:paraId="000000B0">
      <w:pPr>
        <w:spacing w:line="240" w:lineRule="auto"/>
        <w:ind w:left="72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This symbol as well as others are defined in p.xxvi of </w:t>
      </w:r>
      <w:r w:rsidDel="00000000" w:rsidR="00000000" w:rsidRPr="00000000">
        <w:rPr>
          <w:rFonts w:ascii="Times New Roman" w:cs="Times New Roman" w:eastAsia="Times New Roman" w:hAnsi="Times New Roman"/>
          <w:i w:val="1"/>
          <w:iCs w:val="1"/>
          <w:sz w:val="20"/>
          <w:szCs w:val="20"/>
          <w:rtl w:val="0"/>
        </w:rPr>
        <w:t xml:space="preserve">GEMF</w:t>
      </w:r>
      <w:r w:rsidDel="00000000" w:rsidR="00000000" w:rsidRPr="00000000">
        <w:rPr>
          <w:rFonts w:ascii="Times New Roman" w:cs="Times New Roman" w:eastAsia="Times New Roman" w:hAnsi="Times New Roman"/>
          <w:sz w:val="20"/>
          <w:szCs w:val="20"/>
          <w:rtl w:val="0"/>
        </w:rPr>
        <w:t xml:space="preserve">. Further reading on the Middle Egyptian plural: Mark Collier, Bill Manley, </w:t>
      </w:r>
      <w:r w:rsidDel="00000000" w:rsidR="00000000" w:rsidRPr="00000000">
        <w:rPr>
          <w:rFonts w:ascii="Times New Roman" w:cs="Times New Roman" w:eastAsia="Times New Roman" w:hAnsi="Times New Roman"/>
          <w:i w:val="1"/>
          <w:iCs w:val="1"/>
          <w:sz w:val="20"/>
          <w:szCs w:val="20"/>
          <w:rtl w:val="0"/>
        </w:rPr>
        <w:t xml:space="preserve">How To Read Egyptian Hieroglyphs: A Step-By-Step Guide to Teach Yourself</w:t>
      </w:r>
      <w:r w:rsidDel="00000000" w:rsidR="00000000" w:rsidRPr="00000000">
        <w:rPr>
          <w:rFonts w:ascii="Times New Roman" w:cs="Times New Roman" w:eastAsia="Times New Roman" w:hAnsi="Times New Roman"/>
          <w:sz w:val="20"/>
          <w:szCs w:val="20"/>
          <w:rtl w:val="0"/>
        </w:rPr>
        <w:t xml:space="preserve"> (Berkeley, Los Angeles: University of California Press, 1998)</w:t>
      </w:r>
    </w:p>
  </w:footnote>
  <w:footnote w:id="7">
    <w:p w:rsidR="00000000" w:rsidDel="00000000" w:rsidP="00000000" w:rsidRDefault="00000000" w:rsidRPr="00000000" w14:paraId="000000B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ζµ(υρνῇ).</w:t>
      </w:r>
      <w:r w:rsidDel="00000000" w:rsidR="00000000" w:rsidRPr="00000000">
        <w:rPr>
          <w:rFonts w:ascii="Times New Roman" w:cs="Times New Roman" w:eastAsia="Times New Roman" w:hAnsi="Times New Roman"/>
          <w:color w:val="141413"/>
          <w:sz w:val="20"/>
          <w:szCs w:val="20"/>
          <w:rtl w:val="0"/>
        </w:rPr>
        <w:t xml:space="preserve"> This is a variant of the word σμύρνα</w:t>
      </w:r>
      <w:r w:rsidDel="00000000" w:rsidR="00000000" w:rsidRPr="00000000">
        <w:rPr>
          <w:rFonts w:ascii="Times New Roman" w:cs="Times New Roman" w:eastAsia="Times New Roman" w:hAnsi="Times New Roman"/>
          <w:sz w:val="20"/>
          <w:szCs w:val="20"/>
          <w:rtl w:val="0"/>
        </w:rPr>
        <w:t xml:space="preserve">.</w:t>
      </w:r>
      <w:r w:rsidDel="00000000" w:rsidR="00000000" w:rsidRPr="00000000">
        <w:rPr>
          <w:rtl w:val="0"/>
        </w:rPr>
      </w:r>
    </w:p>
  </w:footnote>
  <w:footnote w:id="17">
    <w:p w:rsidR="00000000" w:rsidDel="00000000" w:rsidP="00000000" w:rsidRDefault="00000000" w:rsidRPr="00000000" w14:paraId="000000B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δραχµαὶ</w:t>
      </w:r>
      <w:r w:rsidDel="00000000" w:rsidR="00000000" w:rsidRPr="00000000">
        <w:rPr>
          <w:rtl w:val="0"/>
        </w:rPr>
      </w:r>
    </w:p>
  </w:footnote>
  <w:footnote w:id="29">
    <w:p w:rsidR="00000000" w:rsidDel="00000000" w:rsidP="00000000" w:rsidRDefault="00000000" w:rsidRPr="00000000" w14:paraId="000000B3">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Ο’Neill, Chronopoulou, and Tovar translate it as ‘7 wings of an ibis.’Given that animal blood was often used as </w:t>
      </w:r>
    </w:p>
    <w:p w:rsidR="00000000" w:rsidDel="00000000" w:rsidP="00000000" w:rsidRDefault="00000000" w:rsidRPr="00000000" w14:paraId="000000B4">
      <w:pPr>
        <w:spacing w:line="240" w:lineRule="auto"/>
        <w:ind w:left="72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an adherent in the production of ink, ‘wings’ could make sense;  However, Liddell and Scott’s Lexicon specifies that πτερόν in the plural tends to mean ‘feathers’ (p. 707). This, in conjunction with 7 ibis wings seeming out-of-proportion relative to the smaller ingredients, as well as the fact that this formula specifically requires the practitioner to wash the ink off the papyrus leads me suggest ‘feathers’ over ‘wings’; it could thus be counter to the formula’s efficacy to have an ink bind too well to the paper. However, it should be also considered that throughout Egyptian religion it was sufficient for the water to simply make contact with the words, especially hieroglyphs inscribed in stone, in order to ‘capture’ their magical potency. My suggestion here for further research would be to ascertain whether the ink’s ingredients serve a pharmacological purpose, as animal blood was often used in medicine. Such an investigation might help elucidate a more accurate translation.</w:t>
      </w:r>
    </w:p>
  </w:footnote>
  <w:footnote w:id="27">
    <w:p w:rsidR="00000000" w:rsidDel="00000000" w:rsidP="00000000" w:rsidRDefault="00000000" w:rsidRPr="00000000" w14:paraId="000000B5">
      <w:pPr>
        <w:spacing w:line="240" w:lineRule="auto"/>
        <w:rPr>
          <w:rFonts w:ascii="Times New Roman" w:cs="Times New Roman" w:eastAsia="Times New Roman" w:hAnsi="Times New Roman"/>
          <w:sz w:val="20"/>
          <w:szCs w:val="20"/>
          <w:highlight w:val="red"/>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 southwestern region of Anatolia.</w:t>
      </w:r>
      <w:r w:rsidDel="00000000" w:rsidR="00000000" w:rsidRPr="00000000">
        <w:rPr>
          <w:rtl w:val="0"/>
        </w:rPr>
      </w:r>
    </w:p>
  </w:footnote>
  <w:footnote w:id="28">
    <w:p w:rsidR="00000000" w:rsidDel="00000000" w:rsidP="00000000" w:rsidRDefault="00000000" w:rsidRPr="00000000" w14:paraId="000000B6">
      <w:pPr>
        <w:spacing w:line="240" w:lineRule="auto"/>
        <w:rPr>
          <w:rFonts w:ascii="Times New Roman" w:cs="Times New Roman" w:eastAsia="Times New Roman" w:hAnsi="Times New Roman"/>
          <w:color w:val="141413"/>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It is not clear what species of date this is: </w:t>
      </w:r>
      <w:r w:rsidDel="00000000" w:rsidR="00000000" w:rsidRPr="00000000">
        <w:rPr>
          <w:rFonts w:ascii="Times New Roman" w:cs="Times New Roman" w:eastAsia="Times New Roman" w:hAnsi="Times New Roman"/>
          <w:color w:val="141413"/>
          <w:sz w:val="20"/>
          <w:szCs w:val="20"/>
          <w:rtl w:val="0"/>
        </w:rPr>
        <w:t xml:space="preserve">Thomas Christiansen, ‘Manufacture of Black Ink in the Ancient </w:t>
      </w:r>
    </w:p>
    <w:p w:rsidR="00000000" w:rsidDel="00000000" w:rsidP="00000000" w:rsidRDefault="00000000" w:rsidRPr="00000000" w14:paraId="000000B7">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141413"/>
          <w:sz w:val="20"/>
          <w:szCs w:val="20"/>
          <w:rtl w:val="0"/>
        </w:rPr>
        <w:t xml:space="preserve">Mediterranean’, in </w:t>
      </w:r>
      <w:r w:rsidDel="00000000" w:rsidR="00000000" w:rsidRPr="00000000">
        <w:rPr>
          <w:rFonts w:ascii="Times New Roman" w:cs="Times New Roman" w:eastAsia="Times New Roman" w:hAnsi="Times New Roman"/>
          <w:i w:val="1"/>
          <w:iCs w:val="1"/>
          <w:color w:val="141413"/>
          <w:sz w:val="20"/>
          <w:szCs w:val="20"/>
          <w:rtl w:val="0"/>
        </w:rPr>
        <w:t xml:space="preserve">Bulletin of the American Society of Papyrologists,</w:t>
      </w:r>
      <w:r w:rsidDel="00000000" w:rsidR="00000000" w:rsidRPr="00000000">
        <w:rPr>
          <w:rFonts w:ascii="Times New Roman" w:cs="Times New Roman" w:eastAsia="Times New Roman" w:hAnsi="Times New Roman"/>
          <w:color w:val="141413"/>
          <w:sz w:val="20"/>
          <w:szCs w:val="20"/>
          <w:rtl w:val="0"/>
        </w:rPr>
        <w:t xml:space="preserve"> 54 (2017), pp. 167–195, p. 177.</w:t>
      </w:r>
      <w:r w:rsidDel="00000000" w:rsidR="00000000" w:rsidRPr="00000000">
        <w:rPr>
          <w:rtl w:val="0"/>
        </w:rPr>
      </w:r>
    </w:p>
  </w:footnote>
  <w:footnote w:id="16">
    <w:p w:rsidR="00000000" w:rsidDel="00000000" w:rsidP="00000000" w:rsidRDefault="00000000" w:rsidRPr="00000000" w14:paraId="000000B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Interestingly, the following ingredients are given in the accusative case.</w:t>
      </w:r>
    </w:p>
  </w:footnote>
  <w:footnote w:id="26">
    <w:p w:rsidR="00000000" w:rsidDel="00000000" w:rsidP="00000000" w:rsidRDefault="00000000" w:rsidRPr="00000000" w14:paraId="000000B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LiDonnici estimates this to have cost about 26 denarii. For further reading on the difficulties in identifying the </w:t>
      </w:r>
    </w:p>
    <w:p w:rsidR="00000000" w:rsidDel="00000000" w:rsidP="00000000" w:rsidRDefault="00000000" w:rsidRPr="00000000" w14:paraId="000000BA">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ingredients of the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and the socio–economic context surrounding them: </w:t>
      </w:r>
    </w:p>
    <w:p w:rsidR="00000000" w:rsidDel="00000000" w:rsidP="00000000" w:rsidRDefault="00000000" w:rsidRPr="00000000" w14:paraId="000000BB">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Lynn R. LiDonnici, ‘Single-Stemmed Wormwood, Pinecones and Myrrh: Expense and Availability of </w:t>
      </w:r>
    </w:p>
    <w:p w:rsidR="00000000" w:rsidDel="00000000" w:rsidP="00000000" w:rsidRDefault="00000000" w:rsidRPr="00000000" w14:paraId="000000BC">
      <w:pPr>
        <w:spacing w:line="240" w:lineRule="auto"/>
        <w:ind w:left="720" w:firstLine="0"/>
        <w:rPr>
          <w:rFonts w:ascii="Times New Roman" w:cs="Times New Roman" w:eastAsia="Times New Roman" w:hAnsi="Times New Roman"/>
          <w:sz w:val="20"/>
          <w:szCs w:val="20"/>
          <w:highlight w:val="red"/>
        </w:rPr>
      </w:pPr>
      <w:r w:rsidDel="00000000" w:rsidR="00000000" w:rsidRPr="00000000">
        <w:rPr>
          <w:rFonts w:ascii="Times New Roman" w:cs="Times New Roman" w:eastAsia="Times New Roman" w:hAnsi="Times New Roman"/>
          <w:sz w:val="20"/>
          <w:szCs w:val="20"/>
          <w:rtl w:val="0"/>
        </w:rPr>
        <w:t xml:space="preserve">Recipe Ingredients in the </w:t>
      </w:r>
      <w:r w:rsidDel="00000000" w:rsidR="00000000" w:rsidRPr="00000000">
        <w:rPr>
          <w:rFonts w:ascii="Times New Roman" w:cs="Times New Roman" w:eastAsia="Times New Roman" w:hAnsi="Times New Roman"/>
          <w:i w:val="1"/>
          <w:iCs w:val="1"/>
          <w:sz w:val="20"/>
          <w:szCs w:val="20"/>
          <w:rtl w:val="0"/>
        </w:rPr>
        <w:t xml:space="preserve">Greek Magical Papyri’, Kernos</w:t>
      </w:r>
      <w:r w:rsidDel="00000000" w:rsidR="00000000" w:rsidRPr="00000000">
        <w:rPr>
          <w:rFonts w:ascii="Times New Roman" w:cs="Times New Roman" w:eastAsia="Times New Roman" w:hAnsi="Times New Roman"/>
          <w:sz w:val="20"/>
          <w:szCs w:val="20"/>
          <w:rtl w:val="0"/>
        </w:rPr>
        <w:t xml:space="preserve">, 14 (2001), pp. 61–91.</w:t>
      </w:r>
      <w:r w:rsidDel="00000000" w:rsidR="00000000" w:rsidRPr="00000000">
        <w:rPr>
          <w:rtl w:val="0"/>
        </w:rPr>
      </w:r>
    </w:p>
  </w:footnote>
  <w:footnote w:id="30">
    <w:p w:rsidR="00000000" w:rsidDel="00000000" w:rsidP="00000000" w:rsidRDefault="00000000" w:rsidRPr="00000000" w14:paraId="000000BD">
      <w:pPr>
        <w:spacing w:line="240" w:lineRule="auto"/>
        <w:rPr>
          <w:rFonts w:ascii="Times New Roman" w:cs="Times New Roman" w:eastAsia="Times New Roman" w:hAnsi="Times New Roman"/>
          <w:color w:val="1f1f1f"/>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f1f1f"/>
          <w:sz w:val="20"/>
          <w:szCs w:val="20"/>
          <w:rtl w:val="0"/>
        </w:rPr>
        <w:t xml:space="preserve">Gaëlle Tallet, Christiane Zivie‐Coche, ‘Imported Cults’, in </w:t>
      </w:r>
      <w:r w:rsidDel="00000000" w:rsidR="00000000" w:rsidRPr="00000000">
        <w:rPr>
          <w:rFonts w:ascii="Times New Roman" w:cs="Times New Roman" w:eastAsia="Times New Roman" w:hAnsi="Times New Roman"/>
          <w:i w:val="1"/>
          <w:iCs w:val="1"/>
          <w:color w:val="1f1f1f"/>
          <w:sz w:val="20"/>
          <w:szCs w:val="20"/>
          <w:rtl w:val="0"/>
        </w:rPr>
        <w:t xml:space="preserve">The Oxford Handbook of Roman Egypt</w:t>
      </w:r>
      <w:r w:rsidDel="00000000" w:rsidR="00000000" w:rsidRPr="00000000">
        <w:rPr>
          <w:rFonts w:ascii="Times New Roman" w:cs="Times New Roman" w:eastAsia="Times New Roman" w:hAnsi="Times New Roman"/>
          <w:color w:val="1f1f1f"/>
          <w:sz w:val="20"/>
          <w:szCs w:val="20"/>
          <w:rtl w:val="0"/>
        </w:rPr>
        <w:t xml:space="preserve">, </w:t>
      </w:r>
    </w:p>
    <w:p w:rsidR="00000000" w:rsidDel="00000000" w:rsidP="00000000" w:rsidRDefault="00000000" w:rsidRPr="00000000" w14:paraId="000000BE">
      <w:pPr>
        <w:spacing w:line="240" w:lineRule="auto"/>
        <w:ind w:firstLine="720"/>
        <w:rPr>
          <w:sz w:val="20"/>
          <w:szCs w:val="20"/>
          <w:highlight w:val="red"/>
        </w:rPr>
      </w:pPr>
      <w:r w:rsidDel="00000000" w:rsidR="00000000" w:rsidRPr="00000000">
        <w:rPr>
          <w:rFonts w:ascii="Times New Roman" w:cs="Times New Roman" w:eastAsia="Times New Roman" w:hAnsi="Times New Roman"/>
          <w:color w:val="1f1f1f"/>
          <w:sz w:val="20"/>
          <w:szCs w:val="20"/>
          <w:rtl w:val="0"/>
        </w:rPr>
        <w:t xml:space="preserve">ed. by Christina Riggs (Oxford: Oxford University Press, 2012), pp. 436–456, p. 438, 443.</w:t>
      </w:r>
      <w:r w:rsidDel="00000000" w:rsidR="00000000" w:rsidRPr="00000000">
        <w:rPr>
          <w:rtl w:val="0"/>
        </w:rPr>
      </w:r>
    </w:p>
  </w:footnote>
  <w:footnote w:id="32">
    <w:p w:rsidR="00000000" w:rsidDel="00000000" w:rsidP="00000000" w:rsidRDefault="00000000" w:rsidRPr="00000000" w14:paraId="000000B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 Plutarch, </w:t>
      </w:r>
      <w:r w:rsidDel="00000000" w:rsidR="00000000" w:rsidRPr="00000000">
        <w:rPr>
          <w:rFonts w:ascii="Times New Roman" w:cs="Times New Roman" w:eastAsia="Times New Roman" w:hAnsi="Times New Roman"/>
          <w:i w:val="1"/>
          <w:iCs w:val="1"/>
          <w:sz w:val="20"/>
          <w:szCs w:val="20"/>
          <w:rtl w:val="0"/>
        </w:rPr>
        <w:t xml:space="preserve">Moralia, Vol. 5</w:t>
      </w:r>
      <w:r w:rsidDel="00000000" w:rsidR="00000000" w:rsidRPr="00000000">
        <w:rPr>
          <w:rFonts w:ascii="Times New Roman" w:cs="Times New Roman" w:eastAsia="Times New Roman" w:hAnsi="Times New Roman"/>
          <w:sz w:val="20"/>
          <w:szCs w:val="20"/>
          <w:rtl w:val="0"/>
        </w:rPr>
        <w:t xml:space="preserve">, trans. by Frank Cole Babbit, Loeb Classical Library 306 </w:t>
      </w:r>
    </w:p>
    <w:p w:rsidR="00000000" w:rsidDel="00000000" w:rsidP="00000000" w:rsidRDefault="00000000" w:rsidRPr="00000000" w14:paraId="000000C0">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(Cambridge: Harvard University Press, 1936), p. 45.</w:t>
      </w:r>
    </w:p>
  </w:footnote>
  <w:footnote w:id="8">
    <w:p w:rsidR="00000000" w:rsidDel="00000000" w:rsidP="00000000" w:rsidRDefault="00000000" w:rsidRPr="00000000" w14:paraId="000000C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µ(έλανι)</w:t>
      </w:r>
      <w:r w:rsidDel="00000000" w:rsidR="00000000" w:rsidRPr="00000000">
        <w:rPr>
          <w:rtl w:val="0"/>
        </w:rPr>
      </w:r>
    </w:p>
  </w:footnote>
  <w:footnote w:id="11">
    <w:p w:rsidR="00000000" w:rsidDel="00000000" w:rsidP="00000000" w:rsidRDefault="00000000" w:rsidRPr="00000000" w14:paraId="000000C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This is an example of isosephy— the practice of assigning alphabet letters to numbers —that is used later in lines </w:t>
      </w:r>
    </w:p>
    <w:p w:rsidR="00000000" w:rsidDel="00000000" w:rsidP="00000000" w:rsidRDefault="00000000" w:rsidRPr="00000000" w14:paraId="000000C3">
      <w:pPr>
        <w:spacing w:line="240" w:lineRule="auto"/>
        <w:ind w:firstLine="720"/>
        <w:rPr>
          <w:rFonts w:ascii="Times New Roman" w:cs="Times New Roman" w:eastAsia="Times New Roman" w:hAnsi="Times New Roman"/>
          <w:sz w:val="20"/>
          <w:szCs w:val="20"/>
          <w:highlight w:val="red"/>
        </w:rPr>
      </w:pPr>
      <w:r w:rsidDel="00000000" w:rsidR="00000000" w:rsidRPr="00000000">
        <w:rPr>
          <w:rFonts w:ascii="Times New Roman" w:cs="Times New Roman" w:eastAsia="Times New Roman" w:hAnsi="Times New Roman"/>
          <w:sz w:val="20"/>
          <w:szCs w:val="20"/>
          <w:rtl w:val="0"/>
        </w:rPr>
        <w:t xml:space="preserve">14–16 and across the wider </w:t>
      </w:r>
      <w:r w:rsidDel="00000000" w:rsidR="00000000" w:rsidRPr="00000000">
        <w:rPr>
          <w:rFonts w:ascii="Times New Roman" w:cs="Times New Roman" w:eastAsia="Times New Roman" w:hAnsi="Times New Roman"/>
          <w:i w:val="1"/>
          <w:iCs w:val="1"/>
          <w:sz w:val="20"/>
          <w:szCs w:val="20"/>
          <w:rtl w:val="0"/>
        </w:rPr>
        <w:t xml:space="preserve">GEMF</w:t>
      </w:r>
      <w:r w:rsidDel="00000000" w:rsidR="00000000" w:rsidRPr="00000000">
        <w:rPr>
          <w:rFonts w:ascii="Times New Roman" w:cs="Times New Roman" w:eastAsia="Times New Roman" w:hAnsi="Times New Roman"/>
          <w:sz w:val="20"/>
          <w:szCs w:val="20"/>
          <w:rtl w:val="0"/>
        </w:rPr>
        <w:t xml:space="preserve">.</w:t>
      </w:r>
      <w:r w:rsidDel="00000000" w:rsidR="00000000" w:rsidRPr="00000000">
        <w:rPr>
          <w:rtl w:val="0"/>
        </w:rPr>
      </w:r>
    </w:p>
  </w:footnote>
  <w:footnote w:id="14">
    <w:p w:rsidR="00000000" w:rsidDel="00000000" w:rsidP="00000000" w:rsidRDefault="00000000" w:rsidRPr="00000000" w14:paraId="000000C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Σελήνη</w:t>
      </w:r>
    </w:p>
  </w:footnote>
  <w:footnote w:id="23">
    <w:p w:rsidR="00000000" w:rsidDel="00000000" w:rsidP="00000000" w:rsidRDefault="00000000" w:rsidRPr="00000000" w14:paraId="000000C5">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sz w:val="20"/>
          <w:szCs w:val="20"/>
          <w:rtl w:val="0"/>
        </w:rPr>
        <w:t xml:space="preserve">Strings of the 7 Greek vowels are found throughout the </w:t>
      </w:r>
      <w:r w:rsidDel="00000000" w:rsidR="00000000" w:rsidRPr="00000000">
        <w:rPr>
          <w:rFonts w:ascii="Times New Roman" w:cs="Times New Roman" w:eastAsia="Times New Roman" w:hAnsi="Times New Roman"/>
          <w:i w:val="1"/>
          <w:iCs w:val="1"/>
          <w:sz w:val="20"/>
          <w:szCs w:val="20"/>
          <w:rtl w:val="0"/>
        </w:rPr>
        <w:t xml:space="preserve">GEMF</w:t>
      </w:r>
      <w:r w:rsidDel="00000000" w:rsidR="00000000" w:rsidRPr="00000000">
        <w:rPr>
          <w:rFonts w:ascii="Times New Roman" w:cs="Times New Roman" w:eastAsia="Times New Roman" w:hAnsi="Times New Roman"/>
          <w:sz w:val="20"/>
          <w:szCs w:val="20"/>
          <w:rtl w:val="0"/>
        </w:rPr>
        <w:t xml:space="preserve">, representing the 7 musical tones and perhaps </w:t>
      </w:r>
    </w:p>
    <w:p w:rsidR="00000000" w:rsidDel="00000000" w:rsidP="00000000" w:rsidRDefault="00000000" w:rsidRPr="00000000" w14:paraId="000000C6">
      <w:pPr>
        <w:spacing w:line="240" w:lineRule="auto"/>
        <w:ind w:firstLine="720"/>
        <w:rPr>
          <w:rFonts w:ascii="Times New Roman" w:cs="Times New Roman" w:eastAsia="Times New Roman" w:hAnsi="Times New Roman"/>
          <w:i w:val="1"/>
          <w:iCs w:val="1"/>
          <w:color w:val="141413"/>
          <w:sz w:val="20"/>
          <w:szCs w:val="20"/>
        </w:rPr>
      </w:pPr>
      <w:r w:rsidDel="00000000" w:rsidR="00000000" w:rsidRPr="00000000">
        <w:rPr>
          <w:rFonts w:ascii="Times New Roman" w:cs="Times New Roman" w:eastAsia="Times New Roman" w:hAnsi="Times New Roman"/>
          <w:sz w:val="20"/>
          <w:szCs w:val="20"/>
          <w:rtl w:val="0"/>
        </w:rPr>
        <w:t xml:space="preserve">instructing the practitioner to effect a sort of chant</w:t>
      </w:r>
      <w:r w:rsidDel="00000000" w:rsidR="00000000" w:rsidRPr="00000000">
        <w:rPr>
          <w:rFonts w:ascii="Times New Roman" w:cs="Times New Roman" w:eastAsia="Times New Roman" w:hAnsi="Times New Roman"/>
          <w:color w:val="141413"/>
          <w:sz w:val="20"/>
          <w:szCs w:val="20"/>
          <w:rtl w:val="0"/>
        </w:rPr>
        <w:t xml:space="preserve">: Radcliffe G. III Edmonds, </w:t>
      </w:r>
      <w:r w:rsidDel="00000000" w:rsidR="00000000" w:rsidRPr="00000000">
        <w:rPr>
          <w:rFonts w:ascii="Times New Roman" w:cs="Times New Roman" w:eastAsia="Times New Roman" w:hAnsi="Times New Roman"/>
          <w:i w:val="1"/>
          <w:iCs w:val="1"/>
          <w:color w:val="141413"/>
          <w:sz w:val="20"/>
          <w:szCs w:val="20"/>
          <w:rtl w:val="0"/>
        </w:rPr>
        <w:t xml:space="preserve">Drawing Down the Moon: </w:t>
      </w:r>
    </w:p>
    <w:p w:rsidR="00000000" w:rsidDel="00000000" w:rsidP="00000000" w:rsidRDefault="00000000" w:rsidRPr="00000000" w14:paraId="000000C7">
      <w:pPr>
        <w:spacing w:line="240" w:lineRule="auto"/>
        <w:ind w:left="72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i w:val="1"/>
          <w:iCs w:val="1"/>
          <w:color w:val="141413"/>
          <w:sz w:val="20"/>
          <w:szCs w:val="20"/>
          <w:rtl w:val="0"/>
        </w:rPr>
        <w:t xml:space="preserve">Magic in the Ancient Greco-Roman World </w:t>
      </w:r>
      <w:r w:rsidDel="00000000" w:rsidR="00000000" w:rsidRPr="00000000">
        <w:rPr>
          <w:rFonts w:ascii="Times New Roman" w:cs="Times New Roman" w:eastAsia="Times New Roman" w:hAnsi="Times New Roman"/>
          <w:color w:val="141413"/>
          <w:sz w:val="20"/>
          <w:szCs w:val="20"/>
          <w:rtl w:val="0"/>
        </w:rPr>
        <w:t xml:space="preserve">(Princeton: Princeton University Press, 2019), p. 86.</w:t>
      </w:r>
      <w:r w:rsidDel="00000000" w:rsidR="00000000" w:rsidRPr="00000000">
        <w:rPr>
          <w:rtl w:val="0"/>
        </w:rPr>
      </w:r>
    </w:p>
  </w:footnote>
  <w:footnote w:id="10">
    <w:p w:rsidR="00000000" w:rsidDel="00000000" w:rsidP="00000000" w:rsidRDefault="00000000" w:rsidRPr="00000000" w14:paraId="000000C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color w:val="141413"/>
          <w:sz w:val="20"/>
          <w:szCs w:val="20"/>
          <w:rtl w:val="0"/>
        </w:rPr>
        <w:t xml:space="preserve"> The use of εἰ does not make sense here, so this is probably an error where the scribe meant </w:t>
      </w:r>
      <w:r w:rsidDel="00000000" w:rsidR="00000000" w:rsidRPr="00000000">
        <w:rPr>
          <w:rFonts w:ascii="Times New Roman" w:cs="Times New Roman" w:eastAsia="Times New Roman" w:hAnsi="Times New Roman"/>
          <w:sz w:val="20"/>
          <w:szCs w:val="20"/>
          <w:rtl w:val="0"/>
        </w:rPr>
        <w:t xml:space="preserve">ἐ</w:t>
      </w:r>
      <w:r w:rsidDel="00000000" w:rsidR="00000000" w:rsidRPr="00000000">
        <w:rPr>
          <w:rFonts w:ascii="Times New Roman" w:cs="Times New Roman" w:eastAsia="Times New Roman" w:hAnsi="Times New Roman"/>
          <w:sz w:val="20"/>
          <w:szCs w:val="20"/>
          <w:rtl w:val="0"/>
        </w:rPr>
        <w:t xml:space="preserve">πὶ or, </w:t>
      </w:r>
    </w:p>
    <w:p w:rsidR="00000000" w:rsidDel="00000000" w:rsidP="00000000" w:rsidRDefault="00000000" w:rsidRPr="00000000" w14:paraId="000000C9">
      <w:pPr>
        <w:spacing w:line="240" w:lineRule="auto"/>
        <w:ind w:firstLine="720"/>
        <w:rPr>
          <w:rFonts w:ascii="Times New Roman" w:cs="Times New Roman" w:eastAsia="Times New Roman" w:hAnsi="Times New Roman"/>
          <w:color w:val="141413"/>
          <w:sz w:val="20"/>
          <w:szCs w:val="20"/>
        </w:rPr>
      </w:pPr>
      <w:r w:rsidDel="00000000" w:rsidR="00000000" w:rsidRPr="00000000">
        <w:rPr>
          <w:rFonts w:ascii="Times New Roman" w:cs="Times New Roman" w:eastAsia="Times New Roman" w:hAnsi="Times New Roman"/>
          <w:sz w:val="20"/>
          <w:szCs w:val="20"/>
          <w:rtl w:val="0"/>
        </w:rPr>
        <w:t xml:space="preserve">more appropriately, </w:t>
      </w:r>
      <w:r w:rsidDel="00000000" w:rsidR="00000000" w:rsidRPr="00000000">
        <w:rPr>
          <w:rFonts w:ascii="Times New Roman" w:cs="Times New Roman" w:eastAsia="Times New Roman" w:hAnsi="Times New Roman"/>
          <w:color w:val="141413"/>
          <w:sz w:val="20"/>
          <w:szCs w:val="20"/>
          <w:rtl w:val="0"/>
        </w:rPr>
        <w:t xml:space="preserve">ἐφ’-. Perhaps εἰ is an Egyptian variant of </w:t>
      </w:r>
      <w:r w:rsidDel="00000000" w:rsidR="00000000" w:rsidRPr="00000000">
        <w:rPr>
          <w:rFonts w:ascii="Times New Roman" w:cs="Times New Roman" w:eastAsia="Times New Roman" w:hAnsi="Times New Roman"/>
          <w:sz w:val="20"/>
          <w:szCs w:val="20"/>
          <w:rtl w:val="0"/>
        </w:rPr>
        <w:t xml:space="preserve">ἐπὶ, but the scribe writes </w:t>
      </w:r>
      <w:r w:rsidDel="00000000" w:rsidR="00000000" w:rsidRPr="00000000">
        <w:rPr>
          <w:rFonts w:ascii="Times New Roman" w:cs="Times New Roman" w:eastAsia="Times New Roman" w:hAnsi="Times New Roman"/>
          <w:color w:val="141413"/>
          <w:sz w:val="20"/>
          <w:szCs w:val="20"/>
          <w:rtl w:val="0"/>
        </w:rPr>
        <w:t xml:space="preserve">ἐπὶ in line 5 </w:t>
      </w:r>
    </w:p>
    <w:p w:rsidR="00000000" w:rsidDel="00000000" w:rsidP="00000000" w:rsidRDefault="00000000" w:rsidRPr="00000000" w14:paraId="000000CA">
      <w:pPr>
        <w:spacing w:line="240" w:lineRule="auto"/>
        <w:ind w:left="72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141413"/>
          <w:sz w:val="20"/>
          <w:szCs w:val="20"/>
          <w:rtl w:val="0"/>
        </w:rPr>
        <w:t xml:space="preserve">(even if, again, it should really be </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ἐφ’- due to the subsequent rough breathing). Interestingly, the scribe uses ἐξ, the correct form for ἐκ when preceding a vowel, in line 5. </w:t>
      </w:r>
      <w:r w:rsidDel="00000000" w:rsidR="00000000" w:rsidRPr="00000000">
        <w:rPr>
          <w:rtl w:val="0"/>
        </w:rPr>
      </w:r>
    </w:p>
  </w:footnote>
  <w:footnote w:id="12">
    <w:p w:rsidR="00000000" w:rsidDel="00000000" w:rsidP="00000000" w:rsidRDefault="00000000" w:rsidRPr="00000000" w14:paraId="000000C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αὐτὸ</w:t>
      </w:r>
      <w:r w:rsidDel="00000000" w:rsidR="00000000" w:rsidRPr="00000000">
        <w:rPr>
          <w:rtl w:val="0"/>
        </w:rPr>
      </w:r>
    </w:p>
  </w:footnote>
  <w:footnote w:id="24">
    <w:p w:rsidR="00000000" w:rsidDel="00000000" w:rsidP="00000000" w:rsidRDefault="00000000" w:rsidRPr="00000000" w14:paraId="000000CC">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In this case, drachmai is most likely an increment of weight, not a price.</w:t>
      </w:r>
    </w:p>
  </w:footnote>
  <w:footnote w:id="25">
    <w:p w:rsidR="00000000" w:rsidDel="00000000" w:rsidP="00000000" w:rsidRDefault="00000000" w:rsidRPr="00000000" w14:paraId="000000C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According to Pliny, this form of myrrh would have come from the interior of Africa: </w:t>
      </w:r>
    </w:p>
    <w:p w:rsidR="00000000" w:rsidDel="00000000" w:rsidP="00000000" w:rsidRDefault="00000000" w:rsidRPr="00000000" w14:paraId="000000CE">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LiDonnici, ‘Wormwood, Pinecones and Myrrh’, p.71.</w:t>
      </w:r>
    </w:p>
  </w:footnote>
  <w:footnote w:id="9">
    <w:p w:rsidR="00000000" w:rsidDel="00000000" w:rsidP="00000000" w:rsidRDefault="00000000" w:rsidRPr="00000000" w14:paraId="000000CF">
      <w:pPr>
        <w:spacing w:line="240" w:lineRule="auto"/>
        <w:ind w:left="0" w:firstLine="0"/>
        <w:rPr>
          <w:rFonts w:ascii="Times New Roman" w:cs="Times New Roman" w:eastAsia="Times New Roman" w:hAnsi="Times New Roman"/>
          <w:color w:val="141413"/>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The use of the younger diphthong </w:t>
      </w:r>
      <w:r w:rsidDel="00000000" w:rsidR="00000000" w:rsidRPr="00000000">
        <w:rPr>
          <w:rFonts w:ascii="Times New Roman" w:cs="Times New Roman" w:eastAsia="Times New Roman" w:hAnsi="Times New Roman"/>
          <w:color w:val="141413"/>
          <w:sz w:val="20"/>
          <w:szCs w:val="20"/>
          <w:rtl w:val="0"/>
        </w:rPr>
        <w:t xml:space="preserve">ϊ was a common trend in the 2nd–3rd cent. CE during the spread of Koine </w:t>
      </w:r>
    </w:p>
    <w:p w:rsidR="00000000" w:rsidDel="00000000" w:rsidP="00000000" w:rsidRDefault="00000000" w:rsidRPr="00000000" w14:paraId="000000D0">
      <w:pPr>
        <w:spacing w:line="240" w:lineRule="auto"/>
        <w:ind w:left="0" w:firstLine="720"/>
        <w:rPr>
          <w:rFonts w:ascii="Times New Roman" w:cs="Times New Roman" w:eastAsia="Times New Roman" w:hAnsi="Times New Roman"/>
          <w:color w:val="141413"/>
          <w:sz w:val="20"/>
          <w:szCs w:val="20"/>
        </w:rPr>
      </w:pPr>
      <w:r w:rsidDel="00000000" w:rsidR="00000000" w:rsidRPr="00000000">
        <w:rPr>
          <w:rFonts w:ascii="Times New Roman" w:cs="Times New Roman" w:eastAsia="Times New Roman" w:hAnsi="Times New Roman"/>
          <w:color w:val="141413"/>
          <w:sz w:val="20"/>
          <w:szCs w:val="20"/>
          <w:rtl w:val="0"/>
        </w:rPr>
        <w:t xml:space="preserve">Greek. The use of the dative case here, whose omission is one of the chief characteristics of Koine Greek, </w:t>
      </w:r>
    </w:p>
    <w:p w:rsidR="00000000" w:rsidDel="00000000" w:rsidP="00000000" w:rsidRDefault="00000000" w:rsidRPr="00000000" w14:paraId="000000D1">
      <w:pPr>
        <w:spacing w:line="240" w:lineRule="auto"/>
        <w:ind w:left="720" w:firstLine="0"/>
        <w:rPr>
          <w:rFonts w:ascii="Times New Roman" w:cs="Times New Roman" w:eastAsia="Times New Roman" w:hAnsi="Times New Roman"/>
          <w:color w:val="141413"/>
          <w:sz w:val="20"/>
          <w:szCs w:val="20"/>
        </w:rPr>
      </w:pPr>
      <w:r w:rsidDel="00000000" w:rsidR="00000000" w:rsidRPr="00000000">
        <w:rPr>
          <w:rFonts w:ascii="Times New Roman" w:cs="Times New Roman" w:eastAsia="Times New Roman" w:hAnsi="Times New Roman"/>
          <w:color w:val="141413"/>
          <w:sz w:val="20"/>
          <w:szCs w:val="20"/>
          <w:rtl w:val="0"/>
        </w:rPr>
        <w:t xml:space="preserve">introduces an interesting contradiction. Perhaps this is a sign of the scribe’s attempt at Atticization, which was also a peaking trend in the 2nd–3rd centuries. Further reading on the characteristics of Koine and Atticism: </w:t>
      </w:r>
      <w:r w:rsidDel="00000000" w:rsidR="00000000" w:rsidRPr="00000000">
        <w:rPr>
          <w:rFonts w:ascii="Times New Roman" w:cs="Times New Roman" w:eastAsia="Times New Roman" w:hAnsi="Times New Roman"/>
          <w:color w:val="141413"/>
          <w:sz w:val="20"/>
          <w:szCs w:val="20"/>
          <w:rtl w:val="0"/>
        </w:rPr>
        <w:t xml:space="preserve">Claude Brixhe, ‘Linguistic Diversity in Asia Minor during the Empire: </w:t>
      </w:r>
      <w:r w:rsidDel="00000000" w:rsidR="00000000" w:rsidRPr="00000000">
        <w:rPr>
          <w:rFonts w:ascii="Times New Roman" w:cs="Times New Roman" w:eastAsia="Times New Roman" w:hAnsi="Times New Roman"/>
          <w:i w:val="1"/>
          <w:iCs w:val="1"/>
          <w:color w:val="141413"/>
          <w:sz w:val="20"/>
          <w:szCs w:val="20"/>
          <w:rtl w:val="0"/>
        </w:rPr>
        <w:t xml:space="preserve">Koine</w:t>
      </w:r>
      <w:r w:rsidDel="00000000" w:rsidR="00000000" w:rsidRPr="00000000">
        <w:rPr>
          <w:rFonts w:ascii="Times New Roman" w:cs="Times New Roman" w:eastAsia="Times New Roman" w:hAnsi="Times New Roman"/>
          <w:color w:val="141413"/>
          <w:sz w:val="20"/>
          <w:szCs w:val="20"/>
          <w:rtl w:val="0"/>
        </w:rPr>
        <w:t xml:space="preserve"> and Non-Greek Languages’, in </w:t>
      </w:r>
      <w:r w:rsidDel="00000000" w:rsidR="00000000" w:rsidRPr="00000000">
        <w:rPr>
          <w:rFonts w:ascii="Times New Roman" w:cs="Times New Roman" w:eastAsia="Times New Roman" w:hAnsi="Times New Roman"/>
          <w:i w:val="1"/>
          <w:iCs w:val="1"/>
          <w:color w:val="141413"/>
          <w:sz w:val="20"/>
          <w:szCs w:val="20"/>
          <w:rtl w:val="0"/>
        </w:rPr>
        <w:t xml:space="preserve">A Companion to the Greek Language, </w:t>
      </w:r>
      <w:r w:rsidDel="00000000" w:rsidR="00000000" w:rsidRPr="00000000">
        <w:rPr>
          <w:rFonts w:ascii="Times New Roman" w:cs="Times New Roman" w:eastAsia="Times New Roman" w:hAnsi="Times New Roman"/>
          <w:color w:val="141413"/>
          <w:sz w:val="20"/>
          <w:szCs w:val="20"/>
          <w:rtl w:val="0"/>
        </w:rPr>
        <w:t xml:space="preserve">ed. by Egbert J. Bakker (West Sussex: Wiley—Blackwell, 2010), pp. 228—252;</w:t>
      </w:r>
      <w:r w:rsidDel="00000000" w:rsidR="00000000" w:rsidRPr="00000000">
        <w:rPr>
          <w:rFonts w:ascii="Times New Roman" w:cs="Times New Roman" w:eastAsia="Times New Roman" w:hAnsi="Times New Roman"/>
          <w:sz w:val="20"/>
          <w:szCs w:val="20"/>
          <w:rtl w:val="0"/>
        </w:rPr>
        <w:t xml:space="preserve"> Lawrence Kim, ‘The Literary Heritage as Language: Atticism and the Second Sophistic‘, in </w:t>
      </w:r>
      <w:r w:rsidDel="00000000" w:rsidR="00000000" w:rsidRPr="00000000">
        <w:rPr>
          <w:rFonts w:ascii="Times New Roman" w:cs="Times New Roman" w:eastAsia="Times New Roman" w:hAnsi="Times New Roman"/>
          <w:i w:val="1"/>
          <w:iCs w:val="1"/>
          <w:sz w:val="20"/>
          <w:szCs w:val="20"/>
          <w:rtl w:val="0"/>
        </w:rPr>
        <w:t xml:space="preserve">A Companion to the Greek Language, </w:t>
      </w:r>
      <w:r w:rsidDel="00000000" w:rsidR="00000000" w:rsidRPr="00000000">
        <w:rPr>
          <w:rFonts w:ascii="Times New Roman" w:cs="Times New Roman" w:eastAsia="Times New Roman" w:hAnsi="Times New Roman"/>
          <w:sz w:val="20"/>
          <w:szCs w:val="20"/>
          <w:rtl w:val="0"/>
        </w:rPr>
        <w:t xml:space="preserve">ed. by Egbert J. Bakker (West Sussex: Wiley—Blackwell, 2010), pp. 468—482.</w:t>
      </w:r>
      <w:r w:rsidDel="00000000" w:rsidR="00000000" w:rsidRPr="00000000">
        <w:rPr>
          <w:rtl w:val="0"/>
        </w:rPr>
      </w:r>
    </w:p>
  </w:footnote>
  <w:footnote w:id="13">
    <w:p w:rsidR="00000000" w:rsidDel="00000000" w:rsidP="00000000" w:rsidRDefault="00000000" w:rsidRPr="00000000" w14:paraId="000000D2">
      <w:pPr>
        <w:spacing w:line="240" w:lineRule="auto"/>
        <w:rPr>
          <w:rFonts w:ascii="Times New Roman" w:cs="Times New Roman" w:eastAsia="Times New Roman" w:hAnsi="Times New Roman"/>
          <w:color w:val="141413"/>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 common feature of Egyptian Greek is</w:t>
      </w:r>
      <w:r w:rsidDel="00000000" w:rsidR="00000000" w:rsidRPr="00000000">
        <w:rPr>
          <w:rFonts w:ascii="Times New Roman" w:cs="Times New Roman" w:eastAsia="Times New Roman" w:hAnsi="Times New Roman"/>
          <w:color w:val="141413"/>
          <w:sz w:val="20"/>
          <w:szCs w:val="20"/>
          <w:rtl w:val="0"/>
        </w:rPr>
        <w:t xml:space="preserve"> lambdacism,— for ex:  ἡµέλαϲ for ἡµέραϲ  —which is absent here. </w:t>
      </w:r>
    </w:p>
    <w:p w:rsidR="00000000" w:rsidDel="00000000" w:rsidP="00000000" w:rsidRDefault="00000000" w:rsidRPr="00000000" w14:paraId="000000D3">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141413"/>
          <w:sz w:val="20"/>
          <w:szCs w:val="20"/>
          <w:rtl w:val="0"/>
        </w:rPr>
        <w:t xml:space="preserve">Sofía Torallas Tovar, ‘Greek in Egypt’, </w:t>
      </w:r>
      <w:r w:rsidDel="00000000" w:rsidR="00000000" w:rsidRPr="00000000">
        <w:rPr>
          <w:rFonts w:ascii="Times New Roman" w:cs="Times New Roman" w:eastAsia="Times New Roman" w:hAnsi="Times New Roman"/>
          <w:sz w:val="20"/>
          <w:szCs w:val="20"/>
          <w:rtl w:val="0"/>
        </w:rPr>
        <w:t xml:space="preserve">in </w:t>
      </w:r>
      <w:r w:rsidDel="00000000" w:rsidR="00000000" w:rsidRPr="00000000">
        <w:rPr>
          <w:rFonts w:ascii="Times New Roman" w:cs="Times New Roman" w:eastAsia="Times New Roman" w:hAnsi="Times New Roman"/>
          <w:i w:val="1"/>
          <w:iCs w:val="1"/>
          <w:sz w:val="20"/>
          <w:szCs w:val="20"/>
          <w:rtl w:val="0"/>
        </w:rPr>
        <w:t xml:space="preserve">A Companion to the Greek Language, </w:t>
      </w:r>
      <w:r w:rsidDel="00000000" w:rsidR="00000000" w:rsidRPr="00000000">
        <w:rPr>
          <w:rFonts w:ascii="Times New Roman" w:cs="Times New Roman" w:eastAsia="Times New Roman" w:hAnsi="Times New Roman"/>
          <w:sz w:val="20"/>
          <w:szCs w:val="20"/>
          <w:rtl w:val="0"/>
        </w:rPr>
        <w:t xml:space="preserve">ed. by Egbert J. Bakker </w:t>
      </w:r>
    </w:p>
    <w:p w:rsidR="00000000" w:rsidDel="00000000" w:rsidP="00000000" w:rsidRDefault="00000000" w:rsidRPr="00000000" w14:paraId="000000D4">
      <w:pPr>
        <w:spacing w:line="240" w:lineRule="auto"/>
        <w:ind w:firstLine="72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20"/>
          <w:szCs w:val="20"/>
          <w:rtl w:val="0"/>
        </w:rPr>
        <w:t xml:space="preserve">(West Sussex: Wiley—Blackwell, 2010), pp. 253–266, p. 262.</w:t>
      </w:r>
      <w:r w:rsidDel="00000000" w:rsidR="00000000" w:rsidRPr="00000000">
        <w:rPr>
          <w:rtl w:val="0"/>
        </w:rPr>
      </w:r>
    </w:p>
  </w:footnote>
  <w:footnote w:id="20">
    <w:p w:rsidR="00000000" w:rsidDel="00000000" w:rsidP="00000000" w:rsidRDefault="00000000" w:rsidRPr="00000000" w14:paraId="000000D5">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Tovar and O’Neill translate this as ‘Kambre.’ </w:t>
      </w:r>
    </w:p>
  </w:footnote>
  <w:footnote w:id="0">
    <w:p w:rsidR="00000000" w:rsidDel="00000000" w:rsidP="00000000" w:rsidRDefault="00000000" w:rsidRPr="00000000" w14:paraId="000000D6">
      <w:pPr>
        <w:spacing w:line="240" w:lineRule="auto"/>
        <w:rPr>
          <w:rFonts w:ascii="Times New Roman" w:cs="Times New Roman" w:eastAsia="Times New Roman" w:hAnsi="Times New Roman"/>
          <w:color w:val="1d2125"/>
          <w:sz w:val="20"/>
          <w:szCs w:val="20"/>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d2125"/>
          <w:sz w:val="20"/>
          <w:szCs w:val="20"/>
          <w:highlight w:val="white"/>
          <w:rtl w:val="0"/>
        </w:rPr>
        <w:t xml:space="preserve">Berliner Papyrusdatenbank, Berliner Papyrusdatenbank (n.d.) </w:t>
      </w:r>
    </w:p>
    <w:p w:rsidR="00000000" w:rsidDel="00000000" w:rsidP="00000000" w:rsidRDefault="00000000" w:rsidRPr="00000000" w14:paraId="000000D7">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1d2125"/>
          <w:sz w:val="20"/>
          <w:szCs w:val="20"/>
          <w:highlight w:val="white"/>
          <w:rtl w:val="0"/>
        </w:rPr>
        <w:t xml:space="preserve">&lt;</w:t>
      </w:r>
      <w:hyperlink r:id="rId1">
        <w:r w:rsidDel="00000000" w:rsidR="00000000" w:rsidRPr="00000000">
          <w:rPr>
            <w:rFonts w:ascii="Times New Roman" w:cs="Times New Roman" w:eastAsia="Times New Roman" w:hAnsi="Times New Roman"/>
            <w:color w:val="1155cc"/>
            <w:sz w:val="20"/>
            <w:szCs w:val="20"/>
            <w:highlight w:val="white"/>
            <w:u w:val="single"/>
            <w:rtl w:val="0"/>
          </w:rPr>
          <w:t xml:space="preserve">https://berlpap.smb.museum/record/?result=0&amp;Alle=P.+5025&amp;lang=en</w:t>
        </w:r>
      </w:hyperlink>
      <w:r w:rsidDel="00000000" w:rsidR="00000000" w:rsidRPr="00000000">
        <w:rPr>
          <w:rFonts w:ascii="Times New Roman" w:cs="Times New Roman" w:eastAsia="Times New Roman" w:hAnsi="Times New Roman"/>
          <w:color w:val="1d2125"/>
          <w:sz w:val="20"/>
          <w:szCs w:val="20"/>
          <w:highlight w:val="white"/>
          <w:rtl w:val="0"/>
        </w:rPr>
        <w:t xml:space="preserve">&gt; [accessed 01 May 2026].</w:t>
      </w:r>
      <w:r w:rsidDel="00000000" w:rsidR="00000000" w:rsidRPr="00000000">
        <w:rPr>
          <w:rFonts w:ascii="Times New Roman" w:cs="Times New Roman" w:eastAsia="Times New Roman" w:hAnsi="Times New Roman"/>
          <w:sz w:val="20"/>
          <w:szCs w:val="20"/>
          <w:rtl w:val="0"/>
        </w:rPr>
        <w:t xml:space="preserve"> </w:t>
      </w:r>
    </w:p>
  </w:footnote>
  <w:footnote w:id="1">
    <w:p w:rsidR="00000000" w:rsidDel="00000000" w:rsidP="00000000" w:rsidRDefault="00000000" w:rsidRPr="00000000" w14:paraId="000000D8">
      <w:pPr>
        <w:spacing w:line="240" w:lineRule="auto"/>
        <w:rPr>
          <w:rFonts w:ascii="Times New Roman" w:cs="Times New Roman" w:eastAsia="Times New Roman" w:hAnsi="Times New Roman"/>
          <w:i w:val="1"/>
          <w:i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Christopher A. Faraone (ed.), Sofía Torallas Tovar (ed.), </w:t>
      </w:r>
      <w:r w:rsidDel="00000000" w:rsidR="00000000" w:rsidRPr="00000000">
        <w:rPr>
          <w:rFonts w:ascii="Times New Roman" w:cs="Times New Roman" w:eastAsia="Times New Roman" w:hAnsi="Times New Roman"/>
          <w:i w:val="1"/>
          <w:iCs w:val="1"/>
          <w:sz w:val="20"/>
          <w:szCs w:val="20"/>
          <w:rtl w:val="0"/>
        </w:rPr>
        <w:t xml:space="preserve">Greek and Egyptian Magical Formularies: Text </w:t>
      </w:r>
    </w:p>
    <w:p w:rsidR="00000000" w:rsidDel="00000000" w:rsidP="00000000" w:rsidRDefault="00000000" w:rsidRPr="00000000" w14:paraId="000000D9">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i w:val="1"/>
          <w:iCs w:val="1"/>
          <w:sz w:val="20"/>
          <w:szCs w:val="20"/>
          <w:rtl w:val="0"/>
        </w:rPr>
        <w:t xml:space="preserve">and Translation, Vol. 1</w:t>
      </w:r>
      <w:r w:rsidDel="00000000" w:rsidR="00000000" w:rsidRPr="00000000">
        <w:rPr>
          <w:rFonts w:ascii="Times New Roman" w:cs="Times New Roman" w:eastAsia="Times New Roman" w:hAnsi="Times New Roman"/>
          <w:sz w:val="20"/>
          <w:szCs w:val="20"/>
          <w:rtl w:val="0"/>
        </w:rPr>
        <w:t xml:space="preserve"> (Berkley: California classical Studies, 2022), p. 382. For further reading on how</w:t>
      </w:r>
    </w:p>
    <w:p w:rsidR="00000000" w:rsidDel="00000000" w:rsidP="00000000" w:rsidRDefault="00000000" w:rsidRPr="00000000" w14:paraId="000000DA">
      <w:pPr>
        <w:spacing w:line="240" w:lineRule="auto"/>
        <w:ind w:left="72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these magical handbooks were utilized: </w:t>
      </w:r>
      <w:r w:rsidDel="00000000" w:rsidR="00000000" w:rsidRPr="00000000">
        <w:rPr>
          <w:rFonts w:ascii="Times New Roman" w:cs="Times New Roman" w:eastAsia="Times New Roman" w:hAnsi="Times New Roman"/>
          <w:color w:val="141413"/>
          <w:sz w:val="20"/>
          <w:szCs w:val="20"/>
          <w:rtl w:val="0"/>
        </w:rPr>
        <w:t xml:space="preserve">David Frankfurter, “Ritual Expertise in Roman Egypt and the Problem of the Category ‘Magician’”, in </w:t>
      </w:r>
      <w:r w:rsidDel="00000000" w:rsidR="00000000" w:rsidRPr="00000000">
        <w:rPr>
          <w:rFonts w:ascii="Times New Roman" w:cs="Times New Roman" w:eastAsia="Times New Roman" w:hAnsi="Times New Roman"/>
          <w:i w:val="1"/>
          <w:iCs w:val="1"/>
          <w:color w:val="141413"/>
          <w:sz w:val="20"/>
          <w:szCs w:val="20"/>
          <w:rtl w:val="0"/>
        </w:rPr>
        <w:t xml:space="preserve">Envisioning Magic. A Princeton Seminar and Symposium, </w:t>
      </w:r>
      <w:r w:rsidDel="00000000" w:rsidR="00000000" w:rsidRPr="00000000">
        <w:rPr>
          <w:rFonts w:ascii="Times New Roman" w:cs="Times New Roman" w:eastAsia="Times New Roman" w:hAnsi="Times New Roman"/>
          <w:color w:val="141413"/>
          <w:sz w:val="20"/>
          <w:szCs w:val="20"/>
          <w:rtl w:val="0"/>
        </w:rPr>
        <w:t xml:space="preserve">ed. by P. Schäfer and H. G. Kippenberg (Leiden: Brill, 1997) p. 115–135.  </w:t>
      </w:r>
      <w:r w:rsidDel="00000000" w:rsidR="00000000" w:rsidRPr="00000000">
        <w:rPr>
          <w:rtl w:val="0"/>
        </w:rPr>
      </w:r>
    </w:p>
  </w:footnote>
  <w:footnote w:id="2">
    <w:p w:rsidR="00000000" w:rsidDel="00000000" w:rsidP="00000000" w:rsidRDefault="00000000" w:rsidRPr="00000000" w14:paraId="000000DB">
      <w:pPr>
        <w:spacing w:line="240" w:lineRule="auto"/>
        <w:rPr>
          <w:rFonts w:ascii="Times New Roman" w:cs="Times New Roman" w:eastAsia="Times New Roman" w:hAnsi="Times New Roman"/>
          <w:i w:val="1"/>
          <w:iCs w:val="1"/>
          <w:color w:val="141413"/>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Eleni Chronopoulou, </w:t>
      </w:r>
      <w:r w:rsidDel="00000000" w:rsidR="00000000" w:rsidRPr="00000000">
        <w:rPr>
          <w:rFonts w:ascii="Times New Roman" w:cs="Times New Roman" w:eastAsia="Times New Roman" w:hAnsi="Times New Roman"/>
          <w:i w:val="1"/>
          <w:iCs w:val="1"/>
          <w:color w:val="141413"/>
          <w:sz w:val="20"/>
          <w:szCs w:val="20"/>
          <w:rtl w:val="0"/>
        </w:rPr>
        <w:t xml:space="preserve">Edition of the Greek Magical Papyri (PGM) I and VI+II: Introduction, Text and </w:t>
      </w:r>
    </w:p>
    <w:p w:rsidR="00000000" w:rsidDel="00000000" w:rsidP="00000000" w:rsidRDefault="00000000" w:rsidRPr="00000000" w14:paraId="000000DC">
      <w:pPr>
        <w:spacing w:line="240" w:lineRule="auto"/>
        <w:ind w:firstLine="720"/>
        <w:rPr>
          <w:sz w:val="20"/>
          <w:szCs w:val="20"/>
        </w:rPr>
      </w:pPr>
      <w:r w:rsidDel="00000000" w:rsidR="00000000" w:rsidRPr="00000000">
        <w:rPr>
          <w:rFonts w:ascii="Times New Roman" w:cs="Times New Roman" w:eastAsia="Times New Roman" w:hAnsi="Times New Roman"/>
          <w:i w:val="1"/>
          <w:iCs w:val="1"/>
          <w:color w:val="141413"/>
          <w:sz w:val="20"/>
          <w:szCs w:val="20"/>
          <w:rtl w:val="0"/>
        </w:rPr>
        <w:t xml:space="preserve">Commentary,</w:t>
      </w:r>
      <w:r w:rsidDel="00000000" w:rsidR="00000000" w:rsidRPr="00000000">
        <w:rPr>
          <w:rFonts w:ascii="Times New Roman" w:cs="Times New Roman" w:eastAsia="Times New Roman" w:hAnsi="Times New Roman"/>
          <w:color w:val="141413"/>
          <w:sz w:val="20"/>
          <w:szCs w:val="20"/>
          <w:rtl w:val="0"/>
        </w:rPr>
        <w:t xml:space="preserve"> Ph.D. diss., Universitat Pompeu Fabra, 2017, </w:t>
      </w:r>
      <w:r w:rsidDel="00000000" w:rsidR="00000000" w:rsidRPr="00000000">
        <w:rPr>
          <w:rFonts w:ascii="Times New Roman" w:cs="Times New Roman" w:eastAsia="Times New Roman" w:hAnsi="Times New Roman"/>
          <w:sz w:val="20"/>
          <w:szCs w:val="20"/>
          <w:rtl w:val="0"/>
        </w:rPr>
        <w:t xml:space="preserve">p.1–5.</w:t>
      </w:r>
      <w:r w:rsidDel="00000000" w:rsidR="00000000" w:rsidRPr="00000000">
        <w:rPr>
          <w:sz w:val="20"/>
          <w:szCs w:val="20"/>
          <w:rtl w:val="0"/>
        </w:rPr>
        <w:t xml:space="preserve"> </w:t>
      </w:r>
    </w:p>
  </w:footnote>
  <w:footnote w:id="3">
    <w:p w:rsidR="00000000" w:rsidDel="00000000" w:rsidP="00000000" w:rsidRDefault="00000000" w:rsidRPr="00000000" w14:paraId="000000D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Within these editions’ respective numbering systems, </w:t>
      </w:r>
      <w:r w:rsidDel="00000000" w:rsidR="00000000" w:rsidRPr="00000000">
        <w:rPr>
          <w:rFonts w:ascii="Times New Roman" w:cs="Times New Roman" w:eastAsia="Times New Roman" w:hAnsi="Times New Roman"/>
          <w:i w:val="1"/>
          <w:iCs w:val="1"/>
          <w:sz w:val="20"/>
          <w:szCs w:val="20"/>
          <w:rtl w:val="0"/>
        </w:rPr>
        <w:t xml:space="preserve">For memory</w:t>
      </w:r>
      <w:r w:rsidDel="00000000" w:rsidR="00000000" w:rsidRPr="00000000">
        <w:rPr>
          <w:rFonts w:ascii="Times New Roman" w:cs="Times New Roman" w:eastAsia="Times New Roman" w:hAnsi="Times New Roman"/>
          <w:sz w:val="20"/>
          <w:szCs w:val="20"/>
          <w:rtl w:val="0"/>
        </w:rPr>
        <w:t xml:space="preserve"> is labeled as ‘Memory spell’ or ‘Memory </w:t>
      </w:r>
    </w:p>
    <w:p w:rsidR="00000000" w:rsidDel="00000000" w:rsidP="00000000" w:rsidRDefault="00000000" w:rsidRPr="00000000" w14:paraId="000000DE">
      <w:pPr>
        <w:spacing w:line="240" w:lineRule="auto"/>
        <w:ind w:firstLine="720"/>
        <w:rPr>
          <w:rFonts w:ascii="Times New Roman" w:cs="Times New Roman" w:eastAsia="Times New Roman" w:hAnsi="Times New Roman"/>
          <w:i w:val="1"/>
          <w:iCs w:val="1"/>
          <w:sz w:val="20"/>
          <w:szCs w:val="20"/>
        </w:rPr>
      </w:pPr>
      <w:r w:rsidDel="00000000" w:rsidR="00000000" w:rsidRPr="00000000">
        <w:rPr>
          <w:rFonts w:ascii="Times New Roman" w:cs="Times New Roman" w:eastAsia="Times New Roman" w:hAnsi="Times New Roman"/>
          <w:sz w:val="20"/>
          <w:szCs w:val="20"/>
          <w:rtl w:val="0"/>
        </w:rPr>
        <w:t xml:space="preserve">procedure’ respectively in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I. 232–47 and </w:t>
      </w:r>
      <w:r w:rsidDel="00000000" w:rsidR="00000000" w:rsidRPr="00000000">
        <w:rPr>
          <w:rFonts w:ascii="Times New Roman" w:cs="Times New Roman" w:eastAsia="Times New Roman" w:hAnsi="Times New Roman"/>
          <w:i w:val="1"/>
          <w:iCs w:val="1"/>
          <w:sz w:val="20"/>
          <w:szCs w:val="20"/>
          <w:rtl w:val="0"/>
        </w:rPr>
        <w:t xml:space="preserve">GEMF</w:t>
      </w:r>
      <w:r w:rsidDel="00000000" w:rsidR="00000000" w:rsidRPr="00000000">
        <w:rPr>
          <w:rFonts w:ascii="Times New Roman" w:cs="Times New Roman" w:eastAsia="Times New Roman" w:hAnsi="Times New Roman"/>
          <w:sz w:val="20"/>
          <w:szCs w:val="20"/>
          <w:rtl w:val="0"/>
        </w:rPr>
        <w:t xml:space="preserve"> 31. 232—47. </w:t>
      </w:r>
      <w:r w:rsidDel="00000000" w:rsidR="00000000" w:rsidRPr="00000000">
        <w:rPr>
          <w:rFonts w:ascii="Times New Roman" w:cs="Times New Roman" w:eastAsia="Times New Roman" w:hAnsi="Times New Roman"/>
          <w:color w:val="141413"/>
          <w:sz w:val="20"/>
          <w:szCs w:val="20"/>
          <w:rtl w:val="0"/>
        </w:rPr>
        <w:t xml:space="preserve">Faraone, Tovar, </w:t>
      </w:r>
      <w:r w:rsidDel="00000000" w:rsidR="00000000" w:rsidRPr="00000000">
        <w:rPr>
          <w:rFonts w:ascii="Times New Roman" w:cs="Times New Roman" w:eastAsia="Times New Roman" w:hAnsi="Times New Roman"/>
          <w:i w:val="1"/>
          <w:iCs w:val="1"/>
          <w:sz w:val="20"/>
          <w:szCs w:val="20"/>
          <w:rtl w:val="0"/>
        </w:rPr>
        <w:t xml:space="preserve">Greek and Egyptian </w:t>
      </w:r>
    </w:p>
    <w:p w:rsidR="00000000" w:rsidDel="00000000" w:rsidP="00000000" w:rsidRDefault="00000000" w:rsidRPr="00000000" w14:paraId="000000DF">
      <w:pPr>
        <w:spacing w:line="240" w:lineRule="auto"/>
        <w:ind w:firstLine="720"/>
        <w:rPr>
          <w:rFonts w:ascii="Times New Roman" w:cs="Times New Roman" w:eastAsia="Times New Roman" w:hAnsi="Times New Roman"/>
          <w:i w:val="1"/>
          <w:iCs w:val="1"/>
          <w:sz w:val="20"/>
          <w:szCs w:val="20"/>
        </w:rPr>
      </w:pPr>
      <w:r w:rsidDel="00000000" w:rsidR="00000000" w:rsidRPr="00000000">
        <w:rPr>
          <w:rFonts w:ascii="Times New Roman" w:cs="Times New Roman" w:eastAsia="Times New Roman" w:hAnsi="Times New Roman"/>
          <w:i w:val="1"/>
          <w:iCs w:val="1"/>
          <w:sz w:val="20"/>
          <w:szCs w:val="20"/>
          <w:rtl w:val="0"/>
        </w:rPr>
        <w:t xml:space="preserve">Magical Formularies, </w:t>
      </w:r>
      <w:r w:rsidDel="00000000" w:rsidR="00000000" w:rsidRPr="00000000">
        <w:rPr>
          <w:rFonts w:ascii="Times New Roman" w:cs="Times New Roman" w:eastAsia="Times New Roman" w:hAnsi="Times New Roman"/>
          <w:sz w:val="20"/>
          <w:szCs w:val="20"/>
          <w:rtl w:val="0"/>
        </w:rPr>
        <w:t xml:space="preserve">p. 402–3</w:t>
      </w:r>
      <w:r w:rsidDel="00000000" w:rsidR="00000000" w:rsidRPr="00000000">
        <w:rPr>
          <w:rFonts w:ascii="Times New Roman" w:cs="Times New Roman" w:eastAsia="Times New Roman" w:hAnsi="Times New Roman"/>
          <w:i w:val="1"/>
          <w:iCs w:val="1"/>
          <w:sz w:val="20"/>
          <w:szCs w:val="20"/>
          <w:rtl w:val="0"/>
        </w:rPr>
        <w:t xml:space="preserve">; </w:t>
      </w:r>
      <w:r w:rsidDel="00000000" w:rsidR="00000000" w:rsidRPr="00000000">
        <w:rPr>
          <w:rFonts w:ascii="Times New Roman" w:cs="Times New Roman" w:eastAsia="Times New Roman" w:hAnsi="Times New Roman"/>
          <w:sz w:val="20"/>
          <w:szCs w:val="20"/>
          <w:rtl w:val="0"/>
        </w:rPr>
        <w:t xml:space="preserve">Hans Dieter Betz (ed.), </w:t>
      </w:r>
      <w:r w:rsidDel="00000000" w:rsidR="00000000" w:rsidRPr="00000000">
        <w:rPr>
          <w:rFonts w:ascii="Times New Roman" w:cs="Times New Roman" w:eastAsia="Times New Roman" w:hAnsi="Times New Roman"/>
          <w:i w:val="1"/>
          <w:iCs w:val="1"/>
          <w:sz w:val="20"/>
          <w:szCs w:val="20"/>
          <w:rtl w:val="0"/>
        </w:rPr>
        <w:t xml:space="preserve">The Greek Magical Papyri in Translation: </w:t>
      </w:r>
    </w:p>
    <w:p w:rsidR="00000000" w:rsidDel="00000000" w:rsidP="00000000" w:rsidRDefault="00000000" w:rsidRPr="00000000" w14:paraId="000000E0">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i w:val="1"/>
          <w:iCs w:val="1"/>
          <w:sz w:val="20"/>
          <w:szCs w:val="20"/>
          <w:rtl w:val="0"/>
        </w:rPr>
        <w:t xml:space="preserve">Including the Demotic Spells, </w:t>
      </w:r>
      <w:r w:rsidDel="00000000" w:rsidR="00000000" w:rsidRPr="00000000">
        <w:rPr>
          <w:rFonts w:ascii="Times New Roman" w:cs="Times New Roman" w:eastAsia="Times New Roman" w:hAnsi="Times New Roman"/>
          <w:sz w:val="20"/>
          <w:szCs w:val="20"/>
          <w:rtl w:val="0"/>
        </w:rPr>
        <w:t xml:space="preserve">2nd edn. (Chicago and London: Chicago University Press, 1992), p.9.</w:t>
      </w:r>
      <w:r w:rsidDel="00000000" w:rsidR="00000000" w:rsidRPr="00000000">
        <w:rPr>
          <w:rtl w:val="0"/>
        </w:rPr>
      </w:r>
    </w:p>
  </w:footnote>
  <w:footnote w:id="43">
    <w:p w:rsidR="00000000" w:rsidDel="00000000" w:rsidP="00000000" w:rsidRDefault="00000000" w:rsidRPr="00000000" w14:paraId="000000E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The ‘Hermaic Ibis’ being referred to is most likely the ‘Sacred Ibis’ </w:t>
      </w:r>
      <w:r w:rsidDel="00000000" w:rsidR="00000000" w:rsidRPr="00000000">
        <w:rPr>
          <w:rFonts w:ascii="Times New Roman" w:cs="Times New Roman" w:eastAsia="Times New Roman" w:hAnsi="Times New Roman"/>
          <w:sz w:val="20"/>
          <w:szCs w:val="20"/>
          <w:rtl w:val="0"/>
        </w:rPr>
        <w:t xml:space="preserve">(</w:t>
      </w:r>
      <w:r w:rsidDel="00000000" w:rsidR="00000000" w:rsidRPr="00000000">
        <w:rPr>
          <w:rFonts w:ascii="Times New Roman" w:cs="Times New Roman" w:eastAsia="Times New Roman" w:hAnsi="Times New Roman"/>
          <w:i w:val="1"/>
          <w:iCs w:val="1"/>
          <w:sz w:val="20"/>
          <w:szCs w:val="20"/>
          <w:rtl w:val="0"/>
        </w:rPr>
        <w:t xml:space="preserve">Threskiornis aethiopicus</w:t>
      </w:r>
      <w:r w:rsidDel="00000000" w:rsidR="00000000" w:rsidRPr="00000000">
        <w:rPr>
          <w:rFonts w:ascii="Times New Roman" w:cs="Times New Roman" w:eastAsia="Times New Roman" w:hAnsi="Times New Roman"/>
          <w:sz w:val="20"/>
          <w:szCs w:val="20"/>
          <w:rtl w:val="0"/>
        </w:rPr>
        <w:t xml:space="preserve">). Further reading on </w:t>
      </w:r>
    </w:p>
    <w:p w:rsidR="00000000" w:rsidDel="00000000" w:rsidP="00000000" w:rsidRDefault="00000000" w:rsidRPr="00000000" w14:paraId="000000E2">
      <w:pPr>
        <w:spacing w:line="240" w:lineRule="auto"/>
        <w:ind w:firstLine="720"/>
        <w:rPr>
          <w:rFonts w:ascii="Times New Roman" w:cs="Times New Roman" w:eastAsia="Times New Roman" w:hAnsi="Times New Roman"/>
          <w:color w:val="141413"/>
          <w:sz w:val="20"/>
          <w:szCs w:val="20"/>
        </w:rPr>
      </w:pPr>
      <w:r w:rsidDel="00000000" w:rsidR="00000000" w:rsidRPr="00000000">
        <w:rPr>
          <w:rFonts w:ascii="Times New Roman" w:cs="Times New Roman" w:eastAsia="Times New Roman" w:hAnsi="Times New Roman"/>
          <w:sz w:val="20"/>
          <w:szCs w:val="20"/>
          <w:rtl w:val="0"/>
        </w:rPr>
        <w:t xml:space="preserve">this bird at: </w:t>
      </w:r>
      <w:r w:rsidDel="00000000" w:rsidR="00000000" w:rsidRPr="00000000">
        <w:rPr>
          <w:rFonts w:ascii="Times New Roman" w:cs="Times New Roman" w:eastAsia="Times New Roman" w:hAnsi="Times New Roman"/>
          <w:color w:val="141413"/>
          <w:sz w:val="20"/>
          <w:szCs w:val="20"/>
          <w:rtl w:val="0"/>
        </w:rPr>
        <w:t xml:space="preserve">William Geoffrey Arnott, </w:t>
      </w:r>
      <w:r w:rsidDel="00000000" w:rsidR="00000000" w:rsidRPr="00000000">
        <w:rPr>
          <w:rFonts w:ascii="Times New Roman" w:cs="Times New Roman" w:eastAsia="Times New Roman" w:hAnsi="Times New Roman"/>
          <w:i w:val="1"/>
          <w:iCs w:val="1"/>
          <w:color w:val="141413"/>
          <w:sz w:val="20"/>
          <w:szCs w:val="20"/>
          <w:rtl w:val="0"/>
        </w:rPr>
        <w:t xml:space="preserve">Birds in the Ancient World from A to Z</w:t>
      </w:r>
      <w:r w:rsidDel="00000000" w:rsidR="00000000" w:rsidRPr="00000000">
        <w:rPr>
          <w:rFonts w:ascii="Times New Roman" w:cs="Times New Roman" w:eastAsia="Times New Roman" w:hAnsi="Times New Roman"/>
          <w:color w:val="141413"/>
          <w:sz w:val="20"/>
          <w:szCs w:val="20"/>
          <w:rtl w:val="0"/>
        </w:rPr>
        <w:t xml:space="preserve"> (London: Routledge, 2007), </w:t>
      </w:r>
    </w:p>
    <w:p w:rsidR="00000000" w:rsidDel="00000000" w:rsidP="00000000" w:rsidRDefault="00000000" w:rsidRPr="00000000" w14:paraId="000000E3">
      <w:pPr>
        <w:spacing w:line="240" w:lineRule="auto"/>
        <w:ind w:firstLine="720"/>
        <w:rPr>
          <w:sz w:val="20"/>
          <w:szCs w:val="20"/>
          <w:highlight w:val="red"/>
        </w:rPr>
      </w:pPr>
      <w:r w:rsidDel="00000000" w:rsidR="00000000" w:rsidRPr="00000000">
        <w:rPr>
          <w:rFonts w:ascii="Times New Roman" w:cs="Times New Roman" w:eastAsia="Times New Roman" w:hAnsi="Times New Roman"/>
          <w:color w:val="141413"/>
          <w:sz w:val="20"/>
          <w:szCs w:val="20"/>
          <w:rtl w:val="0"/>
        </w:rPr>
        <w:t xml:space="preserve">pp. 73–5.</w:t>
      </w:r>
      <w:r w:rsidDel="00000000" w:rsidR="00000000" w:rsidRPr="00000000">
        <w:rPr>
          <w:rtl w:val="0"/>
        </w:rPr>
      </w:r>
    </w:p>
  </w:footnote>
  <w:footnote w:id="44">
    <w:p w:rsidR="00000000" w:rsidDel="00000000" w:rsidP="00000000" w:rsidRDefault="00000000" w:rsidRPr="00000000" w14:paraId="000000E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Salima Ikram, ‘Creatures of the Gods: Animal Mummies from Ancient Egypt’, in </w:t>
      </w:r>
      <w:r w:rsidDel="00000000" w:rsidR="00000000" w:rsidRPr="00000000">
        <w:rPr>
          <w:rFonts w:ascii="Times New Roman" w:cs="Times New Roman" w:eastAsia="Times New Roman" w:hAnsi="Times New Roman"/>
          <w:i w:val="1"/>
          <w:iCs w:val="1"/>
          <w:sz w:val="20"/>
          <w:szCs w:val="20"/>
          <w:rtl w:val="0"/>
        </w:rPr>
        <w:t xml:space="preserve">Anthronotes</w:t>
      </w:r>
      <w:r w:rsidDel="00000000" w:rsidR="00000000" w:rsidRPr="00000000">
        <w:rPr>
          <w:rFonts w:ascii="Times New Roman" w:cs="Times New Roman" w:eastAsia="Times New Roman" w:hAnsi="Times New Roman"/>
          <w:sz w:val="20"/>
          <w:szCs w:val="20"/>
          <w:rtl w:val="0"/>
        </w:rPr>
        <w:t xml:space="preserve">, 33.1</w:t>
      </w:r>
    </w:p>
    <w:p w:rsidR="00000000" w:rsidDel="00000000" w:rsidP="00000000" w:rsidRDefault="00000000" w:rsidRPr="00000000" w14:paraId="000000E5">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(2012), pp. 1–5, p. 2.</w:t>
      </w:r>
    </w:p>
  </w:footnote>
  <w:footnote w:id="18">
    <w:p w:rsidR="00000000" w:rsidDel="00000000" w:rsidP="00000000" w:rsidRDefault="00000000" w:rsidRPr="00000000" w14:paraId="000000E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The preservation of the 2nd declension might again be evidence towards an intentional </w:t>
      </w:r>
      <w:r w:rsidDel="00000000" w:rsidR="00000000" w:rsidRPr="00000000">
        <w:rPr>
          <w:rFonts w:ascii="Times New Roman" w:cs="Times New Roman" w:eastAsia="Times New Roman" w:hAnsi="Times New Roman"/>
          <w:color w:val="141413"/>
          <w:sz w:val="20"/>
          <w:szCs w:val="20"/>
          <w:rtl w:val="0"/>
        </w:rPr>
        <w:t xml:space="preserve">Atticization</w:t>
      </w:r>
      <w:r w:rsidDel="00000000" w:rsidR="00000000" w:rsidRPr="00000000">
        <w:rPr>
          <w:rFonts w:ascii="Times New Roman" w:cs="Times New Roman" w:eastAsia="Times New Roman" w:hAnsi="Times New Roman"/>
          <w:color w:val="141413"/>
          <w:sz w:val="20"/>
          <w:szCs w:val="20"/>
          <w:rtl w:val="0"/>
        </w:rPr>
        <w:t xml:space="preserve">.</w:t>
      </w:r>
      <w:r w:rsidDel="00000000" w:rsidR="00000000" w:rsidRPr="00000000">
        <w:rPr>
          <w:rtl w:val="0"/>
        </w:rPr>
      </w:r>
    </w:p>
  </w:footnote>
  <w:footnote w:id="31">
    <w:p w:rsidR="00000000" w:rsidDel="00000000" w:rsidP="00000000" w:rsidRDefault="00000000" w:rsidRPr="00000000" w14:paraId="000000E7">
      <w:pPr>
        <w:spacing w:line="240" w:lineRule="auto"/>
        <w:rPr>
          <w:rFonts w:ascii="Times New Roman" w:cs="Times New Roman" w:eastAsia="Times New Roman" w:hAnsi="Times New Roman"/>
          <w:i w:val="1"/>
          <w:iCs w:val="1"/>
          <w:color w:val="141413"/>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Patrick </w:t>
      </w:r>
      <w:r w:rsidDel="00000000" w:rsidR="00000000" w:rsidRPr="00000000">
        <w:rPr>
          <w:rFonts w:ascii="Times New Roman" w:cs="Times New Roman" w:eastAsia="Times New Roman" w:hAnsi="Times New Roman"/>
          <w:color w:val="141413"/>
          <w:sz w:val="20"/>
          <w:szCs w:val="20"/>
          <w:rtl w:val="0"/>
        </w:rPr>
        <w:t xml:space="preserve">Boylan, </w:t>
      </w:r>
      <w:r w:rsidDel="00000000" w:rsidR="00000000" w:rsidRPr="00000000">
        <w:rPr>
          <w:rFonts w:ascii="Times New Roman" w:cs="Times New Roman" w:eastAsia="Times New Roman" w:hAnsi="Times New Roman"/>
          <w:i w:val="1"/>
          <w:iCs w:val="1"/>
          <w:color w:val="141413"/>
          <w:sz w:val="20"/>
          <w:szCs w:val="20"/>
          <w:rtl w:val="0"/>
        </w:rPr>
        <w:t xml:space="preserve">Thoth, the Hermes of Egypt: A Study of Some Aspects of Theological Thought in Ancient Egypt </w:t>
      </w:r>
    </w:p>
    <w:p w:rsidR="00000000" w:rsidDel="00000000" w:rsidP="00000000" w:rsidRDefault="00000000" w:rsidRPr="00000000" w14:paraId="000000E8">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141413"/>
          <w:sz w:val="20"/>
          <w:szCs w:val="20"/>
          <w:rtl w:val="0"/>
        </w:rPr>
        <w:t xml:space="preserve"> (Chicago: Ares Publishers, 1979), </w:t>
      </w:r>
      <w:r w:rsidDel="00000000" w:rsidR="00000000" w:rsidRPr="00000000">
        <w:rPr>
          <w:rFonts w:ascii="Times New Roman" w:cs="Times New Roman" w:eastAsia="Times New Roman" w:hAnsi="Times New Roman"/>
          <w:color w:val="1d2125"/>
          <w:sz w:val="20"/>
          <w:szCs w:val="20"/>
          <w:highlight w:val="white"/>
          <w:rtl w:val="0"/>
        </w:rPr>
        <w:t xml:space="preserve">p.140.</w:t>
      </w:r>
      <w:r w:rsidDel="00000000" w:rsidR="00000000" w:rsidRPr="00000000">
        <w:rPr>
          <w:rtl w:val="0"/>
        </w:rPr>
      </w:r>
    </w:p>
  </w:footnote>
  <w:footnote w:id="22">
    <w:p w:rsidR="00000000" w:rsidDel="00000000" w:rsidP="00000000" w:rsidRDefault="00000000" w:rsidRPr="00000000" w14:paraId="000000E9">
      <w:pPr>
        <w:spacing w:line="240" w:lineRule="auto"/>
        <w:rPr>
          <w:rFonts w:ascii="Times New Roman" w:cs="Times New Roman" w:eastAsia="Times New Roman" w:hAnsi="Times New Roman"/>
          <w:sz w:val="20"/>
          <w:szCs w:val="20"/>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For further reading on the usage of </w:t>
      </w:r>
      <w:r w:rsidDel="00000000" w:rsidR="00000000" w:rsidRPr="00000000">
        <w:rPr>
          <w:rFonts w:ascii="Times New Roman" w:cs="Times New Roman" w:eastAsia="Times New Roman" w:hAnsi="Times New Roman"/>
          <w:sz w:val="20"/>
          <w:szCs w:val="20"/>
          <w:highlight w:val="white"/>
          <w:rtl w:val="0"/>
        </w:rPr>
        <w:t xml:space="preserve">magic names: </w:t>
      </w:r>
      <w:r w:rsidDel="00000000" w:rsidR="00000000" w:rsidRPr="00000000">
        <w:rPr>
          <w:rFonts w:ascii="Times New Roman" w:cs="Times New Roman" w:eastAsia="Times New Roman" w:hAnsi="Times New Roman"/>
          <w:sz w:val="20"/>
          <w:szCs w:val="20"/>
          <w:highlight w:val="white"/>
          <w:rtl w:val="0"/>
        </w:rPr>
        <w:t xml:space="preserve">Gideon Bohak, ‘Hebrew, Hebrew Everywhere? Notes</w:t>
      </w:r>
    </w:p>
    <w:p w:rsidR="00000000" w:rsidDel="00000000" w:rsidP="00000000" w:rsidRDefault="00000000" w:rsidRPr="00000000" w14:paraId="000000EA">
      <w:pPr>
        <w:spacing w:line="240" w:lineRule="auto"/>
        <w:ind w:firstLine="720"/>
        <w:rPr>
          <w:rFonts w:ascii="Times New Roman" w:cs="Times New Roman" w:eastAsia="Times New Roman" w:hAnsi="Times New Roman"/>
          <w:i w:val="1"/>
          <w:iCs w:val="1"/>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 on the Interpretation of Voces Magicae’, in </w:t>
      </w:r>
      <w:r w:rsidDel="00000000" w:rsidR="00000000" w:rsidRPr="00000000">
        <w:rPr>
          <w:rFonts w:ascii="Times New Roman" w:cs="Times New Roman" w:eastAsia="Times New Roman" w:hAnsi="Times New Roman"/>
          <w:i w:val="1"/>
          <w:iCs w:val="1"/>
          <w:sz w:val="20"/>
          <w:szCs w:val="20"/>
          <w:highlight w:val="white"/>
          <w:rtl w:val="0"/>
        </w:rPr>
        <w:t xml:space="preserve">Prayer, Magic, and the Stars in the Ancient and Late Antique</w:t>
      </w:r>
    </w:p>
    <w:p w:rsidR="00000000" w:rsidDel="00000000" w:rsidP="00000000" w:rsidRDefault="00000000" w:rsidRPr="00000000" w14:paraId="000000EB">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i w:val="1"/>
          <w:iCs w:val="1"/>
          <w:sz w:val="20"/>
          <w:szCs w:val="20"/>
          <w:highlight w:val="white"/>
          <w:rtl w:val="0"/>
        </w:rPr>
        <w:t xml:space="preserve">World </w:t>
      </w:r>
      <w:r w:rsidDel="00000000" w:rsidR="00000000" w:rsidRPr="00000000">
        <w:rPr>
          <w:rFonts w:ascii="Times New Roman" w:cs="Times New Roman" w:eastAsia="Times New Roman" w:hAnsi="Times New Roman"/>
          <w:sz w:val="20"/>
          <w:szCs w:val="20"/>
          <w:highlight w:val="white"/>
          <w:rtl w:val="0"/>
        </w:rPr>
        <w:t xml:space="preserve">(University Park: Pennsylvania State Press, 2003), pp. 69—82; </w:t>
      </w:r>
      <w:r w:rsidDel="00000000" w:rsidR="00000000" w:rsidRPr="00000000">
        <w:rPr>
          <w:rFonts w:ascii="Times New Roman" w:cs="Times New Roman" w:eastAsia="Times New Roman" w:hAnsi="Times New Roman"/>
          <w:sz w:val="20"/>
          <w:szCs w:val="20"/>
          <w:rtl w:val="0"/>
        </w:rPr>
        <w:t xml:space="preserve">William M. Brashear</w:t>
      </w:r>
      <w:r w:rsidDel="00000000" w:rsidR="00000000" w:rsidRPr="00000000">
        <w:rPr>
          <w:rFonts w:ascii="Times New Roman" w:cs="Times New Roman" w:eastAsia="Times New Roman" w:hAnsi="Times New Roman"/>
          <w:i w:val="1"/>
          <w:iCs w:val="1"/>
          <w:sz w:val="20"/>
          <w:szCs w:val="20"/>
          <w:rtl w:val="0"/>
        </w:rPr>
        <w:t xml:space="preserve">,</w:t>
      </w:r>
      <w:r w:rsidDel="00000000" w:rsidR="00000000" w:rsidRPr="00000000">
        <w:rPr>
          <w:rFonts w:ascii="Times New Roman" w:cs="Times New Roman" w:eastAsia="Times New Roman" w:hAnsi="Times New Roman"/>
          <w:sz w:val="20"/>
          <w:szCs w:val="20"/>
          <w:rtl w:val="0"/>
        </w:rPr>
        <w:t xml:space="preserve">‘The Greek </w:t>
      </w:r>
    </w:p>
    <w:p w:rsidR="00000000" w:rsidDel="00000000" w:rsidP="00000000" w:rsidRDefault="00000000" w:rsidRPr="00000000" w14:paraId="000000EC">
      <w:pPr>
        <w:spacing w:line="240" w:lineRule="auto"/>
        <w:ind w:firstLine="720"/>
        <w:rPr>
          <w:rFonts w:ascii="Times New Roman" w:cs="Times New Roman" w:eastAsia="Times New Roman" w:hAnsi="Times New Roman"/>
          <w:i w:val="1"/>
          <w:iCs w:val="1"/>
          <w:color w:val="202122"/>
          <w:sz w:val="20"/>
          <w:szCs w:val="20"/>
        </w:rPr>
      </w:pPr>
      <w:r w:rsidDel="00000000" w:rsidR="00000000" w:rsidRPr="00000000">
        <w:rPr>
          <w:rFonts w:ascii="Times New Roman" w:cs="Times New Roman" w:eastAsia="Times New Roman" w:hAnsi="Times New Roman"/>
          <w:sz w:val="20"/>
          <w:szCs w:val="20"/>
          <w:rtl w:val="0"/>
        </w:rPr>
        <w:t xml:space="preserve">Magical Papyri: An Introduction and Survey; Annotated Bibliography (1928–1994)’, in </w:t>
      </w:r>
      <w:r w:rsidDel="00000000" w:rsidR="00000000" w:rsidRPr="00000000">
        <w:rPr>
          <w:rFonts w:ascii="Times New Roman" w:cs="Times New Roman" w:eastAsia="Times New Roman" w:hAnsi="Times New Roman"/>
          <w:i w:val="1"/>
          <w:iCs w:val="1"/>
          <w:color w:val="202122"/>
          <w:sz w:val="20"/>
          <w:szCs w:val="20"/>
          <w:rtl w:val="0"/>
        </w:rPr>
        <w:t xml:space="preserve">Aufstieg und </w:t>
      </w:r>
    </w:p>
    <w:p w:rsidR="00000000" w:rsidDel="00000000" w:rsidP="00000000" w:rsidRDefault="00000000" w:rsidRPr="00000000" w14:paraId="000000ED">
      <w:pPr>
        <w:spacing w:line="240" w:lineRule="auto"/>
        <w:ind w:firstLine="720"/>
        <w:rPr>
          <w:rFonts w:ascii="Times New Roman" w:cs="Times New Roman" w:eastAsia="Times New Roman" w:hAnsi="Times New Roman"/>
          <w:sz w:val="20"/>
          <w:szCs w:val="20"/>
          <w:highlight w:val="red"/>
        </w:rPr>
      </w:pPr>
      <w:r w:rsidDel="00000000" w:rsidR="00000000" w:rsidRPr="00000000">
        <w:rPr>
          <w:rFonts w:ascii="Times New Roman" w:cs="Times New Roman" w:eastAsia="Times New Roman" w:hAnsi="Times New Roman"/>
          <w:i w:val="1"/>
          <w:iCs w:val="1"/>
          <w:color w:val="202122"/>
          <w:sz w:val="20"/>
          <w:szCs w:val="20"/>
          <w:rtl w:val="0"/>
        </w:rPr>
        <w:t xml:space="preserve">Niedergang der römischen Welt</w:t>
      </w:r>
      <w:r w:rsidDel="00000000" w:rsidR="00000000" w:rsidRPr="00000000">
        <w:rPr>
          <w:rFonts w:ascii="Times New Roman" w:cs="Times New Roman" w:eastAsia="Times New Roman" w:hAnsi="Times New Roman"/>
          <w:i w:val="1"/>
          <w:iCs w:val="1"/>
          <w:color w:val="333333"/>
          <w:sz w:val="20"/>
          <w:szCs w:val="20"/>
          <w:highlight w:val="white"/>
          <w:rtl w:val="0"/>
        </w:rPr>
        <w:t xml:space="preserve"> II</w:t>
      </w:r>
      <w:r w:rsidDel="00000000" w:rsidR="00000000" w:rsidRPr="00000000">
        <w:rPr>
          <w:rFonts w:ascii="Times New Roman" w:cs="Times New Roman" w:eastAsia="Times New Roman" w:hAnsi="Times New Roman"/>
          <w:sz w:val="20"/>
          <w:szCs w:val="20"/>
          <w:rtl w:val="0"/>
        </w:rPr>
        <w:t xml:space="preserve">, 18.5 (1995), pp. 3380–3684.</w:t>
      </w:r>
      <w:r w:rsidDel="00000000" w:rsidR="00000000" w:rsidRPr="00000000">
        <w:rPr>
          <w:rtl w:val="0"/>
        </w:rPr>
      </w:r>
    </w:p>
  </w:footnote>
  <w:footnote w:id="21">
    <w:p w:rsidR="00000000" w:rsidDel="00000000" w:rsidP="00000000" w:rsidRDefault="00000000" w:rsidRPr="00000000" w14:paraId="000000E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I haven’t followed the custom of capitalizing the </w:t>
      </w:r>
      <w:r w:rsidDel="00000000" w:rsidR="00000000" w:rsidRPr="00000000">
        <w:rPr>
          <w:rFonts w:ascii="Times New Roman" w:cs="Times New Roman" w:eastAsia="Times New Roman" w:hAnsi="Times New Roman"/>
          <w:i w:val="1"/>
          <w:iCs w:val="1"/>
          <w:sz w:val="20"/>
          <w:szCs w:val="20"/>
          <w:rtl w:val="0"/>
        </w:rPr>
        <w:t xml:space="preserve">voces magicae</w:t>
      </w:r>
      <w:r w:rsidDel="00000000" w:rsidR="00000000" w:rsidRPr="00000000">
        <w:rPr>
          <w:rFonts w:ascii="Times New Roman" w:cs="Times New Roman" w:eastAsia="Times New Roman" w:hAnsi="Times New Roman"/>
          <w:sz w:val="20"/>
          <w:szCs w:val="20"/>
          <w:rtl w:val="0"/>
        </w:rPr>
        <w:t xml:space="preserve"> that is present in Tovar’s and Betz’s editions. </w:t>
      </w:r>
    </w:p>
    <w:p w:rsidR="00000000" w:rsidDel="00000000" w:rsidP="00000000" w:rsidRDefault="00000000" w:rsidRPr="00000000" w14:paraId="000000EF">
      <w:pPr>
        <w:spacing w:line="240" w:lineRule="auto"/>
        <w:ind w:firstLine="720"/>
        <w:rPr>
          <w:sz w:val="20"/>
          <w:szCs w:val="20"/>
        </w:rPr>
      </w:pPr>
      <w:r w:rsidDel="00000000" w:rsidR="00000000" w:rsidRPr="00000000">
        <w:rPr>
          <w:rFonts w:ascii="Times New Roman" w:cs="Times New Roman" w:eastAsia="Times New Roman" w:hAnsi="Times New Roman"/>
          <w:sz w:val="20"/>
          <w:szCs w:val="20"/>
          <w:rtl w:val="0"/>
        </w:rPr>
        <w:t xml:space="preserve">The papyrus itself does no such thing.</w:t>
      </w:r>
      <w:r w:rsidDel="00000000" w:rsidR="00000000" w:rsidRPr="00000000">
        <w:rPr>
          <w:sz w:val="20"/>
          <w:szCs w:val="20"/>
          <w:rtl w:val="0"/>
        </w:rPr>
        <w:t xml:space="preserve"> </w:t>
      </w:r>
    </w:p>
  </w:footnote>
  <w:footnote w:id="45">
    <w:p w:rsidR="00000000" w:rsidDel="00000000" w:rsidP="00000000" w:rsidRDefault="00000000" w:rsidRPr="00000000" w14:paraId="000000F0">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Korshi Dosoo, Thomas Galoppin, ‘Animals in Graeco–Egyptian Magical Practice’, in</w:t>
      </w:r>
      <w:r w:rsidDel="00000000" w:rsidR="00000000" w:rsidRPr="00000000">
        <w:rPr>
          <w:rFonts w:ascii="Times New Roman" w:cs="Times New Roman" w:eastAsia="Times New Roman" w:hAnsi="Times New Roman"/>
          <w:i w:val="1"/>
          <w:iCs w:val="1"/>
          <w:sz w:val="20"/>
          <w:szCs w:val="20"/>
          <w:rtl w:val="0"/>
        </w:rPr>
        <w:t xml:space="preserve"> </w:t>
      </w:r>
      <w:r w:rsidDel="00000000" w:rsidR="00000000" w:rsidRPr="00000000">
        <w:rPr>
          <w:rFonts w:ascii="Times New Roman" w:cs="Times New Roman" w:eastAsia="Times New Roman" w:hAnsi="Times New Roman"/>
          <w:i w:val="1"/>
          <w:iCs w:val="1"/>
          <w:sz w:val="20"/>
          <w:szCs w:val="20"/>
          <w:rtl w:val="0"/>
        </w:rPr>
        <w:t xml:space="preserve">Magikon zōon: Animal and magic from Antiquity to the Middle Ages</w:t>
      </w:r>
      <w:r w:rsidDel="00000000" w:rsidR="00000000" w:rsidRPr="00000000">
        <w:rPr>
          <w:rFonts w:ascii="Times New Roman" w:cs="Times New Roman" w:eastAsia="Times New Roman" w:hAnsi="Times New Roman"/>
          <w:sz w:val="20"/>
          <w:szCs w:val="20"/>
          <w:rtl w:val="0"/>
        </w:rPr>
        <w:t xml:space="preserve">, ed. by </w:t>
      </w:r>
      <w:hyperlink r:id="rId2">
        <w:r w:rsidDel="00000000" w:rsidR="00000000" w:rsidRPr="00000000">
          <w:rPr>
            <w:rFonts w:ascii="Times New Roman" w:cs="Times New Roman" w:eastAsia="Times New Roman" w:hAnsi="Times New Roman"/>
            <w:sz w:val="20"/>
            <w:szCs w:val="20"/>
            <w:rtl w:val="0"/>
          </w:rPr>
          <w:t xml:space="preserve">Jean-Charles Coulon</w:t>
        </w:r>
      </w:hyperlink>
      <w:r w:rsidDel="00000000" w:rsidR="00000000" w:rsidRPr="00000000">
        <w:rPr>
          <w:rFonts w:ascii="Times New Roman" w:cs="Times New Roman" w:eastAsia="Times New Roman" w:hAnsi="Times New Roman"/>
          <w:sz w:val="20"/>
          <w:szCs w:val="20"/>
          <w:rtl w:val="0"/>
        </w:rPr>
        <w:t xml:space="preserve"> and </w:t>
      </w:r>
      <w:hyperlink r:id="rId3">
        <w:r w:rsidDel="00000000" w:rsidR="00000000" w:rsidRPr="00000000">
          <w:rPr>
            <w:rFonts w:ascii="Times New Roman" w:cs="Times New Roman" w:eastAsia="Times New Roman" w:hAnsi="Times New Roman"/>
            <w:sz w:val="20"/>
            <w:szCs w:val="20"/>
            <w:rtl w:val="0"/>
          </w:rPr>
          <w:t xml:space="preserve">Korshi Dosoo</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252525"/>
          <w:sz w:val="20"/>
          <w:szCs w:val="20"/>
          <w:highlight w:val="white"/>
          <w:rtl w:val="0"/>
        </w:rPr>
        <w:t xml:space="preserve">Paris: Institut de recherche et d’histoire des textes, 2022</w:t>
      </w:r>
      <w:r w:rsidDel="00000000" w:rsidR="00000000" w:rsidRPr="00000000">
        <w:rPr>
          <w:rFonts w:ascii="Times New Roman" w:cs="Times New Roman" w:eastAsia="Times New Roman" w:hAnsi="Times New Roman"/>
          <w:sz w:val="20"/>
          <w:szCs w:val="20"/>
          <w:rtl w:val="0"/>
        </w:rPr>
        <w:t xml:space="preserve"> ), pp. 203–256, pp. 214–6.</w:t>
      </w:r>
    </w:p>
  </w:footnote>
  <w:footnote w:id="46">
    <w:p w:rsidR="00000000" w:rsidDel="00000000" w:rsidP="00000000" w:rsidRDefault="00000000" w:rsidRPr="00000000" w14:paraId="000000F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Boylan, </w:t>
      </w:r>
      <w:r w:rsidDel="00000000" w:rsidR="00000000" w:rsidRPr="00000000">
        <w:rPr>
          <w:rFonts w:ascii="Times New Roman" w:cs="Times New Roman" w:eastAsia="Times New Roman" w:hAnsi="Times New Roman"/>
          <w:i w:val="1"/>
          <w:iCs w:val="1"/>
          <w:sz w:val="20"/>
          <w:szCs w:val="20"/>
          <w:rtl w:val="0"/>
        </w:rPr>
        <w:t xml:space="preserve">Thoth</w:t>
      </w:r>
      <w:r w:rsidDel="00000000" w:rsidR="00000000" w:rsidRPr="00000000">
        <w:rPr>
          <w:rFonts w:ascii="Times New Roman" w:cs="Times New Roman" w:eastAsia="Times New Roman" w:hAnsi="Times New Roman"/>
          <w:sz w:val="20"/>
          <w:szCs w:val="20"/>
          <w:rtl w:val="0"/>
        </w:rPr>
        <w:t xml:space="preserve">, p. 188.</w:t>
      </w:r>
    </w:p>
  </w:footnote>
  <w:footnote w:id="4">
    <w:p w:rsidR="00000000" w:rsidDel="00000000" w:rsidP="00000000" w:rsidRDefault="00000000" w:rsidRPr="00000000" w14:paraId="000000F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Mircea Eliade, ‘The Eternal Return’, in </w:t>
      </w:r>
      <w:r w:rsidDel="00000000" w:rsidR="00000000" w:rsidRPr="00000000">
        <w:rPr>
          <w:rFonts w:ascii="Times New Roman" w:cs="Times New Roman" w:eastAsia="Times New Roman" w:hAnsi="Times New Roman"/>
          <w:i w:val="1"/>
          <w:iCs w:val="1"/>
          <w:sz w:val="20"/>
          <w:szCs w:val="20"/>
          <w:rtl w:val="0"/>
        </w:rPr>
        <w:t xml:space="preserve">Parabola: The Magazine of Myth and Tradition</w:t>
      </w:r>
      <w:r w:rsidDel="00000000" w:rsidR="00000000" w:rsidRPr="00000000">
        <w:rPr>
          <w:rFonts w:ascii="Times New Roman" w:cs="Times New Roman" w:eastAsia="Times New Roman" w:hAnsi="Times New Roman"/>
          <w:sz w:val="20"/>
          <w:szCs w:val="20"/>
          <w:rtl w:val="0"/>
        </w:rPr>
        <w:t xml:space="preserve">, 8.2 (1988),</w:t>
      </w:r>
    </w:p>
    <w:p w:rsidR="00000000" w:rsidDel="00000000" w:rsidP="00000000" w:rsidRDefault="00000000" w:rsidRPr="00000000" w14:paraId="000000F3">
      <w:pPr>
        <w:spacing w:line="240" w:lineRule="auto"/>
        <w:ind w:firstLine="720"/>
        <w:rPr>
          <w:sz w:val="20"/>
          <w:szCs w:val="20"/>
        </w:rPr>
      </w:pPr>
      <w:r w:rsidDel="00000000" w:rsidR="00000000" w:rsidRPr="00000000">
        <w:rPr>
          <w:rFonts w:ascii="Times New Roman" w:cs="Times New Roman" w:eastAsia="Times New Roman" w:hAnsi="Times New Roman"/>
          <w:sz w:val="20"/>
          <w:szCs w:val="20"/>
          <w:rtl w:val="0"/>
        </w:rPr>
        <w:t xml:space="preserve">pp. 4–15, p. 6.</w:t>
      </w:r>
      <w:r w:rsidDel="00000000" w:rsidR="00000000" w:rsidRPr="00000000">
        <w:rPr>
          <w:rtl w:val="0"/>
        </w:rPr>
      </w:r>
    </w:p>
  </w:footnote>
  <w:footnote w:id="33">
    <w:p w:rsidR="00000000" w:rsidDel="00000000" w:rsidP="00000000" w:rsidRDefault="00000000" w:rsidRPr="00000000" w14:paraId="000000F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color w:val="141413"/>
          <w:sz w:val="20"/>
          <w:szCs w:val="20"/>
          <w:rtl w:val="0"/>
        </w:rPr>
        <w:t xml:space="preserve"> The use of εἰ does not make sense here, so this is probably an error where the scribe meant </w:t>
      </w:r>
      <w:r w:rsidDel="00000000" w:rsidR="00000000" w:rsidRPr="00000000">
        <w:rPr>
          <w:rFonts w:ascii="Times New Roman" w:cs="Times New Roman" w:eastAsia="Times New Roman" w:hAnsi="Times New Roman"/>
          <w:sz w:val="20"/>
          <w:szCs w:val="20"/>
          <w:rtl w:val="0"/>
        </w:rPr>
        <w:t xml:space="preserve">ἐπὶ or, </w:t>
      </w:r>
    </w:p>
    <w:p w:rsidR="00000000" w:rsidDel="00000000" w:rsidP="00000000" w:rsidRDefault="00000000" w:rsidRPr="00000000" w14:paraId="000000F5">
      <w:pPr>
        <w:spacing w:line="240" w:lineRule="auto"/>
        <w:ind w:firstLine="720"/>
        <w:rPr>
          <w:rFonts w:ascii="Times New Roman" w:cs="Times New Roman" w:eastAsia="Times New Roman" w:hAnsi="Times New Roman"/>
          <w:color w:val="141413"/>
          <w:sz w:val="20"/>
          <w:szCs w:val="20"/>
        </w:rPr>
      </w:pPr>
      <w:r w:rsidDel="00000000" w:rsidR="00000000" w:rsidRPr="00000000">
        <w:rPr>
          <w:rFonts w:ascii="Times New Roman" w:cs="Times New Roman" w:eastAsia="Times New Roman" w:hAnsi="Times New Roman"/>
          <w:sz w:val="20"/>
          <w:szCs w:val="20"/>
          <w:rtl w:val="0"/>
        </w:rPr>
        <w:t xml:space="preserve">more appropriately, </w:t>
      </w:r>
      <w:r w:rsidDel="00000000" w:rsidR="00000000" w:rsidRPr="00000000">
        <w:rPr>
          <w:rFonts w:ascii="Times New Roman" w:cs="Times New Roman" w:eastAsia="Times New Roman" w:hAnsi="Times New Roman"/>
          <w:color w:val="141413"/>
          <w:sz w:val="20"/>
          <w:szCs w:val="20"/>
          <w:rtl w:val="0"/>
        </w:rPr>
        <w:t xml:space="preserve">ἐφ’-. Perhaps εἰ is an Egyptian variant of </w:t>
      </w:r>
      <w:r w:rsidDel="00000000" w:rsidR="00000000" w:rsidRPr="00000000">
        <w:rPr>
          <w:rFonts w:ascii="Times New Roman" w:cs="Times New Roman" w:eastAsia="Times New Roman" w:hAnsi="Times New Roman"/>
          <w:sz w:val="20"/>
          <w:szCs w:val="20"/>
          <w:rtl w:val="0"/>
        </w:rPr>
        <w:t xml:space="preserve">ἐπὶ, but the scribe writes </w:t>
      </w:r>
      <w:r w:rsidDel="00000000" w:rsidR="00000000" w:rsidRPr="00000000">
        <w:rPr>
          <w:rFonts w:ascii="Times New Roman" w:cs="Times New Roman" w:eastAsia="Times New Roman" w:hAnsi="Times New Roman"/>
          <w:color w:val="141413"/>
          <w:sz w:val="20"/>
          <w:szCs w:val="20"/>
          <w:rtl w:val="0"/>
        </w:rPr>
        <w:t xml:space="preserve">ἐπὶ in line 5 </w:t>
      </w:r>
    </w:p>
    <w:p w:rsidR="00000000" w:rsidDel="00000000" w:rsidP="00000000" w:rsidRDefault="00000000" w:rsidRPr="00000000" w14:paraId="000000F6">
      <w:pPr>
        <w:spacing w:line="240" w:lineRule="auto"/>
        <w:ind w:left="72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141413"/>
          <w:sz w:val="20"/>
          <w:szCs w:val="20"/>
          <w:rtl w:val="0"/>
        </w:rPr>
        <w:t xml:space="preserve">(even if, again, it should really be </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ἐφ’- due to the subsequent rough breathing). Interestingly, the scribe uses ἐξ, the correct form for ἐκ when preceding a vowel, in line 5. </w:t>
      </w:r>
      <w:r w:rsidDel="00000000" w:rsidR="00000000" w:rsidRPr="00000000">
        <w:rPr>
          <w:rtl w:val="0"/>
        </w:rPr>
      </w:r>
    </w:p>
  </w:footnote>
  <w:footnote w:id="34">
    <w:p w:rsidR="00000000" w:rsidDel="00000000" w:rsidP="00000000" w:rsidRDefault="00000000" w:rsidRPr="00000000" w14:paraId="000000F7">
      <w:pPr>
        <w:spacing w:line="240" w:lineRule="auto"/>
        <w:rPr>
          <w:sz w:val="20"/>
          <w:szCs w:val="20"/>
          <w:highlight w:val="red"/>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color w:val="141413"/>
          <w:sz w:val="20"/>
          <w:szCs w:val="20"/>
          <w:rtl w:val="0"/>
        </w:rPr>
        <w:t xml:space="preserve">Boylan, </w:t>
      </w:r>
      <w:r w:rsidDel="00000000" w:rsidR="00000000" w:rsidRPr="00000000">
        <w:rPr>
          <w:rFonts w:ascii="Times New Roman" w:cs="Times New Roman" w:eastAsia="Times New Roman" w:hAnsi="Times New Roman"/>
          <w:i w:val="1"/>
          <w:iCs w:val="1"/>
          <w:color w:val="141413"/>
          <w:sz w:val="20"/>
          <w:szCs w:val="20"/>
          <w:rtl w:val="0"/>
        </w:rPr>
        <w:t xml:space="preserve">Thoth,</w:t>
      </w:r>
      <w:r w:rsidDel="00000000" w:rsidR="00000000" w:rsidRPr="00000000">
        <w:rPr>
          <w:rFonts w:ascii="Times New Roman" w:cs="Times New Roman" w:eastAsia="Times New Roman" w:hAnsi="Times New Roman"/>
          <w:color w:val="141413"/>
          <w:sz w:val="20"/>
          <w:szCs w:val="20"/>
          <w:rtl w:val="0"/>
        </w:rPr>
        <w:t xml:space="preserve"> p. 99, 188.</w:t>
      </w:r>
      <w:r w:rsidDel="00000000" w:rsidR="00000000" w:rsidRPr="00000000">
        <w:rPr>
          <w:rtl w:val="0"/>
        </w:rPr>
      </w:r>
    </w:p>
  </w:footnote>
  <w:footnote w:id="35">
    <w:p w:rsidR="00000000" w:rsidDel="00000000" w:rsidP="00000000" w:rsidRDefault="00000000" w:rsidRPr="00000000" w14:paraId="000000F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color w:val="1f1f1f"/>
          <w:sz w:val="20"/>
          <w:szCs w:val="20"/>
          <w:rtl w:val="0"/>
        </w:rPr>
        <w:t xml:space="preserve">Robert K. Ritner, </w:t>
      </w:r>
      <w:r w:rsidDel="00000000" w:rsidR="00000000" w:rsidRPr="00000000">
        <w:rPr>
          <w:rFonts w:ascii="Times New Roman" w:cs="Times New Roman" w:eastAsia="Times New Roman" w:hAnsi="Times New Roman"/>
          <w:i w:val="1"/>
          <w:iCs w:val="1"/>
          <w:color w:val="1f1f1f"/>
          <w:sz w:val="20"/>
          <w:szCs w:val="20"/>
          <w:rtl w:val="0"/>
        </w:rPr>
        <w:t xml:space="preserve">The Mechanics of Ancient Egyptian Magical Practice</w:t>
      </w:r>
      <w:r w:rsidDel="00000000" w:rsidR="00000000" w:rsidRPr="00000000">
        <w:rPr>
          <w:rFonts w:ascii="Times New Roman" w:cs="Times New Roman" w:eastAsia="Times New Roman" w:hAnsi="Times New Roman"/>
          <w:color w:val="1f1f1f"/>
          <w:sz w:val="20"/>
          <w:szCs w:val="20"/>
          <w:rtl w:val="0"/>
        </w:rPr>
        <w:t xml:space="preserve">, (Chicago: The Oriental Institute, 2008)</w:t>
      </w:r>
      <w:r w:rsidDel="00000000" w:rsidR="00000000" w:rsidRPr="00000000">
        <w:rPr>
          <w:rFonts w:ascii="Times New Roman" w:cs="Times New Roman" w:eastAsia="Times New Roman" w:hAnsi="Times New Roman"/>
          <w:sz w:val="20"/>
          <w:szCs w:val="20"/>
          <w:rtl w:val="0"/>
        </w:rPr>
        <w:t xml:space="preserve">, pp. </w:t>
      </w:r>
      <w:r w:rsidDel="00000000" w:rsidR="00000000" w:rsidRPr="00000000">
        <w:rPr>
          <w:rFonts w:ascii="Times New Roman" w:cs="Times New Roman" w:eastAsia="Times New Roman" w:hAnsi="Times New Roman"/>
          <w:color w:val="141413"/>
          <w:sz w:val="20"/>
          <w:szCs w:val="20"/>
          <w:rtl w:val="0"/>
        </w:rPr>
        <w:t xml:space="preserve">103–110.</w:t>
      </w:r>
      <w:r w:rsidDel="00000000" w:rsidR="00000000" w:rsidRPr="00000000">
        <w:rPr>
          <w:rtl w:val="0"/>
        </w:rPr>
      </w:r>
    </w:p>
  </w:footnote>
  <w:footnote w:id="36">
    <w:p w:rsidR="00000000" w:rsidDel="00000000" w:rsidP="00000000" w:rsidRDefault="00000000" w:rsidRPr="00000000" w14:paraId="000000F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Boylan, </w:t>
      </w:r>
      <w:r w:rsidDel="00000000" w:rsidR="00000000" w:rsidRPr="00000000">
        <w:rPr>
          <w:rFonts w:ascii="Times New Roman" w:cs="Times New Roman" w:eastAsia="Times New Roman" w:hAnsi="Times New Roman"/>
          <w:i w:val="1"/>
          <w:iCs w:val="1"/>
          <w:sz w:val="20"/>
          <w:szCs w:val="20"/>
          <w:rtl w:val="0"/>
        </w:rPr>
        <w:t xml:space="preserve">Thoth</w:t>
      </w:r>
      <w:r w:rsidDel="00000000" w:rsidR="00000000" w:rsidRPr="00000000">
        <w:rPr>
          <w:rFonts w:ascii="Times New Roman" w:cs="Times New Roman" w:eastAsia="Times New Roman" w:hAnsi="Times New Roman"/>
          <w:sz w:val="20"/>
          <w:szCs w:val="20"/>
          <w:rtl w:val="0"/>
        </w:rPr>
        <w:t xml:space="preserve">, p. 34, 72.</w:t>
      </w:r>
    </w:p>
  </w:footnote>
  <w:footnote w:id="37">
    <w:p w:rsidR="00000000" w:rsidDel="00000000" w:rsidP="00000000" w:rsidRDefault="00000000" w:rsidRPr="00000000" w14:paraId="000000FA">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1d2125"/>
          <w:sz w:val="20"/>
          <w:szCs w:val="20"/>
          <w:rtl w:val="0"/>
        </w:rPr>
        <w:t xml:space="preserve">Ibid., pp. 63, 65, 180.</w:t>
      </w:r>
      <w:r w:rsidDel="00000000" w:rsidR="00000000" w:rsidRPr="00000000">
        <w:rPr>
          <w:rtl w:val="0"/>
        </w:rPr>
      </w:r>
    </w:p>
  </w:footnote>
  <w:footnote w:id="39">
    <w:p w:rsidR="00000000" w:rsidDel="00000000" w:rsidP="00000000" w:rsidRDefault="00000000" w:rsidRPr="00000000" w14:paraId="000000F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On the suffix </w:t>
      </w:r>
      <w:r w:rsidDel="00000000" w:rsidR="00000000" w:rsidRPr="00000000">
        <w:rPr>
          <w:rFonts w:ascii="Times New Roman" w:cs="Times New Roman" w:eastAsia="Times New Roman" w:hAnsi="Times New Roman"/>
          <w:i w:val="1"/>
          <w:iCs w:val="1"/>
          <w:sz w:val="20"/>
          <w:szCs w:val="20"/>
          <w:rtl w:val="0"/>
        </w:rPr>
        <w:t xml:space="preserve">–el</w:t>
      </w:r>
      <w:r w:rsidDel="00000000" w:rsidR="00000000" w:rsidRPr="00000000">
        <w:rPr>
          <w:rFonts w:ascii="Times New Roman" w:cs="Times New Roman" w:eastAsia="Times New Roman" w:hAnsi="Times New Roman"/>
          <w:sz w:val="20"/>
          <w:szCs w:val="20"/>
          <w:rtl w:val="0"/>
        </w:rPr>
        <w:t xml:space="preserve"> being added to Greek roots to make them sound like Hebraic angelic names: </w:t>
      </w:r>
    </w:p>
    <w:p w:rsidR="00000000" w:rsidDel="00000000" w:rsidP="00000000" w:rsidRDefault="00000000" w:rsidRPr="00000000" w14:paraId="000000FC">
      <w:pPr>
        <w:spacing w:line="240" w:lineRule="auto"/>
        <w:ind w:firstLine="720"/>
        <w:rPr>
          <w:sz w:val="20"/>
          <w:szCs w:val="20"/>
        </w:rPr>
      </w:pPr>
      <w:r w:rsidDel="00000000" w:rsidR="00000000" w:rsidRPr="00000000">
        <w:rPr>
          <w:rFonts w:ascii="Times New Roman" w:cs="Times New Roman" w:eastAsia="Times New Roman" w:hAnsi="Times New Roman"/>
          <w:sz w:val="20"/>
          <w:szCs w:val="20"/>
          <w:highlight w:val="white"/>
          <w:rtl w:val="0"/>
        </w:rPr>
        <w:t xml:space="preserve">Bohak, ‘Hebrew, Hebrew Everywhere?’, p. 72.</w:t>
      </w:r>
      <w:r w:rsidDel="00000000" w:rsidR="00000000" w:rsidRPr="00000000">
        <w:rPr>
          <w:rtl w:val="0"/>
        </w:rPr>
      </w:r>
    </w:p>
  </w:footnote>
  <w:footnote w:id="38">
    <w:p w:rsidR="00000000" w:rsidDel="00000000" w:rsidP="00000000" w:rsidRDefault="00000000" w:rsidRPr="00000000" w14:paraId="000000F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A non–exhaustive list of spells utilizing a syncretic blend of deities’ name:</w:t>
      </w:r>
    </w:p>
    <w:p w:rsidR="00000000" w:rsidDel="00000000" w:rsidP="00000000" w:rsidRDefault="00000000" w:rsidRPr="00000000" w14:paraId="000000FE">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III. 1–164,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IV. 1390–1485,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IV. 1928–2005,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IV. 2708–84,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V. 96–172, </w:t>
      </w:r>
    </w:p>
    <w:p w:rsidR="00000000" w:rsidDel="00000000" w:rsidP="00000000" w:rsidRDefault="00000000" w:rsidRPr="00000000" w14:paraId="000000FF">
      <w:pPr>
        <w:spacing w:line="240" w:lineRule="auto"/>
        <w:ind w:firstLine="720"/>
        <w:rPr>
          <w:rFonts w:ascii="Times New Roman" w:cs="Times New Roman" w:eastAsia="Times New Roman" w:hAnsi="Times New Roman"/>
          <w:sz w:val="20"/>
          <w:szCs w:val="20"/>
          <w:highlight w:val="red"/>
        </w:rPr>
      </w:pP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VII. 593–619,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VII. 619–27,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XIII. 734—1077,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XXXVI. 35–68.</w:t>
      </w:r>
      <w:r w:rsidDel="00000000" w:rsidR="00000000" w:rsidRPr="00000000">
        <w:rPr>
          <w:rtl w:val="0"/>
        </w:rPr>
      </w:r>
    </w:p>
  </w:footnote>
  <w:footnote w:id="40">
    <w:p w:rsidR="00000000" w:rsidDel="00000000" w:rsidP="00000000" w:rsidRDefault="00000000" w:rsidRPr="00000000" w14:paraId="00000100">
      <w:pPr>
        <w:spacing w:line="240" w:lineRule="auto"/>
        <w:rPr>
          <w:rFonts w:ascii="Times New Roman" w:cs="Times New Roman" w:eastAsia="Times New Roman" w:hAnsi="Times New Roman"/>
          <w:i w:val="1"/>
          <w:iCs w:val="1"/>
          <w:color w:val="272c31"/>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272c31"/>
          <w:sz w:val="20"/>
          <w:szCs w:val="20"/>
          <w:rtl w:val="0"/>
        </w:rPr>
        <w:t xml:space="preserve">H.S.Versnel, ‘The Poetics of the Magic Charm: An Essay in the Power of Words’, in </w:t>
      </w:r>
      <w:r w:rsidDel="00000000" w:rsidR="00000000" w:rsidRPr="00000000">
        <w:rPr>
          <w:rFonts w:ascii="Times New Roman" w:cs="Times New Roman" w:eastAsia="Times New Roman" w:hAnsi="Times New Roman"/>
          <w:i w:val="1"/>
          <w:iCs w:val="1"/>
          <w:color w:val="272c31"/>
          <w:sz w:val="20"/>
          <w:szCs w:val="20"/>
          <w:rtl w:val="0"/>
        </w:rPr>
        <w:t xml:space="preserve">Magic and Ritual in the </w:t>
      </w:r>
    </w:p>
    <w:p w:rsidR="00000000" w:rsidDel="00000000" w:rsidP="00000000" w:rsidRDefault="00000000" w:rsidRPr="00000000" w14:paraId="00000101">
      <w:pPr>
        <w:spacing w:line="240" w:lineRule="auto"/>
        <w:ind w:firstLine="720"/>
        <w:rPr>
          <w:rFonts w:ascii="Times New Roman" w:cs="Times New Roman" w:eastAsia="Times New Roman" w:hAnsi="Times New Roman"/>
          <w:color w:val="272c31"/>
          <w:sz w:val="20"/>
          <w:szCs w:val="20"/>
        </w:rPr>
      </w:pPr>
      <w:r w:rsidDel="00000000" w:rsidR="00000000" w:rsidRPr="00000000">
        <w:rPr>
          <w:rFonts w:ascii="Times New Roman" w:cs="Times New Roman" w:eastAsia="Times New Roman" w:hAnsi="Times New Roman"/>
          <w:i w:val="1"/>
          <w:iCs w:val="1"/>
          <w:color w:val="272c31"/>
          <w:sz w:val="20"/>
          <w:szCs w:val="20"/>
          <w:rtl w:val="0"/>
        </w:rPr>
        <w:t xml:space="preserve">Ancient World</w:t>
      </w:r>
      <w:r w:rsidDel="00000000" w:rsidR="00000000" w:rsidRPr="00000000">
        <w:rPr>
          <w:rFonts w:ascii="Times New Roman" w:cs="Times New Roman" w:eastAsia="Times New Roman" w:hAnsi="Times New Roman"/>
          <w:color w:val="272c31"/>
          <w:sz w:val="20"/>
          <w:szCs w:val="20"/>
          <w:rtl w:val="0"/>
        </w:rPr>
        <w:t xml:space="preserve">, ed. by Paul Mirecki and Marvin Meyer (London and Leiden: Brill, 2002), pp. 105–58,</w:t>
      </w:r>
    </w:p>
    <w:p w:rsidR="00000000" w:rsidDel="00000000" w:rsidP="00000000" w:rsidRDefault="00000000" w:rsidRPr="00000000" w14:paraId="00000102">
      <w:pPr>
        <w:spacing w:line="240" w:lineRule="auto"/>
        <w:ind w:firstLine="72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pp. 150, 155.</w:t>
      </w:r>
    </w:p>
  </w:footnote>
  <w:footnote w:id="42">
    <w:p w:rsidR="00000000" w:rsidDel="00000000" w:rsidP="00000000" w:rsidRDefault="00000000" w:rsidRPr="00000000" w14:paraId="00000103">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For myrrh’s association with the moon: LiDonnici, ‘Wormwood, Pinecones and Myrrh’, p.76.</w:t>
      </w:r>
    </w:p>
  </w:footnote>
  <w:footnote w:id="5">
    <w:p w:rsidR="00000000" w:rsidDel="00000000" w:rsidP="00000000" w:rsidRDefault="00000000" w:rsidRPr="00000000" w14:paraId="00000104">
      <w:pPr>
        <w:spacing w:line="240" w:lineRule="auto"/>
        <w:rPr>
          <w:sz w:val="20"/>
          <w:szCs w:val="20"/>
          <w:highlight w:val="red"/>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i w:val="1"/>
          <w:iCs w:val="1"/>
          <w:sz w:val="20"/>
          <w:szCs w:val="20"/>
          <w:rtl w:val="0"/>
        </w:rPr>
        <w:t xml:space="preserve">PGM</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IV.</w:t>
      </w:r>
      <w:r w:rsidDel="00000000" w:rsidR="00000000" w:rsidRPr="00000000">
        <w:rPr>
          <w:rFonts w:ascii="Times New Roman" w:cs="Times New Roman" w:eastAsia="Times New Roman" w:hAnsi="Times New Roman"/>
          <w:b w:val="1"/>
          <w:bCs w:val="1"/>
          <w:i w:val="1"/>
          <w:iCs w:val="1"/>
          <w:sz w:val="20"/>
          <w:szCs w:val="20"/>
          <w:rtl w:val="0"/>
        </w:rPr>
        <w:t xml:space="preserve"> </w:t>
      </w:r>
      <w:r w:rsidDel="00000000" w:rsidR="00000000" w:rsidRPr="00000000">
        <w:rPr>
          <w:rFonts w:ascii="Times New Roman" w:cs="Times New Roman" w:eastAsia="Times New Roman" w:hAnsi="Times New Roman"/>
          <w:sz w:val="20"/>
          <w:szCs w:val="20"/>
          <w:rtl w:val="0"/>
        </w:rPr>
        <w:t xml:space="preserve">296–466: Betz, </w:t>
      </w:r>
      <w:r w:rsidDel="00000000" w:rsidR="00000000" w:rsidRPr="00000000">
        <w:rPr>
          <w:rFonts w:ascii="Times New Roman" w:cs="Times New Roman" w:eastAsia="Times New Roman" w:hAnsi="Times New Roman"/>
          <w:i w:val="1"/>
          <w:iCs w:val="1"/>
          <w:sz w:val="20"/>
          <w:szCs w:val="20"/>
          <w:rtl w:val="0"/>
        </w:rPr>
        <w:t xml:space="preserve">Greek Magical Papyri</w:t>
      </w:r>
      <w:r w:rsidDel="00000000" w:rsidR="00000000" w:rsidRPr="00000000">
        <w:rPr>
          <w:rFonts w:ascii="Times New Roman" w:cs="Times New Roman" w:eastAsia="Times New Roman" w:hAnsi="Times New Roman"/>
          <w:sz w:val="20"/>
          <w:szCs w:val="20"/>
          <w:rtl w:val="0"/>
        </w:rPr>
        <w:t xml:space="preserve">, p. 44–7.</w:t>
      </w:r>
      <w:r w:rsidDel="00000000" w:rsidR="00000000" w:rsidRPr="00000000">
        <w:rPr>
          <w:rtl w:val="0"/>
        </w:rPr>
      </w:r>
    </w:p>
  </w:footnote>
  <w:footnote w:id="41">
    <w:p w:rsidR="00000000" w:rsidDel="00000000" w:rsidP="00000000" w:rsidRDefault="00000000" w:rsidRPr="00000000" w14:paraId="0000010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Boylan, </w:t>
      </w:r>
      <w:r w:rsidDel="00000000" w:rsidR="00000000" w:rsidRPr="00000000">
        <w:rPr>
          <w:rFonts w:ascii="Times New Roman" w:cs="Times New Roman" w:eastAsia="Times New Roman" w:hAnsi="Times New Roman"/>
          <w:i w:val="1"/>
          <w:iCs w:val="1"/>
          <w:sz w:val="20"/>
          <w:szCs w:val="20"/>
          <w:rtl w:val="0"/>
        </w:rPr>
        <w:t xml:space="preserve">Thoth</w:t>
      </w:r>
      <w:r w:rsidDel="00000000" w:rsidR="00000000" w:rsidRPr="00000000">
        <w:rPr>
          <w:rFonts w:ascii="Times New Roman" w:cs="Times New Roman" w:eastAsia="Times New Roman" w:hAnsi="Times New Roman"/>
          <w:sz w:val="20"/>
          <w:szCs w:val="20"/>
          <w:rtl w:val="0"/>
        </w:rPr>
        <w:t xml:space="preserve">, p. 198.</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8">
    <w:pPr>
      <w:jc w:val="righ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image" Target="media/image1.jpg"/><Relationship Id="rId13" Type="http://schemas.openxmlformats.org/officeDocument/2006/relationships/hyperlink" Target="https://books.openedition.org/irht/person/961" TargetMode="External"/><Relationship Id="rId12" Type="http://schemas.openxmlformats.org/officeDocument/2006/relationships/hyperlink" Target="https://berlpap.smb.museum/record/?result=0&amp;Alle=P.+5025&amp;lang=e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jpg"/><Relationship Id="rId15" Type="http://schemas.openxmlformats.org/officeDocument/2006/relationships/header" Target="header1.xml"/><Relationship Id="rId14" Type="http://schemas.openxmlformats.org/officeDocument/2006/relationships/hyperlink" Target="https://books.openedition.org/irht/person/552"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mailto:2430606@student.uwtsd.ac.uk" TargetMode="External"/><Relationship Id="rId8" Type="http://schemas.openxmlformats.org/officeDocument/2006/relationships/hyperlink" Target="https://moodle.uwtsd.ac.uk/course/view.php?id=7285"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berlpap.smb.museum/record/?result=0&amp;Alle=P.+5025&amp;lang=en" TargetMode="External"/><Relationship Id="rId2" Type="http://schemas.openxmlformats.org/officeDocument/2006/relationships/hyperlink" Target="https://books.openedition.org/irht/person/961" TargetMode="External"/><Relationship Id="rId3" Type="http://schemas.openxmlformats.org/officeDocument/2006/relationships/hyperlink" Target="https://books.openedition.org/irht/person/5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