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CA39355" w:rsidR="00EC129D" w:rsidRPr="007D32C5" w:rsidRDefault="00056F50">
            <w:pPr>
              <w:rPr>
                <w:rFonts w:ascii="Arial" w:hAnsi="Arial" w:cs="Arial"/>
                <w:sz w:val="22"/>
              </w:rPr>
            </w:pPr>
            <w:r w:rsidRPr="00056F50">
              <w:rPr>
                <w:rFonts w:ascii="Arial" w:hAnsi="Arial" w:cs="Arial"/>
                <w:sz w:val="22"/>
              </w:rPr>
              <w:t>2528731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BA97BD4" w:rsidR="00EC129D" w:rsidRPr="007D32C5" w:rsidRDefault="00056F50">
            <w:pPr>
              <w:rPr>
                <w:rFonts w:ascii="Arial" w:hAnsi="Arial" w:cs="Arial"/>
                <w:sz w:val="22"/>
              </w:rPr>
            </w:pPr>
            <w:r w:rsidRPr="00056F50">
              <w:rPr>
                <w:rFonts w:ascii="Arial" w:hAnsi="Arial" w:cs="Arial"/>
                <w:sz w:val="22"/>
              </w:rPr>
              <w:t>Madalina Lacatusu</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634B0E9" w:rsidR="00EC129D" w:rsidRPr="007D32C5" w:rsidRDefault="0059032B">
            <w:pPr>
              <w:rPr>
                <w:rFonts w:ascii="Arial" w:hAnsi="Arial" w:cs="Arial"/>
                <w:sz w:val="22"/>
              </w:rPr>
            </w:pPr>
            <w:r w:rsidRPr="0059032B">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4AC4DD5" w:rsidR="00EC129D" w:rsidRPr="007D32C5" w:rsidRDefault="0059032B">
            <w:pPr>
              <w:rPr>
                <w:rFonts w:ascii="Arial" w:hAnsi="Arial" w:cs="Arial"/>
                <w:sz w:val="22"/>
              </w:rPr>
            </w:pPr>
            <w:hyperlink r:id="rId7" w:history="1">
              <w:r w:rsidRPr="0059032B">
                <w:rPr>
                  <w:rStyle w:val="Hyperlink"/>
                  <w:rFonts w:ascii="Arial" w:hAnsi="Arial" w:cs="Arial"/>
                  <w:sz w:val="22"/>
                </w:rPr>
                <w:t>https://www.thecookingacademy.co.uk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8F27202" w14:textId="1B1269F5" w:rsidR="007D32C5" w:rsidRPr="007D32C5" w:rsidRDefault="00EC129D" w:rsidP="0059032B">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rsidP="0059032B">
            <w:pPr>
              <w:spacing w:line="360" w:lineRule="auto"/>
              <w:jc w:val="both"/>
              <w:rPr>
                <w:rFonts w:ascii="Arial" w:hAnsi="Arial" w:cs="Arial"/>
                <w:sz w:val="22"/>
              </w:rPr>
            </w:pPr>
            <w:r>
              <w:rPr>
                <w:rFonts w:ascii="Arial" w:hAnsi="Arial" w:cs="Arial"/>
                <w:sz w:val="22"/>
              </w:rPr>
              <w:t xml:space="preserve">Answer: </w:t>
            </w:r>
          </w:p>
          <w:p w14:paraId="1C9196D0" w14:textId="17CD1D53" w:rsidR="00061623" w:rsidRPr="007D32C5" w:rsidRDefault="0059032B" w:rsidP="0059032B">
            <w:pPr>
              <w:spacing w:line="360" w:lineRule="auto"/>
              <w:jc w:val="both"/>
              <w:rPr>
                <w:rFonts w:ascii="Arial" w:hAnsi="Arial" w:cs="Arial"/>
                <w:sz w:val="22"/>
              </w:rPr>
            </w:pPr>
            <w:r w:rsidRPr="0059032B">
              <w:rPr>
                <w:rFonts w:ascii="Arial" w:hAnsi="Arial" w:cs="Arial"/>
                <w:sz w:val="22"/>
              </w:rPr>
              <w:t>The Cooking Academy home page loads in about three seconds on a typical broadband connection which is at the high-end of reasonable performance of retail sites. Maguire (2023) confirms evidence that minimising page load time is a fundamental usability need since slower pages undermine user trust and conversion. Full rendering is slowed a little by image-intensive banners on the landing page. Guo, Zhang and Xia (2023) posit that the quality of the website design has a direct impact on perceived usability, which complies with the opinion that the current site is not performing highly but satisfactorily.</w:t>
            </w:r>
          </w:p>
        </w:tc>
      </w:tr>
      <w:tr w:rsidR="00EC129D" w:rsidRPr="007D32C5" w14:paraId="426F6955" w14:textId="77777777" w:rsidTr="00697353">
        <w:tc>
          <w:tcPr>
            <w:tcW w:w="9016" w:type="dxa"/>
            <w:gridSpan w:val="5"/>
          </w:tcPr>
          <w:p w14:paraId="5842196E" w14:textId="167129FB" w:rsidR="00EC129D" w:rsidRPr="007D32C5" w:rsidRDefault="00061623" w:rsidP="0059032B">
            <w:pPr>
              <w:spacing w:line="360" w:lineRule="auto"/>
              <w:jc w:val="both"/>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rsidP="0059032B">
            <w:pPr>
              <w:spacing w:line="360" w:lineRule="auto"/>
              <w:jc w:val="both"/>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rsidP="0059032B">
            <w:pPr>
              <w:spacing w:line="360" w:lineRule="auto"/>
              <w:jc w:val="both"/>
              <w:rPr>
                <w:rFonts w:ascii="Arial" w:hAnsi="Arial" w:cs="Arial"/>
                <w:sz w:val="22"/>
              </w:rPr>
            </w:pPr>
            <w:r>
              <w:rPr>
                <w:rFonts w:ascii="Arial" w:hAnsi="Arial" w:cs="Arial"/>
                <w:sz w:val="22"/>
              </w:rPr>
              <w:t xml:space="preserve">Answer: </w:t>
            </w:r>
          </w:p>
          <w:p w14:paraId="710E3E87" w14:textId="3FCCF33D" w:rsidR="00061623" w:rsidRPr="007D32C5" w:rsidRDefault="0059032B" w:rsidP="0059032B">
            <w:pPr>
              <w:spacing w:line="360" w:lineRule="auto"/>
              <w:jc w:val="both"/>
              <w:rPr>
                <w:rFonts w:ascii="Arial" w:hAnsi="Arial" w:cs="Arial"/>
                <w:sz w:val="22"/>
              </w:rPr>
            </w:pPr>
            <w:r w:rsidRPr="0059032B">
              <w:rPr>
                <w:rFonts w:ascii="Arial" w:hAnsi="Arial" w:cs="Arial"/>
                <w:sz w:val="22"/>
              </w:rPr>
              <w:t>The site has a large number of sub-pages with classes, corporate events, gift vouchers, blog content and a shop. These are organized in categories with drop-down choices on a horizontal top menu and duplicated at the footer links. According to Rosania and Wilujeng (2023), trust is formed in commercial websites when they have clear navigation. The organization is very logical but due to the number of pages of cuisine specific classes, the customers have to scroll. Maguire (2023) advises to assist the navigation with clear page layouts, which this site adheres to flawlessly since overlap of categories appears.</w:t>
            </w:r>
          </w:p>
        </w:tc>
      </w:tr>
      <w:tr w:rsidR="00EC129D" w:rsidRPr="007D32C5" w14:paraId="1E4B0196" w14:textId="77777777" w:rsidTr="00D9314E">
        <w:tc>
          <w:tcPr>
            <w:tcW w:w="9016" w:type="dxa"/>
            <w:gridSpan w:val="5"/>
          </w:tcPr>
          <w:p w14:paraId="71A370D3" w14:textId="267AB0BD" w:rsidR="00EC129D" w:rsidRPr="007D32C5" w:rsidRDefault="009C6B52" w:rsidP="0059032B">
            <w:pPr>
              <w:spacing w:line="360" w:lineRule="auto"/>
              <w:jc w:val="both"/>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rsidP="0059032B">
            <w:pPr>
              <w:spacing w:line="360" w:lineRule="auto"/>
              <w:jc w:val="both"/>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rsidP="0059032B">
            <w:pPr>
              <w:spacing w:line="360" w:lineRule="auto"/>
              <w:jc w:val="both"/>
              <w:rPr>
                <w:rFonts w:ascii="Arial" w:hAnsi="Arial" w:cs="Arial"/>
                <w:sz w:val="22"/>
              </w:rPr>
            </w:pPr>
            <w:r>
              <w:rPr>
                <w:rFonts w:ascii="Arial" w:hAnsi="Arial" w:cs="Arial"/>
                <w:sz w:val="22"/>
              </w:rPr>
              <w:t xml:space="preserve">Answer: </w:t>
            </w:r>
          </w:p>
          <w:p w14:paraId="66E6E998" w14:textId="4A18A246" w:rsidR="009C6B52" w:rsidRPr="007D32C5" w:rsidRDefault="0059032B" w:rsidP="0059032B">
            <w:pPr>
              <w:spacing w:line="360" w:lineRule="auto"/>
              <w:jc w:val="both"/>
              <w:rPr>
                <w:rFonts w:ascii="Arial" w:hAnsi="Arial" w:cs="Arial"/>
                <w:sz w:val="22"/>
              </w:rPr>
            </w:pPr>
            <w:r w:rsidRPr="0059032B">
              <w:rPr>
                <w:rFonts w:ascii="Arial" w:hAnsi="Arial" w:cs="Arial"/>
                <w:sz w:val="22"/>
              </w:rPr>
              <w:t xml:space="preserve">Customers reserve classes via separate product pages using a date picker, quantity box, and add-to-basket option to a checkout. The payment is made online without any coercion to open an account. Daoud, Sharabati, Samarah and Alqurashi (2024) emphasize that a lack of friction in the checkout process increases the conversion rates of SMEs significantly. </w:t>
            </w:r>
            <w:r w:rsidRPr="0059032B">
              <w:rPr>
                <w:rFonts w:ascii="Arial" w:hAnsi="Arial" w:cs="Arial"/>
                <w:sz w:val="22"/>
              </w:rPr>
              <w:lastRenderedPageBreak/>
              <w:t>Guo, Zhang and Xia (2023) also associate the simplicity of booking with customer satisfaction. The booking experience is desktop and mobile, but the process of choosing a gift voucher is shown in a different window and introduces an additional small cognitive load to new customers.</w:t>
            </w:r>
          </w:p>
        </w:tc>
      </w:tr>
      <w:tr w:rsidR="00E26B70" w:rsidRPr="007D32C5" w14:paraId="4D7EB115" w14:textId="77777777" w:rsidTr="002E5141">
        <w:tc>
          <w:tcPr>
            <w:tcW w:w="9016" w:type="dxa"/>
            <w:gridSpan w:val="5"/>
          </w:tcPr>
          <w:p w14:paraId="0708874E" w14:textId="77777777" w:rsidR="00E26B70" w:rsidRDefault="009C6B52" w:rsidP="0059032B">
            <w:pPr>
              <w:spacing w:line="360" w:lineRule="auto"/>
              <w:jc w:val="both"/>
              <w:rPr>
                <w:rFonts w:ascii="Arial" w:hAnsi="Arial" w:cs="Arial"/>
                <w:sz w:val="22"/>
              </w:rPr>
            </w:pPr>
            <w:r w:rsidRPr="00CE5D08">
              <w:rPr>
                <w:rFonts w:ascii="Arial" w:hAnsi="Arial" w:cs="Arial"/>
                <w:b/>
                <w:bCs/>
                <w:sz w:val="22"/>
              </w:rPr>
              <w:lastRenderedPageBreak/>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rsidP="0059032B">
            <w:pPr>
              <w:spacing w:line="360" w:lineRule="auto"/>
              <w:jc w:val="both"/>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rsidP="0059032B">
            <w:pPr>
              <w:spacing w:line="360" w:lineRule="auto"/>
              <w:jc w:val="both"/>
              <w:rPr>
                <w:rFonts w:ascii="Arial" w:hAnsi="Arial" w:cs="Arial"/>
                <w:sz w:val="22"/>
              </w:rPr>
            </w:pPr>
            <w:r>
              <w:rPr>
                <w:rFonts w:ascii="Arial" w:hAnsi="Arial" w:cs="Arial"/>
                <w:sz w:val="22"/>
              </w:rPr>
              <w:t xml:space="preserve">Answer: </w:t>
            </w:r>
          </w:p>
          <w:p w14:paraId="544696E8" w14:textId="3962436D" w:rsidR="009C6B52" w:rsidRPr="007D32C5" w:rsidRDefault="0059032B" w:rsidP="0059032B">
            <w:pPr>
              <w:spacing w:line="360" w:lineRule="auto"/>
              <w:jc w:val="both"/>
              <w:rPr>
                <w:rFonts w:ascii="Arial" w:hAnsi="Arial" w:cs="Arial"/>
                <w:sz w:val="22"/>
              </w:rPr>
            </w:pPr>
            <w:r w:rsidRPr="0059032B">
              <w:rPr>
                <w:rFonts w:ascii="Arial" w:hAnsi="Arial" w:cs="Arial"/>
                <w:sz w:val="22"/>
              </w:rPr>
              <w:t>They could be improved by aggregating the cuisine class pages under the filter-based browsing instead of individual URLs and compressing hero images to minimize load time and a sticky booking button on extended product pages. Maguire (2023) states that the central usability priorities are effective page layouts and reduced load times. According to Daoud, Sharabati, Samarah and Alqurashi (2024), small enterprises are not always fully-committed to technical assistance and generate precisely such inefficiencies. The first-time visitors would be better guided to book by having a clearer primary call-to-action above the fold.</w:t>
            </w:r>
          </w:p>
        </w:tc>
      </w:tr>
      <w:tr w:rsidR="00E26B70" w:rsidRPr="007D32C5" w14:paraId="22996F11" w14:textId="77777777" w:rsidTr="0037561B">
        <w:tc>
          <w:tcPr>
            <w:tcW w:w="9016" w:type="dxa"/>
            <w:gridSpan w:val="5"/>
          </w:tcPr>
          <w:p w14:paraId="2A2D300F" w14:textId="023B2E30" w:rsidR="009C6B52" w:rsidRPr="009C6B52" w:rsidRDefault="00E26B70" w:rsidP="0059032B">
            <w:pPr>
              <w:spacing w:line="360" w:lineRule="auto"/>
              <w:jc w:val="both"/>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tc>
      </w:tr>
      <w:tr w:rsidR="00594A98" w:rsidRPr="007D32C5" w14:paraId="36045634" w14:textId="77777777" w:rsidTr="00157410">
        <w:tc>
          <w:tcPr>
            <w:tcW w:w="9016" w:type="dxa"/>
            <w:gridSpan w:val="5"/>
          </w:tcPr>
          <w:p w14:paraId="2A1FA9BE" w14:textId="263DE63C" w:rsidR="00594A98" w:rsidRDefault="00594A98" w:rsidP="0059032B">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rsidP="0059032B">
            <w:pPr>
              <w:spacing w:line="360" w:lineRule="auto"/>
              <w:jc w:val="both"/>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rsidP="0059032B">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6F40D4F4" w:rsidR="009C6B52" w:rsidRPr="007D32C5" w:rsidRDefault="0059032B" w:rsidP="0059032B">
            <w:pPr>
              <w:spacing w:line="360" w:lineRule="auto"/>
              <w:jc w:val="both"/>
              <w:rPr>
                <w:rFonts w:ascii="Arial" w:hAnsi="Arial" w:cs="Arial"/>
                <w:sz w:val="22"/>
              </w:rPr>
            </w:pPr>
            <w:r w:rsidRPr="0059032B">
              <w:rPr>
                <w:rFonts w:ascii="Arial" w:hAnsi="Arial" w:cs="Arial"/>
                <w:sz w:val="22"/>
              </w:rPr>
              <w:t>The desktop version has a warm color cadence of cream, terracotta and green that supports the food-oriented brand. Mobile rendering renders content to fit into a single column containing a hamburger menu and is readable. According to Guo, Zhang and Xia (2023), visual consistency among devices enhances loyalty. Märtin, Bissinger and Asta (2023) claim that the elements of emotional design make the digital customer journey personal. Some minor mobile problems are a bit cramped product thumbnails and less whitespace, but typography scales well and buttons match touch-target standards.</w:t>
            </w:r>
          </w:p>
        </w:tc>
      </w:tr>
      <w:tr w:rsidR="00594A98" w:rsidRPr="007D32C5" w14:paraId="0B97B08E" w14:textId="77777777" w:rsidTr="004A64A6">
        <w:tc>
          <w:tcPr>
            <w:tcW w:w="9016" w:type="dxa"/>
            <w:gridSpan w:val="5"/>
          </w:tcPr>
          <w:p w14:paraId="2EB59D7A" w14:textId="77777777" w:rsidR="00594A98" w:rsidRDefault="00594A98" w:rsidP="0059032B">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rsidP="0059032B">
            <w:pPr>
              <w:spacing w:line="360" w:lineRule="auto"/>
              <w:jc w:val="both"/>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rsidP="0059032B">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67446036" w:rsidR="009C6B52" w:rsidRPr="007D32C5" w:rsidRDefault="0059032B" w:rsidP="0059032B">
            <w:pPr>
              <w:spacing w:line="360" w:lineRule="auto"/>
              <w:jc w:val="both"/>
              <w:rPr>
                <w:rFonts w:ascii="Arial" w:hAnsi="Arial" w:cs="Arial"/>
                <w:sz w:val="22"/>
              </w:rPr>
            </w:pPr>
            <w:r w:rsidRPr="0059032B">
              <w:rPr>
                <w:rFonts w:ascii="Arial" w:hAnsi="Arial" w:cs="Arial"/>
                <w:sz w:val="22"/>
              </w:rPr>
              <w:t xml:space="preserve">The food photos are of high resolution throughout the home page and class pages and there is limited video content that has been embedded. There is a space between colour blocks and no domination of the design. Märtin, Bissinger and Asta (2023) associate curated imagery with more intense emotional involvement in the process of browsing. Credibility signals like professional photography as Maguire (2023) reaffirms aid in the purchase intent. The perceived value would be further boosted by adding short instructional video clips of </w:t>
            </w:r>
            <w:r w:rsidRPr="0059032B">
              <w:rPr>
                <w:rFonts w:ascii="Arial" w:hAnsi="Arial" w:cs="Arial"/>
                <w:sz w:val="22"/>
              </w:rPr>
              <w:lastRenderedPageBreak/>
              <w:t>chefs performing techniques, especially to potential customers who would be comparing cookery schools online before committing to a booking fee.</w:t>
            </w:r>
          </w:p>
        </w:tc>
      </w:tr>
      <w:tr w:rsidR="00594A98" w:rsidRPr="007D32C5" w14:paraId="7B70DC90" w14:textId="77777777" w:rsidTr="006C641A">
        <w:tc>
          <w:tcPr>
            <w:tcW w:w="9016" w:type="dxa"/>
            <w:gridSpan w:val="5"/>
          </w:tcPr>
          <w:p w14:paraId="35370825" w14:textId="5B7BA455" w:rsidR="009C6B52" w:rsidRDefault="00594A98" w:rsidP="0059032B">
            <w:pPr>
              <w:spacing w:line="360" w:lineRule="auto"/>
              <w:jc w:val="both"/>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rsidP="0059032B">
            <w:pPr>
              <w:spacing w:line="360" w:lineRule="auto"/>
              <w:jc w:val="both"/>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rsidP="0059032B">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345A0B9B" w:rsidR="009C6B52" w:rsidRPr="007D32C5" w:rsidRDefault="0059032B" w:rsidP="0059032B">
            <w:pPr>
              <w:spacing w:line="360" w:lineRule="auto"/>
              <w:jc w:val="both"/>
              <w:rPr>
                <w:rFonts w:ascii="Arial" w:hAnsi="Arial" w:cs="Arial"/>
                <w:sz w:val="22"/>
              </w:rPr>
            </w:pPr>
            <w:r w:rsidRPr="0059032B">
              <w:rPr>
                <w:rFonts w:ascii="Arial" w:hAnsi="Arial" w:cs="Arial"/>
                <w:sz w:val="22"/>
              </w:rPr>
              <w:t>There is a lack of live chat widget on the Cooking Academy, which uses email and telephone number to make enquiries. According to Rosania and Wilujeng (2023), instant communication channels establish trust and reduce the sales cycle. Daoud, Sharabati, Samarah and Alqurashi (2024) note that small businesses that employ chat tools experience tangible benefits in terms of engagement. The lack of chat feature implies that evening enquires remain unresponded until the office hours which undermines conversion of the time-sensitive gift purchases and even corporate event bookings that fall outside of the typical working hours.</w:t>
            </w:r>
          </w:p>
        </w:tc>
      </w:tr>
      <w:tr w:rsidR="00594A98" w:rsidRPr="007D32C5" w14:paraId="067F764A" w14:textId="77777777" w:rsidTr="006C641A">
        <w:tc>
          <w:tcPr>
            <w:tcW w:w="9016" w:type="dxa"/>
            <w:gridSpan w:val="5"/>
          </w:tcPr>
          <w:p w14:paraId="4EDF2511" w14:textId="77777777" w:rsidR="00594A98" w:rsidRDefault="00594A98" w:rsidP="0059032B">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rsidP="0059032B">
            <w:pPr>
              <w:spacing w:line="360" w:lineRule="auto"/>
              <w:jc w:val="both"/>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rsidP="0059032B">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076D03B2" w:rsidR="009C6B52" w:rsidRPr="007D32C5" w:rsidRDefault="0059032B" w:rsidP="0059032B">
            <w:pPr>
              <w:spacing w:line="360" w:lineRule="auto"/>
              <w:jc w:val="both"/>
              <w:rPr>
                <w:rFonts w:ascii="Arial" w:hAnsi="Arial" w:cs="Arial"/>
                <w:sz w:val="22"/>
              </w:rPr>
            </w:pPr>
            <w:r w:rsidRPr="0059032B">
              <w:rPr>
                <w:rFonts w:ascii="Arial" w:hAnsi="Arial" w:cs="Arial"/>
                <w:sz w:val="22"/>
              </w:rPr>
              <w:t>Footer icons lead to Facebook, Instagram, LinkedIn, YouTube and Twitter accounts active and updated. Martertin, Bissinger and Asta (2023) validate cross-channel social presence personalisation of customer touchpoints. Guo, Zhang and Xia (2023) relate integrated social signals to repeat-purchase loyalty. The Instagram has been the most active with the most engagement through class photos and profiles of the chefs. The links are not in tabs, but they open in the same browser-tab and this exposes the visitor to losing the booking before it is finalized.</w:t>
            </w:r>
          </w:p>
        </w:tc>
      </w:tr>
      <w:tr w:rsidR="00594A98" w:rsidRPr="007D32C5" w14:paraId="2A148DD5" w14:textId="77777777" w:rsidTr="006C641A">
        <w:tc>
          <w:tcPr>
            <w:tcW w:w="9016" w:type="dxa"/>
            <w:gridSpan w:val="5"/>
          </w:tcPr>
          <w:p w14:paraId="5019159B" w14:textId="77777777" w:rsidR="009C6B52" w:rsidRDefault="009C6B52" w:rsidP="0059032B">
            <w:pPr>
              <w:spacing w:line="360" w:lineRule="auto"/>
              <w:jc w:val="both"/>
              <w:rPr>
                <w:rFonts w:ascii="Arial" w:hAnsi="Arial" w:cs="Arial"/>
                <w:sz w:val="22"/>
              </w:rPr>
            </w:pPr>
          </w:p>
          <w:p w14:paraId="01335A1C" w14:textId="26E8A91E" w:rsidR="009C6B52" w:rsidRPr="009C6B52" w:rsidRDefault="00594A98" w:rsidP="0059032B">
            <w:pPr>
              <w:spacing w:line="360" w:lineRule="auto"/>
              <w:jc w:val="both"/>
              <w:rPr>
                <w:rFonts w:ascii="Arial" w:hAnsi="Arial" w:cs="Arial"/>
                <w:b/>
                <w:bCs/>
                <w:sz w:val="22"/>
              </w:rPr>
            </w:pPr>
            <w:r w:rsidRPr="009C6B52">
              <w:rPr>
                <w:rFonts w:ascii="Arial" w:hAnsi="Arial" w:cs="Arial"/>
                <w:b/>
                <w:bCs/>
                <w:sz w:val="22"/>
              </w:rPr>
              <w:t>Section 3 – Perceived Value</w:t>
            </w:r>
          </w:p>
        </w:tc>
      </w:tr>
      <w:tr w:rsidR="00594A98" w:rsidRPr="007D32C5" w14:paraId="568C1377" w14:textId="77777777" w:rsidTr="006C641A">
        <w:tc>
          <w:tcPr>
            <w:tcW w:w="9016" w:type="dxa"/>
            <w:gridSpan w:val="5"/>
          </w:tcPr>
          <w:p w14:paraId="31DBDA0B" w14:textId="1CDEA6B9" w:rsidR="00594A98" w:rsidRDefault="00594A98" w:rsidP="0059032B">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rsidP="0059032B">
            <w:pPr>
              <w:spacing w:line="360" w:lineRule="auto"/>
              <w:jc w:val="both"/>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rsidP="0059032B">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697509AD" w:rsidR="009C6B52" w:rsidRPr="007D32C5" w:rsidRDefault="0059032B" w:rsidP="0059032B">
            <w:pPr>
              <w:spacing w:line="360" w:lineRule="auto"/>
              <w:jc w:val="both"/>
              <w:rPr>
                <w:rFonts w:ascii="Arial" w:hAnsi="Arial" w:cs="Arial"/>
                <w:sz w:val="22"/>
              </w:rPr>
            </w:pPr>
            <w:r w:rsidRPr="0059032B">
              <w:rPr>
                <w:rFonts w:ascii="Arial" w:hAnsi="Arial" w:cs="Arial"/>
                <w:sz w:val="22"/>
              </w:rPr>
              <w:t>Services are presented by a top-level menu between publicly available classes and corporate events, one-to-one tuition and gift vouchers. Every category is presented with its own landing page including descriptive copy and prices. According to Guo, Zhang and Xia (2023), clear service architecture eases the cognitive load and enhances perceived value. Maguire (2023) suggests home pages, which contain clear calls to action explaining what the business proposes. The Cooking Academy organization, though not new, meets this, but a one-page summary of all the types of classes would be beneficial to new visitors.</w:t>
            </w:r>
          </w:p>
        </w:tc>
      </w:tr>
      <w:tr w:rsidR="00594A98" w:rsidRPr="007D32C5" w14:paraId="50CFDE3A" w14:textId="77777777" w:rsidTr="006C641A">
        <w:tc>
          <w:tcPr>
            <w:tcW w:w="9016" w:type="dxa"/>
            <w:gridSpan w:val="5"/>
          </w:tcPr>
          <w:p w14:paraId="5A9B0682" w14:textId="77777777" w:rsidR="00594A98" w:rsidRDefault="00594A98" w:rsidP="0059032B">
            <w:pPr>
              <w:spacing w:line="360" w:lineRule="auto"/>
              <w:jc w:val="both"/>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1DE65987" w:rsidR="009C6B52" w:rsidRPr="007D32C5" w:rsidRDefault="0059032B" w:rsidP="0059032B">
            <w:pPr>
              <w:spacing w:line="360" w:lineRule="auto"/>
              <w:jc w:val="both"/>
              <w:rPr>
                <w:rFonts w:ascii="Arial" w:hAnsi="Arial" w:cs="Arial"/>
                <w:sz w:val="22"/>
              </w:rPr>
            </w:pPr>
            <w:r w:rsidRPr="0059032B">
              <w:rPr>
                <w:rFonts w:ascii="Arial" w:hAnsi="Arial" w:cs="Arial"/>
                <w:sz w:val="22"/>
              </w:rPr>
              <w:t>The testimonials will be included on each page of the classes and in the reviews section, which will be complemented by the independent Tripadvisor and Facebook ratings. Most quotes include the names attributed, but not the dates, which dilute their freshness messages. The study by Rosania and Wilujeng (2023) indicates that trust mediates purchase intention via recent and dated reviews. According to Daoud, Sharabati, Samarah and Alqurashi (2024), SMEs do not take advantage of review-display technology. The credibility would be enhanced by including timestamps and totaling the number of stars on each individual product page, especially when it comes to the more expensive corporate packages where consumers would be interested in having a verifiable quality to rely on.</w:t>
            </w:r>
          </w:p>
        </w:tc>
      </w:tr>
      <w:tr w:rsidR="00594A98" w:rsidRPr="007D32C5" w14:paraId="1240B8DC" w14:textId="77777777" w:rsidTr="006C641A">
        <w:tc>
          <w:tcPr>
            <w:tcW w:w="9016" w:type="dxa"/>
            <w:gridSpan w:val="5"/>
          </w:tcPr>
          <w:p w14:paraId="3E8DF0B7" w14:textId="77777777" w:rsidR="00594A98" w:rsidRDefault="00594A98" w:rsidP="0059032B">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55FBF90B" w:rsidR="009C6B52" w:rsidRPr="007D32C5" w:rsidRDefault="009C6B52" w:rsidP="0059032B">
            <w:pPr>
              <w:spacing w:line="360" w:lineRule="auto"/>
              <w:jc w:val="both"/>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rsidP="0059032B">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rsidP="0059032B">
            <w:pPr>
              <w:spacing w:line="360" w:lineRule="auto"/>
              <w:jc w:val="both"/>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rsidP="0059032B">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3F039CC3" w:rsidR="009C6B52" w:rsidRPr="007D32C5" w:rsidRDefault="0059032B" w:rsidP="0059032B">
            <w:pPr>
              <w:spacing w:line="360" w:lineRule="auto"/>
              <w:jc w:val="both"/>
              <w:rPr>
                <w:rFonts w:ascii="Arial" w:hAnsi="Arial" w:cs="Arial"/>
                <w:sz w:val="22"/>
              </w:rPr>
            </w:pPr>
            <w:r w:rsidRPr="0059032B">
              <w:rPr>
                <w:rFonts w:ascii="Arial" w:hAnsi="Arial" w:cs="Arial"/>
                <w:sz w:val="22"/>
              </w:rPr>
              <w:t>Quality signs consist of credentials of the founder as a Nutritional food scientist, small groups, high-quality ingredients and professional kitchen equipment. Credibility cues are also included by Maguire (2023) as some of the most significant factors of website usability. Martertin, Bissinger and Asta (2023) associate emotional storytelling with perceived service excellence. The mix of professional chef profiles, practical format and Hertfordshire location is attractive to the learners who are interested in authenticity. It would be recommended based on the breadth of the curriculum in Indian, Thai, Korean and Mediterranean cuisines as well as the authentic education of nutrition, which would separate the school among the purely recreational competitors.</w:t>
            </w:r>
          </w:p>
        </w:tc>
      </w:tr>
      <w:tr w:rsidR="00594A98" w:rsidRPr="007D32C5" w14:paraId="75173775" w14:textId="77777777" w:rsidTr="006C641A">
        <w:tc>
          <w:tcPr>
            <w:tcW w:w="9016" w:type="dxa"/>
            <w:gridSpan w:val="5"/>
          </w:tcPr>
          <w:p w14:paraId="10700783" w14:textId="0FBC670A" w:rsidR="00594A98" w:rsidRDefault="00594A98" w:rsidP="0059032B">
            <w:pPr>
              <w:spacing w:line="360" w:lineRule="auto"/>
              <w:jc w:val="both"/>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rsidP="0059032B">
            <w:pPr>
              <w:spacing w:line="360" w:lineRule="auto"/>
              <w:jc w:val="both"/>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rsidP="0059032B">
            <w:pPr>
              <w:spacing w:line="360" w:lineRule="auto"/>
              <w:jc w:val="both"/>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68932CBB" w:rsidR="00CE5D08" w:rsidRPr="007D32C5" w:rsidRDefault="0059032B" w:rsidP="0059032B">
            <w:pPr>
              <w:spacing w:line="360" w:lineRule="auto"/>
              <w:jc w:val="both"/>
              <w:rPr>
                <w:rFonts w:ascii="Arial" w:hAnsi="Arial" w:cs="Arial"/>
                <w:sz w:val="22"/>
              </w:rPr>
            </w:pPr>
            <w:r w:rsidRPr="0059032B">
              <w:rPr>
                <w:rFonts w:ascii="Arial" w:hAnsi="Arial" w:cs="Arial"/>
                <w:sz w:val="22"/>
              </w:rPr>
              <w:t>Each product page will show prices in pounds sterling and class costs will be between about £39 (Virtual classes) and many hundreds of pounds (Full-day in-person tuition). Guo, Zhang and Xia (2023) ascertain that transparent pricing enhances usability and trust. Daoud, Sharabati, Samarah and Alqurashi (2024) confirm that transparent costs decrease abandonment among SME buyers. Pricing indicates the high end positioning, but pricing of corporate events must be inquired. Indicating price ranges of corporate packages would lessen the friction of comparing suppliers with the buyers who are procurement oriented.</w:t>
            </w:r>
          </w:p>
        </w:tc>
      </w:tr>
      <w:tr w:rsidR="000E774D" w:rsidRPr="007D32C5" w14:paraId="2A77A42F" w14:textId="77777777" w:rsidTr="006C641A">
        <w:tc>
          <w:tcPr>
            <w:tcW w:w="9016" w:type="dxa"/>
            <w:gridSpan w:val="5"/>
          </w:tcPr>
          <w:p w14:paraId="662B7643" w14:textId="77777777" w:rsidR="000E774D" w:rsidRDefault="000E774D" w:rsidP="0059032B">
            <w:pPr>
              <w:spacing w:line="360" w:lineRule="auto"/>
              <w:jc w:val="both"/>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59032B">
            <w:pPr>
              <w:spacing w:line="360" w:lineRule="auto"/>
              <w:jc w:val="both"/>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rsidP="0059032B">
            <w:pPr>
              <w:spacing w:line="360" w:lineRule="auto"/>
              <w:jc w:val="both"/>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AFD03F3" w:rsidR="000E774D" w:rsidRPr="00CE5D08" w:rsidRDefault="00CE5D08" w:rsidP="0059032B">
            <w:pPr>
              <w:spacing w:line="360" w:lineRule="auto"/>
              <w:jc w:val="both"/>
              <w:rPr>
                <w:rFonts w:ascii="Arial" w:hAnsi="Arial" w:cs="Arial"/>
                <w:sz w:val="22"/>
              </w:rPr>
            </w:pPr>
            <w:r>
              <w:rPr>
                <w:rFonts w:ascii="Arial" w:hAnsi="Arial" w:cs="Arial"/>
                <w:sz w:val="22"/>
              </w:rPr>
              <w:t>1.</w:t>
            </w:r>
            <w:r w:rsidR="0059032B" w:rsidRPr="0059032B">
              <w:rPr>
                <w:rFonts w:ascii="Geist Fallback" w:hAnsi="Geist Fallback"/>
                <w:sz w:val="23"/>
                <w:szCs w:val="23"/>
              </w:rPr>
              <w:t xml:space="preserve"> </w:t>
            </w:r>
            <w:r w:rsidR="0059032B" w:rsidRPr="0059032B">
              <w:rPr>
                <w:rFonts w:ascii="Arial" w:hAnsi="Arial" w:cs="Arial"/>
                <w:sz w:val="22"/>
              </w:rPr>
              <w:t>cookery classes Hertfordshire</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rsidP="0059032B">
            <w:pPr>
              <w:spacing w:line="360" w:lineRule="auto"/>
              <w:jc w:val="both"/>
              <w:rPr>
                <w:rFonts w:ascii="Arial" w:hAnsi="Arial" w:cs="Arial"/>
                <w:sz w:val="22"/>
              </w:rPr>
            </w:pPr>
          </w:p>
        </w:tc>
        <w:tc>
          <w:tcPr>
            <w:tcW w:w="4508" w:type="dxa"/>
            <w:gridSpan w:val="2"/>
          </w:tcPr>
          <w:p w14:paraId="667873EF" w14:textId="6062EF30" w:rsidR="00CE5D08" w:rsidRPr="007D32C5" w:rsidRDefault="00CE5D08" w:rsidP="0059032B">
            <w:pPr>
              <w:spacing w:line="360" w:lineRule="auto"/>
              <w:jc w:val="both"/>
              <w:rPr>
                <w:rFonts w:ascii="Arial" w:hAnsi="Arial" w:cs="Arial"/>
                <w:sz w:val="22"/>
              </w:rPr>
            </w:pPr>
            <w:r>
              <w:rPr>
                <w:rFonts w:ascii="Arial" w:hAnsi="Arial" w:cs="Arial"/>
                <w:sz w:val="22"/>
              </w:rPr>
              <w:t>2.</w:t>
            </w:r>
            <w:r w:rsidR="0059032B" w:rsidRPr="0059032B">
              <w:rPr>
                <w:rFonts w:ascii="Geist Fallback" w:hAnsi="Geist Fallback"/>
                <w:sz w:val="23"/>
                <w:szCs w:val="23"/>
              </w:rPr>
              <w:t xml:space="preserve"> </w:t>
            </w:r>
            <w:r w:rsidR="0059032B" w:rsidRPr="0059032B">
              <w:rPr>
                <w:rFonts w:ascii="Arial" w:hAnsi="Arial" w:cs="Arial"/>
                <w:sz w:val="22"/>
              </w:rPr>
              <w:t>cooking school Rickmansworth</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rsidP="0059032B">
            <w:pPr>
              <w:spacing w:line="360" w:lineRule="auto"/>
              <w:jc w:val="both"/>
              <w:rPr>
                <w:rFonts w:ascii="Arial" w:hAnsi="Arial" w:cs="Arial"/>
                <w:sz w:val="22"/>
              </w:rPr>
            </w:pPr>
          </w:p>
        </w:tc>
        <w:tc>
          <w:tcPr>
            <w:tcW w:w="4508" w:type="dxa"/>
            <w:gridSpan w:val="2"/>
          </w:tcPr>
          <w:p w14:paraId="0B78EB9B" w14:textId="1FFF393B" w:rsidR="000E774D" w:rsidRPr="007D32C5" w:rsidRDefault="00CE5D08" w:rsidP="0059032B">
            <w:pPr>
              <w:spacing w:line="360" w:lineRule="auto"/>
              <w:jc w:val="both"/>
              <w:rPr>
                <w:rFonts w:ascii="Arial" w:hAnsi="Arial" w:cs="Arial"/>
                <w:sz w:val="22"/>
              </w:rPr>
            </w:pPr>
            <w:r>
              <w:rPr>
                <w:rFonts w:ascii="Arial" w:hAnsi="Arial" w:cs="Arial"/>
                <w:sz w:val="22"/>
              </w:rPr>
              <w:t xml:space="preserve">3. </w:t>
            </w:r>
            <w:r w:rsidR="0059032B" w:rsidRPr="0059032B">
              <w:rPr>
                <w:rFonts w:ascii="Arial" w:hAnsi="Arial" w:cs="Arial"/>
                <w:sz w:val="22"/>
              </w:rPr>
              <w:t>learn to cook Indian UK.</w:t>
            </w:r>
          </w:p>
        </w:tc>
      </w:tr>
      <w:tr w:rsidR="000E774D" w:rsidRPr="007D32C5" w14:paraId="1A11C55F" w14:textId="77777777" w:rsidTr="006C641A">
        <w:tc>
          <w:tcPr>
            <w:tcW w:w="9016" w:type="dxa"/>
            <w:gridSpan w:val="5"/>
          </w:tcPr>
          <w:p w14:paraId="0583804F" w14:textId="77777777" w:rsidR="000E774D" w:rsidRDefault="00CE5D08" w:rsidP="0059032B">
            <w:pPr>
              <w:spacing w:line="360" w:lineRule="auto"/>
              <w:jc w:val="both"/>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rsidP="0059032B">
            <w:pPr>
              <w:spacing w:line="360" w:lineRule="auto"/>
              <w:jc w:val="both"/>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rsidP="0059032B">
            <w:pPr>
              <w:spacing w:line="360" w:lineRule="auto"/>
              <w:jc w:val="both"/>
              <w:rPr>
                <w:rFonts w:ascii="Arial" w:hAnsi="Arial" w:cs="Arial"/>
                <w:sz w:val="22"/>
              </w:rPr>
            </w:pPr>
            <w:r>
              <w:rPr>
                <w:rFonts w:ascii="Arial" w:hAnsi="Arial" w:cs="Arial"/>
                <w:sz w:val="22"/>
              </w:rPr>
              <w:t xml:space="preserve">Answer: </w:t>
            </w:r>
          </w:p>
          <w:p w14:paraId="203729B7" w14:textId="79A22F71" w:rsidR="00CE5D08" w:rsidRPr="007D32C5" w:rsidRDefault="0059032B" w:rsidP="0059032B">
            <w:pPr>
              <w:spacing w:line="360" w:lineRule="auto"/>
              <w:jc w:val="both"/>
              <w:rPr>
                <w:rFonts w:ascii="Arial" w:hAnsi="Arial" w:cs="Arial"/>
                <w:sz w:val="22"/>
              </w:rPr>
            </w:pPr>
            <w:r w:rsidRPr="0059032B">
              <w:rPr>
                <w:rFonts w:ascii="Arial" w:hAnsi="Arial" w:cs="Arial"/>
                <w:sz w:val="22"/>
              </w:rPr>
              <w:t>In the case of cookery classes Hertfordshire, and cooking school Rickmansworth, the site is ranked in the top three organic results with the location based ranking signs. Daoud, Sharabati, Samarah and Alqurashi (2024) affirm that local SEO leads to discovery among SMEs that have physical premises. Rosania and Wilujeng (2023) associate visibility and perceived legitimacy. On larger queries like learn Indian cooking UK, the site is further down the list since larger national competitors are taking over. Enhancing location-specific keywords and posting new content regularly in the blog would solidify the top-ten results in a greater number of search terms.</w:t>
            </w:r>
          </w:p>
        </w:tc>
      </w:tr>
      <w:tr w:rsidR="000E774D" w:rsidRPr="007D32C5" w14:paraId="18FE4266" w14:textId="77777777" w:rsidTr="006C641A">
        <w:tc>
          <w:tcPr>
            <w:tcW w:w="9016" w:type="dxa"/>
            <w:gridSpan w:val="5"/>
          </w:tcPr>
          <w:p w14:paraId="7044C31E" w14:textId="30A9FDDF" w:rsidR="00CE5D08" w:rsidRPr="00CE5D08" w:rsidRDefault="000E774D" w:rsidP="0059032B">
            <w:pPr>
              <w:spacing w:line="360" w:lineRule="auto"/>
              <w:jc w:val="both"/>
              <w:rPr>
                <w:rFonts w:ascii="Arial" w:hAnsi="Arial" w:cs="Arial"/>
                <w:b/>
                <w:bCs/>
                <w:sz w:val="22"/>
              </w:rPr>
            </w:pPr>
            <w:r w:rsidRPr="00CE5D08">
              <w:rPr>
                <w:rFonts w:ascii="Arial" w:hAnsi="Arial" w:cs="Arial"/>
                <w:b/>
                <w:bCs/>
                <w:sz w:val="22"/>
              </w:rPr>
              <w:t>Section 5 – Reflection and conclusion</w:t>
            </w:r>
          </w:p>
        </w:tc>
      </w:tr>
      <w:tr w:rsidR="000E774D" w:rsidRPr="007D32C5" w14:paraId="5270D4EE" w14:textId="77777777" w:rsidTr="006C641A">
        <w:tc>
          <w:tcPr>
            <w:tcW w:w="9016" w:type="dxa"/>
            <w:gridSpan w:val="5"/>
          </w:tcPr>
          <w:p w14:paraId="3026900B" w14:textId="34A4F1A6" w:rsidR="000E774D" w:rsidRPr="007D32C5" w:rsidRDefault="00CE5D08" w:rsidP="0059032B">
            <w:pPr>
              <w:spacing w:line="360" w:lineRule="auto"/>
              <w:jc w:val="both"/>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rsidP="0059032B">
            <w:pPr>
              <w:spacing w:line="360" w:lineRule="auto"/>
              <w:jc w:val="both"/>
              <w:rPr>
                <w:rFonts w:ascii="Arial" w:hAnsi="Arial" w:cs="Arial"/>
                <w:sz w:val="22"/>
              </w:rPr>
            </w:pPr>
            <w:r>
              <w:rPr>
                <w:rFonts w:ascii="Arial" w:hAnsi="Arial" w:cs="Arial"/>
                <w:sz w:val="22"/>
              </w:rPr>
              <w:t xml:space="preserve">Answer: </w:t>
            </w:r>
          </w:p>
          <w:p w14:paraId="15C51E5C" w14:textId="5A738986" w:rsidR="00CE5D08" w:rsidRPr="007D32C5" w:rsidRDefault="0059032B" w:rsidP="0059032B">
            <w:pPr>
              <w:spacing w:line="360" w:lineRule="auto"/>
              <w:jc w:val="both"/>
              <w:rPr>
                <w:rFonts w:ascii="Arial" w:hAnsi="Arial" w:cs="Arial"/>
                <w:sz w:val="22"/>
              </w:rPr>
            </w:pPr>
            <w:r w:rsidRPr="0059032B">
              <w:rPr>
                <w:rFonts w:ascii="Arial" w:hAnsi="Arial" w:cs="Arial"/>
                <w:sz w:val="22"/>
              </w:rPr>
              <w:t>Websites continue to play the key role in UK business credibility as they are owned and are under the control of the company as opposed to rented availability on the third-party platforms. Maguire (2023) believes that e-commerce web pages continue to be the main conversion space of the considered purchases. Guo, Zhang and Xia (2023) show that site design has a direct impact on satisfaction and loyalty that cannot be reproduced by social media. According to Daoud, Sharabati, Samarah and Alqurashi (2024), SMEs that invest in SEO and analytics will achieve tangible revenue advantages. In the case of a service such as The Cooking Academy where consumers do their research and then make premium-pricing, booking, trust and brand functions which are performed on the web are complimentary to those on mobile applications and social media.</w:t>
            </w:r>
          </w:p>
        </w:tc>
      </w:tr>
      <w:tr w:rsidR="000E774D" w:rsidRPr="007D32C5" w14:paraId="33331734" w14:textId="77777777" w:rsidTr="006C641A">
        <w:tc>
          <w:tcPr>
            <w:tcW w:w="9016" w:type="dxa"/>
            <w:gridSpan w:val="5"/>
          </w:tcPr>
          <w:p w14:paraId="755DCB6C" w14:textId="77777777" w:rsidR="000E774D" w:rsidRDefault="00CE5D08" w:rsidP="0059032B">
            <w:pPr>
              <w:spacing w:line="360" w:lineRule="auto"/>
              <w:jc w:val="both"/>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rsidP="0059032B">
            <w:pPr>
              <w:spacing w:line="360" w:lineRule="auto"/>
              <w:jc w:val="both"/>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rsidP="0059032B">
            <w:pPr>
              <w:spacing w:line="360" w:lineRule="auto"/>
              <w:jc w:val="both"/>
              <w:rPr>
                <w:rFonts w:ascii="Arial" w:hAnsi="Arial" w:cs="Arial"/>
                <w:sz w:val="22"/>
              </w:rPr>
            </w:pPr>
            <w:r>
              <w:rPr>
                <w:rFonts w:ascii="Arial" w:hAnsi="Arial" w:cs="Arial"/>
                <w:sz w:val="22"/>
              </w:rPr>
              <w:t xml:space="preserve">Answer: </w:t>
            </w:r>
          </w:p>
          <w:p w14:paraId="34D1214F" w14:textId="34A4C5C8" w:rsidR="00CE5D08" w:rsidRPr="007D32C5" w:rsidRDefault="0059032B" w:rsidP="0059032B">
            <w:pPr>
              <w:spacing w:line="360" w:lineRule="auto"/>
              <w:jc w:val="both"/>
              <w:rPr>
                <w:rFonts w:ascii="Arial" w:hAnsi="Arial" w:cs="Arial"/>
                <w:sz w:val="22"/>
              </w:rPr>
            </w:pPr>
            <w:r w:rsidRPr="0059032B">
              <w:rPr>
                <w:rFonts w:ascii="Arial" w:hAnsi="Arial" w:cs="Arial"/>
                <w:sz w:val="22"/>
              </w:rPr>
              <w:lastRenderedPageBreak/>
              <w:t>The most useful addition would be to add a chatbot or live chat tool where an immediate reply is received during browsing. Rosania and Wilujeng (2023) demonstrate that real-time interaction enhances the mediation of trust between the reading of the reviews and the confirmation of the booking. Märtin, Bissinger and Asta (2023) associate conversational interfaces with emotional experience throughout the customer experience. Daoud, Sharabati, Samarah and Alqurashi (2024) observe small businesses implementing chat technology regain other enquiries that would have been missed during out of office hours. In a cookery school, where corporate buyers and gift purchasers frequently make decisions on the spur of the moment, real time replies to questions about diets, dates or numbers in a group would reduce the distance between interest and confirmed booking.</w:t>
            </w:r>
          </w:p>
        </w:tc>
      </w:tr>
    </w:tbl>
    <w:p w14:paraId="0FA28803" w14:textId="729B3917" w:rsidR="00801251" w:rsidRDefault="00801251" w:rsidP="0059032B">
      <w:pPr>
        <w:spacing w:line="360" w:lineRule="auto"/>
        <w:jc w:val="both"/>
        <w:rPr>
          <w:rFonts w:ascii="Arial" w:hAnsi="Arial" w:cs="Arial"/>
          <w:sz w:val="22"/>
        </w:rPr>
      </w:pPr>
    </w:p>
    <w:p w14:paraId="4F1B3973" w14:textId="77777777" w:rsidR="0059032B" w:rsidRDefault="0059032B" w:rsidP="0059032B">
      <w:pPr>
        <w:spacing w:line="360" w:lineRule="auto"/>
        <w:jc w:val="both"/>
        <w:rPr>
          <w:rFonts w:ascii="Arial" w:hAnsi="Arial" w:cs="Arial"/>
          <w:sz w:val="22"/>
        </w:rPr>
      </w:pPr>
    </w:p>
    <w:p w14:paraId="29C17445" w14:textId="77777777" w:rsidR="0059032B" w:rsidRDefault="0059032B" w:rsidP="0059032B">
      <w:pPr>
        <w:spacing w:line="360" w:lineRule="auto"/>
        <w:jc w:val="both"/>
        <w:rPr>
          <w:rFonts w:ascii="Arial" w:hAnsi="Arial" w:cs="Arial"/>
          <w:sz w:val="22"/>
        </w:rPr>
      </w:pPr>
    </w:p>
    <w:p w14:paraId="078CA4C4" w14:textId="77777777" w:rsidR="0059032B" w:rsidRDefault="0059032B" w:rsidP="0059032B">
      <w:pPr>
        <w:spacing w:line="360" w:lineRule="auto"/>
        <w:jc w:val="both"/>
        <w:rPr>
          <w:rFonts w:ascii="Arial" w:hAnsi="Arial" w:cs="Arial"/>
          <w:sz w:val="22"/>
        </w:rPr>
      </w:pPr>
    </w:p>
    <w:p w14:paraId="540150E3" w14:textId="77777777" w:rsidR="0059032B" w:rsidRDefault="0059032B" w:rsidP="0059032B">
      <w:pPr>
        <w:spacing w:line="360" w:lineRule="auto"/>
        <w:jc w:val="both"/>
        <w:rPr>
          <w:rFonts w:ascii="Arial" w:hAnsi="Arial" w:cs="Arial"/>
          <w:sz w:val="22"/>
        </w:rPr>
      </w:pPr>
    </w:p>
    <w:p w14:paraId="0CA6BDF6" w14:textId="77777777" w:rsidR="0059032B" w:rsidRDefault="0059032B" w:rsidP="0059032B">
      <w:pPr>
        <w:spacing w:line="360" w:lineRule="auto"/>
        <w:jc w:val="both"/>
        <w:rPr>
          <w:rFonts w:ascii="Arial" w:hAnsi="Arial" w:cs="Arial"/>
          <w:sz w:val="22"/>
        </w:rPr>
      </w:pPr>
    </w:p>
    <w:p w14:paraId="629A69CB" w14:textId="77777777" w:rsidR="0059032B" w:rsidRDefault="0059032B" w:rsidP="0059032B">
      <w:pPr>
        <w:spacing w:line="360" w:lineRule="auto"/>
        <w:jc w:val="both"/>
        <w:rPr>
          <w:rFonts w:ascii="Arial" w:hAnsi="Arial" w:cs="Arial"/>
          <w:sz w:val="22"/>
        </w:rPr>
      </w:pPr>
    </w:p>
    <w:p w14:paraId="2CCB9543" w14:textId="77777777" w:rsidR="0059032B" w:rsidRDefault="0059032B" w:rsidP="0059032B">
      <w:pPr>
        <w:spacing w:line="360" w:lineRule="auto"/>
        <w:jc w:val="both"/>
        <w:rPr>
          <w:rFonts w:ascii="Arial" w:hAnsi="Arial" w:cs="Arial"/>
          <w:sz w:val="22"/>
        </w:rPr>
      </w:pPr>
    </w:p>
    <w:p w14:paraId="7A7D59BE" w14:textId="77777777" w:rsidR="0059032B" w:rsidRDefault="0059032B" w:rsidP="0059032B">
      <w:pPr>
        <w:spacing w:line="360" w:lineRule="auto"/>
        <w:jc w:val="both"/>
        <w:rPr>
          <w:rFonts w:ascii="Arial" w:hAnsi="Arial" w:cs="Arial"/>
          <w:sz w:val="22"/>
        </w:rPr>
      </w:pPr>
    </w:p>
    <w:p w14:paraId="40A0C8C8" w14:textId="77777777" w:rsidR="0059032B" w:rsidRDefault="0059032B" w:rsidP="0059032B">
      <w:pPr>
        <w:spacing w:line="360" w:lineRule="auto"/>
        <w:jc w:val="both"/>
        <w:rPr>
          <w:rFonts w:ascii="Arial" w:hAnsi="Arial" w:cs="Arial"/>
          <w:sz w:val="22"/>
        </w:rPr>
      </w:pPr>
    </w:p>
    <w:p w14:paraId="7DE1D5C3" w14:textId="77777777" w:rsidR="0059032B" w:rsidRDefault="0059032B" w:rsidP="0059032B">
      <w:pPr>
        <w:spacing w:line="360" w:lineRule="auto"/>
        <w:jc w:val="both"/>
        <w:rPr>
          <w:rFonts w:ascii="Arial" w:hAnsi="Arial" w:cs="Arial"/>
          <w:sz w:val="22"/>
        </w:rPr>
      </w:pPr>
    </w:p>
    <w:p w14:paraId="3AED986A" w14:textId="77777777" w:rsidR="0059032B" w:rsidRDefault="0059032B" w:rsidP="0059032B">
      <w:pPr>
        <w:spacing w:line="360" w:lineRule="auto"/>
        <w:jc w:val="both"/>
        <w:rPr>
          <w:rFonts w:ascii="Arial" w:hAnsi="Arial" w:cs="Arial"/>
          <w:sz w:val="22"/>
        </w:rPr>
      </w:pPr>
    </w:p>
    <w:p w14:paraId="4CEC3AE0" w14:textId="77777777" w:rsidR="0059032B" w:rsidRDefault="0059032B" w:rsidP="0059032B">
      <w:pPr>
        <w:spacing w:line="360" w:lineRule="auto"/>
        <w:jc w:val="both"/>
        <w:rPr>
          <w:rFonts w:ascii="Arial" w:hAnsi="Arial" w:cs="Arial"/>
          <w:sz w:val="22"/>
        </w:rPr>
      </w:pPr>
    </w:p>
    <w:p w14:paraId="73168204" w14:textId="77777777" w:rsidR="0059032B" w:rsidRDefault="0059032B" w:rsidP="0059032B">
      <w:pPr>
        <w:spacing w:line="360" w:lineRule="auto"/>
        <w:jc w:val="both"/>
        <w:rPr>
          <w:rFonts w:ascii="Arial" w:hAnsi="Arial" w:cs="Arial"/>
          <w:sz w:val="22"/>
        </w:rPr>
      </w:pPr>
    </w:p>
    <w:p w14:paraId="6D897928" w14:textId="77777777" w:rsidR="0059032B" w:rsidRDefault="0059032B" w:rsidP="0059032B">
      <w:pPr>
        <w:spacing w:line="360" w:lineRule="auto"/>
        <w:jc w:val="both"/>
        <w:rPr>
          <w:rFonts w:ascii="Arial" w:hAnsi="Arial" w:cs="Arial"/>
          <w:sz w:val="22"/>
        </w:rPr>
      </w:pPr>
    </w:p>
    <w:p w14:paraId="068D01B4" w14:textId="77777777" w:rsidR="0059032B" w:rsidRDefault="0059032B" w:rsidP="0059032B">
      <w:pPr>
        <w:spacing w:line="360" w:lineRule="auto"/>
        <w:jc w:val="both"/>
        <w:rPr>
          <w:rFonts w:ascii="Arial" w:hAnsi="Arial" w:cs="Arial"/>
          <w:sz w:val="22"/>
        </w:rPr>
      </w:pPr>
    </w:p>
    <w:p w14:paraId="5A19753E" w14:textId="77777777" w:rsidR="0059032B" w:rsidRDefault="0059032B" w:rsidP="0059032B">
      <w:pPr>
        <w:spacing w:line="360" w:lineRule="auto"/>
        <w:jc w:val="both"/>
        <w:rPr>
          <w:rFonts w:ascii="Arial" w:hAnsi="Arial" w:cs="Arial"/>
          <w:sz w:val="22"/>
        </w:rPr>
      </w:pPr>
    </w:p>
    <w:p w14:paraId="0F829678" w14:textId="77777777" w:rsidR="0059032B" w:rsidRDefault="0059032B" w:rsidP="0059032B">
      <w:pPr>
        <w:spacing w:line="360" w:lineRule="auto"/>
        <w:jc w:val="both"/>
        <w:rPr>
          <w:rFonts w:ascii="Arial" w:hAnsi="Arial" w:cs="Arial"/>
          <w:sz w:val="22"/>
        </w:rPr>
      </w:pPr>
    </w:p>
    <w:p w14:paraId="5A72D88D" w14:textId="77777777" w:rsidR="0059032B" w:rsidRDefault="0059032B" w:rsidP="0059032B">
      <w:pPr>
        <w:spacing w:line="360" w:lineRule="auto"/>
        <w:jc w:val="both"/>
        <w:rPr>
          <w:rFonts w:ascii="Arial" w:hAnsi="Arial" w:cs="Arial"/>
          <w:sz w:val="22"/>
        </w:rPr>
      </w:pPr>
    </w:p>
    <w:p w14:paraId="47EA2755" w14:textId="0F2CD555" w:rsidR="001F1175" w:rsidRDefault="001F1175" w:rsidP="0059032B">
      <w:pPr>
        <w:spacing w:line="360" w:lineRule="auto"/>
        <w:jc w:val="both"/>
        <w:rPr>
          <w:rFonts w:ascii="Arial" w:hAnsi="Arial" w:cs="Arial"/>
          <w:sz w:val="22"/>
        </w:rPr>
      </w:pPr>
      <w:r>
        <w:rPr>
          <w:rFonts w:ascii="Arial" w:hAnsi="Arial" w:cs="Arial"/>
          <w:sz w:val="22"/>
        </w:rPr>
        <w:lastRenderedPageBreak/>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48555E1A" w14:textId="77777777" w:rsidR="0059032B" w:rsidRPr="0059032B" w:rsidRDefault="0059032B" w:rsidP="0059032B">
            <w:pPr>
              <w:spacing w:line="360" w:lineRule="auto"/>
              <w:jc w:val="both"/>
              <w:rPr>
                <w:rFonts w:ascii="Arial" w:hAnsi="Arial" w:cs="Arial"/>
                <w:sz w:val="22"/>
              </w:rPr>
            </w:pPr>
            <w:r w:rsidRPr="0059032B">
              <w:rPr>
                <w:rFonts w:ascii="Arial" w:hAnsi="Arial" w:cs="Arial"/>
                <w:sz w:val="22"/>
              </w:rPr>
              <w:t xml:space="preserve">Daoud, M.K., Sharabati, A.A., Samarah, T. and Alqurashi, D.R. (2024) Optimizing online visibility: A comprehensive study on effective SEO strategies and their impact on website ranking. Available at: </w:t>
            </w:r>
            <w:hyperlink r:id="rId8" w:history="1">
              <w:r w:rsidRPr="0059032B">
                <w:rPr>
                  <w:rStyle w:val="Hyperlink"/>
                  <w:rFonts w:ascii="Arial" w:hAnsi="Arial" w:cs="Arial"/>
                  <w:sz w:val="22"/>
                </w:rPr>
                <w:t>https://www.researchgate.net/publication/383056529_Optimizing_online_visibility_A_comprehensive_study_on_effective_SEO_strategies_and_their_impact_on_website_ranking</w:t>
              </w:r>
            </w:hyperlink>
            <w:r w:rsidRPr="0059032B">
              <w:rPr>
                <w:rFonts w:ascii="Arial" w:hAnsi="Arial" w:cs="Arial"/>
                <w:sz w:val="22"/>
              </w:rPr>
              <w:t xml:space="preserve"> (Accessed: 11 April 2026).</w:t>
            </w:r>
          </w:p>
          <w:p w14:paraId="0E07F83F" w14:textId="77777777" w:rsidR="0059032B" w:rsidRPr="0059032B" w:rsidRDefault="0059032B" w:rsidP="0059032B">
            <w:pPr>
              <w:spacing w:line="360" w:lineRule="auto"/>
              <w:jc w:val="both"/>
              <w:rPr>
                <w:rFonts w:ascii="Arial" w:hAnsi="Arial" w:cs="Arial"/>
                <w:sz w:val="22"/>
              </w:rPr>
            </w:pPr>
            <w:r w:rsidRPr="0059032B">
              <w:rPr>
                <w:rFonts w:ascii="Arial" w:hAnsi="Arial" w:cs="Arial"/>
                <w:sz w:val="22"/>
              </w:rPr>
              <w:t xml:space="preserve">Guo, J., Zhang, W. and Xia, T. (2023) 'Impact of Shopping Website Design on Customer Satisfaction and Loyalty: The Mediating Role of Usability and the Moderating Role of Trust', Sustainability, 15(8), p.6347. Available at: </w:t>
            </w:r>
            <w:hyperlink r:id="rId9" w:history="1">
              <w:r w:rsidRPr="0059032B">
                <w:rPr>
                  <w:rStyle w:val="Hyperlink"/>
                  <w:rFonts w:ascii="Arial" w:hAnsi="Arial" w:cs="Arial"/>
                  <w:sz w:val="22"/>
                </w:rPr>
                <w:t>https://www.mdpi.com/2071-1050/15/8/6347</w:t>
              </w:r>
            </w:hyperlink>
            <w:r w:rsidRPr="0059032B">
              <w:rPr>
                <w:rFonts w:ascii="Arial" w:hAnsi="Arial" w:cs="Arial"/>
                <w:sz w:val="22"/>
              </w:rPr>
              <w:t xml:space="preserve"> (Accessed: 13 April 2026).</w:t>
            </w:r>
          </w:p>
          <w:p w14:paraId="62CB3278" w14:textId="77777777" w:rsidR="0059032B" w:rsidRPr="0059032B" w:rsidRDefault="0059032B" w:rsidP="0059032B">
            <w:pPr>
              <w:spacing w:line="360" w:lineRule="auto"/>
              <w:jc w:val="both"/>
              <w:rPr>
                <w:rFonts w:ascii="Arial" w:hAnsi="Arial" w:cs="Arial"/>
                <w:sz w:val="22"/>
              </w:rPr>
            </w:pPr>
            <w:r w:rsidRPr="0059032B">
              <w:rPr>
                <w:rFonts w:ascii="Arial" w:hAnsi="Arial" w:cs="Arial"/>
                <w:sz w:val="22"/>
              </w:rPr>
              <w:t xml:space="preserve">Maguire, M. (2023) 'A Review of Usability Guidelines for E-Commerce Website Design', in Marcus, A., Rosenzweig, E. and Soares, M.M. (eds) Design, User Experience, and Usability. Cham: Springer, pp.36-54. Available at: </w:t>
            </w:r>
            <w:hyperlink r:id="rId10" w:history="1">
              <w:r w:rsidRPr="0059032B">
                <w:rPr>
                  <w:rStyle w:val="Hyperlink"/>
                  <w:rFonts w:ascii="Arial" w:hAnsi="Arial" w:cs="Arial"/>
                  <w:sz w:val="22"/>
                </w:rPr>
                <w:t>https://link.springer.com/chapter/10.1007/978-3-031-35702-2_3</w:t>
              </w:r>
            </w:hyperlink>
            <w:r w:rsidRPr="0059032B">
              <w:rPr>
                <w:rFonts w:ascii="Arial" w:hAnsi="Arial" w:cs="Arial"/>
                <w:sz w:val="22"/>
              </w:rPr>
              <w:t xml:space="preserve"> (Accessed: 14 April 2026).</w:t>
            </w:r>
          </w:p>
          <w:p w14:paraId="285C1E88" w14:textId="77777777" w:rsidR="0059032B" w:rsidRPr="0059032B" w:rsidRDefault="0059032B" w:rsidP="0059032B">
            <w:pPr>
              <w:spacing w:line="360" w:lineRule="auto"/>
              <w:jc w:val="both"/>
              <w:rPr>
                <w:rFonts w:ascii="Arial" w:hAnsi="Arial" w:cs="Arial"/>
                <w:sz w:val="22"/>
              </w:rPr>
            </w:pPr>
            <w:r w:rsidRPr="0059032B">
              <w:rPr>
                <w:rFonts w:ascii="Arial" w:hAnsi="Arial" w:cs="Arial"/>
                <w:sz w:val="22"/>
              </w:rPr>
              <w:t xml:space="preserve">Märtin, C., Bissinger, B.C. and Asta, P. (2023) 'Optimizing the digital customer journey: Improving user experience by exploiting emotions, personas and situations for individualized user interface adaptations', Journal of Consumer Behaviour, 22(5), pp.1050-1061. Available at: </w:t>
            </w:r>
            <w:hyperlink r:id="rId11" w:history="1">
              <w:r w:rsidRPr="0059032B">
                <w:rPr>
                  <w:rStyle w:val="Hyperlink"/>
                  <w:rFonts w:ascii="Arial" w:hAnsi="Arial" w:cs="Arial"/>
                  <w:sz w:val="22"/>
                </w:rPr>
                <w:t>https://onlinelibrary.wiley.com/doi/10.1002/cb.1964</w:t>
              </w:r>
            </w:hyperlink>
            <w:r w:rsidRPr="0059032B">
              <w:rPr>
                <w:rFonts w:ascii="Arial" w:hAnsi="Arial" w:cs="Arial"/>
                <w:sz w:val="22"/>
              </w:rPr>
              <w:t xml:space="preserve"> (Accessed: 15 April 2026).</w:t>
            </w:r>
          </w:p>
          <w:p w14:paraId="710C0153" w14:textId="77777777" w:rsidR="0059032B" w:rsidRPr="0059032B" w:rsidRDefault="0059032B" w:rsidP="0059032B">
            <w:pPr>
              <w:spacing w:line="360" w:lineRule="auto"/>
              <w:jc w:val="both"/>
              <w:rPr>
                <w:rFonts w:ascii="Arial" w:hAnsi="Arial" w:cs="Arial"/>
                <w:sz w:val="22"/>
              </w:rPr>
            </w:pPr>
            <w:r w:rsidRPr="0059032B">
              <w:rPr>
                <w:rFonts w:ascii="Arial" w:hAnsi="Arial" w:cs="Arial"/>
                <w:sz w:val="22"/>
              </w:rPr>
              <w:t xml:space="preserve">Rosania, A. and Wilujeng, I.P. (2023) 'How Online Customer Reviews Affect Purchase Intention Mediate by Trust', Proceedings of the BISTIC Business Innovation Sustainability and Technology International Conference (BISTIC 2022). Paris: Atlantis Press, pp.243-253. Available at: </w:t>
            </w:r>
            <w:hyperlink r:id="rId12" w:history="1">
              <w:r w:rsidRPr="0059032B">
                <w:rPr>
                  <w:rStyle w:val="Hyperlink"/>
                  <w:rFonts w:ascii="Arial" w:hAnsi="Arial" w:cs="Arial"/>
                  <w:sz w:val="22"/>
                </w:rPr>
                <w:t>https://www.atlantis-press.com/proceedings/bistic-22/125986869</w:t>
              </w:r>
            </w:hyperlink>
            <w:r w:rsidRPr="0059032B">
              <w:rPr>
                <w:rFonts w:ascii="Arial" w:hAnsi="Arial" w:cs="Arial"/>
                <w:sz w:val="22"/>
              </w:rPr>
              <w:t xml:space="preserve"> (Accessed: 17 April 2026).</w:t>
            </w:r>
          </w:p>
          <w:p w14:paraId="646057A2" w14:textId="77777777" w:rsidR="001F1175" w:rsidRDefault="001F1175" w:rsidP="0059032B">
            <w:pPr>
              <w:spacing w:line="360" w:lineRule="auto"/>
              <w:jc w:val="both"/>
              <w:rPr>
                <w:rFonts w:ascii="Arial" w:hAnsi="Arial" w:cs="Arial"/>
                <w:sz w:val="22"/>
              </w:rPr>
            </w:pPr>
          </w:p>
          <w:p w14:paraId="54DE547A" w14:textId="77777777" w:rsidR="001F1175" w:rsidRDefault="001F1175" w:rsidP="0059032B">
            <w:pPr>
              <w:spacing w:line="360" w:lineRule="auto"/>
              <w:jc w:val="both"/>
              <w:rPr>
                <w:rFonts w:ascii="Arial" w:hAnsi="Arial" w:cs="Arial"/>
                <w:sz w:val="22"/>
              </w:rPr>
            </w:pPr>
          </w:p>
          <w:p w14:paraId="0A9CFB0E" w14:textId="77777777" w:rsidR="001F1175" w:rsidRDefault="001F1175" w:rsidP="0059032B">
            <w:pPr>
              <w:spacing w:line="360" w:lineRule="auto"/>
              <w:jc w:val="both"/>
              <w:rPr>
                <w:rFonts w:ascii="Arial" w:hAnsi="Arial" w:cs="Arial"/>
                <w:sz w:val="22"/>
              </w:rPr>
            </w:pPr>
          </w:p>
          <w:p w14:paraId="2445F35D" w14:textId="77777777" w:rsidR="001F1175" w:rsidRDefault="001F1175" w:rsidP="0059032B">
            <w:pPr>
              <w:spacing w:line="360" w:lineRule="auto"/>
              <w:jc w:val="both"/>
              <w:rPr>
                <w:rFonts w:ascii="Arial" w:hAnsi="Arial" w:cs="Arial"/>
                <w:sz w:val="22"/>
              </w:rPr>
            </w:pPr>
          </w:p>
          <w:p w14:paraId="51501722" w14:textId="43580F0B" w:rsidR="001F1175" w:rsidRDefault="001F1175" w:rsidP="0059032B">
            <w:pPr>
              <w:spacing w:line="360" w:lineRule="auto"/>
              <w:jc w:val="both"/>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9BC9C" w14:textId="77777777" w:rsidR="009718BE" w:rsidRDefault="009718BE" w:rsidP="0059032B">
      <w:pPr>
        <w:spacing w:after="0" w:line="240" w:lineRule="auto"/>
      </w:pPr>
      <w:r>
        <w:separator/>
      </w:r>
    </w:p>
  </w:endnote>
  <w:endnote w:type="continuationSeparator" w:id="0">
    <w:p w14:paraId="72FD773F" w14:textId="77777777" w:rsidR="009718BE" w:rsidRDefault="009718BE" w:rsidP="00590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Geist Fallback">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4502192"/>
      <w:docPartObj>
        <w:docPartGallery w:val="Page Numbers (Bottom of Page)"/>
        <w:docPartUnique/>
      </w:docPartObj>
    </w:sdtPr>
    <w:sdtEndPr>
      <w:rPr>
        <w:color w:val="7F7F7F" w:themeColor="background1" w:themeShade="7F"/>
        <w:spacing w:val="60"/>
      </w:rPr>
    </w:sdtEndPr>
    <w:sdtContent>
      <w:p w14:paraId="16918C40" w14:textId="25061567" w:rsidR="0059032B" w:rsidRDefault="0059032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EE71ED2" w14:textId="77777777" w:rsidR="0059032B" w:rsidRDefault="005903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35B79" w14:textId="77777777" w:rsidR="009718BE" w:rsidRDefault="009718BE" w:rsidP="0059032B">
      <w:pPr>
        <w:spacing w:after="0" w:line="240" w:lineRule="auto"/>
      </w:pPr>
      <w:r>
        <w:separator/>
      </w:r>
    </w:p>
  </w:footnote>
  <w:footnote w:type="continuationSeparator" w:id="0">
    <w:p w14:paraId="06F795EF" w14:textId="77777777" w:rsidR="009718BE" w:rsidRDefault="009718BE" w:rsidP="00590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56F50"/>
    <w:rsid w:val="00061623"/>
    <w:rsid w:val="000E774D"/>
    <w:rsid w:val="001F1175"/>
    <w:rsid w:val="003F2010"/>
    <w:rsid w:val="0059032B"/>
    <w:rsid w:val="00594A98"/>
    <w:rsid w:val="007D32C5"/>
    <w:rsid w:val="00801251"/>
    <w:rsid w:val="00822E30"/>
    <w:rsid w:val="0089672F"/>
    <w:rsid w:val="009718BE"/>
    <w:rsid w:val="009C6B52"/>
    <w:rsid w:val="00CE5D08"/>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59032B"/>
    <w:rPr>
      <w:color w:val="0563C1" w:themeColor="hyperlink"/>
      <w:u w:val="single"/>
    </w:rPr>
  </w:style>
  <w:style w:type="character" w:styleId="UnresolvedMention">
    <w:name w:val="Unresolved Mention"/>
    <w:basedOn w:val="DefaultParagraphFont"/>
    <w:uiPriority w:val="99"/>
    <w:semiHidden/>
    <w:unhideWhenUsed/>
    <w:rsid w:val="0059032B"/>
    <w:rPr>
      <w:color w:val="605E5C"/>
      <w:shd w:val="clear" w:color="auto" w:fill="E1DFDD"/>
    </w:rPr>
  </w:style>
  <w:style w:type="paragraph" w:styleId="Header">
    <w:name w:val="header"/>
    <w:basedOn w:val="Normal"/>
    <w:link w:val="HeaderChar"/>
    <w:uiPriority w:val="99"/>
    <w:unhideWhenUsed/>
    <w:rsid w:val="005903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32B"/>
  </w:style>
  <w:style w:type="paragraph" w:styleId="Footer">
    <w:name w:val="footer"/>
    <w:basedOn w:val="Normal"/>
    <w:link w:val="FooterChar"/>
    <w:uiPriority w:val="99"/>
    <w:unhideWhenUsed/>
    <w:rsid w:val="005903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3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83056529_Optimizing_online_visibility_A_comprehensive_study_on_effective_SEO_strategies_and_their_impact_on_website_rankin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hecookingacademy.co.uk" TargetMode="External"/><Relationship Id="rId12" Type="http://schemas.openxmlformats.org/officeDocument/2006/relationships/hyperlink" Target="https://www.atlantis-press.com/proceedings/bistic-22/12598686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library.wiley.com/doi/10.1002/cb.196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ink.springer.com/chapter/10.1007/978-3-031-35702-2_3" TargetMode="External"/><Relationship Id="rId4" Type="http://schemas.openxmlformats.org/officeDocument/2006/relationships/webSettings" Target="webSettings.xml"/><Relationship Id="rId9" Type="http://schemas.openxmlformats.org/officeDocument/2006/relationships/hyperlink" Target="https://www.mdpi.com/2071-1050/15/8/634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2200</Words>
  <Characters>12543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student student</cp:lastModifiedBy>
  <cp:revision>4</cp:revision>
  <dcterms:created xsi:type="dcterms:W3CDTF">2025-02-05T09:56:00Z</dcterms:created>
  <dcterms:modified xsi:type="dcterms:W3CDTF">2026-04-26T18:28:00Z</dcterms:modified>
</cp:coreProperties>
</file>