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820738" w14:textId="533D1810" w:rsidR="009B0E7C" w:rsidRPr="00B80BF8" w:rsidRDefault="00376BEB" w:rsidP="00B80BF8">
      <w:pPr>
        <w:spacing w:line="360" w:lineRule="auto"/>
        <w:rPr>
          <w:rFonts w:ascii="Arial" w:hAnsi="Arial" w:cs="Arial"/>
          <w:sz w:val="28"/>
          <w:szCs w:val="28"/>
        </w:rPr>
      </w:pPr>
      <w:r w:rsidRPr="00B80BF8">
        <w:rPr>
          <w:rFonts w:ascii="Arial" w:hAnsi="Arial" w:cs="Arial"/>
          <w:noProof/>
          <w:sz w:val="28"/>
          <w:szCs w:val="28"/>
        </w:rPr>
        <w:drawing>
          <wp:inline distT="0" distB="0" distL="0" distR="0" wp14:anchorId="69D10FED" wp14:editId="4F9A16BB">
            <wp:extent cx="2621280" cy="1164590"/>
            <wp:effectExtent l="0" t="0" r="7620" b="0"/>
            <wp:docPr id="48917065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170651" name="Picture 1" descr="A close-up of a sign&#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0A16E66B" w14:textId="77777777" w:rsidR="006B78C3" w:rsidRDefault="006B78C3" w:rsidP="00B80BF8">
      <w:pPr>
        <w:spacing w:line="360" w:lineRule="auto"/>
        <w:rPr>
          <w:rFonts w:ascii="Arial" w:hAnsi="Arial" w:cs="Arial"/>
          <w:b/>
          <w:bCs/>
          <w:sz w:val="28"/>
          <w:szCs w:val="28"/>
        </w:rPr>
      </w:pPr>
    </w:p>
    <w:p w14:paraId="5F02FF69" w14:textId="68AFB7B3" w:rsidR="00376BEB" w:rsidRPr="006B78C3" w:rsidRDefault="006B78C3" w:rsidP="00B80BF8">
      <w:pPr>
        <w:spacing w:line="360" w:lineRule="auto"/>
        <w:rPr>
          <w:rFonts w:ascii="Arial" w:hAnsi="Arial" w:cs="Arial"/>
          <w:b/>
          <w:bCs/>
          <w:sz w:val="28"/>
          <w:szCs w:val="28"/>
        </w:rPr>
      </w:pPr>
      <w:r w:rsidRPr="006B78C3">
        <w:rPr>
          <w:rFonts w:ascii="Arial" w:hAnsi="Arial" w:cs="Arial"/>
          <w:b/>
          <w:bCs/>
          <w:sz w:val="28"/>
          <w:szCs w:val="28"/>
        </w:rPr>
        <w:t>Reflective Report o</w:t>
      </w:r>
      <w:r w:rsidR="00FE430D">
        <w:rPr>
          <w:rFonts w:ascii="Arial" w:hAnsi="Arial" w:cs="Arial"/>
          <w:b/>
          <w:bCs/>
          <w:sz w:val="28"/>
          <w:szCs w:val="28"/>
        </w:rPr>
        <w:t>n</w:t>
      </w:r>
      <w:r w:rsidRPr="006B78C3">
        <w:rPr>
          <w:rFonts w:ascii="Arial" w:hAnsi="Arial" w:cs="Arial"/>
          <w:b/>
          <w:bCs/>
          <w:sz w:val="28"/>
          <w:szCs w:val="28"/>
        </w:rPr>
        <w:t xml:space="preserve"> Principles of Health and Social Care Practices</w:t>
      </w:r>
    </w:p>
    <w:p w14:paraId="44A31DF5" w14:textId="77777777" w:rsidR="00376BEB" w:rsidRPr="00B80BF8" w:rsidRDefault="00376BEB" w:rsidP="00B80BF8">
      <w:pPr>
        <w:spacing w:line="360" w:lineRule="auto"/>
        <w:rPr>
          <w:rFonts w:ascii="Arial" w:hAnsi="Arial" w:cs="Arial"/>
          <w:sz w:val="28"/>
          <w:szCs w:val="28"/>
        </w:rPr>
      </w:pPr>
    </w:p>
    <w:p w14:paraId="51C6E109" w14:textId="1FDB00C6" w:rsidR="00376BEB" w:rsidRPr="00441C3C" w:rsidRDefault="00376BEB" w:rsidP="00B80BF8">
      <w:pPr>
        <w:spacing w:line="360" w:lineRule="auto"/>
        <w:rPr>
          <w:rFonts w:ascii="Arial" w:hAnsi="Arial" w:cs="Arial"/>
          <w:b/>
          <w:bCs/>
          <w:sz w:val="28"/>
          <w:szCs w:val="28"/>
        </w:rPr>
      </w:pPr>
      <w:r w:rsidRPr="00441C3C">
        <w:rPr>
          <w:rFonts w:ascii="Arial" w:hAnsi="Arial" w:cs="Arial"/>
          <w:b/>
          <w:bCs/>
          <w:sz w:val="28"/>
          <w:szCs w:val="28"/>
        </w:rPr>
        <w:t>Name:</w:t>
      </w:r>
      <w:r w:rsidRPr="00441C3C">
        <w:rPr>
          <w:rFonts w:ascii="Arial" w:hAnsi="Arial" w:cs="Arial"/>
          <w:b/>
          <w:bCs/>
          <w:sz w:val="28"/>
          <w:szCs w:val="28"/>
        </w:rPr>
        <w:tab/>
      </w:r>
      <w:r w:rsidRPr="00441C3C">
        <w:rPr>
          <w:rFonts w:ascii="Arial" w:hAnsi="Arial" w:cs="Arial"/>
          <w:b/>
          <w:bCs/>
          <w:sz w:val="28"/>
          <w:szCs w:val="28"/>
        </w:rPr>
        <w:tab/>
      </w:r>
      <w:r w:rsidRPr="00441C3C">
        <w:rPr>
          <w:rFonts w:ascii="Arial" w:hAnsi="Arial" w:cs="Arial"/>
          <w:sz w:val="28"/>
          <w:szCs w:val="28"/>
        </w:rPr>
        <w:t>Mimi Alero Imo</w:t>
      </w:r>
    </w:p>
    <w:p w14:paraId="55B4004B" w14:textId="52C454F1" w:rsidR="00376BEB" w:rsidRPr="00441C3C" w:rsidRDefault="00376BEB" w:rsidP="00B80BF8">
      <w:pPr>
        <w:spacing w:line="360" w:lineRule="auto"/>
        <w:rPr>
          <w:rFonts w:ascii="Arial" w:hAnsi="Arial" w:cs="Arial"/>
          <w:b/>
          <w:bCs/>
          <w:sz w:val="28"/>
          <w:szCs w:val="28"/>
        </w:rPr>
      </w:pPr>
      <w:r w:rsidRPr="00441C3C">
        <w:rPr>
          <w:rFonts w:ascii="Arial" w:hAnsi="Arial" w:cs="Arial"/>
          <w:b/>
          <w:bCs/>
          <w:sz w:val="28"/>
          <w:szCs w:val="28"/>
        </w:rPr>
        <w:t>Student ID:</w:t>
      </w:r>
      <w:r w:rsidRPr="00441C3C">
        <w:rPr>
          <w:rFonts w:ascii="Arial" w:hAnsi="Arial" w:cs="Arial"/>
          <w:b/>
          <w:bCs/>
          <w:sz w:val="28"/>
          <w:szCs w:val="28"/>
        </w:rPr>
        <w:tab/>
      </w:r>
      <w:r w:rsidRPr="00441C3C">
        <w:rPr>
          <w:rFonts w:ascii="Arial" w:hAnsi="Arial" w:cs="Arial"/>
          <w:sz w:val="28"/>
          <w:szCs w:val="28"/>
        </w:rPr>
        <w:t>2414781</w:t>
      </w:r>
    </w:p>
    <w:p w14:paraId="757C17E8" w14:textId="51AD3D34" w:rsidR="00376BEB" w:rsidRPr="00441C3C" w:rsidRDefault="00376BEB" w:rsidP="00B80BF8">
      <w:pPr>
        <w:spacing w:line="360" w:lineRule="auto"/>
        <w:rPr>
          <w:rFonts w:ascii="Arial" w:hAnsi="Arial" w:cs="Arial"/>
          <w:b/>
          <w:bCs/>
          <w:sz w:val="28"/>
          <w:szCs w:val="28"/>
        </w:rPr>
      </w:pPr>
      <w:r w:rsidRPr="00441C3C">
        <w:rPr>
          <w:rFonts w:ascii="Arial" w:hAnsi="Arial" w:cs="Arial"/>
          <w:b/>
          <w:bCs/>
          <w:sz w:val="28"/>
          <w:szCs w:val="28"/>
        </w:rPr>
        <w:t>Module Code:</w:t>
      </w:r>
      <w:r w:rsidRPr="00441C3C">
        <w:rPr>
          <w:rFonts w:ascii="Arial" w:hAnsi="Arial" w:cs="Arial"/>
          <w:b/>
          <w:bCs/>
          <w:sz w:val="28"/>
          <w:szCs w:val="28"/>
        </w:rPr>
        <w:tab/>
      </w:r>
      <w:r w:rsidRPr="00441C3C">
        <w:rPr>
          <w:rFonts w:ascii="Arial" w:hAnsi="Arial" w:cs="Arial"/>
          <w:sz w:val="28"/>
          <w:szCs w:val="28"/>
        </w:rPr>
        <w:t>BMHP5016</w:t>
      </w:r>
    </w:p>
    <w:p w14:paraId="34AE173E" w14:textId="2FB9713D" w:rsidR="00376BEB" w:rsidRPr="00441C3C" w:rsidRDefault="00376BEB" w:rsidP="00B80BF8">
      <w:pPr>
        <w:spacing w:line="360" w:lineRule="auto"/>
        <w:rPr>
          <w:rFonts w:ascii="Arial" w:hAnsi="Arial" w:cs="Arial"/>
          <w:b/>
          <w:bCs/>
          <w:sz w:val="28"/>
          <w:szCs w:val="28"/>
        </w:rPr>
      </w:pPr>
      <w:r w:rsidRPr="00441C3C">
        <w:rPr>
          <w:rFonts w:ascii="Arial" w:hAnsi="Arial" w:cs="Arial"/>
          <w:b/>
          <w:bCs/>
          <w:sz w:val="28"/>
          <w:szCs w:val="28"/>
        </w:rPr>
        <w:t>Module Title:</w:t>
      </w:r>
      <w:r w:rsidRPr="00441C3C">
        <w:rPr>
          <w:rFonts w:ascii="Arial" w:hAnsi="Arial" w:cs="Arial"/>
          <w:b/>
          <w:bCs/>
          <w:sz w:val="28"/>
          <w:szCs w:val="28"/>
        </w:rPr>
        <w:tab/>
      </w:r>
      <w:r w:rsidRPr="00441C3C">
        <w:rPr>
          <w:rFonts w:ascii="Arial" w:hAnsi="Arial" w:cs="Arial"/>
          <w:sz w:val="28"/>
          <w:szCs w:val="28"/>
        </w:rPr>
        <w:t>Principles of Health and Social Care Practice</w:t>
      </w:r>
    </w:p>
    <w:p w14:paraId="15BE7806" w14:textId="0322CF3F" w:rsidR="00376BEB" w:rsidRPr="00441C3C" w:rsidRDefault="00376BEB" w:rsidP="00B80BF8">
      <w:pPr>
        <w:spacing w:line="360" w:lineRule="auto"/>
        <w:rPr>
          <w:rFonts w:ascii="Arial" w:hAnsi="Arial" w:cs="Arial"/>
          <w:b/>
          <w:bCs/>
          <w:sz w:val="28"/>
          <w:szCs w:val="28"/>
        </w:rPr>
      </w:pPr>
      <w:r w:rsidRPr="00441C3C">
        <w:rPr>
          <w:rFonts w:ascii="Arial" w:hAnsi="Arial" w:cs="Arial"/>
          <w:b/>
          <w:bCs/>
          <w:sz w:val="28"/>
          <w:szCs w:val="28"/>
        </w:rPr>
        <w:t>Lecturer:</w:t>
      </w:r>
      <w:r w:rsidRPr="00441C3C">
        <w:rPr>
          <w:rFonts w:ascii="Arial" w:hAnsi="Arial" w:cs="Arial"/>
          <w:b/>
          <w:bCs/>
          <w:sz w:val="28"/>
          <w:szCs w:val="28"/>
        </w:rPr>
        <w:tab/>
      </w:r>
      <w:r w:rsidRPr="00441C3C">
        <w:rPr>
          <w:rFonts w:ascii="Arial" w:hAnsi="Arial" w:cs="Arial"/>
          <w:b/>
          <w:bCs/>
          <w:sz w:val="28"/>
          <w:szCs w:val="28"/>
        </w:rPr>
        <w:tab/>
      </w:r>
      <w:r w:rsidRPr="00441C3C">
        <w:rPr>
          <w:rFonts w:ascii="Arial" w:hAnsi="Arial" w:cs="Arial"/>
          <w:sz w:val="28"/>
          <w:szCs w:val="28"/>
        </w:rPr>
        <w:t xml:space="preserve">Dr Itse Olaoye </w:t>
      </w:r>
      <w:r w:rsidR="00A964D3">
        <w:rPr>
          <w:rFonts w:ascii="Arial" w:hAnsi="Arial" w:cs="Arial"/>
          <w:sz w:val="28"/>
          <w:szCs w:val="28"/>
        </w:rPr>
        <w:t xml:space="preserve">&amp; </w:t>
      </w:r>
      <w:r w:rsidRPr="00441C3C">
        <w:rPr>
          <w:rFonts w:ascii="Arial" w:hAnsi="Arial" w:cs="Arial"/>
          <w:sz w:val="28"/>
          <w:szCs w:val="28"/>
        </w:rPr>
        <w:t>Dr Farah Wilta</w:t>
      </w:r>
    </w:p>
    <w:p w14:paraId="470F3121" w14:textId="783A0BAC" w:rsidR="00376BEB" w:rsidRPr="00441C3C" w:rsidRDefault="00376BEB" w:rsidP="00B80BF8">
      <w:pPr>
        <w:spacing w:line="360" w:lineRule="auto"/>
        <w:rPr>
          <w:rFonts w:ascii="Arial" w:hAnsi="Arial" w:cs="Arial"/>
          <w:sz w:val="28"/>
          <w:szCs w:val="28"/>
        </w:rPr>
      </w:pPr>
      <w:r w:rsidRPr="00441C3C">
        <w:rPr>
          <w:rFonts w:ascii="Arial" w:hAnsi="Arial" w:cs="Arial"/>
          <w:b/>
          <w:bCs/>
          <w:sz w:val="28"/>
          <w:szCs w:val="28"/>
        </w:rPr>
        <w:t xml:space="preserve">Word Count:   </w:t>
      </w:r>
      <w:r w:rsidRPr="00441C3C">
        <w:rPr>
          <w:rFonts w:ascii="Arial" w:hAnsi="Arial" w:cs="Arial"/>
          <w:b/>
          <w:bCs/>
          <w:sz w:val="28"/>
          <w:szCs w:val="28"/>
        </w:rPr>
        <w:tab/>
      </w:r>
      <w:r w:rsidRPr="00441C3C">
        <w:rPr>
          <w:rFonts w:ascii="Arial" w:hAnsi="Arial" w:cs="Arial"/>
          <w:sz w:val="28"/>
          <w:szCs w:val="28"/>
        </w:rPr>
        <w:t>2</w:t>
      </w:r>
      <w:r w:rsidR="006B78C3" w:rsidRPr="00441C3C">
        <w:rPr>
          <w:rFonts w:ascii="Arial" w:hAnsi="Arial" w:cs="Arial"/>
          <w:sz w:val="28"/>
          <w:szCs w:val="28"/>
        </w:rPr>
        <w:t>,</w:t>
      </w:r>
      <w:r w:rsidRPr="00441C3C">
        <w:rPr>
          <w:rFonts w:ascii="Arial" w:hAnsi="Arial" w:cs="Arial"/>
          <w:sz w:val="28"/>
          <w:szCs w:val="28"/>
        </w:rPr>
        <w:t>000</w:t>
      </w:r>
    </w:p>
    <w:p w14:paraId="2CDCAC9C" w14:textId="77777777" w:rsidR="00376BEB" w:rsidRPr="00441C3C" w:rsidRDefault="00376BEB" w:rsidP="00B80BF8">
      <w:pPr>
        <w:spacing w:line="360" w:lineRule="auto"/>
        <w:rPr>
          <w:rFonts w:ascii="Arial" w:hAnsi="Arial" w:cs="Arial"/>
          <w:b/>
          <w:bCs/>
          <w:sz w:val="28"/>
          <w:szCs w:val="28"/>
        </w:rPr>
      </w:pPr>
    </w:p>
    <w:p w14:paraId="28D6AC8C" w14:textId="77777777" w:rsidR="00376BEB" w:rsidRPr="00B80BF8" w:rsidRDefault="00376BEB" w:rsidP="00B80BF8">
      <w:pPr>
        <w:spacing w:line="360" w:lineRule="auto"/>
        <w:rPr>
          <w:rFonts w:ascii="Arial" w:hAnsi="Arial" w:cs="Arial"/>
          <w:sz w:val="28"/>
          <w:szCs w:val="28"/>
        </w:rPr>
      </w:pPr>
    </w:p>
    <w:p w14:paraId="4EA64276" w14:textId="77777777" w:rsidR="00376BEB" w:rsidRPr="00B80BF8" w:rsidRDefault="00376BEB" w:rsidP="00B80BF8">
      <w:pPr>
        <w:spacing w:line="360" w:lineRule="auto"/>
        <w:rPr>
          <w:rFonts w:ascii="Arial" w:hAnsi="Arial" w:cs="Arial"/>
          <w:sz w:val="28"/>
          <w:szCs w:val="28"/>
        </w:rPr>
      </w:pPr>
    </w:p>
    <w:p w14:paraId="5B508D45" w14:textId="77777777" w:rsidR="00376BEB" w:rsidRPr="00B80BF8" w:rsidRDefault="00376BEB" w:rsidP="00B80BF8">
      <w:pPr>
        <w:spacing w:line="360" w:lineRule="auto"/>
        <w:rPr>
          <w:rFonts w:ascii="Arial" w:hAnsi="Arial" w:cs="Arial"/>
          <w:sz w:val="28"/>
          <w:szCs w:val="28"/>
        </w:rPr>
      </w:pPr>
    </w:p>
    <w:p w14:paraId="1D1B64F1" w14:textId="269E6E81" w:rsidR="00376BEB" w:rsidRDefault="00376BEB" w:rsidP="00B80BF8">
      <w:pPr>
        <w:spacing w:line="360" w:lineRule="auto"/>
        <w:rPr>
          <w:rFonts w:ascii="Arial" w:hAnsi="Arial" w:cs="Arial"/>
          <w:sz w:val="28"/>
          <w:szCs w:val="28"/>
        </w:rPr>
      </w:pPr>
      <w:r w:rsidRPr="00B80BF8">
        <w:rPr>
          <w:rFonts w:ascii="Arial" w:hAnsi="Arial" w:cs="Arial"/>
          <w:sz w:val="28"/>
          <w:szCs w:val="28"/>
        </w:rPr>
        <w:tab/>
      </w:r>
      <w:r w:rsidRPr="00B80BF8">
        <w:rPr>
          <w:rFonts w:ascii="Arial" w:hAnsi="Arial" w:cs="Arial"/>
          <w:sz w:val="28"/>
          <w:szCs w:val="28"/>
        </w:rPr>
        <w:tab/>
      </w:r>
      <w:r w:rsidRPr="00B80BF8">
        <w:rPr>
          <w:rFonts w:ascii="Arial" w:hAnsi="Arial" w:cs="Arial"/>
          <w:sz w:val="28"/>
          <w:szCs w:val="28"/>
        </w:rPr>
        <w:tab/>
      </w:r>
      <w:r w:rsidRPr="00B80BF8">
        <w:rPr>
          <w:rFonts w:ascii="Arial" w:hAnsi="Arial" w:cs="Arial"/>
          <w:sz w:val="28"/>
          <w:szCs w:val="28"/>
        </w:rPr>
        <w:tab/>
      </w:r>
      <w:r w:rsidRPr="00B80BF8">
        <w:rPr>
          <w:rFonts w:ascii="Arial" w:hAnsi="Arial" w:cs="Arial"/>
          <w:sz w:val="28"/>
          <w:szCs w:val="28"/>
        </w:rPr>
        <w:tab/>
      </w:r>
      <w:r w:rsidRPr="00B80BF8">
        <w:rPr>
          <w:rFonts w:ascii="Arial" w:hAnsi="Arial" w:cs="Arial"/>
          <w:sz w:val="28"/>
          <w:szCs w:val="28"/>
        </w:rPr>
        <w:tab/>
      </w:r>
      <w:r w:rsidRPr="00B80BF8">
        <w:rPr>
          <w:rFonts w:ascii="Arial" w:hAnsi="Arial" w:cs="Arial"/>
          <w:sz w:val="28"/>
          <w:szCs w:val="28"/>
        </w:rPr>
        <w:tab/>
      </w:r>
      <w:r w:rsidRPr="00441C3C">
        <w:rPr>
          <w:rFonts w:ascii="Arial" w:hAnsi="Arial" w:cs="Arial"/>
          <w:b/>
          <w:bCs/>
          <w:sz w:val="28"/>
          <w:szCs w:val="28"/>
        </w:rPr>
        <w:t xml:space="preserve">Submission Date: </w:t>
      </w:r>
      <w:r w:rsidRPr="00B80BF8">
        <w:rPr>
          <w:rFonts w:ascii="Arial" w:hAnsi="Arial" w:cs="Arial"/>
          <w:sz w:val="28"/>
          <w:szCs w:val="28"/>
        </w:rPr>
        <w:t>2</w:t>
      </w:r>
      <w:r w:rsidRPr="00B80BF8">
        <w:rPr>
          <w:rFonts w:ascii="Arial" w:hAnsi="Arial" w:cs="Arial"/>
          <w:sz w:val="28"/>
          <w:szCs w:val="28"/>
        </w:rPr>
        <w:t>8</w:t>
      </w:r>
      <w:r w:rsidRPr="00B80BF8">
        <w:rPr>
          <w:rFonts w:ascii="Arial" w:hAnsi="Arial" w:cs="Arial"/>
          <w:sz w:val="28"/>
          <w:szCs w:val="28"/>
        </w:rPr>
        <w:t>/</w:t>
      </w:r>
      <w:r w:rsidRPr="00B80BF8">
        <w:rPr>
          <w:rFonts w:ascii="Arial" w:hAnsi="Arial" w:cs="Arial"/>
          <w:sz w:val="28"/>
          <w:szCs w:val="28"/>
        </w:rPr>
        <w:t>11</w:t>
      </w:r>
      <w:r w:rsidRPr="00B80BF8">
        <w:rPr>
          <w:rFonts w:ascii="Arial" w:hAnsi="Arial" w:cs="Arial"/>
          <w:sz w:val="28"/>
          <w:szCs w:val="28"/>
        </w:rPr>
        <w:t>/2025</w:t>
      </w:r>
    </w:p>
    <w:p w14:paraId="31BC758D" w14:textId="77777777" w:rsidR="0009514A" w:rsidRDefault="0009514A" w:rsidP="00B80BF8">
      <w:pPr>
        <w:spacing w:line="360" w:lineRule="auto"/>
        <w:rPr>
          <w:rFonts w:ascii="Arial" w:hAnsi="Arial" w:cs="Arial"/>
          <w:sz w:val="28"/>
          <w:szCs w:val="28"/>
        </w:rPr>
      </w:pPr>
    </w:p>
    <w:p w14:paraId="79DA5C50" w14:textId="77777777" w:rsidR="0009514A" w:rsidRDefault="0009514A" w:rsidP="00B80BF8">
      <w:pPr>
        <w:spacing w:line="360" w:lineRule="auto"/>
        <w:rPr>
          <w:rFonts w:ascii="Arial" w:hAnsi="Arial" w:cs="Arial"/>
          <w:sz w:val="28"/>
          <w:szCs w:val="28"/>
        </w:rPr>
      </w:pPr>
    </w:p>
    <w:p w14:paraId="2CDE010F" w14:textId="77777777" w:rsidR="0009514A" w:rsidRDefault="0009514A" w:rsidP="00B80BF8">
      <w:pPr>
        <w:spacing w:line="360" w:lineRule="auto"/>
        <w:rPr>
          <w:rFonts w:ascii="Arial" w:hAnsi="Arial" w:cs="Arial"/>
          <w:sz w:val="28"/>
          <w:szCs w:val="28"/>
        </w:rPr>
      </w:pPr>
    </w:p>
    <w:p w14:paraId="0A1CCBAD" w14:textId="77777777" w:rsidR="0009514A" w:rsidRDefault="0009514A" w:rsidP="00B80BF8">
      <w:pPr>
        <w:spacing w:line="360" w:lineRule="auto"/>
        <w:rPr>
          <w:rFonts w:ascii="Arial" w:hAnsi="Arial" w:cs="Arial"/>
          <w:sz w:val="28"/>
          <w:szCs w:val="28"/>
        </w:rPr>
      </w:pPr>
    </w:p>
    <w:p w14:paraId="6D1D68FF" w14:textId="77777777" w:rsidR="0009514A" w:rsidRPr="004B6B1A" w:rsidRDefault="0009514A" w:rsidP="00200EE2">
      <w:pPr>
        <w:pStyle w:val="Heading1"/>
        <w:spacing w:line="360" w:lineRule="auto"/>
        <w:jc w:val="both"/>
        <w:rPr>
          <w:rFonts w:ascii="Arial" w:hAnsi="Arial" w:cs="Arial"/>
          <w:b/>
          <w:bCs/>
          <w:color w:val="auto"/>
          <w:sz w:val="22"/>
          <w:szCs w:val="22"/>
        </w:rPr>
      </w:pPr>
      <w:r w:rsidRPr="004B6B1A">
        <w:rPr>
          <w:rFonts w:ascii="Arial" w:hAnsi="Arial" w:cs="Arial"/>
          <w:b/>
          <w:bCs/>
          <w:color w:val="auto"/>
          <w:sz w:val="22"/>
          <w:szCs w:val="22"/>
        </w:rPr>
        <w:lastRenderedPageBreak/>
        <w:t>Introduction</w:t>
      </w:r>
    </w:p>
    <w:p w14:paraId="5A5070DA" w14:textId="0B9B46A5" w:rsidR="0009514A" w:rsidRDefault="00CB2F36" w:rsidP="00200EE2">
      <w:pPr>
        <w:spacing w:line="360" w:lineRule="auto"/>
        <w:jc w:val="both"/>
        <w:rPr>
          <w:rFonts w:ascii="Arial" w:hAnsi="Arial" w:cs="Arial"/>
          <w:sz w:val="22"/>
          <w:szCs w:val="22"/>
        </w:rPr>
      </w:pPr>
      <w:r>
        <w:rPr>
          <w:rFonts w:ascii="Arial" w:hAnsi="Arial" w:cs="Arial"/>
          <w:sz w:val="22"/>
          <w:szCs w:val="22"/>
        </w:rPr>
        <w:t>The principles of person-centred care, partnership working, and ethics are essential to health and social care practice in the UK. This report explores these concepts' theoretical foundations and practical applications, assessing their impact on my professional development. Examining relevant legislation, guidelines, and reflective practice models highlights how these principles enhance quality care delivery and foster ongoing professional growth in the sector.</w:t>
      </w:r>
    </w:p>
    <w:p w14:paraId="12BCDC9A" w14:textId="5AE2EE81" w:rsidR="00C65558" w:rsidRPr="009620AA" w:rsidRDefault="00C65558" w:rsidP="00200EE2">
      <w:pPr>
        <w:pStyle w:val="Heading1"/>
        <w:spacing w:line="360" w:lineRule="auto"/>
        <w:jc w:val="both"/>
        <w:rPr>
          <w:rFonts w:ascii="Arial" w:hAnsi="Arial" w:cs="Arial"/>
          <w:b/>
          <w:bCs/>
          <w:color w:val="auto"/>
          <w:sz w:val="22"/>
          <w:szCs w:val="22"/>
        </w:rPr>
      </w:pPr>
      <w:r>
        <w:rPr>
          <w:rFonts w:ascii="Arial" w:hAnsi="Arial" w:cs="Arial"/>
          <w:b/>
          <w:bCs/>
          <w:color w:val="auto"/>
          <w:sz w:val="22"/>
          <w:szCs w:val="22"/>
        </w:rPr>
        <w:t xml:space="preserve">1.0 </w:t>
      </w:r>
      <w:r w:rsidR="004B6B1A" w:rsidRPr="004B6B1A">
        <w:rPr>
          <w:rFonts w:ascii="Arial" w:hAnsi="Arial" w:cs="Arial"/>
          <w:b/>
          <w:bCs/>
          <w:color w:val="auto"/>
          <w:sz w:val="22"/>
          <w:szCs w:val="22"/>
        </w:rPr>
        <w:t>Reflection on the Importance of Principles of Health and Social Care (500 words)</w:t>
      </w:r>
    </w:p>
    <w:p w14:paraId="1F1513CB" w14:textId="201A860A" w:rsidR="00546086" w:rsidRPr="009620AA" w:rsidRDefault="00C65558" w:rsidP="00200EE2">
      <w:pPr>
        <w:pStyle w:val="Heading1"/>
        <w:spacing w:line="360" w:lineRule="auto"/>
        <w:jc w:val="both"/>
        <w:rPr>
          <w:rFonts w:ascii="Arial" w:hAnsi="Arial" w:cs="Arial"/>
          <w:b/>
          <w:bCs/>
          <w:color w:val="auto"/>
          <w:sz w:val="22"/>
          <w:szCs w:val="22"/>
        </w:rPr>
      </w:pPr>
      <w:r w:rsidRPr="009620AA">
        <w:rPr>
          <w:rFonts w:ascii="Arial" w:hAnsi="Arial" w:cs="Arial"/>
          <w:b/>
          <w:bCs/>
          <w:color w:val="auto"/>
          <w:sz w:val="22"/>
          <w:szCs w:val="22"/>
        </w:rPr>
        <w:t xml:space="preserve">1.1 </w:t>
      </w:r>
      <w:r w:rsidR="00546086" w:rsidRPr="009620AA">
        <w:rPr>
          <w:rFonts w:ascii="Arial" w:hAnsi="Arial" w:cs="Arial"/>
          <w:b/>
          <w:bCs/>
          <w:color w:val="auto"/>
          <w:sz w:val="22"/>
          <w:szCs w:val="22"/>
        </w:rPr>
        <w:t>Person-Centred Care</w:t>
      </w:r>
    </w:p>
    <w:p w14:paraId="06A51B95" w14:textId="6F4B196D" w:rsidR="00546086" w:rsidRPr="00C71624" w:rsidRDefault="00CB2F36" w:rsidP="00200EE2">
      <w:pPr>
        <w:spacing w:line="360" w:lineRule="auto"/>
        <w:jc w:val="both"/>
        <w:rPr>
          <w:rFonts w:ascii="Arial" w:hAnsi="Arial" w:cs="Arial"/>
          <w:sz w:val="22"/>
          <w:szCs w:val="22"/>
        </w:rPr>
      </w:pPr>
      <w:r>
        <w:rPr>
          <w:rFonts w:ascii="Arial" w:hAnsi="Arial" w:cs="Arial"/>
          <w:sz w:val="22"/>
          <w:szCs w:val="22"/>
        </w:rPr>
        <w:t>Person-centred care marks a shift from paternalistic healthcare models to approaches that prioritise the individual in care decisions. Originally conceptualised by Rogers (1961) in therapeutic contexts, this philosophy emphasises unconditional positive regard, empathy, and congruence. It is now integrated into health and social care policies, like the Health and Care Act 2022, which requires incorporating service user perspectives in care planning and delivery (Department of Health and Social Care, 2022).</w:t>
      </w:r>
    </w:p>
    <w:p w14:paraId="071FC586" w14:textId="429FEEFA" w:rsidR="00546086" w:rsidRDefault="00CB2F36" w:rsidP="00200EE2">
      <w:pPr>
        <w:spacing w:line="360" w:lineRule="auto"/>
        <w:jc w:val="both"/>
        <w:rPr>
          <w:rFonts w:ascii="Arial" w:hAnsi="Arial" w:cs="Arial"/>
          <w:sz w:val="22"/>
          <w:szCs w:val="22"/>
        </w:rPr>
      </w:pPr>
      <w:r>
        <w:rPr>
          <w:rFonts w:ascii="Arial" w:hAnsi="Arial" w:cs="Arial"/>
          <w:sz w:val="22"/>
          <w:szCs w:val="22"/>
        </w:rPr>
        <w:t>Person-centred care significantly impacts care quality and health outcomes. Research by Santana et al. (2018) shows that it leads to higher patient satisfaction, better treatment adherence, and fewer hospital readmissions. By viewing individuals as experts in their own experiences, practitioners can create care plans aligned with users' values and preferences. This approach is vital when considering Maslow's (1943) Hierarchy of Needs, as addressing higher-order needs like self-actualisation requires meeting basic physiological and safety needs first. Person-centred care allows for a holistic assessment across all levels of need, rather than just focusing on medical conditions.</w:t>
      </w:r>
    </w:p>
    <w:p w14:paraId="68E96777" w14:textId="7A124829" w:rsidR="00546086" w:rsidRPr="009620AA" w:rsidRDefault="00C65558" w:rsidP="00200EE2">
      <w:pPr>
        <w:pStyle w:val="Heading1"/>
        <w:spacing w:line="360" w:lineRule="auto"/>
        <w:jc w:val="both"/>
        <w:rPr>
          <w:rFonts w:ascii="Arial" w:hAnsi="Arial" w:cs="Arial"/>
          <w:b/>
          <w:bCs/>
          <w:color w:val="auto"/>
          <w:sz w:val="22"/>
          <w:szCs w:val="22"/>
        </w:rPr>
      </w:pPr>
      <w:r w:rsidRPr="009620AA">
        <w:rPr>
          <w:rFonts w:ascii="Arial" w:hAnsi="Arial" w:cs="Arial"/>
          <w:b/>
          <w:bCs/>
          <w:color w:val="auto"/>
          <w:sz w:val="22"/>
          <w:szCs w:val="22"/>
        </w:rPr>
        <w:t xml:space="preserve">1.2 </w:t>
      </w:r>
      <w:r w:rsidR="00546086" w:rsidRPr="009620AA">
        <w:rPr>
          <w:rFonts w:ascii="Arial" w:hAnsi="Arial" w:cs="Arial"/>
          <w:b/>
          <w:bCs/>
          <w:color w:val="auto"/>
          <w:sz w:val="22"/>
          <w:szCs w:val="22"/>
        </w:rPr>
        <w:t>Partnership Working</w:t>
      </w:r>
    </w:p>
    <w:p w14:paraId="5D332C80" w14:textId="77777777" w:rsidR="00546086" w:rsidRPr="00C71624" w:rsidRDefault="00546086" w:rsidP="00200EE2">
      <w:pPr>
        <w:spacing w:line="360" w:lineRule="auto"/>
        <w:jc w:val="both"/>
        <w:rPr>
          <w:rFonts w:ascii="Arial" w:hAnsi="Arial" w:cs="Arial"/>
          <w:sz w:val="22"/>
          <w:szCs w:val="22"/>
        </w:rPr>
      </w:pPr>
      <w:r w:rsidRPr="00C71624">
        <w:rPr>
          <w:rFonts w:ascii="Arial" w:hAnsi="Arial" w:cs="Arial"/>
          <w:sz w:val="22"/>
          <w:szCs w:val="22"/>
        </w:rPr>
        <w:t>Partnership working, alternatively termed collaborative practice or multi-agency working, acknowledges that complex health and social care needs cannot be adequately addressed by single organisations or professional groups working in isolation. The Care Act 2014 explicitly requires local authorities to cooperate with relevant partners, including the NHS, housing services, and voluntary organisations, to ensure integrated and coordinated support (Department of Health, 2014). This legislative framework reflects growing recognition that fragmented services lead to poorer outcomes, duplicated efforts, and inefficient resource utilisation.</w:t>
      </w:r>
    </w:p>
    <w:p w14:paraId="0F3F1666" w14:textId="548C9099" w:rsidR="00546086" w:rsidRPr="00C71624" w:rsidRDefault="00CB2F36" w:rsidP="00200EE2">
      <w:pPr>
        <w:spacing w:line="360" w:lineRule="auto"/>
        <w:jc w:val="both"/>
        <w:rPr>
          <w:rFonts w:ascii="Arial" w:hAnsi="Arial" w:cs="Arial"/>
          <w:sz w:val="22"/>
          <w:szCs w:val="22"/>
        </w:rPr>
      </w:pPr>
      <w:r>
        <w:rPr>
          <w:rFonts w:ascii="Arial" w:hAnsi="Arial" w:cs="Arial"/>
          <w:sz w:val="22"/>
          <w:szCs w:val="22"/>
        </w:rPr>
        <w:lastRenderedPageBreak/>
        <w:t xml:space="preserve">Theoretical models like </w:t>
      </w:r>
      <w:proofErr w:type="spellStart"/>
      <w:r>
        <w:rPr>
          <w:rFonts w:ascii="Arial" w:hAnsi="Arial" w:cs="Arial"/>
          <w:sz w:val="22"/>
          <w:szCs w:val="22"/>
        </w:rPr>
        <w:t>D'Amour</w:t>
      </w:r>
      <w:proofErr w:type="spellEnd"/>
      <w:r>
        <w:rPr>
          <w:rFonts w:ascii="Arial" w:hAnsi="Arial" w:cs="Arial"/>
          <w:sz w:val="22"/>
          <w:szCs w:val="22"/>
        </w:rPr>
        <w:t xml:space="preserve"> et al.'s (2005) structuration model emphasise that effective partnerships require both structural elements (governance, resources) and interactional elements (trust, communication). This is crucial in complex cases, such as individuals facing homelessness and mental health issues, necessitating coordinated responses from various services. Without effective collaboration, service users risk experiencing gaps in care and poorer outcomes.</w:t>
      </w:r>
    </w:p>
    <w:p w14:paraId="024B101D" w14:textId="4A66D17B" w:rsidR="00546086" w:rsidRPr="00193EE3" w:rsidRDefault="00C65558" w:rsidP="00200EE2">
      <w:pPr>
        <w:pStyle w:val="Heading1"/>
        <w:spacing w:line="360" w:lineRule="auto"/>
        <w:jc w:val="both"/>
        <w:rPr>
          <w:rFonts w:ascii="Arial" w:hAnsi="Arial" w:cs="Arial"/>
          <w:b/>
          <w:bCs/>
          <w:color w:val="auto"/>
          <w:sz w:val="22"/>
          <w:szCs w:val="22"/>
        </w:rPr>
      </w:pPr>
      <w:r w:rsidRPr="00193EE3">
        <w:rPr>
          <w:rFonts w:ascii="Arial" w:hAnsi="Arial" w:cs="Arial"/>
          <w:b/>
          <w:bCs/>
          <w:color w:val="auto"/>
          <w:sz w:val="22"/>
          <w:szCs w:val="22"/>
        </w:rPr>
        <w:t xml:space="preserve">1.3 </w:t>
      </w:r>
      <w:r w:rsidR="00546086" w:rsidRPr="00193EE3">
        <w:rPr>
          <w:rFonts w:ascii="Arial" w:hAnsi="Arial" w:cs="Arial"/>
          <w:b/>
          <w:bCs/>
          <w:color w:val="auto"/>
          <w:sz w:val="22"/>
          <w:szCs w:val="22"/>
        </w:rPr>
        <w:t>Ethics in Health and Social Care</w:t>
      </w:r>
    </w:p>
    <w:p w14:paraId="14B5DFD6" w14:textId="6D0D657A" w:rsidR="00546086" w:rsidRPr="00C71624" w:rsidRDefault="00F778E8" w:rsidP="00200EE2">
      <w:pPr>
        <w:spacing w:line="360" w:lineRule="auto"/>
        <w:jc w:val="both"/>
        <w:rPr>
          <w:rFonts w:ascii="Arial" w:hAnsi="Arial" w:cs="Arial"/>
          <w:sz w:val="22"/>
          <w:szCs w:val="22"/>
        </w:rPr>
      </w:pPr>
      <w:r>
        <w:rPr>
          <w:rFonts w:ascii="Arial" w:hAnsi="Arial" w:cs="Arial"/>
          <w:sz w:val="22"/>
          <w:szCs w:val="22"/>
        </w:rPr>
        <w:t>Ethical principles serve as a moral compass in professional decision-making, especially in complex situations involving competing interests or limited resources. The four pillars of medical ethics—autonomy, beneficence, non-maleficence, and justice—are central to health and social care practice, as highlighted by Beauchamp and Childress (2019). Professional codes, like the Nursing and Midwifery Council (NMC, 2018) Code and the Health and Care Professions Council (HCPC, 2016) Standards of Conduct, integrate these principles into practice expectations.</w:t>
      </w:r>
    </w:p>
    <w:p w14:paraId="08219E37" w14:textId="30A9B6F7" w:rsidR="005B21C2" w:rsidRDefault="00F778E8" w:rsidP="00200EE2">
      <w:pPr>
        <w:spacing w:line="360" w:lineRule="auto"/>
        <w:jc w:val="both"/>
        <w:rPr>
          <w:rFonts w:ascii="Arial" w:hAnsi="Arial" w:cs="Arial"/>
          <w:sz w:val="22"/>
          <w:szCs w:val="22"/>
        </w:rPr>
      </w:pPr>
      <w:r>
        <w:rPr>
          <w:rFonts w:ascii="Arial" w:hAnsi="Arial" w:cs="Arial"/>
          <w:sz w:val="22"/>
          <w:szCs w:val="22"/>
        </w:rPr>
        <w:t>The importance of ethics in quality care is evident in several ways. Respect for autonomy allows service users to retain control over their lives, as emphasised in the Mental Capacity Act 2005, which assumes capacity unless proven otherwise. Justice ensures equitable access to services and fair resource allocation, while beneficence and non-maleficence guide practitioners to promote wellbeing and avoid harm (Ministry of Justice, 2007). Together, these ethical principles form a framework for person-centred decision-making that protects vulnerable individuals and upholds public trust in health and social care.</w:t>
      </w:r>
    </w:p>
    <w:p w14:paraId="3AA6B473" w14:textId="25DAF85F" w:rsidR="003C6186" w:rsidRPr="00F04ABE" w:rsidRDefault="005B21C2" w:rsidP="00200EE2">
      <w:pPr>
        <w:pStyle w:val="Heading1"/>
        <w:spacing w:line="360" w:lineRule="auto"/>
        <w:jc w:val="both"/>
        <w:rPr>
          <w:rFonts w:ascii="Arial" w:hAnsi="Arial" w:cs="Arial"/>
          <w:b/>
          <w:bCs/>
          <w:color w:val="auto"/>
          <w:sz w:val="22"/>
          <w:szCs w:val="22"/>
        </w:rPr>
      </w:pPr>
      <w:r w:rsidRPr="005B21C2">
        <w:rPr>
          <w:rFonts w:ascii="Arial" w:hAnsi="Arial" w:cs="Arial"/>
          <w:b/>
          <w:bCs/>
          <w:color w:val="auto"/>
          <w:sz w:val="22"/>
          <w:szCs w:val="22"/>
        </w:rPr>
        <w:t xml:space="preserve">2.0 </w:t>
      </w:r>
      <w:r w:rsidRPr="005B21C2">
        <w:rPr>
          <w:rFonts w:ascii="Arial" w:hAnsi="Arial" w:cs="Arial"/>
          <w:b/>
          <w:bCs/>
          <w:color w:val="auto"/>
          <w:sz w:val="22"/>
          <w:szCs w:val="22"/>
        </w:rPr>
        <w:t>Practical Examples of Concepts in Practice (500 words)</w:t>
      </w:r>
    </w:p>
    <w:p w14:paraId="127236CC" w14:textId="312A32D8" w:rsidR="003C6186" w:rsidRDefault="003C6186" w:rsidP="00200EE2">
      <w:pPr>
        <w:pStyle w:val="Heading1"/>
        <w:spacing w:line="360" w:lineRule="auto"/>
        <w:jc w:val="both"/>
        <w:rPr>
          <w:rFonts w:ascii="Arial" w:hAnsi="Arial" w:cs="Arial"/>
          <w:b/>
          <w:bCs/>
          <w:color w:val="auto"/>
          <w:sz w:val="22"/>
          <w:szCs w:val="22"/>
        </w:rPr>
      </w:pPr>
      <w:r w:rsidRPr="003C6186">
        <w:rPr>
          <w:rFonts w:ascii="Arial" w:hAnsi="Arial" w:cs="Arial"/>
          <w:b/>
          <w:bCs/>
          <w:color w:val="auto"/>
          <w:sz w:val="22"/>
          <w:szCs w:val="22"/>
        </w:rPr>
        <w:t xml:space="preserve">2.1 </w:t>
      </w:r>
      <w:r w:rsidRPr="003C6186">
        <w:rPr>
          <w:rFonts w:ascii="Arial" w:hAnsi="Arial" w:cs="Arial"/>
          <w:b/>
          <w:bCs/>
          <w:color w:val="auto"/>
          <w:sz w:val="22"/>
          <w:szCs w:val="22"/>
        </w:rPr>
        <w:t>Integrated Care for an Older Adult with Complex Needs</w:t>
      </w:r>
    </w:p>
    <w:p w14:paraId="3F124BAF" w14:textId="716CF823" w:rsidR="003C6186" w:rsidRDefault="00C52960" w:rsidP="00200EE2">
      <w:pPr>
        <w:spacing w:line="360" w:lineRule="auto"/>
        <w:jc w:val="both"/>
        <w:rPr>
          <w:rFonts w:ascii="Arial" w:hAnsi="Arial" w:cs="Arial"/>
          <w:sz w:val="22"/>
          <w:szCs w:val="22"/>
        </w:rPr>
      </w:pPr>
      <w:r>
        <w:rPr>
          <w:rFonts w:ascii="Arial" w:hAnsi="Arial" w:cs="Arial"/>
          <w:sz w:val="22"/>
          <w:szCs w:val="22"/>
        </w:rPr>
        <w:t xml:space="preserve">To illustrate person-centred care, partnership working, and ethical principles, consider Mrs </w:t>
      </w:r>
      <w:r w:rsidR="00FE430D">
        <w:rPr>
          <w:rFonts w:ascii="Arial" w:hAnsi="Arial" w:cs="Arial"/>
          <w:sz w:val="22"/>
          <w:szCs w:val="22"/>
        </w:rPr>
        <w:t>J</w:t>
      </w:r>
      <w:r>
        <w:rPr>
          <w:rFonts w:ascii="Arial" w:hAnsi="Arial" w:cs="Arial"/>
          <w:sz w:val="22"/>
          <w:szCs w:val="22"/>
        </w:rPr>
        <w:t>, an 82-year-old woman living independently after a stroke. This case, from NHS England’s 2019 integrated care pathways, shows how these principles work together to improve outcomes.</w:t>
      </w:r>
    </w:p>
    <w:p w14:paraId="214708EE" w14:textId="75AD5375" w:rsidR="00F04ABE" w:rsidRPr="00F04ABE" w:rsidRDefault="00F04ABE" w:rsidP="00200EE2">
      <w:pPr>
        <w:pStyle w:val="Heading1"/>
        <w:spacing w:line="360" w:lineRule="auto"/>
        <w:jc w:val="both"/>
        <w:rPr>
          <w:rFonts w:ascii="Arial" w:hAnsi="Arial" w:cs="Arial"/>
          <w:b/>
          <w:bCs/>
          <w:color w:val="auto"/>
          <w:sz w:val="22"/>
          <w:szCs w:val="22"/>
        </w:rPr>
      </w:pPr>
      <w:r>
        <w:rPr>
          <w:rFonts w:ascii="Arial" w:hAnsi="Arial" w:cs="Arial"/>
          <w:b/>
          <w:bCs/>
          <w:color w:val="auto"/>
          <w:sz w:val="22"/>
          <w:szCs w:val="22"/>
        </w:rPr>
        <w:t xml:space="preserve">2.2 </w:t>
      </w:r>
      <w:r w:rsidRPr="00F04ABE">
        <w:rPr>
          <w:rFonts w:ascii="Arial" w:hAnsi="Arial" w:cs="Arial"/>
          <w:b/>
          <w:bCs/>
          <w:color w:val="auto"/>
          <w:sz w:val="22"/>
          <w:szCs w:val="22"/>
        </w:rPr>
        <w:t>Person-Centred Care in Practice</w:t>
      </w:r>
    </w:p>
    <w:p w14:paraId="3D2E6209" w14:textId="28635CE5" w:rsidR="00F04ABE" w:rsidRPr="00F04ABE" w:rsidRDefault="00F04ABE" w:rsidP="00200EE2">
      <w:pPr>
        <w:spacing w:line="360" w:lineRule="auto"/>
        <w:jc w:val="both"/>
        <w:rPr>
          <w:rFonts w:ascii="Arial" w:hAnsi="Arial" w:cs="Arial"/>
          <w:sz w:val="22"/>
          <w:szCs w:val="22"/>
        </w:rPr>
      </w:pPr>
      <w:r w:rsidRPr="00F04ABE">
        <w:rPr>
          <w:rFonts w:ascii="Arial" w:hAnsi="Arial" w:cs="Arial"/>
          <w:sz w:val="22"/>
          <w:szCs w:val="22"/>
        </w:rPr>
        <w:t xml:space="preserve">Following her stroke, </w:t>
      </w:r>
      <w:r>
        <w:rPr>
          <w:rFonts w:ascii="Arial" w:hAnsi="Arial" w:cs="Arial"/>
          <w:sz w:val="22"/>
          <w:szCs w:val="22"/>
        </w:rPr>
        <w:t>Mrs</w:t>
      </w:r>
      <w:r w:rsidRPr="00F04ABE">
        <w:rPr>
          <w:rFonts w:ascii="Arial" w:hAnsi="Arial" w:cs="Arial"/>
          <w:sz w:val="22"/>
          <w:szCs w:val="22"/>
        </w:rPr>
        <w:t xml:space="preserve"> </w:t>
      </w:r>
      <w:r w:rsidR="00FE430D">
        <w:rPr>
          <w:rFonts w:ascii="Arial" w:hAnsi="Arial" w:cs="Arial"/>
          <w:sz w:val="22"/>
          <w:szCs w:val="22"/>
        </w:rPr>
        <w:t>J</w:t>
      </w:r>
      <w:r w:rsidRPr="00F04ABE">
        <w:rPr>
          <w:rFonts w:ascii="Arial" w:hAnsi="Arial" w:cs="Arial"/>
          <w:sz w:val="22"/>
          <w:szCs w:val="22"/>
        </w:rPr>
        <w:t xml:space="preserve"> expressed a strong desire to remain in her own home despite mobility limitations and some cognitive difficulties. Rather than defaulting to residential care placement, the care team employed person-centred planning approaches. Using tools such as the 'Talking Mats' communication framework (Murphy and Cameron, 2008), practitioners </w:t>
      </w:r>
      <w:r w:rsidRPr="00F04ABE">
        <w:rPr>
          <w:rFonts w:ascii="Arial" w:hAnsi="Arial" w:cs="Arial"/>
          <w:sz w:val="22"/>
          <w:szCs w:val="22"/>
        </w:rPr>
        <w:lastRenderedPageBreak/>
        <w:t xml:space="preserve">ensured </w:t>
      </w:r>
      <w:r>
        <w:rPr>
          <w:rFonts w:ascii="Arial" w:hAnsi="Arial" w:cs="Arial"/>
          <w:sz w:val="22"/>
          <w:szCs w:val="22"/>
        </w:rPr>
        <w:t>Mrs</w:t>
      </w:r>
      <w:r w:rsidRPr="00F04ABE">
        <w:rPr>
          <w:rFonts w:ascii="Arial" w:hAnsi="Arial" w:cs="Arial"/>
          <w:sz w:val="22"/>
          <w:szCs w:val="22"/>
        </w:rPr>
        <w:t xml:space="preserve"> </w:t>
      </w:r>
      <w:r w:rsidR="00FE430D">
        <w:rPr>
          <w:rFonts w:ascii="Arial" w:hAnsi="Arial" w:cs="Arial"/>
          <w:sz w:val="22"/>
          <w:szCs w:val="22"/>
        </w:rPr>
        <w:t>J</w:t>
      </w:r>
      <w:r w:rsidRPr="00F04ABE">
        <w:rPr>
          <w:rFonts w:ascii="Arial" w:hAnsi="Arial" w:cs="Arial"/>
          <w:sz w:val="22"/>
          <w:szCs w:val="22"/>
        </w:rPr>
        <w:t xml:space="preserve"> could effectively participate in care planning despite her communication difficulties. Her goals—maintaining independence, continuing her gardening hobby, and remaining connected to her local community—became the </w:t>
      </w:r>
      <w:r>
        <w:rPr>
          <w:rFonts w:ascii="Arial" w:hAnsi="Arial" w:cs="Arial"/>
          <w:sz w:val="22"/>
          <w:szCs w:val="22"/>
        </w:rPr>
        <w:t>organising</w:t>
      </w:r>
      <w:r w:rsidRPr="00F04ABE">
        <w:rPr>
          <w:rFonts w:ascii="Arial" w:hAnsi="Arial" w:cs="Arial"/>
          <w:sz w:val="22"/>
          <w:szCs w:val="22"/>
        </w:rPr>
        <w:t xml:space="preserve"> principles around which support was structured.</w:t>
      </w:r>
    </w:p>
    <w:p w14:paraId="3773C95D" w14:textId="2BB396EE" w:rsidR="00F04ABE" w:rsidRPr="00F04ABE" w:rsidRDefault="00F04ABE" w:rsidP="00200EE2">
      <w:pPr>
        <w:spacing w:line="360" w:lineRule="auto"/>
        <w:jc w:val="both"/>
        <w:rPr>
          <w:rFonts w:ascii="Arial" w:hAnsi="Arial" w:cs="Arial"/>
          <w:sz w:val="22"/>
          <w:szCs w:val="22"/>
        </w:rPr>
      </w:pPr>
      <w:r w:rsidRPr="00F04ABE">
        <w:rPr>
          <w:rFonts w:ascii="Arial" w:hAnsi="Arial" w:cs="Arial"/>
          <w:sz w:val="22"/>
          <w:szCs w:val="22"/>
        </w:rPr>
        <w:t>This approach aligns with the Care Act 2014's wellbeing principle, which requires local authorities to promote individual wellbeing across multiple domains</w:t>
      </w:r>
      <w:r>
        <w:rPr>
          <w:rFonts w:ascii="Arial" w:hAnsi="Arial" w:cs="Arial"/>
          <w:sz w:val="22"/>
          <w:szCs w:val="22"/>
        </w:rPr>
        <w:t>,</w:t>
      </w:r>
      <w:r w:rsidRPr="00F04ABE">
        <w:rPr>
          <w:rFonts w:ascii="Arial" w:hAnsi="Arial" w:cs="Arial"/>
          <w:sz w:val="22"/>
          <w:szCs w:val="22"/>
        </w:rPr>
        <w:t xml:space="preserve"> including personal dignity, physical and mental health, and participation in work, education, training, or recreation (Department of Health, 2014). By prioritising </w:t>
      </w:r>
      <w:r>
        <w:rPr>
          <w:rFonts w:ascii="Arial" w:hAnsi="Arial" w:cs="Arial"/>
          <w:sz w:val="22"/>
          <w:szCs w:val="22"/>
        </w:rPr>
        <w:t>Mrs</w:t>
      </w:r>
      <w:r w:rsidRPr="00F04ABE">
        <w:rPr>
          <w:rFonts w:ascii="Arial" w:hAnsi="Arial" w:cs="Arial"/>
          <w:sz w:val="22"/>
          <w:szCs w:val="22"/>
        </w:rPr>
        <w:t xml:space="preserve"> </w:t>
      </w:r>
      <w:r w:rsidR="00FE430D">
        <w:rPr>
          <w:rFonts w:ascii="Arial" w:hAnsi="Arial" w:cs="Arial"/>
          <w:sz w:val="22"/>
          <w:szCs w:val="22"/>
        </w:rPr>
        <w:t>J</w:t>
      </w:r>
      <w:r w:rsidRPr="00F04ABE">
        <w:rPr>
          <w:rFonts w:ascii="Arial" w:hAnsi="Arial" w:cs="Arial"/>
          <w:sz w:val="22"/>
          <w:szCs w:val="22"/>
        </w:rPr>
        <w:t>'s self-defined outcomes rather than professionally determined deficits, the care team demonstrated authentic person-centred practice.</w:t>
      </w:r>
    </w:p>
    <w:p w14:paraId="7000C34F" w14:textId="385458DE" w:rsidR="00F04ABE" w:rsidRPr="0031027D" w:rsidRDefault="0031027D" w:rsidP="00200EE2">
      <w:pPr>
        <w:pStyle w:val="Heading1"/>
        <w:spacing w:line="360" w:lineRule="auto"/>
        <w:jc w:val="both"/>
        <w:rPr>
          <w:rFonts w:ascii="Arial" w:hAnsi="Arial" w:cs="Arial"/>
          <w:b/>
          <w:bCs/>
          <w:color w:val="auto"/>
          <w:sz w:val="22"/>
          <w:szCs w:val="22"/>
        </w:rPr>
      </w:pPr>
      <w:r w:rsidRPr="0031027D">
        <w:rPr>
          <w:rFonts w:ascii="Arial" w:hAnsi="Arial" w:cs="Arial"/>
          <w:b/>
          <w:bCs/>
          <w:color w:val="auto"/>
          <w:sz w:val="22"/>
          <w:szCs w:val="22"/>
        </w:rPr>
        <w:t xml:space="preserve">2.3 </w:t>
      </w:r>
      <w:r w:rsidR="00F04ABE" w:rsidRPr="0031027D">
        <w:rPr>
          <w:rFonts w:ascii="Arial" w:hAnsi="Arial" w:cs="Arial"/>
          <w:b/>
          <w:bCs/>
          <w:color w:val="auto"/>
          <w:sz w:val="22"/>
          <w:szCs w:val="22"/>
        </w:rPr>
        <w:t>Partnership Working in Action</w:t>
      </w:r>
    </w:p>
    <w:p w14:paraId="68519553" w14:textId="7EDB57F8" w:rsidR="00F04ABE" w:rsidRPr="00F04ABE" w:rsidRDefault="00C52960" w:rsidP="00200EE2">
      <w:pPr>
        <w:spacing w:line="360" w:lineRule="auto"/>
        <w:jc w:val="both"/>
        <w:rPr>
          <w:rFonts w:ascii="Arial" w:hAnsi="Arial" w:cs="Arial"/>
          <w:sz w:val="22"/>
          <w:szCs w:val="22"/>
        </w:rPr>
      </w:pPr>
      <w:r>
        <w:rPr>
          <w:rFonts w:ascii="Arial" w:hAnsi="Arial" w:cs="Arial"/>
          <w:sz w:val="22"/>
          <w:szCs w:val="22"/>
        </w:rPr>
        <w:t xml:space="preserve">Addressing Mrs </w:t>
      </w:r>
      <w:r w:rsidR="00FE430D">
        <w:rPr>
          <w:rFonts w:ascii="Arial" w:hAnsi="Arial" w:cs="Arial"/>
          <w:sz w:val="22"/>
          <w:szCs w:val="22"/>
        </w:rPr>
        <w:t>J</w:t>
      </w:r>
      <w:r>
        <w:rPr>
          <w:rFonts w:ascii="Arial" w:hAnsi="Arial" w:cs="Arial"/>
          <w:sz w:val="22"/>
          <w:szCs w:val="22"/>
        </w:rPr>
        <w:t>'s complex needs involved coordinated efforts from various agencies. Her GP handled medical care and medication, a community occupational therapist evaluated home adaptations, social services organised personal care, a stroke association volunteer offered emotional support, and her daughter acted as a care partner. This collaboration exemplifies the partnership approach required by the Health and Social Care Act 2012, which established Health and Wellbeing Boards for integrated care delivery (Department of Health, 2012).</w:t>
      </w:r>
    </w:p>
    <w:p w14:paraId="1CDA7316" w14:textId="2569E08F" w:rsidR="00F04ABE" w:rsidRPr="00F04ABE" w:rsidRDefault="00C52960" w:rsidP="00200EE2">
      <w:pPr>
        <w:spacing w:line="360" w:lineRule="auto"/>
        <w:jc w:val="both"/>
        <w:rPr>
          <w:rFonts w:ascii="Arial" w:hAnsi="Arial" w:cs="Arial"/>
          <w:sz w:val="22"/>
          <w:szCs w:val="22"/>
        </w:rPr>
      </w:pPr>
      <w:r>
        <w:rPr>
          <w:rFonts w:ascii="Arial" w:hAnsi="Arial" w:cs="Arial"/>
          <w:sz w:val="22"/>
          <w:szCs w:val="22"/>
        </w:rPr>
        <w:t>Regular multidisciplinary team meetings facilitated information sharing and coordinated support planning. Research by Baxter and Brumfitt (2008) shows that these approaches</w:t>
      </w:r>
      <w:r w:rsidR="004F2253">
        <w:rPr>
          <w:rFonts w:ascii="Arial" w:hAnsi="Arial" w:cs="Arial"/>
          <w:sz w:val="22"/>
          <w:szCs w:val="22"/>
        </w:rPr>
        <w:t>,</w:t>
      </w:r>
      <w:r>
        <w:rPr>
          <w:rFonts w:ascii="Arial" w:hAnsi="Arial" w:cs="Arial"/>
          <w:sz w:val="22"/>
          <w:szCs w:val="22"/>
        </w:rPr>
        <w:t xml:space="preserve"> after a stroke, enhance functional outcomes and reduce caregiver burden. The partnership also included Mrs </w:t>
      </w:r>
      <w:r w:rsidR="00FE430D">
        <w:rPr>
          <w:rFonts w:ascii="Arial" w:hAnsi="Arial" w:cs="Arial"/>
          <w:sz w:val="22"/>
          <w:szCs w:val="22"/>
        </w:rPr>
        <w:t>J</w:t>
      </w:r>
      <w:r>
        <w:rPr>
          <w:rFonts w:ascii="Arial" w:hAnsi="Arial" w:cs="Arial"/>
          <w:sz w:val="22"/>
          <w:szCs w:val="22"/>
        </w:rPr>
        <w:t>'s family and community, acknowledging the importance of informal support systems in sustainable care.</w:t>
      </w:r>
    </w:p>
    <w:p w14:paraId="037DD5FB" w14:textId="56A6BF8D" w:rsidR="00F04ABE" w:rsidRPr="00C91B16" w:rsidRDefault="00B64461" w:rsidP="00200EE2">
      <w:pPr>
        <w:pStyle w:val="Heading1"/>
        <w:spacing w:line="360" w:lineRule="auto"/>
        <w:jc w:val="both"/>
        <w:rPr>
          <w:rFonts w:ascii="Arial" w:hAnsi="Arial" w:cs="Arial"/>
          <w:b/>
          <w:bCs/>
          <w:color w:val="auto"/>
          <w:sz w:val="22"/>
          <w:szCs w:val="22"/>
        </w:rPr>
      </w:pPr>
      <w:r w:rsidRPr="00C91B16">
        <w:rPr>
          <w:rFonts w:ascii="Arial" w:hAnsi="Arial" w:cs="Arial"/>
          <w:b/>
          <w:bCs/>
          <w:color w:val="auto"/>
          <w:sz w:val="22"/>
          <w:szCs w:val="22"/>
        </w:rPr>
        <w:t xml:space="preserve">2.4 </w:t>
      </w:r>
      <w:r w:rsidR="00F04ABE" w:rsidRPr="00C91B16">
        <w:rPr>
          <w:rFonts w:ascii="Arial" w:hAnsi="Arial" w:cs="Arial"/>
          <w:b/>
          <w:bCs/>
          <w:color w:val="auto"/>
          <w:sz w:val="22"/>
          <w:szCs w:val="22"/>
        </w:rPr>
        <w:t>Ethical Decision-Making</w:t>
      </w:r>
    </w:p>
    <w:p w14:paraId="0A4CB5EC" w14:textId="68C3A360" w:rsidR="00F04ABE" w:rsidRPr="00F04ABE" w:rsidRDefault="003A407C" w:rsidP="00200EE2">
      <w:pPr>
        <w:spacing w:line="360" w:lineRule="auto"/>
        <w:jc w:val="both"/>
        <w:rPr>
          <w:rFonts w:ascii="Arial" w:hAnsi="Arial" w:cs="Arial"/>
          <w:sz w:val="22"/>
          <w:szCs w:val="22"/>
        </w:rPr>
      </w:pPr>
      <w:r>
        <w:rPr>
          <w:rFonts w:ascii="Arial" w:hAnsi="Arial" w:cs="Arial"/>
          <w:sz w:val="22"/>
          <w:szCs w:val="22"/>
        </w:rPr>
        <w:t xml:space="preserve">The case presented ethical challenges regarding Mrs </w:t>
      </w:r>
      <w:r w:rsidR="00FE430D">
        <w:rPr>
          <w:rFonts w:ascii="Arial" w:hAnsi="Arial" w:cs="Arial"/>
          <w:sz w:val="22"/>
          <w:szCs w:val="22"/>
        </w:rPr>
        <w:t>J</w:t>
      </w:r>
      <w:r>
        <w:rPr>
          <w:rFonts w:ascii="Arial" w:hAnsi="Arial" w:cs="Arial"/>
          <w:sz w:val="22"/>
          <w:szCs w:val="22"/>
        </w:rPr>
        <w:t xml:space="preserve">'s living situation. Her daughter preferred residential care for safety, creating tension with Mrs </w:t>
      </w:r>
      <w:r w:rsidR="00FE430D">
        <w:rPr>
          <w:rFonts w:ascii="Arial" w:hAnsi="Arial" w:cs="Arial"/>
          <w:sz w:val="22"/>
          <w:szCs w:val="22"/>
        </w:rPr>
        <w:t>J</w:t>
      </w:r>
      <w:r>
        <w:rPr>
          <w:rFonts w:ascii="Arial" w:hAnsi="Arial" w:cs="Arial"/>
          <w:sz w:val="22"/>
          <w:szCs w:val="22"/>
        </w:rPr>
        <w:t xml:space="preserve">'s desire to remain independent. The care team conducted a mental capacity assessment, confirming her ability to make decisions about her accommodation (Mental Capacity Act, 2005). They held family meetings to discuss risks and developed proportional risk management strategies, using assistive technology and care visits to ensure safety while respecting Mrs </w:t>
      </w:r>
      <w:r w:rsidR="00FE430D">
        <w:rPr>
          <w:rFonts w:ascii="Arial" w:hAnsi="Arial" w:cs="Arial"/>
          <w:sz w:val="22"/>
          <w:szCs w:val="22"/>
        </w:rPr>
        <w:t>J</w:t>
      </w:r>
      <w:r>
        <w:rPr>
          <w:rFonts w:ascii="Arial" w:hAnsi="Arial" w:cs="Arial"/>
          <w:sz w:val="22"/>
          <w:szCs w:val="22"/>
        </w:rPr>
        <w:t>’s autonomy. Additionally, they applied the justice principle to align her care plan with her actual needs under the Care Act 2014. This approach illustrates how ethical principles can help navigate conflicts while keeping a person-centred focus.</w:t>
      </w:r>
    </w:p>
    <w:p w14:paraId="3BEBC40D" w14:textId="14750690" w:rsidR="00F04ABE" w:rsidRPr="00237941" w:rsidRDefault="00B64461" w:rsidP="00200EE2">
      <w:pPr>
        <w:pStyle w:val="Heading1"/>
        <w:spacing w:line="360" w:lineRule="auto"/>
        <w:jc w:val="both"/>
        <w:rPr>
          <w:rFonts w:ascii="Arial" w:hAnsi="Arial" w:cs="Arial"/>
          <w:b/>
          <w:bCs/>
          <w:color w:val="auto"/>
          <w:sz w:val="22"/>
          <w:szCs w:val="22"/>
        </w:rPr>
      </w:pPr>
      <w:r w:rsidRPr="00237941">
        <w:rPr>
          <w:rFonts w:ascii="Arial" w:hAnsi="Arial" w:cs="Arial"/>
          <w:b/>
          <w:bCs/>
          <w:color w:val="auto"/>
          <w:sz w:val="22"/>
          <w:szCs w:val="22"/>
        </w:rPr>
        <w:lastRenderedPageBreak/>
        <w:t xml:space="preserve">2.5 </w:t>
      </w:r>
      <w:r w:rsidR="00F04ABE" w:rsidRPr="00237941">
        <w:rPr>
          <w:rFonts w:ascii="Arial" w:hAnsi="Arial" w:cs="Arial"/>
          <w:b/>
          <w:bCs/>
          <w:color w:val="auto"/>
          <w:sz w:val="22"/>
          <w:szCs w:val="22"/>
        </w:rPr>
        <w:t>Outcomes and Improvements</w:t>
      </w:r>
    </w:p>
    <w:p w14:paraId="4E2F526F" w14:textId="5256468F" w:rsidR="00F04ABE" w:rsidRPr="003C6186" w:rsidRDefault="003A407C" w:rsidP="00200EE2">
      <w:pPr>
        <w:spacing w:line="360" w:lineRule="auto"/>
        <w:jc w:val="both"/>
        <w:rPr>
          <w:rFonts w:ascii="Arial" w:hAnsi="Arial" w:cs="Arial"/>
          <w:sz w:val="22"/>
          <w:szCs w:val="22"/>
        </w:rPr>
      </w:pPr>
      <w:r>
        <w:rPr>
          <w:rFonts w:ascii="Arial" w:hAnsi="Arial" w:cs="Arial"/>
          <w:sz w:val="22"/>
          <w:szCs w:val="22"/>
        </w:rPr>
        <w:t xml:space="preserve">Eighteen months post-implementation, </w:t>
      </w:r>
      <w:r w:rsidR="00300135">
        <w:rPr>
          <w:rFonts w:ascii="Arial" w:hAnsi="Arial" w:cs="Arial"/>
          <w:sz w:val="22"/>
          <w:szCs w:val="22"/>
        </w:rPr>
        <w:t>Mrs</w:t>
      </w:r>
      <w:r>
        <w:rPr>
          <w:rFonts w:ascii="Arial" w:hAnsi="Arial" w:cs="Arial"/>
          <w:sz w:val="22"/>
          <w:szCs w:val="22"/>
        </w:rPr>
        <w:t xml:space="preserve"> </w:t>
      </w:r>
      <w:r w:rsidR="00FE430D">
        <w:rPr>
          <w:rFonts w:ascii="Arial" w:hAnsi="Arial" w:cs="Arial"/>
          <w:sz w:val="22"/>
          <w:szCs w:val="22"/>
        </w:rPr>
        <w:t>J</w:t>
      </w:r>
      <w:r>
        <w:rPr>
          <w:rFonts w:ascii="Arial" w:hAnsi="Arial" w:cs="Arial"/>
          <w:sz w:val="22"/>
          <w:szCs w:val="22"/>
        </w:rPr>
        <w:t xml:space="preserve"> thrived in her home with high satisfaction, strong social connections, and no serious issues. This contrasts with research linking unwanted care home admissions to depression and cognitive decline (Banerjee, 2010). The case highlights that integrated person-centred care and ethical decision-making yield better results than traditional approaches.</w:t>
      </w:r>
    </w:p>
    <w:p w14:paraId="5F2BC1D7" w14:textId="77777777" w:rsidR="00BF7BC9" w:rsidRPr="0072020E" w:rsidRDefault="00BF7BC9" w:rsidP="00200EE2">
      <w:pPr>
        <w:pStyle w:val="Heading1"/>
        <w:spacing w:line="360" w:lineRule="auto"/>
        <w:jc w:val="both"/>
        <w:rPr>
          <w:rFonts w:ascii="Arial" w:hAnsi="Arial" w:cs="Arial"/>
          <w:b/>
          <w:bCs/>
          <w:color w:val="auto"/>
          <w:sz w:val="22"/>
          <w:szCs w:val="22"/>
        </w:rPr>
      </w:pPr>
      <w:r w:rsidRPr="0072020E">
        <w:rPr>
          <w:rFonts w:ascii="Arial" w:hAnsi="Arial" w:cs="Arial"/>
          <w:b/>
          <w:bCs/>
          <w:color w:val="auto"/>
          <w:sz w:val="22"/>
          <w:szCs w:val="22"/>
        </w:rPr>
        <w:t xml:space="preserve">3.0 </w:t>
      </w:r>
      <w:r w:rsidRPr="0072020E">
        <w:rPr>
          <w:rFonts w:ascii="Arial" w:hAnsi="Arial" w:cs="Arial"/>
          <w:b/>
          <w:bCs/>
          <w:color w:val="auto"/>
          <w:sz w:val="22"/>
          <w:szCs w:val="22"/>
        </w:rPr>
        <w:t>Self-Reflection as a Health and Social Care Professional (1,000 words)</w:t>
      </w:r>
    </w:p>
    <w:p w14:paraId="5F305262" w14:textId="485B2486" w:rsidR="004B6B1A" w:rsidRDefault="00BF7BC9" w:rsidP="00200EE2">
      <w:pPr>
        <w:pStyle w:val="Heading1"/>
        <w:spacing w:line="360" w:lineRule="auto"/>
        <w:jc w:val="both"/>
        <w:rPr>
          <w:rFonts w:ascii="Arial" w:hAnsi="Arial" w:cs="Arial"/>
          <w:b/>
          <w:bCs/>
          <w:color w:val="auto"/>
          <w:sz w:val="22"/>
          <w:szCs w:val="22"/>
        </w:rPr>
      </w:pPr>
      <w:r w:rsidRPr="0072020E">
        <w:rPr>
          <w:rFonts w:ascii="Arial" w:hAnsi="Arial" w:cs="Arial"/>
          <w:b/>
          <w:bCs/>
          <w:color w:val="auto"/>
          <w:sz w:val="22"/>
          <w:szCs w:val="22"/>
        </w:rPr>
        <w:t xml:space="preserve">3.1 </w:t>
      </w:r>
      <w:r w:rsidRPr="0072020E">
        <w:rPr>
          <w:rFonts w:ascii="Arial" w:hAnsi="Arial" w:cs="Arial"/>
          <w:b/>
          <w:bCs/>
          <w:color w:val="auto"/>
          <w:sz w:val="22"/>
          <w:szCs w:val="22"/>
        </w:rPr>
        <w:t>Applying Reflective Practice Frameworks</w:t>
      </w:r>
    </w:p>
    <w:p w14:paraId="0D98E5EE" w14:textId="6AB6A756" w:rsidR="0072020E" w:rsidRDefault="0072020E" w:rsidP="00200EE2">
      <w:pPr>
        <w:spacing w:line="360" w:lineRule="auto"/>
        <w:jc w:val="both"/>
        <w:rPr>
          <w:rFonts w:ascii="Arial" w:hAnsi="Arial" w:cs="Arial"/>
          <w:sz w:val="22"/>
          <w:szCs w:val="22"/>
        </w:rPr>
      </w:pPr>
      <w:r w:rsidRPr="0072020E">
        <w:rPr>
          <w:rFonts w:ascii="Arial" w:hAnsi="Arial" w:cs="Arial"/>
          <w:sz w:val="22"/>
          <w:szCs w:val="22"/>
        </w:rPr>
        <w:t xml:space="preserve">As I develop my professional identity </w:t>
      </w:r>
      <w:r>
        <w:rPr>
          <w:rFonts w:ascii="Arial" w:hAnsi="Arial" w:cs="Arial"/>
          <w:sz w:val="22"/>
          <w:szCs w:val="22"/>
        </w:rPr>
        <w:t>in health and social care, structured reflection enables me to examine how person-centred care, partnership working, and ethics shape</w:t>
      </w:r>
      <w:r w:rsidRPr="0072020E">
        <w:rPr>
          <w:rFonts w:ascii="Arial" w:hAnsi="Arial" w:cs="Arial"/>
          <w:sz w:val="22"/>
          <w:szCs w:val="22"/>
        </w:rPr>
        <w:t xml:space="preserve"> my daily practice. Utilising Gibbs' (1988) Reflective Cycle as a framework, I can systematically analyse experiences, extract learning, and formulate action plans for continuous improvement. This approach aligns with professional requirements; for instance, the NMC (2018) explicitly requires nurses to "use reflection to develop and maintain their professional knowledge and skills," whilst the HCPC (2016) emphasises continuing professional development as a condition of registration.</w:t>
      </w:r>
    </w:p>
    <w:p w14:paraId="17AA1B71" w14:textId="3C066FE2" w:rsidR="0072020E" w:rsidRDefault="00220CBB" w:rsidP="00200EE2">
      <w:pPr>
        <w:spacing w:line="360" w:lineRule="auto"/>
        <w:jc w:val="both"/>
        <w:rPr>
          <w:rFonts w:ascii="Arial" w:hAnsi="Arial" w:cs="Arial"/>
          <w:sz w:val="22"/>
          <w:szCs w:val="22"/>
        </w:rPr>
      </w:pPr>
      <w:r>
        <w:rPr>
          <w:rFonts w:ascii="Arial" w:hAnsi="Arial" w:cs="Arial"/>
          <w:noProof/>
          <w:sz w:val="22"/>
          <w:szCs w:val="22"/>
        </w:rPr>
        <w:drawing>
          <wp:anchor distT="0" distB="0" distL="114300" distR="114300" simplePos="0" relativeHeight="251658240" behindDoc="1" locked="0" layoutInCell="1" allowOverlap="1" wp14:anchorId="03ED317B" wp14:editId="664E4933">
            <wp:simplePos x="0" y="0"/>
            <wp:positionH relativeFrom="column">
              <wp:posOffset>348712</wp:posOffset>
            </wp:positionH>
            <wp:positionV relativeFrom="page">
              <wp:posOffset>5695627</wp:posOffset>
            </wp:positionV>
            <wp:extent cx="4339299" cy="3331845"/>
            <wp:effectExtent l="0" t="0" r="4445" b="1905"/>
            <wp:wrapTight wrapText="bothSides">
              <wp:wrapPolygon edited="0">
                <wp:start x="0" y="0"/>
                <wp:lineTo x="0" y="21489"/>
                <wp:lineTo x="21527" y="21489"/>
                <wp:lineTo x="21527" y="0"/>
                <wp:lineTo x="0" y="0"/>
              </wp:wrapPolygon>
            </wp:wrapTight>
            <wp:docPr id="5961261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39299" cy="3331845"/>
                    </a:xfrm>
                    <a:prstGeom prst="rect">
                      <a:avLst/>
                    </a:prstGeom>
                    <a:noFill/>
                  </pic:spPr>
                </pic:pic>
              </a:graphicData>
            </a:graphic>
            <wp14:sizeRelH relativeFrom="margin">
              <wp14:pctWidth>0</wp14:pctWidth>
            </wp14:sizeRelH>
            <wp14:sizeRelV relativeFrom="margin">
              <wp14:pctHeight>0</wp14:pctHeight>
            </wp14:sizeRelV>
          </wp:anchor>
        </w:drawing>
      </w:r>
    </w:p>
    <w:p w14:paraId="2CEAF94A" w14:textId="6B2D2F2D" w:rsidR="00B92F86" w:rsidRDefault="00B92F86" w:rsidP="00200EE2">
      <w:pPr>
        <w:spacing w:line="360" w:lineRule="auto"/>
        <w:jc w:val="both"/>
        <w:rPr>
          <w:rFonts w:ascii="Arial" w:hAnsi="Arial" w:cs="Arial"/>
          <w:sz w:val="22"/>
          <w:szCs w:val="22"/>
        </w:rPr>
      </w:pPr>
    </w:p>
    <w:p w14:paraId="212FA1F3" w14:textId="77777777" w:rsidR="00BD71A0" w:rsidRDefault="00BD71A0" w:rsidP="00200EE2">
      <w:pPr>
        <w:spacing w:line="360" w:lineRule="auto"/>
        <w:jc w:val="both"/>
        <w:rPr>
          <w:rFonts w:ascii="Arial" w:hAnsi="Arial" w:cs="Arial"/>
          <w:sz w:val="22"/>
          <w:szCs w:val="22"/>
        </w:rPr>
      </w:pPr>
    </w:p>
    <w:p w14:paraId="08C6977B" w14:textId="77777777" w:rsidR="00BD71A0" w:rsidRDefault="00BD71A0" w:rsidP="00200EE2">
      <w:pPr>
        <w:spacing w:line="360" w:lineRule="auto"/>
        <w:jc w:val="both"/>
        <w:rPr>
          <w:rFonts w:ascii="Arial" w:hAnsi="Arial" w:cs="Arial"/>
          <w:sz w:val="22"/>
          <w:szCs w:val="22"/>
        </w:rPr>
      </w:pPr>
    </w:p>
    <w:p w14:paraId="3E296754" w14:textId="77777777" w:rsidR="00BD71A0" w:rsidRDefault="00BD71A0" w:rsidP="00200EE2">
      <w:pPr>
        <w:spacing w:line="360" w:lineRule="auto"/>
        <w:jc w:val="both"/>
        <w:rPr>
          <w:rFonts w:ascii="Arial" w:hAnsi="Arial" w:cs="Arial"/>
          <w:sz w:val="22"/>
          <w:szCs w:val="22"/>
        </w:rPr>
      </w:pPr>
    </w:p>
    <w:p w14:paraId="6F43693B" w14:textId="152809A3" w:rsidR="00BD71A0" w:rsidRDefault="00BD71A0" w:rsidP="00200EE2">
      <w:pPr>
        <w:spacing w:line="360" w:lineRule="auto"/>
        <w:jc w:val="both"/>
        <w:rPr>
          <w:rFonts w:ascii="Arial" w:hAnsi="Arial" w:cs="Arial"/>
          <w:sz w:val="22"/>
          <w:szCs w:val="22"/>
        </w:rPr>
      </w:pPr>
    </w:p>
    <w:p w14:paraId="470634C9" w14:textId="77777777" w:rsidR="00220CBB" w:rsidRDefault="00220CBB" w:rsidP="00200EE2">
      <w:pPr>
        <w:spacing w:line="360" w:lineRule="auto"/>
        <w:jc w:val="both"/>
        <w:rPr>
          <w:rFonts w:ascii="Arial" w:hAnsi="Arial" w:cs="Arial"/>
          <w:sz w:val="22"/>
          <w:szCs w:val="22"/>
        </w:rPr>
      </w:pPr>
    </w:p>
    <w:p w14:paraId="7D80E53D" w14:textId="77777777" w:rsidR="00220CBB" w:rsidRDefault="00220CBB" w:rsidP="00200EE2">
      <w:pPr>
        <w:spacing w:line="360" w:lineRule="auto"/>
        <w:jc w:val="both"/>
        <w:rPr>
          <w:rFonts w:ascii="Arial" w:hAnsi="Arial" w:cs="Arial"/>
          <w:sz w:val="22"/>
          <w:szCs w:val="22"/>
        </w:rPr>
      </w:pPr>
    </w:p>
    <w:p w14:paraId="49AE835D" w14:textId="77777777" w:rsidR="00220CBB" w:rsidRDefault="00220CBB" w:rsidP="00200EE2">
      <w:pPr>
        <w:spacing w:line="360" w:lineRule="auto"/>
        <w:jc w:val="both"/>
        <w:rPr>
          <w:rFonts w:ascii="Arial" w:hAnsi="Arial" w:cs="Arial"/>
          <w:sz w:val="22"/>
          <w:szCs w:val="22"/>
        </w:rPr>
      </w:pPr>
    </w:p>
    <w:p w14:paraId="1F0E8468" w14:textId="77777777" w:rsidR="00220CBB" w:rsidRDefault="00220CBB" w:rsidP="00200EE2">
      <w:pPr>
        <w:spacing w:line="360" w:lineRule="auto"/>
        <w:ind w:left="5040" w:firstLine="720"/>
        <w:jc w:val="both"/>
        <w:rPr>
          <w:rFonts w:ascii="Arial" w:hAnsi="Arial" w:cs="Arial"/>
          <w:sz w:val="22"/>
          <w:szCs w:val="22"/>
        </w:rPr>
      </w:pPr>
    </w:p>
    <w:p w14:paraId="7771EB40" w14:textId="77777777" w:rsidR="00220CBB" w:rsidRDefault="00220CBB" w:rsidP="00200EE2">
      <w:pPr>
        <w:spacing w:line="360" w:lineRule="auto"/>
        <w:ind w:left="5040" w:firstLine="720"/>
        <w:jc w:val="both"/>
        <w:rPr>
          <w:rFonts w:ascii="Arial" w:hAnsi="Arial" w:cs="Arial"/>
          <w:sz w:val="22"/>
          <w:szCs w:val="22"/>
        </w:rPr>
      </w:pPr>
    </w:p>
    <w:p w14:paraId="3008BEB9" w14:textId="2679EF06" w:rsidR="009E73FC" w:rsidRPr="00A5466F" w:rsidRDefault="00D85A26" w:rsidP="00200EE2">
      <w:pPr>
        <w:spacing w:line="360" w:lineRule="auto"/>
        <w:ind w:left="5040" w:firstLine="720"/>
        <w:jc w:val="both"/>
        <w:rPr>
          <w:rFonts w:ascii="Arial" w:hAnsi="Arial" w:cs="Arial"/>
          <w:sz w:val="16"/>
          <w:szCs w:val="16"/>
        </w:rPr>
      </w:pPr>
      <w:r>
        <w:rPr>
          <w:rFonts w:ascii="Arial" w:hAnsi="Arial" w:cs="Arial"/>
          <w:sz w:val="16"/>
          <w:szCs w:val="16"/>
        </w:rPr>
        <w:t>©</w:t>
      </w:r>
      <w:r w:rsidR="00A5466F" w:rsidRPr="00A5466F">
        <w:rPr>
          <w:rFonts w:ascii="Arial" w:hAnsi="Arial" w:cs="Arial"/>
          <w:sz w:val="16"/>
          <w:szCs w:val="16"/>
        </w:rPr>
        <w:t>Scientific Diagram</w:t>
      </w:r>
      <w:r w:rsidR="00A5466F" w:rsidRPr="00A5466F">
        <w:rPr>
          <w:rFonts w:ascii="Arial" w:hAnsi="Arial" w:cs="Arial"/>
          <w:sz w:val="16"/>
          <w:szCs w:val="16"/>
        </w:rPr>
        <w:tab/>
      </w:r>
    </w:p>
    <w:p w14:paraId="0035EAF8" w14:textId="7AD9598C" w:rsidR="00BD71A0" w:rsidRDefault="00160D05" w:rsidP="00200EE2">
      <w:pPr>
        <w:spacing w:line="360" w:lineRule="auto"/>
        <w:jc w:val="both"/>
        <w:rPr>
          <w:rFonts w:ascii="Arial" w:hAnsi="Arial" w:cs="Arial"/>
          <w:sz w:val="20"/>
          <w:szCs w:val="20"/>
        </w:rPr>
      </w:pPr>
      <w:r>
        <w:rPr>
          <w:rFonts w:ascii="Arial" w:hAnsi="Arial" w:cs="Arial"/>
          <w:sz w:val="20"/>
          <w:szCs w:val="20"/>
        </w:rPr>
        <w:t xml:space="preserve">Figure 1: </w:t>
      </w:r>
      <w:r w:rsidR="00BD71A0" w:rsidRPr="009E73FC">
        <w:rPr>
          <w:rFonts w:ascii="Arial" w:hAnsi="Arial" w:cs="Arial"/>
          <w:sz w:val="20"/>
          <w:szCs w:val="20"/>
        </w:rPr>
        <w:t>Gibbs Reflective Cycle (Gibbs, 1988)</w:t>
      </w:r>
      <w:r w:rsidR="00A5466F">
        <w:rPr>
          <w:rFonts w:ascii="Arial" w:hAnsi="Arial" w:cs="Arial"/>
          <w:sz w:val="20"/>
          <w:szCs w:val="20"/>
        </w:rPr>
        <w:t xml:space="preserve"> </w:t>
      </w:r>
      <w:r w:rsidR="00A5466F" w:rsidRPr="00A5466F">
        <w:rPr>
          <w:rFonts w:ascii="Arial" w:hAnsi="Arial" w:cs="Arial"/>
          <w:sz w:val="16"/>
          <w:szCs w:val="16"/>
        </w:rPr>
        <w:t xml:space="preserve"> </w:t>
      </w:r>
    </w:p>
    <w:p w14:paraId="3F1BE64C" w14:textId="5F02CC1C" w:rsidR="00A5466F" w:rsidRPr="00754B01" w:rsidRDefault="00A5466F" w:rsidP="00200EE2">
      <w:pPr>
        <w:pStyle w:val="Heading1"/>
        <w:spacing w:line="360" w:lineRule="auto"/>
        <w:jc w:val="both"/>
        <w:rPr>
          <w:rFonts w:ascii="Arial" w:hAnsi="Arial" w:cs="Arial"/>
          <w:b/>
          <w:bCs/>
          <w:color w:val="auto"/>
          <w:sz w:val="22"/>
          <w:szCs w:val="22"/>
        </w:rPr>
      </w:pPr>
      <w:r w:rsidRPr="00754B01">
        <w:rPr>
          <w:rFonts w:ascii="Arial" w:hAnsi="Arial" w:cs="Arial"/>
          <w:b/>
          <w:bCs/>
          <w:color w:val="auto"/>
          <w:sz w:val="22"/>
          <w:szCs w:val="22"/>
        </w:rPr>
        <w:lastRenderedPageBreak/>
        <w:t xml:space="preserve">3.2 </w:t>
      </w:r>
      <w:r w:rsidRPr="00754B01">
        <w:rPr>
          <w:rFonts w:ascii="Arial" w:hAnsi="Arial" w:cs="Arial"/>
          <w:b/>
          <w:bCs/>
          <w:color w:val="auto"/>
          <w:sz w:val="22"/>
          <w:szCs w:val="22"/>
        </w:rPr>
        <w:t>Person-Centred Care in My Practice</w:t>
      </w:r>
    </w:p>
    <w:p w14:paraId="4AF214FC" w14:textId="6A3BADD3" w:rsidR="00A5466F" w:rsidRPr="00A5466F" w:rsidRDefault="00E322DD" w:rsidP="00200EE2">
      <w:pPr>
        <w:spacing w:line="360" w:lineRule="auto"/>
        <w:jc w:val="both"/>
        <w:rPr>
          <w:rFonts w:ascii="Arial" w:hAnsi="Arial" w:cs="Arial"/>
          <w:sz w:val="22"/>
          <w:szCs w:val="22"/>
        </w:rPr>
      </w:pPr>
      <w:r>
        <w:rPr>
          <w:rFonts w:ascii="Arial" w:hAnsi="Arial" w:cs="Arial"/>
          <w:sz w:val="22"/>
          <w:szCs w:val="22"/>
        </w:rPr>
        <w:t>In my work, person-centred care requires vigilance to avoid prioritizing organizational efficiency over individual preferences. I supported a service user with learning disabilities in accessing community activities. Initially, I assumed I understood his interests based on assessments. However, after listening to him using accessible communication methods, I realised his true interests were quite different. This highlighted the difference between tokenistic involvement and authentic co-production. True person-centred care demands that I check my assumptions and involve service users in decisions. Beresford (2013) argues that such approaches remain rhetorical unless professionals share decision-making authority, which challenges me to share power more authentically.</w:t>
      </w:r>
    </w:p>
    <w:p w14:paraId="441BE462" w14:textId="63979676" w:rsidR="00A5466F" w:rsidRPr="001B3501" w:rsidRDefault="008651B5" w:rsidP="00200EE2">
      <w:pPr>
        <w:pStyle w:val="Heading1"/>
        <w:spacing w:line="360" w:lineRule="auto"/>
        <w:jc w:val="both"/>
        <w:rPr>
          <w:rFonts w:ascii="Arial" w:hAnsi="Arial" w:cs="Arial"/>
          <w:b/>
          <w:bCs/>
          <w:color w:val="auto"/>
          <w:sz w:val="22"/>
          <w:szCs w:val="22"/>
        </w:rPr>
      </w:pPr>
      <w:r w:rsidRPr="001B3501">
        <w:rPr>
          <w:rFonts w:ascii="Arial" w:hAnsi="Arial" w:cs="Arial"/>
          <w:b/>
          <w:bCs/>
          <w:color w:val="auto"/>
          <w:sz w:val="22"/>
          <w:szCs w:val="22"/>
        </w:rPr>
        <w:t xml:space="preserve">3.3 </w:t>
      </w:r>
      <w:r w:rsidR="00A5466F" w:rsidRPr="001B3501">
        <w:rPr>
          <w:rFonts w:ascii="Arial" w:hAnsi="Arial" w:cs="Arial"/>
          <w:b/>
          <w:bCs/>
          <w:color w:val="auto"/>
          <w:sz w:val="22"/>
          <w:szCs w:val="22"/>
        </w:rPr>
        <w:t>Current Strengths</w:t>
      </w:r>
    </w:p>
    <w:p w14:paraId="6B3C367E" w14:textId="3264E497" w:rsidR="00E322DD" w:rsidRPr="00E322DD" w:rsidRDefault="00E322DD" w:rsidP="00200EE2">
      <w:pPr>
        <w:spacing w:line="360" w:lineRule="auto"/>
        <w:jc w:val="both"/>
        <w:rPr>
          <w:rFonts w:ascii="Arial" w:hAnsi="Arial" w:cs="Arial"/>
          <w:sz w:val="22"/>
          <w:szCs w:val="22"/>
        </w:rPr>
      </w:pPr>
      <w:r w:rsidRPr="00E322DD">
        <w:rPr>
          <w:rFonts w:ascii="Arial" w:hAnsi="Arial" w:cs="Arial"/>
          <w:sz w:val="22"/>
          <w:szCs w:val="22"/>
        </w:rPr>
        <w:t xml:space="preserve">I </w:t>
      </w:r>
      <w:r>
        <w:rPr>
          <w:rFonts w:ascii="Arial" w:hAnsi="Arial" w:cs="Arial"/>
          <w:sz w:val="22"/>
          <w:szCs w:val="22"/>
        </w:rPr>
        <w:t>recognise</w:t>
      </w:r>
      <w:r w:rsidRPr="00E322DD">
        <w:rPr>
          <w:rFonts w:ascii="Arial" w:hAnsi="Arial" w:cs="Arial"/>
          <w:sz w:val="22"/>
          <w:szCs w:val="22"/>
        </w:rPr>
        <w:t xml:space="preserve"> strengths in my practice related to person-centred principles, particularly in my active listening skills, which receive positive feedback from service users and colleagues. I use accessible communication methods, like visual aids and simplified language, and I allow extra time for those with communication difficulties. I advocate for service users' preferences in team meetings, even when they complicate service delivery.</w:t>
      </w:r>
    </w:p>
    <w:p w14:paraId="5C63D04E" w14:textId="6594EA1E" w:rsidR="00E322DD" w:rsidRPr="00A5466F" w:rsidRDefault="00E322DD" w:rsidP="00200EE2">
      <w:pPr>
        <w:spacing w:line="360" w:lineRule="auto"/>
        <w:jc w:val="both"/>
        <w:rPr>
          <w:rFonts w:ascii="Arial" w:hAnsi="Arial" w:cs="Arial"/>
          <w:sz w:val="22"/>
          <w:szCs w:val="22"/>
        </w:rPr>
      </w:pPr>
      <w:r w:rsidRPr="00E322DD">
        <w:rPr>
          <w:rFonts w:ascii="Arial" w:hAnsi="Arial" w:cs="Arial"/>
          <w:sz w:val="22"/>
          <w:szCs w:val="22"/>
        </w:rPr>
        <w:t xml:space="preserve">My understanding of Maslow's Hierarchy aids in holistic assessment. I </w:t>
      </w:r>
      <w:r>
        <w:rPr>
          <w:rFonts w:ascii="Arial" w:hAnsi="Arial" w:cs="Arial"/>
          <w:sz w:val="22"/>
          <w:szCs w:val="22"/>
        </w:rPr>
        <w:t>prioritise</w:t>
      </w:r>
      <w:r w:rsidRPr="00E322DD">
        <w:rPr>
          <w:rFonts w:ascii="Arial" w:hAnsi="Arial" w:cs="Arial"/>
          <w:sz w:val="22"/>
          <w:szCs w:val="22"/>
        </w:rPr>
        <w:t xml:space="preserve"> addressing physiological and safety needs before higher-order ones, while also acknowledging critiques of the model's Western-centric assumptions, reminding me to use theoretical frameworks </w:t>
      </w:r>
      <w:r w:rsidRPr="00E322DD">
        <w:rPr>
          <w:rFonts w:ascii="Arial" w:hAnsi="Arial" w:cs="Arial"/>
          <w:sz w:val="22"/>
          <w:szCs w:val="22"/>
        </w:rPr>
        <w:t>flexibly (</w:t>
      </w:r>
      <w:r w:rsidRPr="00E322DD">
        <w:rPr>
          <w:rFonts w:ascii="Arial" w:hAnsi="Arial" w:cs="Arial"/>
          <w:sz w:val="22"/>
          <w:szCs w:val="22"/>
        </w:rPr>
        <w:t>Wahba and Bridwell, 1976</w:t>
      </w:r>
      <w:r>
        <w:rPr>
          <w:rFonts w:ascii="Arial" w:hAnsi="Arial" w:cs="Arial"/>
          <w:sz w:val="22"/>
          <w:szCs w:val="22"/>
        </w:rPr>
        <w:t>)</w:t>
      </w:r>
      <w:r w:rsidRPr="00E322DD">
        <w:rPr>
          <w:rFonts w:ascii="Arial" w:hAnsi="Arial" w:cs="Arial"/>
          <w:sz w:val="22"/>
          <w:szCs w:val="22"/>
        </w:rPr>
        <w:t>.</w:t>
      </w:r>
    </w:p>
    <w:p w14:paraId="5F5382B8" w14:textId="08B54601" w:rsidR="00A5466F" w:rsidRPr="003E47A4" w:rsidRDefault="008651B5" w:rsidP="00200EE2">
      <w:pPr>
        <w:pStyle w:val="Heading1"/>
        <w:spacing w:line="360" w:lineRule="auto"/>
        <w:jc w:val="both"/>
        <w:rPr>
          <w:rFonts w:ascii="Arial" w:hAnsi="Arial" w:cs="Arial"/>
          <w:b/>
          <w:bCs/>
          <w:color w:val="auto"/>
          <w:sz w:val="22"/>
          <w:szCs w:val="22"/>
        </w:rPr>
      </w:pPr>
      <w:r w:rsidRPr="003E47A4">
        <w:rPr>
          <w:rFonts w:ascii="Arial" w:hAnsi="Arial" w:cs="Arial"/>
          <w:b/>
          <w:bCs/>
          <w:color w:val="auto"/>
          <w:sz w:val="22"/>
          <w:szCs w:val="22"/>
        </w:rPr>
        <w:t xml:space="preserve">3.4 </w:t>
      </w:r>
      <w:r w:rsidR="00A5466F" w:rsidRPr="003E47A4">
        <w:rPr>
          <w:rFonts w:ascii="Arial" w:hAnsi="Arial" w:cs="Arial"/>
          <w:b/>
          <w:bCs/>
          <w:color w:val="auto"/>
          <w:sz w:val="22"/>
          <w:szCs w:val="22"/>
        </w:rPr>
        <w:t>Partnership Working in My Practice</w:t>
      </w:r>
    </w:p>
    <w:p w14:paraId="21CAAC28" w14:textId="146A9EE0" w:rsidR="00A5466F" w:rsidRPr="00A5466F" w:rsidRDefault="004D4EF6" w:rsidP="00200EE2">
      <w:pPr>
        <w:spacing w:line="360" w:lineRule="auto"/>
        <w:jc w:val="both"/>
        <w:rPr>
          <w:rFonts w:ascii="Arial" w:hAnsi="Arial" w:cs="Arial"/>
          <w:sz w:val="22"/>
          <w:szCs w:val="22"/>
        </w:rPr>
      </w:pPr>
      <w:r>
        <w:rPr>
          <w:rFonts w:ascii="Arial" w:hAnsi="Arial" w:cs="Arial"/>
          <w:sz w:val="22"/>
          <w:szCs w:val="22"/>
        </w:rPr>
        <w:t>Partnership working in my daily practice offers both opportunities and challenges. In a multidisciplinary environment with social workers, occupational therapists, mental health nurses, and housing officers, effective collaboration leads to better outcomes for service users. When partnerships are successful, information flows smoothly, interventions are coordinated, and service users experience continuity instead of fragmentation.</w:t>
      </w:r>
    </w:p>
    <w:p w14:paraId="773B2FCD" w14:textId="77777777" w:rsidR="00A5466F" w:rsidRPr="00A5466F" w:rsidRDefault="00A5466F" w:rsidP="00200EE2">
      <w:pPr>
        <w:spacing w:line="360" w:lineRule="auto"/>
        <w:jc w:val="both"/>
        <w:rPr>
          <w:rFonts w:ascii="Arial" w:hAnsi="Arial" w:cs="Arial"/>
          <w:sz w:val="22"/>
          <w:szCs w:val="22"/>
        </w:rPr>
      </w:pPr>
      <w:r w:rsidRPr="00A5466F">
        <w:rPr>
          <w:rFonts w:ascii="Arial" w:hAnsi="Arial" w:cs="Arial"/>
          <w:sz w:val="22"/>
          <w:szCs w:val="22"/>
        </w:rPr>
        <w:t>However, I have also experienced the barriers to effective partnership working identified by Cameron et al. (2014), including different organisational priorities, incompatible information systems, and professional 'turf protection.' I reflected on a recent case where delayed communication between hospital discharge teams and community services resulted in a service user returning home without adequate support arrangements. This situation caused unnecessary distress and demonstrated the real-world consequences of partnership failures.</w:t>
      </w:r>
    </w:p>
    <w:p w14:paraId="34A5D14C" w14:textId="462CA927" w:rsidR="00A5466F" w:rsidRPr="007D1897" w:rsidRDefault="008651B5" w:rsidP="00200EE2">
      <w:pPr>
        <w:pStyle w:val="Heading1"/>
        <w:spacing w:line="360" w:lineRule="auto"/>
        <w:jc w:val="both"/>
        <w:rPr>
          <w:rFonts w:ascii="Arial" w:hAnsi="Arial" w:cs="Arial"/>
          <w:b/>
          <w:bCs/>
          <w:color w:val="auto"/>
          <w:sz w:val="22"/>
          <w:szCs w:val="22"/>
        </w:rPr>
      </w:pPr>
      <w:r w:rsidRPr="007D1897">
        <w:rPr>
          <w:rFonts w:ascii="Arial" w:hAnsi="Arial" w:cs="Arial"/>
          <w:b/>
          <w:bCs/>
          <w:color w:val="auto"/>
          <w:sz w:val="22"/>
          <w:szCs w:val="22"/>
        </w:rPr>
        <w:lastRenderedPageBreak/>
        <w:t>3.</w:t>
      </w:r>
      <w:r w:rsidR="003E47A4">
        <w:rPr>
          <w:rFonts w:ascii="Arial" w:hAnsi="Arial" w:cs="Arial"/>
          <w:b/>
          <w:bCs/>
          <w:color w:val="auto"/>
          <w:sz w:val="22"/>
          <w:szCs w:val="22"/>
        </w:rPr>
        <w:t>5</w:t>
      </w:r>
      <w:r w:rsidRPr="007D1897">
        <w:rPr>
          <w:rFonts w:ascii="Arial" w:hAnsi="Arial" w:cs="Arial"/>
          <w:b/>
          <w:bCs/>
          <w:color w:val="auto"/>
          <w:sz w:val="22"/>
          <w:szCs w:val="22"/>
        </w:rPr>
        <w:t xml:space="preserve"> </w:t>
      </w:r>
      <w:r w:rsidR="00A5466F" w:rsidRPr="007D1897">
        <w:rPr>
          <w:rFonts w:ascii="Arial" w:hAnsi="Arial" w:cs="Arial"/>
          <w:b/>
          <w:bCs/>
          <w:color w:val="auto"/>
          <w:sz w:val="22"/>
          <w:szCs w:val="22"/>
        </w:rPr>
        <w:t>Areas for Development</w:t>
      </w:r>
    </w:p>
    <w:p w14:paraId="585B13F8" w14:textId="77777777" w:rsidR="00A5466F" w:rsidRPr="00A5466F" w:rsidRDefault="00A5466F" w:rsidP="00200EE2">
      <w:pPr>
        <w:spacing w:line="360" w:lineRule="auto"/>
        <w:jc w:val="both"/>
        <w:rPr>
          <w:rFonts w:ascii="Arial" w:hAnsi="Arial" w:cs="Arial"/>
          <w:sz w:val="22"/>
          <w:szCs w:val="22"/>
        </w:rPr>
      </w:pPr>
      <w:r w:rsidRPr="00A5466F">
        <w:rPr>
          <w:rFonts w:ascii="Arial" w:hAnsi="Arial" w:cs="Arial"/>
          <w:sz w:val="22"/>
          <w:szCs w:val="22"/>
        </w:rPr>
        <w:t>I recognise several areas requiring development in my partnership working skills. Firstly, I need to develop greater confidence in challenging decisions or actions by other professionals when I believe service users' interests are not being adequately represented. This relates to professional courage and assertiveness—skills I find more difficult when addressing senior colleagues or professionals from other disciplines. Henneman et al.'s (1995) work on collaboration identifies assertiveness as a critical component of effective interdisciplinary working, suggesting this is a priority development area.</w:t>
      </w:r>
    </w:p>
    <w:p w14:paraId="3919F63F" w14:textId="77777777" w:rsidR="00A5466F" w:rsidRPr="00A5466F" w:rsidRDefault="00A5466F" w:rsidP="00200EE2">
      <w:pPr>
        <w:spacing w:line="360" w:lineRule="auto"/>
        <w:jc w:val="both"/>
        <w:rPr>
          <w:rFonts w:ascii="Arial" w:hAnsi="Arial" w:cs="Arial"/>
          <w:sz w:val="22"/>
          <w:szCs w:val="22"/>
        </w:rPr>
      </w:pPr>
      <w:r w:rsidRPr="00A5466F">
        <w:rPr>
          <w:rFonts w:ascii="Arial" w:hAnsi="Arial" w:cs="Arial"/>
          <w:sz w:val="22"/>
          <w:szCs w:val="22"/>
        </w:rPr>
        <w:t>Secondly, I need to better understand the roles, constraints, and priorities of other professional groups. This understanding would enable more effective communication and realistic expectations regarding what different agencies can contribute. I plan to address this through shadowing opportunities and attending inter-professional education sessions.</w:t>
      </w:r>
    </w:p>
    <w:p w14:paraId="3408B0F8" w14:textId="6178299E" w:rsidR="00A5466F" w:rsidRPr="008651B5" w:rsidRDefault="008651B5" w:rsidP="00200EE2">
      <w:pPr>
        <w:pStyle w:val="Heading1"/>
        <w:spacing w:line="360" w:lineRule="auto"/>
        <w:jc w:val="both"/>
        <w:rPr>
          <w:rFonts w:ascii="Arial" w:hAnsi="Arial" w:cs="Arial"/>
          <w:b/>
          <w:bCs/>
          <w:color w:val="auto"/>
          <w:sz w:val="22"/>
          <w:szCs w:val="22"/>
        </w:rPr>
      </w:pPr>
      <w:r w:rsidRPr="008651B5">
        <w:rPr>
          <w:rFonts w:ascii="Arial" w:hAnsi="Arial" w:cs="Arial"/>
          <w:b/>
          <w:bCs/>
          <w:color w:val="auto"/>
          <w:sz w:val="22"/>
          <w:szCs w:val="22"/>
        </w:rPr>
        <w:t>3.</w:t>
      </w:r>
      <w:r w:rsidR="003E47A4">
        <w:rPr>
          <w:rFonts w:ascii="Arial" w:hAnsi="Arial" w:cs="Arial"/>
          <w:b/>
          <w:bCs/>
          <w:color w:val="auto"/>
          <w:sz w:val="22"/>
          <w:szCs w:val="22"/>
        </w:rPr>
        <w:t>6</w:t>
      </w:r>
      <w:r w:rsidRPr="008651B5">
        <w:rPr>
          <w:rFonts w:ascii="Arial" w:hAnsi="Arial" w:cs="Arial"/>
          <w:b/>
          <w:bCs/>
          <w:color w:val="auto"/>
          <w:sz w:val="22"/>
          <w:szCs w:val="22"/>
        </w:rPr>
        <w:t xml:space="preserve"> </w:t>
      </w:r>
      <w:r w:rsidR="00A5466F" w:rsidRPr="008651B5">
        <w:rPr>
          <w:rFonts w:ascii="Arial" w:hAnsi="Arial" w:cs="Arial"/>
          <w:b/>
          <w:bCs/>
          <w:color w:val="auto"/>
          <w:sz w:val="22"/>
          <w:szCs w:val="22"/>
        </w:rPr>
        <w:t>Ethical Practice and Decision-Making</w:t>
      </w:r>
    </w:p>
    <w:p w14:paraId="3A817639" w14:textId="1A1A9F0E" w:rsidR="008A0455" w:rsidRDefault="008A0455" w:rsidP="00200EE2">
      <w:pPr>
        <w:spacing w:line="360" w:lineRule="auto"/>
        <w:jc w:val="both"/>
        <w:rPr>
          <w:rFonts w:ascii="Arial" w:hAnsi="Arial" w:cs="Arial"/>
          <w:sz w:val="22"/>
          <w:szCs w:val="22"/>
        </w:rPr>
      </w:pPr>
      <w:r>
        <w:rPr>
          <w:rFonts w:ascii="Arial" w:hAnsi="Arial" w:cs="Arial"/>
          <w:sz w:val="22"/>
          <w:szCs w:val="22"/>
        </w:rPr>
        <w:t>Ethical decision-making is central to my work, but real-life situations often present more complexity than textbook examples. Recently, I encountered a service user with capacity who wanted to refuse care that could lead to harm. I recognised that respecting their autonomy, despite my discomfort with the potential outcomes, is essential. This experience highlighted that ethical practice sometimes means supporting choices I disagree with when the individual understands the implications.</w:t>
      </w:r>
    </w:p>
    <w:p w14:paraId="6C1F4029" w14:textId="0F499FEF" w:rsidR="00A5466F" w:rsidRDefault="008A0455" w:rsidP="00200EE2">
      <w:pPr>
        <w:spacing w:line="360" w:lineRule="auto"/>
        <w:jc w:val="both"/>
        <w:rPr>
          <w:rFonts w:ascii="Arial" w:hAnsi="Arial" w:cs="Arial"/>
          <w:sz w:val="22"/>
          <w:szCs w:val="22"/>
        </w:rPr>
      </w:pPr>
      <w:r>
        <w:rPr>
          <w:rFonts w:ascii="Arial" w:hAnsi="Arial" w:cs="Arial"/>
          <w:sz w:val="22"/>
          <w:szCs w:val="22"/>
        </w:rPr>
        <w:t>The Mental Capacity Act 2005 emphasises that making an unwise decision does not mean a person lacks capacity (Section 1(4)). However, I see the need to improve my skills in assessing capacity, especially in borderline or fluctuating cases. I plan to pursue additional training in mental capacity assessments and relevant legal updates.</w:t>
      </w:r>
    </w:p>
    <w:p w14:paraId="38F6137F" w14:textId="16D8C05C" w:rsidR="009668E6" w:rsidRPr="009668E6" w:rsidRDefault="009668E6" w:rsidP="00200EE2">
      <w:pPr>
        <w:pStyle w:val="Heading1"/>
        <w:spacing w:line="360" w:lineRule="auto"/>
        <w:jc w:val="both"/>
        <w:rPr>
          <w:rFonts w:ascii="Arial" w:hAnsi="Arial" w:cs="Arial"/>
          <w:b/>
          <w:bCs/>
          <w:color w:val="auto"/>
          <w:sz w:val="22"/>
          <w:szCs w:val="22"/>
        </w:rPr>
      </w:pPr>
      <w:r w:rsidRPr="009668E6">
        <w:rPr>
          <w:rFonts w:ascii="Arial" w:hAnsi="Arial" w:cs="Arial"/>
          <w:b/>
          <w:bCs/>
          <w:color w:val="auto"/>
          <w:sz w:val="22"/>
          <w:szCs w:val="22"/>
        </w:rPr>
        <w:t xml:space="preserve">3.7 </w:t>
      </w:r>
      <w:r w:rsidRPr="009668E6">
        <w:rPr>
          <w:rFonts w:ascii="Arial" w:hAnsi="Arial" w:cs="Arial"/>
          <w:b/>
          <w:bCs/>
          <w:color w:val="auto"/>
          <w:sz w:val="22"/>
          <w:szCs w:val="22"/>
        </w:rPr>
        <w:t>Professional Development Plan</w:t>
      </w:r>
    </w:p>
    <w:p w14:paraId="5356B26C" w14:textId="77777777" w:rsidR="009668E6" w:rsidRPr="009668E6" w:rsidRDefault="009668E6" w:rsidP="00200EE2">
      <w:pPr>
        <w:spacing w:line="360" w:lineRule="auto"/>
        <w:jc w:val="both"/>
        <w:rPr>
          <w:rFonts w:ascii="Arial" w:hAnsi="Arial" w:cs="Arial"/>
          <w:sz w:val="22"/>
          <w:szCs w:val="22"/>
        </w:rPr>
      </w:pPr>
      <w:r w:rsidRPr="009668E6">
        <w:rPr>
          <w:rFonts w:ascii="Arial" w:hAnsi="Arial" w:cs="Arial"/>
          <w:sz w:val="22"/>
          <w:szCs w:val="22"/>
        </w:rPr>
        <w:t>To enhance my knowledge and skills related to these core principles, I have developed a structured professional development plan:</w:t>
      </w:r>
    </w:p>
    <w:p w14:paraId="4007B76B" w14:textId="7C6BCA05" w:rsidR="009668E6" w:rsidRPr="009668E6" w:rsidRDefault="009668E6" w:rsidP="00200EE2">
      <w:pPr>
        <w:pStyle w:val="Heading1"/>
        <w:spacing w:line="360" w:lineRule="auto"/>
        <w:jc w:val="both"/>
        <w:rPr>
          <w:rFonts w:ascii="Arial" w:hAnsi="Arial" w:cs="Arial"/>
          <w:b/>
          <w:bCs/>
          <w:sz w:val="22"/>
          <w:szCs w:val="22"/>
        </w:rPr>
      </w:pPr>
      <w:r>
        <w:t xml:space="preserve"> </w:t>
      </w:r>
      <w:r w:rsidRPr="009668E6">
        <w:rPr>
          <w:rFonts w:ascii="Arial" w:hAnsi="Arial" w:cs="Arial"/>
          <w:b/>
          <w:bCs/>
          <w:color w:val="auto"/>
          <w:sz w:val="22"/>
          <w:szCs w:val="22"/>
        </w:rPr>
        <w:t>Short-term actions (0-6 months)</w:t>
      </w:r>
    </w:p>
    <w:p w14:paraId="03146A14" w14:textId="2029409A" w:rsidR="009668E6" w:rsidRPr="00CD272A" w:rsidRDefault="009668E6" w:rsidP="00200EE2">
      <w:pPr>
        <w:pStyle w:val="ListParagraph"/>
        <w:numPr>
          <w:ilvl w:val="0"/>
          <w:numId w:val="1"/>
        </w:numPr>
        <w:spacing w:line="360" w:lineRule="auto"/>
        <w:jc w:val="both"/>
        <w:rPr>
          <w:rFonts w:ascii="Arial" w:hAnsi="Arial" w:cs="Arial"/>
          <w:sz w:val="22"/>
          <w:szCs w:val="22"/>
        </w:rPr>
      </w:pPr>
      <w:r w:rsidRPr="00CD272A">
        <w:rPr>
          <w:rFonts w:ascii="Arial" w:hAnsi="Arial" w:cs="Arial"/>
          <w:sz w:val="22"/>
          <w:szCs w:val="22"/>
        </w:rPr>
        <w:t>Complete advanced mental capacity assessment training</w:t>
      </w:r>
    </w:p>
    <w:p w14:paraId="41362B73" w14:textId="3F8AFAE4" w:rsidR="009668E6" w:rsidRPr="00CD272A" w:rsidRDefault="009668E6" w:rsidP="00200EE2">
      <w:pPr>
        <w:pStyle w:val="ListParagraph"/>
        <w:numPr>
          <w:ilvl w:val="0"/>
          <w:numId w:val="1"/>
        </w:numPr>
        <w:spacing w:line="360" w:lineRule="auto"/>
        <w:jc w:val="both"/>
        <w:rPr>
          <w:rFonts w:ascii="Arial" w:hAnsi="Arial" w:cs="Arial"/>
          <w:sz w:val="22"/>
          <w:szCs w:val="22"/>
        </w:rPr>
      </w:pPr>
      <w:r w:rsidRPr="00CD272A">
        <w:rPr>
          <w:rFonts w:ascii="Arial" w:hAnsi="Arial" w:cs="Arial"/>
          <w:sz w:val="22"/>
          <w:szCs w:val="22"/>
        </w:rPr>
        <w:t>Attend inter-professional education workshops to understand other professional roles</w:t>
      </w:r>
    </w:p>
    <w:p w14:paraId="562DBEBC" w14:textId="52C331AE" w:rsidR="009668E6" w:rsidRPr="00CD272A" w:rsidRDefault="009668E6" w:rsidP="00200EE2">
      <w:pPr>
        <w:pStyle w:val="ListParagraph"/>
        <w:numPr>
          <w:ilvl w:val="0"/>
          <w:numId w:val="1"/>
        </w:numPr>
        <w:spacing w:line="360" w:lineRule="auto"/>
        <w:jc w:val="both"/>
        <w:rPr>
          <w:rFonts w:ascii="Arial" w:hAnsi="Arial" w:cs="Arial"/>
          <w:sz w:val="22"/>
          <w:szCs w:val="22"/>
        </w:rPr>
      </w:pPr>
      <w:r w:rsidRPr="00CD272A">
        <w:rPr>
          <w:rFonts w:ascii="Arial" w:hAnsi="Arial" w:cs="Arial"/>
          <w:sz w:val="22"/>
          <w:szCs w:val="22"/>
        </w:rPr>
        <w:t>Request regular supervision specifically focused on ethical dilemmas in practice</w:t>
      </w:r>
    </w:p>
    <w:p w14:paraId="33FB089E" w14:textId="651CF2E7" w:rsidR="009668E6" w:rsidRPr="00CD272A" w:rsidRDefault="009668E6" w:rsidP="00200EE2">
      <w:pPr>
        <w:pStyle w:val="ListParagraph"/>
        <w:numPr>
          <w:ilvl w:val="0"/>
          <w:numId w:val="1"/>
        </w:numPr>
        <w:spacing w:line="360" w:lineRule="auto"/>
        <w:jc w:val="both"/>
        <w:rPr>
          <w:rFonts w:ascii="Arial" w:hAnsi="Arial" w:cs="Arial"/>
          <w:sz w:val="22"/>
          <w:szCs w:val="22"/>
        </w:rPr>
      </w:pPr>
      <w:r w:rsidRPr="00CD272A">
        <w:rPr>
          <w:rFonts w:ascii="Arial" w:hAnsi="Arial" w:cs="Arial"/>
          <w:sz w:val="22"/>
          <w:szCs w:val="22"/>
        </w:rPr>
        <w:t>Undertake critical incident reflection on at least two partnership working experiences using structured frameworks</w:t>
      </w:r>
    </w:p>
    <w:p w14:paraId="40865277" w14:textId="4E32132F" w:rsidR="009668E6" w:rsidRPr="009668E6" w:rsidRDefault="009668E6" w:rsidP="00200EE2">
      <w:pPr>
        <w:pStyle w:val="Heading1"/>
        <w:spacing w:line="360" w:lineRule="auto"/>
        <w:jc w:val="both"/>
        <w:rPr>
          <w:rFonts w:ascii="Arial" w:hAnsi="Arial" w:cs="Arial"/>
          <w:b/>
          <w:bCs/>
          <w:color w:val="auto"/>
          <w:sz w:val="22"/>
          <w:szCs w:val="22"/>
        </w:rPr>
      </w:pPr>
      <w:r w:rsidRPr="009668E6">
        <w:rPr>
          <w:rFonts w:ascii="Arial" w:hAnsi="Arial" w:cs="Arial"/>
          <w:b/>
          <w:bCs/>
          <w:color w:val="auto"/>
          <w:sz w:val="22"/>
          <w:szCs w:val="22"/>
        </w:rPr>
        <w:lastRenderedPageBreak/>
        <w:t>Medium-term actions (6-18 months)</w:t>
      </w:r>
    </w:p>
    <w:p w14:paraId="7C167A7D" w14:textId="4074DACE" w:rsidR="009668E6" w:rsidRPr="00CD272A" w:rsidRDefault="009668E6" w:rsidP="00200EE2">
      <w:pPr>
        <w:pStyle w:val="ListParagraph"/>
        <w:numPr>
          <w:ilvl w:val="0"/>
          <w:numId w:val="2"/>
        </w:numPr>
        <w:spacing w:line="360" w:lineRule="auto"/>
        <w:jc w:val="both"/>
        <w:rPr>
          <w:rFonts w:ascii="Arial" w:hAnsi="Arial" w:cs="Arial"/>
          <w:sz w:val="22"/>
          <w:szCs w:val="22"/>
        </w:rPr>
      </w:pPr>
      <w:r w:rsidRPr="00CD272A">
        <w:rPr>
          <w:rFonts w:ascii="Arial" w:hAnsi="Arial" w:cs="Arial"/>
          <w:sz w:val="22"/>
          <w:szCs w:val="22"/>
        </w:rPr>
        <w:t>Pursue specialist training in person-centred planning approaches for complex needs</w:t>
      </w:r>
    </w:p>
    <w:p w14:paraId="056616C2" w14:textId="7EECD64D" w:rsidR="009668E6" w:rsidRPr="00CD272A" w:rsidRDefault="009668E6" w:rsidP="00200EE2">
      <w:pPr>
        <w:pStyle w:val="ListParagraph"/>
        <w:numPr>
          <w:ilvl w:val="0"/>
          <w:numId w:val="2"/>
        </w:numPr>
        <w:spacing w:line="360" w:lineRule="auto"/>
        <w:jc w:val="both"/>
        <w:rPr>
          <w:rFonts w:ascii="Arial" w:hAnsi="Arial" w:cs="Arial"/>
          <w:sz w:val="22"/>
          <w:szCs w:val="22"/>
        </w:rPr>
      </w:pPr>
      <w:r w:rsidRPr="00CD272A">
        <w:rPr>
          <w:rFonts w:ascii="Arial" w:hAnsi="Arial" w:cs="Arial"/>
          <w:sz w:val="22"/>
          <w:szCs w:val="22"/>
        </w:rPr>
        <w:t>Shadow colleagues from at least two other professional disciplines</w:t>
      </w:r>
    </w:p>
    <w:p w14:paraId="3883C201" w14:textId="408EB8FF" w:rsidR="009668E6" w:rsidRPr="00CD272A" w:rsidRDefault="009668E6" w:rsidP="00200EE2">
      <w:pPr>
        <w:pStyle w:val="ListParagraph"/>
        <w:numPr>
          <w:ilvl w:val="0"/>
          <w:numId w:val="2"/>
        </w:numPr>
        <w:spacing w:line="360" w:lineRule="auto"/>
        <w:jc w:val="both"/>
        <w:rPr>
          <w:rFonts w:ascii="Arial" w:hAnsi="Arial" w:cs="Arial"/>
          <w:sz w:val="22"/>
          <w:szCs w:val="22"/>
        </w:rPr>
      </w:pPr>
      <w:r w:rsidRPr="00CD272A">
        <w:rPr>
          <w:rFonts w:ascii="Arial" w:hAnsi="Arial" w:cs="Arial"/>
          <w:sz w:val="22"/>
          <w:szCs w:val="22"/>
        </w:rPr>
        <w:t>Participate in a quality improvement project focused on person-centred care outcomes</w:t>
      </w:r>
    </w:p>
    <w:p w14:paraId="31B67CAD" w14:textId="6922E8C5" w:rsidR="009668E6" w:rsidRPr="00CD272A" w:rsidRDefault="009668E6" w:rsidP="00200EE2">
      <w:pPr>
        <w:pStyle w:val="ListParagraph"/>
        <w:numPr>
          <w:ilvl w:val="0"/>
          <w:numId w:val="2"/>
        </w:numPr>
        <w:spacing w:line="360" w:lineRule="auto"/>
        <w:jc w:val="both"/>
        <w:rPr>
          <w:rFonts w:ascii="Arial" w:hAnsi="Arial" w:cs="Arial"/>
          <w:sz w:val="22"/>
          <w:szCs w:val="22"/>
        </w:rPr>
      </w:pPr>
      <w:r w:rsidRPr="00CD272A">
        <w:rPr>
          <w:rFonts w:ascii="Arial" w:hAnsi="Arial" w:cs="Arial"/>
          <w:sz w:val="22"/>
          <w:szCs w:val="22"/>
        </w:rPr>
        <w:t>Develop a portfolio of reflective practice demonstrating progression in applying these principles</w:t>
      </w:r>
    </w:p>
    <w:p w14:paraId="40D9CA4C" w14:textId="4ACC5595" w:rsidR="009668E6" w:rsidRPr="004C50DC" w:rsidRDefault="009668E6" w:rsidP="00200EE2">
      <w:pPr>
        <w:pStyle w:val="Heading1"/>
        <w:spacing w:line="360" w:lineRule="auto"/>
        <w:jc w:val="both"/>
        <w:rPr>
          <w:rFonts w:ascii="Arial" w:hAnsi="Arial" w:cs="Arial"/>
          <w:b/>
          <w:bCs/>
          <w:color w:val="auto"/>
          <w:sz w:val="22"/>
          <w:szCs w:val="22"/>
        </w:rPr>
      </w:pPr>
      <w:r w:rsidRPr="004C50DC">
        <w:rPr>
          <w:rFonts w:ascii="Arial" w:hAnsi="Arial" w:cs="Arial"/>
          <w:b/>
          <w:bCs/>
          <w:color w:val="auto"/>
          <w:sz w:val="22"/>
          <w:szCs w:val="22"/>
        </w:rPr>
        <w:t>Long-term actions (18+ months)</w:t>
      </w:r>
    </w:p>
    <w:p w14:paraId="7E328A17" w14:textId="33472D86" w:rsidR="009668E6" w:rsidRPr="00CD272A" w:rsidRDefault="009668E6" w:rsidP="00200EE2">
      <w:pPr>
        <w:pStyle w:val="ListParagraph"/>
        <w:numPr>
          <w:ilvl w:val="0"/>
          <w:numId w:val="3"/>
        </w:numPr>
        <w:spacing w:line="360" w:lineRule="auto"/>
        <w:jc w:val="both"/>
        <w:rPr>
          <w:rFonts w:ascii="Arial" w:hAnsi="Arial" w:cs="Arial"/>
          <w:sz w:val="22"/>
          <w:szCs w:val="22"/>
        </w:rPr>
      </w:pPr>
      <w:r w:rsidRPr="00CD272A">
        <w:rPr>
          <w:rFonts w:ascii="Arial" w:hAnsi="Arial" w:cs="Arial"/>
          <w:sz w:val="22"/>
          <w:szCs w:val="22"/>
        </w:rPr>
        <w:t>Pursue formal qualifications in leadership for collaborative practice</w:t>
      </w:r>
    </w:p>
    <w:p w14:paraId="73E8954E" w14:textId="39FF9C94" w:rsidR="009668E6" w:rsidRPr="00CD272A" w:rsidRDefault="009668E6" w:rsidP="00200EE2">
      <w:pPr>
        <w:pStyle w:val="ListParagraph"/>
        <w:numPr>
          <w:ilvl w:val="0"/>
          <w:numId w:val="3"/>
        </w:numPr>
        <w:spacing w:line="360" w:lineRule="auto"/>
        <w:jc w:val="both"/>
        <w:rPr>
          <w:rFonts w:ascii="Arial" w:hAnsi="Arial" w:cs="Arial"/>
          <w:sz w:val="22"/>
          <w:szCs w:val="22"/>
        </w:rPr>
      </w:pPr>
      <w:r w:rsidRPr="00CD272A">
        <w:rPr>
          <w:rFonts w:ascii="Arial" w:hAnsi="Arial" w:cs="Arial"/>
          <w:sz w:val="22"/>
          <w:szCs w:val="22"/>
        </w:rPr>
        <w:t>Engage in action research examining barriers to partnership working in my setting</w:t>
      </w:r>
    </w:p>
    <w:p w14:paraId="3CB4C267" w14:textId="4B74ED9F" w:rsidR="009668E6" w:rsidRPr="00CD272A" w:rsidRDefault="009668E6" w:rsidP="00200EE2">
      <w:pPr>
        <w:pStyle w:val="ListParagraph"/>
        <w:numPr>
          <w:ilvl w:val="0"/>
          <w:numId w:val="3"/>
        </w:numPr>
        <w:spacing w:line="360" w:lineRule="auto"/>
        <w:jc w:val="both"/>
        <w:rPr>
          <w:rFonts w:ascii="Arial" w:hAnsi="Arial" w:cs="Arial"/>
          <w:sz w:val="22"/>
          <w:szCs w:val="22"/>
        </w:rPr>
      </w:pPr>
      <w:r w:rsidRPr="00CD272A">
        <w:rPr>
          <w:rFonts w:ascii="Arial" w:hAnsi="Arial" w:cs="Arial"/>
          <w:sz w:val="22"/>
          <w:szCs w:val="22"/>
        </w:rPr>
        <w:t>Mentor junior staff in person-centred and ethical practice</w:t>
      </w:r>
    </w:p>
    <w:p w14:paraId="7D92C700" w14:textId="4E984BDB" w:rsidR="009668E6" w:rsidRPr="00CD272A" w:rsidRDefault="009668E6" w:rsidP="00200EE2">
      <w:pPr>
        <w:pStyle w:val="ListParagraph"/>
        <w:numPr>
          <w:ilvl w:val="0"/>
          <w:numId w:val="3"/>
        </w:numPr>
        <w:spacing w:line="360" w:lineRule="auto"/>
        <w:jc w:val="both"/>
        <w:rPr>
          <w:rFonts w:ascii="Arial" w:hAnsi="Arial" w:cs="Arial"/>
          <w:sz w:val="22"/>
          <w:szCs w:val="22"/>
        </w:rPr>
      </w:pPr>
      <w:r w:rsidRPr="00CD272A">
        <w:rPr>
          <w:rFonts w:ascii="Arial" w:hAnsi="Arial" w:cs="Arial"/>
          <w:sz w:val="22"/>
          <w:szCs w:val="22"/>
        </w:rPr>
        <w:t>Contribute to policy development within my organisation related to these principles</w:t>
      </w:r>
    </w:p>
    <w:p w14:paraId="02E94630" w14:textId="4680E349" w:rsidR="009668E6" w:rsidRPr="00C22DF2" w:rsidRDefault="00C22DF2" w:rsidP="00200EE2">
      <w:pPr>
        <w:pStyle w:val="Heading1"/>
        <w:spacing w:line="360" w:lineRule="auto"/>
        <w:jc w:val="both"/>
        <w:rPr>
          <w:rFonts w:ascii="Arial" w:hAnsi="Arial" w:cs="Arial"/>
          <w:b/>
          <w:bCs/>
          <w:color w:val="auto"/>
          <w:sz w:val="22"/>
          <w:szCs w:val="22"/>
        </w:rPr>
      </w:pPr>
      <w:r>
        <w:rPr>
          <w:rFonts w:ascii="Arial" w:hAnsi="Arial" w:cs="Arial"/>
          <w:b/>
          <w:bCs/>
          <w:color w:val="auto"/>
          <w:sz w:val="22"/>
          <w:szCs w:val="22"/>
        </w:rPr>
        <w:t xml:space="preserve">3.8 </w:t>
      </w:r>
      <w:r w:rsidR="009668E6" w:rsidRPr="00C22DF2">
        <w:rPr>
          <w:rFonts w:ascii="Arial" w:hAnsi="Arial" w:cs="Arial"/>
          <w:b/>
          <w:bCs/>
          <w:color w:val="auto"/>
          <w:sz w:val="22"/>
          <w:szCs w:val="22"/>
        </w:rPr>
        <w:t>Commitment to Continuous Learning</w:t>
      </w:r>
    </w:p>
    <w:p w14:paraId="4A36443A" w14:textId="612FE35F" w:rsidR="009668E6" w:rsidRPr="009668E6" w:rsidRDefault="008A0455" w:rsidP="00200EE2">
      <w:pPr>
        <w:spacing w:line="360" w:lineRule="auto"/>
        <w:jc w:val="both"/>
        <w:rPr>
          <w:rFonts w:ascii="Arial" w:hAnsi="Arial" w:cs="Arial"/>
          <w:sz w:val="22"/>
          <w:szCs w:val="22"/>
        </w:rPr>
      </w:pPr>
      <w:r>
        <w:rPr>
          <w:rFonts w:ascii="Arial" w:hAnsi="Arial" w:cs="Arial"/>
          <w:sz w:val="22"/>
          <w:szCs w:val="22"/>
        </w:rPr>
        <w:t>The NMC (2018) Code mandates nurses to "keep their professional knowledge and skills up to date," while the Care Certificate Standards (Skills for Care, 2015) highlight the importance of ongoing learning for quality care. My commitment to continuous learning acknowledges that health and social care practices are influenced by evolving policies and research. Recent changes, like the Liberty Protection Safeguards and the development of integrated care systems under the Health and Care Act 2022, illustrate the need for ongoing professional development.</w:t>
      </w:r>
    </w:p>
    <w:p w14:paraId="1EE44608" w14:textId="590A93B1" w:rsidR="009668E6" w:rsidRPr="009668E6" w:rsidRDefault="008A0455" w:rsidP="00200EE2">
      <w:pPr>
        <w:spacing w:line="360" w:lineRule="auto"/>
        <w:jc w:val="both"/>
        <w:rPr>
          <w:rFonts w:ascii="Arial" w:hAnsi="Arial" w:cs="Arial"/>
          <w:sz w:val="22"/>
          <w:szCs w:val="22"/>
        </w:rPr>
      </w:pPr>
      <w:r>
        <w:rPr>
          <w:rFonts w:ascii="Arial" w:hAnsi="Arial" w:cs="Arial"/>
          <w:sz w:val="22"/>
          <w:szCs w:val="22"/>
        </w:rPr>
        <w:t>I recognise that personal biases and blind spots can compromise person-centred practice. Regular supervision, peer learning, and critical reflection help me address these limitations. Schön's (1983) concept of the 'reflective practitioner' emphasises that professional expertise stems from ongoing reflection, aligning with my values and guiding my development.</w:t>
      </w:r>
    </w:p>
    <w:p w14:paraId="365F6D09" w14:textId="77777777" w:rsidR="009668E6" w:rsidRPr="009668E6" w:rsidRDefault="009668E6" w:rsidP="00200EE2">
      <w:pPr>
        <w:spacing w:line="360" w:lineRule="auto"/>
        <w:jc w:val="both"/>
        <w:rPr>
          <w:rFonts w:ascii="Arial" w:hAnsi="Arial" w:cs="Arial"/>
          <w:sz w:val="22"/>
          <w:szCs w:val="22"/>
        </w:rPr>
      </w:pPr>
    </w:p>
    <w:p w14:paraId="05E6BABB" w14:textId="77777777" w:rsidR="009668E6" w:rsidRPr="009668E6" w:rsidRDefault="009668E6" w:rsidP="00200EE2">
      <w:pPr>
        <w:spacing w:line="360" w:lineRule="auto"/>
        <w:jc w:val="both"/>
        <w:rPr>
          <w:rFonts w:ascii="Arial" w:hAnsi="Arial" w:cs="Arial"/>
          <w:sz w:val="22"/>
          <w:szCs w:val="22"/>
        </w:rPr>
      </w:pPr>
    </w:p>
    <w:p w14:paraId="7F963DD8" w14:textId="77777777" w:rsidR="009668E6" w:rsidRPr="009668E6" w:rsidRDefault="009668E6" w:rsidP="00200EE2">
      <w:pPr>
        <w:spacing w:line="360" w:lineRule="auto"/>
        <w:jc w:val="both"/>
        <w:rPr>
          <w:rFonts w:ascii="Arial" w:hAnsi="Arial" w:cs="Arial"/>
          <w:sz w:val="22"/>
          <w:szCs w:val="22"/>
        </w:rPr>
      </w:pPr>
    </w:p>
    <w:p w14:paraId="41CF8439" w14:textId="77777777" w:rsidR="009668E6" w:rsidRPr="009668E6" w:rsidRDefault="009668E6" w:rsidP="00200EE2">
      <w:pPr>
        <w:spacing w:line="360" w:lineRule="auto"/>
        <w:jc w:val="both"/>
        <w:rPr>
          <w:rFonts w:ascii="Arial" w:hAnsi="Arial" w:cs="Arial"/>
          <w:sz w:val="22"/>
          <w:szCs w:val="22"/>
        </w:rPr>
      </w:pPr>
    </w:p>
    <w:p w14:paraId="5110692E" w14:textId="77777777" w:rsidR="009668E6" w:rsidRPr="009668E6" w:rsidRDefault="009668E6" w:rsidP="00200EE2">
      <w:pPr>
        <w:spacing w:line="360" w:lineRule="auto"/>
        <w:jc w:val="both"/>
        <w:rPr>
          <w:rFonts w:ascii="Arial" w:hAnsi="Arial" w:cs="Arial"/>
          <w:sz w:val="22"/>
          <w:szCs w:val="22"/>
        </w:rPr>
      </w:pPr>
    </w:p>
    <w:p w14:paraId="7D9FE7D1" w14:textId="77777777" w:rsidR="009668E6" w:rsidRPr="009668E6" w:rsidRDefault="009668E6" w:rsidP="00200EE2">
      <w:pPr>
        <w:spacing w:line="360" w:lineRule="auto"/>
        <w:jc w:val="both"/>
        <w:rPr>
          <w:rFonts w:ascii="Arial" w:hAnsi="Arial" w:cs="Arial"/>
          <w:sz w:val="22"/>
          <w:szCs w:val="22"/>
        </w:rPr>
      </w:pPr>
    </w:p>
    <w:p w14:paraId="4DB263CD" w14:textId="77777777" w:rsidR="00E77F10" w:rsidRDefault="00E77F10" w:rsidP="00200EE2">
      <w:pPr>
        <w:spacing w:line="360" w:lineRule="auto"/>
        <w:jc w:val="both"/>
        <w:rPr>
          <w:rFonts w:ascii="Arial" w:hAnsi="Arial" w:cs="Arial"/>
          <w:sz w:val="22"/>
          <w:szCs w:val="22"/>
        </w:rPr>
      </w:pPr>
    </w:p>
    <w:p w14:paraId="5F1FC164" w14:textId="5AFC3971" w:rsidR="009668E6" w:rsidRPr="00E77F10" w:rsidRDefault="00E77F10" w:rsidP="00200EE2">
      <w:pPr>
        <w:pStyle w:val="Heading1"/>
        <w:spacing w:line="360" w:lineRule="auto"/>
        <w:jc w:val="both"/>
        <w:rPr>
          <w:rFonts w:ascii="Arial" w:hAnsi="Arial" w:cs="Arial"/>
          <w:b/>
          <w:bCs/>
          <w:color w:val="auto"/>
          <w:sz w:val="22"/>
          <w:szCs w:val="22"/>
        </w:rPr>
      </w:pPr>
      <w:r w:rsidRPr="00E77F10">
        <w:rPr>
          <w:rFonts w:ascii="Arial" w:hAnsi="Arial" w:cs="Arial"/>
          <w:b/>
          <w:bCs/>
          <w:color w:val="auto"/>
          <w:sz w:val="22"/>
          <w:szCs w:val="22"/>
        </w:rPr>
        <w:lastRenderedPageBreak/>
        <w:t xml:space="preserve">4. </w:t>
      </w:r>
      <w:r w:rsidR="009668E6" w:rsidRPr="00E77F10">
        <w:rPr>
          <w:rFonts w:ascii="Arial" w:hAnsi="Arial" w:cs="Arial"/>
          <w:b/>
          <w:bCs/>
          <w:color w:val="auto"/>
          <w:sz w:val="22"/>
          <w:szCs w:val="22"/>
        </w:rPr>
        <w:t>Conclusion</w:t>
      </w:r>
    </w:p>
    <w:p w14:paraId="3A10243D" w14:textId="4E334147" w:rsidR="00E322DD" w:rsidRDefault="00E322DD" w:rsidP="00200EE2">
      <w:pPr>
        <w:spacing w:line="360" w:lineRule="auto"/>
        <w:jc w:val="both"/>
        <w:rPr>
          <w:rFonts w:ascii="Arial" w:hAnsi="Arial" w:cs="Arial"/>
          <w:sz w:val="22"/>
          <w:szCs w:val="22"/>
        </w:rPr>
      </w:pPr>
      <w:r>
        <w:rPr>
          <w:rFonts w:ascii="Arial" w:hAnsi="Arial" w:cs="Arial"/>
          <w:sz w:val="22"/>
          <w:szCs w:val="22"/>
        </w:rPr>
        <w:t>Person-centred care, partnership working, and ethics are crucial frameworks that enhance health and social care delivery. This report examines their foundations, applications, and significance to my professional growth. Engaging with relevant legislation and research, I demonstrate how these principles collectively support positive outcomes for service users.</w:t>
      </w:r>
    </w:p>
    <w:p w14:paraId="1631E072" w14:textId="1E8E1851" w:rsidR="00E322DD" w:rsidRDefault="00E322DD" w:rsidP="00200EE2">
      <w:pPr>
        <w:spacing w:line="360" w:lineRule="auto"/>
        <w:jc w:val="both"/>
        <w:rPr>
          <w:rFonts w:ascii="Arial" w:hAnsi="Arial" w:cs="Arial"/>
          <w:sz w:val="22"/>
          <w:szCs w:val="22"/>
        </w:rPr>
      </w:pPr>
      <w:r>
        <w:rPr>
          <w:rFonts w:ascii="Arial" w:hAnsi="Arial" w:cs="Arial"/>
          <w:sz w:val="22"/>
          <w:szCs w:val="22"/>
        </w:rPr>
        <w:t xml:space="preserve">The case of Mrs </w:t>
      </w:r>
      <w:r w:rsidR="00FE430D">
        <w:rPr>
          <w:rFonts w:ascii="Arial" w:hAnsi="Arial" w:cs="Arial"/>
          <w:sz w:val="22"/>
          <w:szCs w:val="22"/>
        </w:rPr>
        <w:t>J</w:t>
      </w:r>
      <w:r>
        <w:rPr>
          <w:rFonts w:ascii="Arial" w:hAnsi="Arial" w:cs="Arial"/>
          <w:sz w:val="22"/>
          <w:szCs w:val="22"/>
        </w:rPr>
        <w:t xml:space="preserve"> illustrates that integrating these principles leads to better results than fragmented approaches, highlighting the necessity for organisations to prioritise service user autonomy and dignity.</w:t>
      </w:r>
    </w:p>
    <w:p w14:paraId="189568DA" w14:textId="5B1682A4" w:rsidR="00E322DD" w:rsidRDefault="00E322DD" w:rsidP="00200EE2">
      <w:pPr>
        <w:spacing w:line="360" w:lineRule="auto"/>
        <w:jc w:val="both"/>
        <w:rPr>
          <w:rFonts w:ascii="Arial" w:hAnsi="Arial" w:cs="Arial"/>
          <w:sz w:val="22"/>
          <w:szCs w:val="22"/>
        </w:rPr>
      </w:pPr>
      <w:r>
        <w:rPr>
          <w:rFonts w:ascii="Arial" w:hAnsi="Arial" w:cs="Arial"/>
          <w:sz w:val="22"/>
          <w:szCs w:val="22"/>
        </w:rPr>
        <w:t>My reflection identifies strengths and areas for improvement in my practice. While I am committed to these principles, I recognise the need to enhance my professional assertiveness and ethical decision-making. My development plan outlines a path for ongoing improvement aligned with professional standards.</w:t>
      </w:r>
    </w:p>
    <w:p w14:paraId="7C91B115" w14:textId="1742FF30" w:rsidR="009668E6" w:rsidRDefault="00E322DD" w:rsidP="00200EE2">
      <w:pPr>
        <w:spacing w:line="360" w:lineRule="auto"/>
        <w:jc w:val="both"/>
        <w:rPr>
          <w:rFonts w:ascii="Arial" w:hAnsi="Arial" w:cs="Arial"/>
          <w:sz w:val="22"/>
          <w:szCs w:val="22"/>
        </w:rPr>
      </w:pPr>
      <w:r>
        <w:rPr>
          <w:rFonts w:ascii="Arial" w:hAnsi="Arial" w:cs="Arial"/>
          <w:sz w:val="22"/>
          <w:szCs w:val="22"/>
        </w:rPr>
        <w:t>As I progress in my career, I intend to reinforce my dedication to these principles, advocate for their importance in organisations, and contribute to professional knowledge through reflection. Despite sector challenges, prioritising person-centred, collaborative, and ethical practices is vital for ensuring the well-being and dignity of the individuals and communities we serve.</w:t>
      </w:r>
    </w:p>
    <w:p w14:paraId="1A4E389E" w14:textId="77777777" w:rsidR="006B22AA" w:rsidRDefault="006B22AA" w:rsidP="00200EE2">
      <w:pPr>
        <w:spacing w:line="360" w:lineRule="auto"/>
        <w:jc w:val="both"/>
        <w:rPr>
          <w:rFonts w:ascii="Arial" w:hAnsi="Arial" w:cs="Arial"/>
          <w:sz w:val="22"/>
          <w:szCs w:val="22"/>
        </w:rPr>
      </w:pPr>
    </w:p>
    <w:p w14:paraId="102D0F99" w14:textId="77777777" w:rsidR="006B22AA" w:rsidRDefault="006B22AA" w:rsidP="00200EE2">
      <w:pPr>
        <w:spacing w:line="360" w:lineRule="auto"/>
        <w:jc w:val="both"/>
        <w:rPr>
          <w:rFonts w:ascii="Arial" w:hAnsi="Arial" w:cs="Arial"/>
          <w:sz w:val="22"/>
          <w:szCs w:val="22"/>
        </w:rPr>
      </w:pPr>
    </w:p>
    <w:p w14:paraId="68BF1C1A" w14:textId="77777777" w:rsidR="006B22AA" w:rsidRDefault="006B22AA" w:rsidP="00200EE2">
      <w:pPr>
        <w:spacing w:line="360" w:lineRule="auto"/>
        <w:jc w:val="both"/>
        <w:rPr>
          <w:rFonts w:ascii="Arial" w:hAnsi="Arial" w:cs="Arial"/>
          <w:sz w:val="22"/>
          <w:szCs w:val="22"/>
        </w:rPr>
      </w:pPr>
    </w:p>
    <w:p w14:paraId="2AC96CF2" w14:textId="77777777" w:rsidR="006B22AA" w:rsidRDefault="006B22AA" w:rsidP="00200EE2">
      <w:pPr>
        <w:spacing w:line="360" w:lineRule="auto"/>
        <w:jc w:val="both"/>
        <w:rPr>
          <w:rFonts w:ascii="Arial" w:hAnsi="Arial" w:cs="Arial"/>
          <w:sz w:val="22"/>
          <w:szCs w:val="22"/>
        </w:rPr>
      </w:pPr>
    </w:p>
    <w:p w14:paraId="518652FC" w14:textId="77777777" w:rsidR="009158E1" w:rsidRDefault="009158E1" w:rsidP="00200EE2">
      <w:pPr>
        <w:spacing w:line="360" w:lineRule="auto"/>
        <w:jc w:val="both"/>
        <w:rPr>
          <w:rFonts w:ascii="Arial" w:hAnsi="Arial" w:cs="Arial"/>
          <w:sz w:val="22"/>
          <w:szCs w:val="22"/>
        </w:rPr>
      </w:pPr>
    </w:p>
    <w:p w14:paraId="5EBB255F" w14:textId="77777777" w:rsidR="009158E1" w:rsidRDefault="009158E1" w:rsidP="00200EE2">
      <w:pPr>
        <w:spacing w:line="360" w:lineRule="auto"/>
        <w:jc w:val="both"/>
        <w:rPr>
          <w:rFonts w:ascii="Arial" w:hAnsi="Arial" w:cs="Arial"/>
          <w:sz w:val="22"/>
          <w:szCs w:val="22"/>
        </w:rPr>
      </w:pPr>
    </w:p>
    <w:p w14:paraId="21B53F81" w14:textId="77777777" w:rsidR="009158E1" w:rsidRDefault="009158E1" w:rsidP="00200EE2">
      <w:pPr>
        <w:spacing w:line="360" w:lineRule="auto"/>
        <w:jc w:val="both"/>
        <w:rPr>
          <w:rFonts w:ascii="Arial" w:hAnsi="Arial" w:cs="Arial"/>
          <w:sz w:val="22"/>
          <w:szCs w:val="22"/>
        </w:rPr>
      </w:pPr>
    </w:p>
    <w:p w14:paraId="01A3D8EA" w14:textId="77777777" w:rsidR="009158E1" w:rsidRDefault="009158E1" w:rsidP="00200EE2">
      <w:pPr>
        <w:spacing w:line="360" w:lineRule="auto"/>
        <w:jc w:val="both"/>
        <w:rPr>
          <w:rFonts w:ascii="Arial" w:hAnsi="Arial" w:cs="Arial"/>
          <w:sz w:val="22"/>
          <w:szCs w:val="22"/>
        </w:rPr>
      </w:pPr>
    </w:p>
    <w:p w14:paraId="7C40A09C" w14:textId="77777777" w:rsidR="009158E1" w:rsidRDefault="009158E1" w:rsidP="00200EE2">
      <w:pPr>
        <w:spacing w:line="360" w:lineRule="auto"/>
        <w:jc w:val="both"/>
        <w:rPr>
          <w:rFonts w:ascii="Arial" w:hAnsi="Arial" w:cs="Arial"/>
          <w:sz w:val="22"/>
          <w:szCs w:val="22"/>
        </w:rPr>
      </w:pPr>
    </w:p>
    <w:p w14:paraId="03F134AB" w14:textId="77777777" w:rsidR="009158E1" w:rsidRDefault="009158E1" w:rsidP="00200EE2">
      <w:pPr>
        <w:spacing w:line="360" w:lineRule="auto"/>
        <w:jc w:val="both"/>
        <w:rPr>
          <w:rFonts w:ascii="Arial" w:hAnsi="Arial" w:cs="Arial"/>
          <w:sz w:val="22"/>
          <w:szCs w:val="22"/>
        </w:rPr>
      </w:pPr>
    </w:p>
    <w:p w14:paraId="205E57CD" w14:textId="77777777" w:rsidR="009158E1" w:rsidRDefault="009158E1" w:rsidP="00200EE2">
      <w:pPr>
        <w:spacing w:line="360" w:lineRule="auto"/>
        <w:jc w:val="both"/>
        <w:rPr>
          <w:rFonts w:ascii="Arial" w:hAnsi="Arial" w:cs="Arial"/>
          <w:sz w:val="22"/>
          <w:szCs w:val="22"/>
        </w:rPr>
      </w:pPr>
    </w:p>
    <w:p w14:paraId="73FC127F" w14:textId="77777777" w:rsidR="006B22AA" w:rsidRPr="006B22AA" w:rsidRDefault="006B22AA" w:rsidP="00200EE2">
      <w:pPr>
        <w:pStyle w:val="Heading1"/>
        <w:spacing w:line="360" w:lineRule="auto"/>
        <w:jc w:val="both"/>
        <w:rPr>
          <w:rFonts w:ascii="Arial" w:hAnsi="Arial" w:cs="Arial"/>
          <w:b/>
          <w:bCs/>
          <w:color w:val="auto"/>
          <w:sz w:val="22"/>
          <w:szCs w:val="22"/>
        </w:rPr>
      </w:pPr>
      <w:r w:rsidRPr="006B22AA">
        <w:rPr>
          <w:rFonts w:ascii="Arial" w:hAnsi="Arial" w:cs="Arial"/>
          <w:b/>
          <w:bCs/>
          <w:color w:val="auto"/>
          <w:sz w:val="22"/>
          <w:szCs w:val="22"/>
        </w:rPr>
        <w:lastRenderedPageBreak/>
        <w:t>References</w:t>
      </w:r>
    </w:p>
    <w:p w14:paraId="285E77D1" w14:textId="77777777"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Banerjee, S. (2010) 'Living well with dementia – development of the national dementia strategy for England', International Journal of Geriatric Psychiatry, 25(9), pp. 917-922.</w:t>
      </w:r>
    </w:p>
    <w:p w14:paraId="4B275322" w14:textId="77777777"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Baxter, S. and Brumfitt, S. (2008) 'Benefits and losses: A qualitative study exploring healthcare staff perceptions of teamworking', Quality in Primary Care, 16(4), pp. 229-236.</w:t>
      </w:r>
    </w:p>
    <w:p w14:paraId="3EAD20C2" w14:textId="54097A7A"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Beauchamp, T.L. and Childress, J.F. (2019)</w:t>
      </w:r>
      <w:r>
        <w:rPr>
          <w:rFonts w:ascii="Arial" w:hAnsi="Arial" w:cs="Arial"/>
          <w:sz w:val="22"/>
          <w:szCs w:val="22"/>
        </w:rPr>
        <w:t>.</w:t>
      </w:r>
      <w:r w:rsidRPr="006B22AA">
        <w:rPr>
          <w:rFonts w:ascii="Arial" w:hAnsi="Arial" w:cs="Arial"/>
          <w:sz w:val="22"/>
          <w:szCs w:val="22"/>
        </w:rPr>
        <w:t xml:space="preserve"> Principles of biomedical ethics. 8th </w:t>
      </w:r>
      <w:proofErr w:type="spellStart"/>
      <w:r w:rsidRPr="006B22AA">
        <w:rPr>
          <w:rFonts w:ascii="Arial" w:hAnsi="Arial" w:cs="Arial"/>
          <w:sz w:val="22"/>
          <w:szCs w:val="22"/>
        </w:rPr>
        <w:t>edn</w:t>
      </w:r>
      <w:proofErr w:type="spellEnd"/>
      <w:r w:rsidRPr="006B22AA">
        <w:rPr>
          <w:rFonts w:ascii="Arial" w:hAnsi="Arial" w:cs="Arial"/>
          <w:sz w:val="22"/>
          <w:szCs w:val="22"/>
        </w:rPr>
        <w:t>. New York: Oxford University Press.</w:t>
      </w:r>
    </w:p>
    <w:p w14:paraId="12CE916A" w14:textId="77777777"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 xml:space="preserve">Beresford, P. (2013) 'From 'other' </w:t>
      </w:r>
      <w:proofErr w:type="spellStart"/>
      <w:r w:rsidRPr="006B22AA">
        <w:rPr>
          <w:rFonts w:ascii="Arial" w:hAnsi="Arial" w:cs="Arial"/>
          <w:sz w:val="22"/>
          <w:szCs w:val="22"/>
        </w:rPr>
        <w:t>to</w:t>
      </w:r>
      <w:proofErr w:type="spellEnd"/>
      <w:r w:rsidRPr="006B22AA">
        <w:rPr>
          <w:rFonts w:ascii="Arial" w:hAnsi="Arial" w:cs="Arial"/>
          <w:sz w:val="22"/>
          <w:szCs w:val="22"/>
        </w:rPr>
        <w:t xml:space="preserve"> involved: User involvement in research - an emerging paradigm', Nordic Social Work Research, 3(2), pp. 139-148.</w:t>
      </w:r>
    </w:p>
    <w:p w14:paraId="19AD484E" w14:textId="77777777"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Cameron, A., Lart, R., Bostock, L. and Coomber, C. (2014) 'Factors that promote and hinder joint and integrated working between health and social care services: A review of research literature', Health &amp; Social Care in the Community, 22(3), pp. 225-233.</w:t>
      </w:r>
    </w:p>
    <w:p w14:paraId="27BBA60A" w14:textId="77777777" w:rsidR="006B22AA" w:rsidRPr="006B22AA" w:rsidRDefault="006B22AA" w:rsidP="00200EE2">
      <w:pPr>
        <w:spacing w:line="360" w:lineRule="auto"/>
        <w:jc w:val="both"/>
        <w:rPr>
          <w:rFonts w:ascii="Arial" w:hAnsi="Arial" w:cs="Arial"/>
          <w:sz w:val="22"/>
          <w:szCs w:val="22"/>
        </w:rPr>
      </w:pPr>
      <w:proofErr w:type="spellStart"/>
      <w:r w:rsidRPr="006B22AA">
        <w:rPr>
          <w:rFonts w:ascii="Arial" w:hAnsi="Arial" w:cs="Arial"/>
          <w:sz w:val="22"/>
          <w:szCs w:val="22"/>
        </w:rPr>
        <w:t>D'Amour</w:t>
      </w:r>
      <w:proofErr w:type="spellEnd"/>
      <w:r w:rsidRPr="006B22AA">
        <w:rPr>
          <w:rFonts w:ascii="Arial" w:hAnsi="Arial" w:cs="Arial"/>
          <w:sz w:val="22"/>
          <w:szCs w:val="22"/>
        </w:rPr>
        <w:t>, D., Ferrada-Videla, M., San Martin Rodriguez, L. and Beaulieu, M.D. (2005) 'The conceptual basis for interprofessional collaboration: Core concepts and theoretical frameworks', Journal of Interprofessional Care, 19(sup1), pp. 116-131.</w:t>
      </w:r>
    </w:p>
    <w:p w14:paraId="64DD8EF8" w14:textId="77777777"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Department of Health (2012) Health and Social Care Act 2012. London: The Stationery Office.</w:t>
      </w:r>
    </w:p>
    <w:p w14:paraId="22C2A8EC" w14:textId="77777777"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Department of Health (2014) Care Act 2014. London: The Stationery Office.</w:t>
      </w:r>
    </w:p>
    <w:p w14:paraId="20D71DA2" w14:textId="40D488DA"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Department of Health and Social Care (2022)</w:t>
      </w:r>
      <w:r w:rsidR="00817D96">
        <w:rPr>
          <w:rFonts w:ascii="Arial" w:hAnsi="Arial" w:cs="Arial"/>
          <w:sz w:val="22"/>
          <w:szCs w:val="22"/>
        </w:rPr>
        <w:t>.</w:t>
      </w:r>
      <w:r w:rsidRPr="006B22AA">
        <w:rPr>
          <w:rFonts w:ascii="Arial" w:hAnsi="Arial" w:cs="Arial"/>
          <w:sz w:val="22"/>
          <w:szCs w:val="22"/>
        </w:rPr>
        <w:t xml:space="preserve"> Health and Care Act 2022. London: The Stationery Office.</w:t>
      </w:r>
    </w:p>
    <w:p w14:paraId="779896A8" w14:textId="559DB852"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Gibbs, G. (1988)</w:t>
      </w:r>
      <w:r w:rsidR="00817D96">
        <w:rPr>
          <w:rFonts w:ascii="Arial" w:hAnsi="Arial" w:cs="Arial"/>
          <w:sz w:val="22"/>
          <w:szCs w:val="22"/>
        </w:rPr>
        <w:t>.</w:t>
      </w:r>
      <w:r w:rsidRPr="006B22AA">
        <w:rPr>
          <w:rFonts w:ascii="Arial" w:hAnsi="Arial" w:cs="Arial"/>
          <w:sz w:val="22"/>
          <w:szCs w:val="22"/>
        </w:rPr>
        <w:t xml:space="preserve"> Learning by doing: A guide to teaching and learning methods. Oxford: Further Education Unit, Oxford Polytechnic.</w:t>
      </w:r>
    </w:p>
    <w:p w14:paraId="33D89DD3" w14:textId="77777777"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Health and Care Professions Council (HCPC) (2016) Standards of conduct, performance and ethics. London: HCPC.</w:t>
      </w:r>
    </w:p>
    <w:p w14:paraId="182B659F" w14:textId="77777777"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Henneman, E.A., Lee, J.L. and Cohen, J.I. (1995) 'Collaboration: A concept analysis', Journal of Advanced Nursing, 21(1), pp. 103-109.</w:t>
      </w:r>
    </w:p>
    <w:p w14:paraId="53E6408E" w14:textId="77777777"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Maslow, A.H. (1943) 'A theory of human motivation', Psychological Review, 50(4), pp. 370-396.</w:t>
      </w:r>
    </w:p>
    <w:p w14:paraId="43475F7A" w14:textId="77777777"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Mental Capacity Act (2005) London: The Stationery Office.</w:t>
      </w:r>
    </w:p>
    <w:p w14:paraId="2426A7A2" w14:textId="77777777"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Ministry of Justice (2007) Mental Capacity Act 2005 Code of Practice. London: The Stationery Office.</w:t>
      </w:r>
    </w:p>
    <w:p w14:paraId="79F9C34C" w14:textId="77777777"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lastRenderedPageBreak/>
        <w:t>Murphy, J. and Cameron, L. (2008) 'The effectiveness of Talking Mats with people with intellectual disability', British Journal of Learning Disabilities, 36(4), pp. 232-241.</w:t>
      </w:r>
    </w:p>
    <w:p w14:paraId="7DC62574" w14:textId="111B8E1F"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NHS England (2019)</w:t>
      </w:r>
      <w:r w:rsidR="00200EE2">
        <w:rPr>
          <w:rFonts w:ascii="Arial" w:hAnsi="Arial" w:cs="Arial"/>
          <w:sz w:val="22"/>
          <w:szCs w:val="22"/>
        </w:rPr>
        <w:t>.</w:t>
      </w:r>
      <w:r w:rsidRPr="006B22AA">
        <w:rPr>
          <w:rFonts w:ascii="Arial" w:hAnsi="Arial" w:cs="Arial"/>
          <w:sz w:val="22"/>
          <w:szCs w:val="22"/>
        </w:rPr>
        <w:t xml:space="preserve"> The NHS Long Term Plan. London: NHS England.</w:t>
      </w:r>
    </w:p>
    <w:p w14:paraId="3597D43E" w14:textId="77777777"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Nursing and Midwifery Council (NMC) (2018) The Code: Professional standards of practice and behaviour for nurses, midwives and nursing associates. London: NMC.</w:t>
      </w:r>
    </w:p>
    <w:p w14:paraId="1CB6272B" w14:textId="2C75EC2B"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Rogers, C.R. (1961)</w:t>
      </w:r>
      <w:r w:rsidR="00200EE2">
        <w:rPr>
          <w:rFonts w:ascii="Arial" w:hAnsi="Arial" w:cs="Arial"/>
          <w:sz w:val="22"/>
          <w:szCs w:val="22"/>
        </w:rPr>
        <w:t>.</w:t>
      </w:r>
      <w:r w:rsidRPr="006B22AA">
        <w:rPr>
          <w:rFonts w:ascii="Arial" w:hAnsi="Arial" w:cs="Arial"/>
          <w:sz w:val="22"/>
          <w:szCs w:val="22"/>
        </w:rPr>
        <w:t xml:space="preserve"> On becoming a person: A therapist's view of psychotherapy. London: Constable.</w:t>
      </w:r>
    </w:p>
    <w:p w14:paraId="13094B87" w14:textId="77777777"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Santana, M.J., Manalili, K., Jolley, R.J., Zelinsky, S., Quan, H. and Lu, M. (2018) 'How to practice person-centred care: A conceptual framework', Health Expectations, 21(2), pp. 429-440.</w:t>
      </w:r>
    </w:p>
    <w:p w14:paraId="66A348A4" w14:textId="3DD05B1A"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Schön, D.A. (1983)</w:t>
      </w:r>
      <w:r w:rsidR="00200EE2">
        <w:rPr>
          <w:rFonts w:ascii="Arial" w:hAnsi="Arial" w:cs="Arial"/>
          <w:sz w:val="22"/>
          <w:szCs w:val="22"/>
        </w:rPr>
        <w:t>.</w:t>
      </w:r>
      <w:r w:rsidRPr="006B22AA">
        <w:rPr>
          <w:rFonts w:ascii="Arial" w:hAnsi="Arial" w:cs="Arial"/>
          <w:sz w:val="22"/>
          <w:szCs w:val="22"/>
        </w:rPr>
        <w:t xml:space="preserve"> The reflective practitioner: How professionals think in action. New York: Basic Books.</w:t>
      </w:r>
    </w:p>
    <w:p w14:paraId="2126AA2D" w14:textId="4F1210FE"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Skills for Care (2015)</w:t>
      </w:r>
      <w:r w:rsidR="00200EE2">
        <w:rPr>
          <w:rFonts w:ascii="Arial" w:hAnsi="Arial" w:cs="Arial"/>
          <w:sz w:val="22"/>
          <w:szCs w:val="22"/>
        </w:rPr>
        <w:t xml:space="preserve">. </w:t>
      </w:r>
      <w:r w:rsidRPr="006B22AA">
        <w:rPr>
          <w:rFonts w:ascii="Arial" w:hAnsi="Arial" w:cs="Arial"/>
          <w:sz w:val="22"/>
          <w:szCs w:val="22"/>
        </w:rPr>
        <w:t>The Care Certificate Standards. Leeds: Skills for Care.</w:t>
      </w:r>
    </w:p>
    <w:p w14:paraId="635B37B8" w14:textId="64D8CD70" w:rsidR="006B22AA" w:rsidRPr="006B22AA" w:rsidRDefault="006B22AA" w:rsidP="00200EE2">
      <w:pPr>
        <w:spacing w:line="360" w:lineRule="auto"/>
        <w:jc w:val="both"/>
        <w:rPr>
          <w:rFonts w:ascii="Arial" w:hAnsi="Arial" w:cs="Arial"/>
          <w:sz w:val="22"/>
          <w:szCs w:val="22"/>
        </w:rPr>
      </w:pPr>
      <w:r w:rsidRPr="006B22AA">
        <w:rPr>
          <w:rFonts w:ascii="Arial" w:hAnsi="Arial" w:cs="Arial"/>
          <w:sz w:val="22"/>
          <w:szCs w:val="22"/>
        </w:rPr>
        <w:t xml:space="preserve">Wahba, M.A. and Bridwell, L.G. (1976) 'Maslow reconsidered: A review of research on the need hierarchy theory', </w:t>
      </w:r>
      <w:r w:rsidR="009158E1">
        <w:rPr>
          <w:rFonts w:ascii="Arial" w:hAnsi="Arial" w:cs="Arial"/>
          <w:sz w:val="22"/>
          <w:szCs w:val="22"/>
        </w:rPr>
        <w:t>Organisational Behaviour</w:t>
      </w:r>
      <w:r w:rsidRPr="006B22AA">
        <w:rPr>
          <w:rFonts w:ascii="Arial" w:hAnsi="Arial" w:cs="Arial"/>
          <w:sz w:val="22"/>
          <w:szCs w:val="22"/>
        </w:rPr>
        <w:t xml:space="preserve"> and Human Performance, 15(2), pp. 212-240.</w:t>
      </w:r>
    </w:p>
    <w:p w14:paraId="24D56DF2" w14:textId="77777777" w:rsidR="006B22AA" w:rsidRDefault="006B22AA" w:rsidP="00200EE2">
      <w:pPr>
        <w:spacing w:line="360" w:lineRule="auto"/>
        <w:jc w:val="both"/>
        <w:rPr>
          <w:rFonts w:ascii="Arial" w:hAnsi="Arial" w:cs="Arial"/>
          <w:sz w:val="22"/>
          <w:szCs w:val="22"/>
        </w:rPr>
      </w:pPr>
    </w:p>
    <w:p w14:paraId="13BFF9CB" w14:textId="77777777" w:rsidR="006B22AA" w:rsidRDefault="006B22AA" w:rsidP="00200EE2">
      <w:pPr>
        <w:spacing w:line="360" w:lineRule="auto"/>
        <w:jc w:val="both"/>
        <w:rPr>
          <w:rFonts w:ascii="Arial" w:hAnsi="Arial" w:cs="Arial"/>
          <w:sz w:val="22"/>
          <w:szCs w:val="22"/>
        </w:rPr>
      </w:pPr>
    </w:p>
    <w:p w14:paraId="6364E653" w14:textId="77777777" w:rsidR="006B22AA" w:rsidRDefault="006B22AA" w:rsidP="00200EE2">
      <w:pPr>
        <w:spacing w:line="360" w:lineRule="auto"/>
        <w:jc w:val="both"/>
        <w:rPr>
          <w:rFonts w:ascii="Arial" w:hAnsi="Arial" w:cs="Arial"/>
          <w:sz w:val="22"/>
          <w:szCs w:val="22"/>
        </w:rPr>
      </w:pPr>
    </w:p>
    <w:p w14:paraId="5B973F63" w14:textId="77777777" w:rsidR="006B22AA" w:rsidRDefault="006B22AA" w:rsidP="00200EE2">
      <w:pPr>
        <w:spacing w:line="360" w:lineRule="auto"/>
        <w:jc w:val="both"/>
        <w:rPr>
          <w:rFonts w:ascii="Arial" w:hAnsi="Arial" w:cs="Arial"/>
          <w:sz w:val="22"/>
          <w:szCs w:val="22"/>
        </w:rPr>
      </w:pPr>
    </w:p>
    <w:p w14:paraId="23A30414" w14:textId="77777777" w:rsidR="006B22AA" w:rsidRDefault="006B22AA" w:rsidP="00200EE2">
      <w:pPr>
        <w:spacing w:line="360" w:lineRule="auto"/>
        <w:jc w:val="both"/>
        <w:rPr>
          <w:rFonts w:ascii="Arial" w:hAnsi="Arial" w:cs="Arial"/>
          <w:sz w:val="22"/>
          <w:szCs w:val="22"/>
        </w:rPr>
      </w:pPr>
    </w:p>
    <w:p w14:paraId="1A9EDA9F" w14:textId="77777777" w:rsidR="006B22AA" w:rsidRDefault="006B22AA" w:rsidP="00200EE2">
      <w:pPr>
        <w:spacing w:line="360" w:lineRule="auto"/>
        <w:jc w:val="both"/>
        <w:rPr>
          <w:rFonts w:ascii="Arial" w:hAnsi="Arial" w:cs="Arial"/>
          <w:sz w:val="22"/>
          <w:szCs w:val="22"/>
        </w:rPr>
      </w:pPr>
    </w:p>
    <w:p w14:paraId="3982CEA4" w14:textId="77777777" w:rsidR="006B22AA" w:rsidRDefault="006B22AA" w:rsidP="00200EE2">
      <w:pPr>
        <w:spacing w:line="360" w:lineRule="auto"/>
        <w:jc w:val="both"/>
        <w:rPr>
          <w:rFonts w:ascii="Arial" w:hAnsi="Arial" w:cs="Arial"/>
          <w:sz w:val="22"/>
          <w:szCs w:val="22"/>
        </w:rPr>
      </w:pPr>
    </w:p>
    <w:p w14:paraId="6F34CDFE" w14:textId="77777777" w:rsidR="006B22AA" w:rsidRDefault="006B22AA" w:rsidP="00200EE2">
      <w:pPr>
        <w:spacing w:line="360" w:lineRule="auto"/>
        <w:jc w:val="both"/>
        <w:rPr>
          <w:rFonts w:ascii="Arial" w:hAnsi="Arial" w:cs="Arial"/>
          <w:sz w:val="22"/>
          <w:szCs w:val="22"/>
        </w:rPr>
      </w:pPr>
    </w:p>
    <w:p w14:paraId="4DAC3828" w14:textId="77777777" w:rsidR="006B22AA" w:rsidRDefault="006B22AA" w:rsidP="00200EE2">
      <w:pPr>
        <w:spacing w:line="360" w:lineRule="auto"/>
        <w:jc w:val="both"/>
        <w:rPr>
          <w:rFonts w:ascii="Arial" w:hAnsi="Arial" w:cs="Arial"/>
          <w:sz w:val="22"/>
          <w:szCs w:val="22"/>
        </w:rPr>
      </w:pPr>
    </w:p>
    <w:p w14:paraId="26A1DD8A" w14:textId="77777777" w:rsidR="006B22AA" w:rsidRDefault="006B22AA" w:rsidP="00200EE2">
      <w:pPr>
        <w:spacing w:line="360" w:lineRule="auto"/>
        <w:jc w:val="both"/>
        <w:rPr>
          <w:rFonts w:ascii="Arial" w:hAnsi="Arial" w:cs="Arial"/>
          <w:sz w:val="22"/>
          <w:szCs w:val="22"/>
        </w:rPr>
      </w:pPr>
    </w:p>
    <w:p w14:paraId="2581F679" w14:textId="77777777" w:rsidR="006B22AA" w:rsidRPr="00A5466F" w:rsidRDefault="006B22AA" w:rsidP="00200EE2">
      <w:pPr>
        <w:spacing w:line="360" w:lineRule="auto"/>
        <w:jc w:val="both"/>
        <w:rPr>
          <w:rFonts w:ascii="Arial" w:hAnsi="Arial" w:cs="Arial"/>
          <w:sz w:val="22"/>
          <w:szCs w:val="22"/>
        </w:rPr>
      </w:pPr>
    </w:p>
    <w:sectPr w:rsidR="006B22AA" w:rsidRPr="00A5466F" w:rsidSect="00BF126B">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BF203" w14:textId="77777777" w:rsidR="00005405" w:rsidRDefault="00005405" w:rsidP="00BF126B">
      <w:pPr>
        <w:spacing w:after="0" w:line="240" w:lineRule="auto"/>
      </w:pPr>
      <w:r>
        <w:separator/>
      </w:r>
    </w:p>
  </w:endnote>
  <w:endnote w:type="continuationSeparator" w:id="0">
    <w:p w14:paraId="1373A5EC" w14:textId="77777777" w:rsidR="00005405" w:rsidRDefault="00005405" w:rsidP="00BF1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6283784"/>
      <w:docPartObj>
        <w:docPartGallery w:val="Page Numbers (Bottom of Page)"/>
        <w:docPartUnique/>
      </w:docPartObj>
    </w:sdtPr>
    <w:sdtContent>
      <w:p w14:paraId="0F515017" w14:textId="248BEDF7" w:rsidR="00BF126B" w:rsidRDefault="00BF126B">
        <w:pPr>
          <w:pStyle w:val="Footer"/>
          <w:jc w:val="right"/>
        </w:pPr>
        <w:r>
          <w:fldChar w:fldCharType="begin"/>
        </w:r>
        <w:r>
          <w:instrText>PAGE   \* MERGEFORMAT</w:instrText>
        </w:r>
        <w:r>
          <w:fldChar w:fldCharType="separate"/>
        </w:r>
        <w:r>
          <w:t>2</w:t>
        </w:r>
        <w:r>
          <w:fldChar w:fldCharType="end"/>
        </w:r>
      </w:p>
    </w:sdtContent>
  </w:sdt>
  <w:p w14:paraId="26746502" w14:textId="77777777" w:rsidR="00BF126B" w:rsidRDefault="00BF1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A7793A" w14:textId="77777777" w:rsidR="00005405" w:rsidRDefault="00005405" w:rsidP="00BF126B">
      <w:pPr>
        <w:spacing w:after="0" w:line="240" w:lineRule="auto"/>
      </w:pPr>
      <w:r>
        <w:separator/>
      </w:r>
    </w:p>
  </w:footnote>
  <w:footnote w:type="continuationSeparator" w:id="0">
    <w:p w14:paraId="0A0DE77C" w14:textId="77777777" w:rsidR="00005405" w:rsidRDefault="00005405" w:rsidP="00BF12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0E75B1"/>
    <w:multiLevelType w:val="hybridMultilevel"/>
    <w:tmpl w:val="B96E4D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4246F9"/>
    <w:multiLevelType w:val="hybridMultilevel"/>
    <w:tmpl w:val="F09AC9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B507E5"/>
    <w:multiLevelType w:val="hybridMultilevel"/>
    <w:tmpl w:val="393C06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0868086">
    <w:abstractNumId w:val="1"/>
  </w:num>
  <w:num w:numId="2" w16cid:durableId="1482456683">
    <w:abstractNumId w:val="0"/>
  </w:num>
  <w:num w:numId="3" w16cid:durableId="11784700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BEB"/>
    <w:rsid w:val="00005405"/>
    <w:rsid w:val="00063FFC"/>
    <w:rsid w:val="0009514A"/>
    <w:rsid w:val="00160D05"/>
    <w:rsid w:val="00193EE3"/>
    <w:rsid w:val="001B3501"/>
    <w:rsid w:val="00200EE2"/>
    <w:rsid w:val="00220CBB"/>
    <w:rsid w:val="00234EFB"/>
    <w:rsid w:val="00237941"/>
    <w:rsid w:val="00300135"/>
    <w:rsid w:val="0031027D"/>
    <w:rsid w:val="00314EAD"/>
    <w:rsid w:val="00376BEB"/>
    <w:rsid w:val="003A407C"/>
    <w:rsid w:val="003C6186"/>
    <w:rsid w:val="003E47A4"/>
    <w:rsid w:val="00441C3C"/>
    <w:rsid w:val="004B6B1A"/>
    <w:rsid w:val="004C50DC"/>
    <w:rsid w:val="004D4EF6"/>
    <w:rsid w:val="004F2253"/>
    <w:rsid w:val="00546086"/>
    <w:rsid w:val="005B21C2"/>
    <w:rsid w:val="00624783"/>
    <w:rsid w:val="006538C9"/>
    <w:rsid w:val="006B22AA"/>
    <w:rsid w:val="006B78C3"/>
    <w:rsid w:val="0072020E"/>
    <w:rsid w:val="00754B01"/>
    <w:rsid w:val="007D1897"/>
    <w:rsid w:val="00817D96"/>
    <w:rsid w:val="008651B5"/>
    <w:rsid w:val="008A0455"/>
    <w:rsid w:val="009158E1"/>
    <w:rsid w:val="009620AA"/>
    <w:rsid w:val="009668E6"/>
    <w:rsid w:val="009B0E7C"/>
    <w:rsid w:val="009E73FC"/>
    <w:rsid w:val="00A22AC8"/>
    <w:rsid w:val="00A5466F"/>
    <w:rsid w:val="00A964D3"/>
    <w:rsid w:val="00AB0EDC"/>
    <w:rsid w:val="00B64461"/>
    <w:rsid w:val="00B80BF8"/>
    <w:rsid w:val="00B82D1F"/>
    <w:rsid w:val="00B92F86"/>
    <w:rsid w:val="00BD71A0"/>
    <w:rsid w:val="00BF126B"/>
    <w:rsid w:val="00BF7BC9"/>
    <w:rsid w:val="00C22DF2"/>
    <w:rsid w:val="00C52960"/>
    <w:rsid w:val="00C65558"/>
    <w:rsid w:val="00C71624"/>
    <w:rsid w:val="00C91B16"/>
    <w:rsid w:val="00CB2F36"/>
    <w:rsid w:val="00CD272A"/>
    <w:rsid w:val="00D85A26"/>
    <w:rsid w:val="00E322DD"/>
    <w:rsid w:val="00E77F10"/>
    <w:rsid w:val="00ED08FC"/>
    <w:rsid w:val="00F04ABE"/>
    <w:rsid w:val="00F5416C"/>
    <w:rsid w:val="00F778E8"/>
    <w:rsid w:val="00FE4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6E980B"/>
  <w15:chartTrackingRefBased/>
  <w15:docId w15:val="{E66D56F7-0459-401F-9C65-7C68AE828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6B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6B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6B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6B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6B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6B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6B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6B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6B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6B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6B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6B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6B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6B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6B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6B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6B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6BEB"/>
    <w:rPr>
      <w:rFonts w:eastAsiaTheme="majorEastAsia" w:cstheme="majorBidi"/>
      <w:color w:val="272727" w:themeColor="text1" w:themeTint="D8"/>
    </w:rPr>
  </w:style>
  <w:style w:type="paragraph" w:styleId="Title">
    <w:name w:val="Title"/>
    <w:basedOn w:val="Normal"/>
    <w:next w:val="Normal"/>
    <w:link w:val="TitleChar"/>
    <w:uiPriority w:val="10"/>
    <w:qFormat/>
    <w:rsid w:val="00376B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6B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6B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6B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6BEB"/>
    <w:pPr>
      <w:spacing w:before="160"/>
      <w:jc w:val="center"/>
    </w:pPr>
    <w:rPr>
      <w:i/>
      <w:iCs/>
      <w:color w:val="404040" w:themeColor="text1" w:themeTint="BF"/>
    </w:rPr>
  </w:style>
  <w:style w:type="character" w:customStyle="1" w:styleId="QuoteChar">
    <w:name w:val="Quote Char"/>
    <w:basedOn w:val="DefaultParagraphFont"/>
    <w:link w:val="Quote"/>
    <w:uiPriority w:val="29"/>
    <w:rsid w:val="00376BEB"/>
    <w:rPr>
      <w:i/>
      <w:iCs/>
      <w:color w:val="404040" w:themeColor="text1" w:themeTint="BF"/>
    </w:rPr>
  </w:style>
  <w:style w:type="paragraph" w:styleId="ListParagraph">
    <w:name w:val="List Paragraph"/>
    <w:basedOn w:val="Normal"/>
    <w:uiPriority w:val="34"/>
    <w:qFormat/>
    <w:rsid w:val="00376BEB"/>
    <w:pPr>
      <w:ind w:left="720"/>
      <w:contextualSpacing/>
    </w:pPr>
  </w:style>
  <w:style w:type="character" w:styleId="IntenseEmphasis">
    <w:name w:val="Intense Emphasis"/>
    <w:basedOn w:val="DefaultParagraphFont"/>
    <w:uiPriority w:val="21"/>
    <w:qFormat/>
    <w:rsid w:val="00376BEB"/>
    <w:rPr>
      <w:i/>
      <w:iCs/>
      <w:color w:val="0F4761" w:themeColor="accent1" w:themeShade="BF"/>
    </w:rPr>
  </w:style>
  <w:style w:type="paragraph" w:styleId="IntenseQuote">
    <w:name w:val="Intense Quote"/>
    <w:basedOn w:val="Normal"/>
    <w:next w:val="Normal"/>
    <w:link w:val="IntenseQuoteChar"/>
    <w:uiPriority w:val="30"/>
    <w:qFormat/>
    <w:rsid w:val="00376B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6BEB"/>
    <w:rPr>
      <w:i/>
      <w:iCs/>
      <w:color w:val="0F4761" w:themeColor="accent1" w:themeShade="BF"/>
    </w:rPr>
  </w:style>
  <w:style w:type="character" w:styleId="IntenseReference">
    <w:name w:val="Intense Reference"/>
    <w:basedOn w:val="DefaultParagraphFont"/>
    <w:uiPriority w:val="32"/>
    <w:qFormat/>
    <w:rsid w:val="00376BEB"/>
    <w:rPr>
      <w:b/>
      <w:bCs/>
      <w:smallCaps/>
      <w:color w:val="0F4761" w:themeColor="accent1" w:themeShade="BF"/>
      <w:spacing w:val="5"/>
    </w:rPr>
  </w:style>
  <w:style w:type="paragraph" w:styleId="Header">
    <w:name w:val="header"/>
    <w:basedOn w:val="Normal"/>
    <w:link w:val="HeaderChar"/>
    <w:uiPriority w:val="99"/>
    <w:unhideWhenUsed/>
    <w:rsid w:val="00BF12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26B"/>
  </w:style>
  <w:style w:type="paragraph" w:styleId="Footer">
    <w:name w:val="footer"/>
    <w:basedOn w:val="Normal"/>
    <w:link w:val="FooterChar"/>
    <w:uiPriority w:val="99"/>
    <w:unhideWhenUsed/>
    <w:rsid w:val="00BF12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2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62D08B-67B5-49DD-A643-9404E92A3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TotalTime>
  <Pages>11</Pages>
  <Words>2721</Words>
  <Characters>17306</Characters>
  <Application>Microsoft Office Word</Application>
  <DocSecurity>0</DocSecurity>
  <Lines>326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Abosede Taiwo-Badejo | Age UK Bristol</dc:creator>
  <cp:keywords/>
  <dc:description/>
  <cp:lastModifiedBy>Abosede Taiwo-Badejo | Age UK Bristol</cp:lastModifiedBy>
  <cp:revision>53</cp:revision>
  <dcterms:created xsi:type="dcterms:W3CDTF">2025-11-14T21:01:00Z</dcterms:created>
  <dcterms:modified xsi:type="dcterms:W3CDTF">2025-11-14T23:56:00Z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c9884c94-76a5-42bf-9114-d45fdaf9361b</vt:lpwstr>
  </property>
</Properties>
</file>