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eastAsiaTheme="minorEastAsia"/>
          <w:b/>
          <w:bCs/>
          <w:kern w:val="2"/>
          <w:sz w:val="40"/>
          <w:szCs w:val="40"/>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eastAsiaTheme="minorEastAsia"/>
          <w:b/>
          <w:bCs/>
          <w:kern w:val="2"/>
          <w:sz w:val="40"/>
          <w:szCs w:val="40"/>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eastAsiaTheme="minorEastAsia"/>
          <w:b/>
          <w:bCs/>
          <w:kern w:val="2"/>
          <w:sz w:val="40"/>
          <w:szCs w:val="40"/>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eastAsiaTheme="minorEastAsia"/>
          <w:b/>
          <w:bCs/>
          <w:kern w:val="2"/>
          <w:sz w:val="40"/>
          <w:szCs w:val="40"/>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eastAsiaTheme="minorEastAsia"/>
          <w:b/>
          <w:bCs/>
          <w:kern w:val="2"/>
          <w:sz w:val="40"/>
          <w:szCs w:val="40"/>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eastAsiaTheme="minorEastAsia"/>
          <w:b/>
          <w:bCs/>
          <w:kern w:val="2"/>
          <w:sz w:val="40"/>
          <w:szCs w:val="40"/>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eastAsiaTheme="minorEastAsia"/>
          <w:b/>
          <w:bCs/>
          <w:kern w:val="2"/>
          <w:sz w:val="40"/>
          <w:szCs w:val="40"/>
          <w:lang w:val="en-US" w:eastAsia="zh-CN"/>
        </w:rPr>
      </w:pPr>
      <w:bookmarkStart w:id="8" w:name="_GoBack"/>
      <w:bookmarkEnd w:id="8"/>
      <w:r>
        <w:rPr>
          <w:rFonts w:hint="default" w:ascii="Arial" w:hAnsi="Arial" w:cs="Arial" w:eastAsiaTheme="minorEastAsia"/>
          <w:b/>
          <w:bCs/>
          <w:kern w:val="2"/>
          <w:sz w:val="40"/>
          <w:szCs w:val="40"/>
          <w:lang w:val="en-US" w:eastAsia="zh-CN"/>
        </w:rPr>
        <w:t xml:space="preserve">My name:         </w:t>
      </w:r>
      <w:r>
        <w:rPr>
          <w:rFonts w:hint="eastAsia" w:cs="Arial" w:eastAsiaTheme="minorEastAsia"/>
          <w:b/>
          <w:bCs/>
          <w:kern w:val="2"/>
          <w:sz w:val="40"/>
          <w:szCs w:val="40"/>
          <w:lang w:val="en-US" w:eastAsia="zh-CN"/>
        </w:rPr>
        <w:t xml:space="preserve">      </w:t>
      </w:r>
      <w:r>
        <w:rPr>
          <w:rFonts w:hint="default" w:ascii="Arial" w:hAnsi="Arial" w:cs="Arial" w:eastAsiaTheme="minorEastAsia"/>
          <w:b/>
          <w:bCs/>
          <w:kern w:val="2"/>
          <w:sz w:val="40"/>
          <w:szCs w:val="40"/>
          <w:lang w:val="en-US" w:eastAsia="zh-CN"/>
        </w:rPr>
        <w:t>WenHao Zhu</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eastAsiaTheme="minorEastAsia"/>
          <w:b/>
          <w:bCs/>
          <w:kern w:val="2"/>
          <w:sz w:val="40"/>
          <w:szCs w:val="40"/>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eastAsiaTheme="minorEastAsia"/>
          <w:b/>
          <w:bCs/>
          <w:kern w:val="2"/>
          <w:sz w:val="40"/>
          <w:szCs w:val="40"/>
          <w:lang w:val="en-US" w:eastAsia="zh-CN"/>
        </w:rPr>
      </w:pPr>
      <w:r>
        <w:rPr>
          <w:rFonts w:hint="default" w:ascii="Arial" w:hAnsi="Arial" w:cs="Arial" w:eastAsiaTheme="minorEastAsia"/>
          <w:b/>
          <w:bCs/>
          <w:kern w:val="2"/>
          <w:sz w:val="40"/>
          <w:szCs w:val="40"/>
          <w:lang w:val="en-US" w:eastAsia="zh-CN"/>
        </w:rPr>
        <w:t xml:space="preserve">Student ID:            </w:t>
      </w:r>
      <w:r>
        <w:rPr>
          <w:rFonts w:hint="eastAsia" w:cs="Arial" w:eastAsiaTheme="minorEastAsia"/>
          <w:b/>
          <w:bCs/>
          <w:kern w:val="2"/>
          <w:sz w:val="40"/>
          <w:szCs w:val="40"/>
          <w:lang w:val="en-US" w:eastAsia="zh-CN"/>
        </w:rPr>
        <w:t xml:space="preserve">  </w:t>
      </w:r>
      <w:r>
        <w:rPr>
          <w:rFonts w:hint="default" w:ascii="Arial" w:hAnsi="Arial" w:cs="Arial" w:eastAsiaTheme="minorEastAsia"/>
          <w:b/>
          <w:bCs/>
          <w:kern w:val="2"/>
          <w:sz w:val="40"/>
          <w:szCs w:val="40"/>
          <w:lang w:val="en-US" w:eastAsia="zh-CN"/>
        </w:rPr>
        <w:t>2106011</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eastAsiaTheme="minorEastAsia"/>
          <w:b/>
          <w:bCs/>
          <w:kern w:val="2"/>
          <w:sz w:val="40"/>
          <w:szCs w:val="40"/>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eastAsiaTheme="minorEastAsia"/>
          <w:b/>
          <w:bCs/>
          <w:kern w:val="2"/>
          <w:sz w:val="40"/>
          <w:szCs w:val="40"/>
          <w:lang w:val="en-US" w:eastAsia="zh-CN"/>
        </w:rPr>
      </w:pPr>
      <w:r>
        <w:rPr>
          <w:rFonts w:hint="default" w:ascii="Arial" w:hAnsi="Arial" w:cs="Arial" w:eastAsiaTheme="minorEastAsia"/>
          <w:b/>
          <w:bCs/>
          <w:kern w:val="2"/>
          <w:sz w:val="40"/>
          <w:szCs w:val="40"/>
          <w:lang w:val="en-US" w:eastAsia="zh-CN"/>
        </w:rPr>
        <w:t>Module name:     International Business Communication</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eastAsiaTheme="minorEastAsia"/>
          <w:b/>
          <w:bCs/>
          <w:kern w:val="2"/>
          <w:sz w:val="40"/>
          <w:szCs w:val="40"/>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eastAsiaTheme="minorEastAsia"/>
          <w:b/>
          <w:bCs/>
          <w:kern w:val="2"/>
          <w:sz w:val="40"/>
          <w:szCs w:val="40"/>
          <w:lang w:val="en-US" w:eastAsia="zh-CN"/>
        </w:rPr>
        <w:sectPr>
          <w:pgSz w:w="11906" w:h="16838"/>
          <w:pgMar w:top="1440" w:right="1800" w:bottom="1440" w:left="1800" w:header="851" w:footer="992" w:gutter="0"/>
          <w:cols w:space="425" w:num="1"/>
          <w:docGrid w:type="lines" w:linePitch="312" w:charSpace="0"/>
        </w:sectPr>
      </w:pPr>
      <w:r>
        <w:rPr>
          <w:rFonts w:hint="default" w:ascii="Arial" w:hAnsi="Arial" w:cs="Arial" w:eastAsiaTheme="minorEastAsia"/>
          <w:b/>
          <w:bCs/>
          <w:kern w:val="2"/>
          <w:sz w:val="40"/>
          <w:szCs w:val="40"/>
          <w:lang w:val="en-US" w:eastAsia="zh-CN"/>
        </w:rPr>
        <w:t xml:space="preserve">Assignment Title:  </w:t>
      </w:r>
      <w:r>
        <w:rPr>
          <w:rFonts w:hint="eastAsia" w:cs="Arial" w:eastAsiaTheme="minorEastAsia"/>
          <w:b/>
          <w:bCs/>
          <w:kern w:val="2"/>
          <w:sz w:val="40"/>
          <w:szCs w:val="40"/>
          <w:lang w:val="en-US" w:eastAsia="zh-CN"/>
        </w:rPr>
        <w:t xml:space="preserve">      </w:t>
      </w:r>
      <w:r>
        <w:rPr>
          <w:rFonts w:hint="default" w:ascii="Arial" w:hAnsi="Arial" w:cs="Arial" w:eastAsiaTheme="minorEastAsia"/>
          <w:b/>
          <w:bCs/>
          <w:kern w:val="2"/>
          <w:sz w:val="40"/>
          <w:szCs w:val="40"/>
          <w:lang w:val="en-US" w:eastAsia="zh-CN"/>
        </w:rPr>
        <w:t>Assignment</w:t>
      </w:r>
      <w:r>
        <w:rPr>
          <w:rFonts w:hint="eastAsia" w:cs="Arial" w:eastAsiaTheme="minorEastAsia"/>
          <w:b/>
          <w:bCs/>
          <w:kern w:val="2"/>
          <w:sz w:val="40"/>
          <w:szCs w:val="40"/>
          <w:lang w:val="en-US" w:eastAsia="zh-CN"/>
        </w:rPr>
        <w:t xml:space="preserve"> 2</w:t>
      </w:r>
    </w:p>
    <w:sdt>
      <w:sdtPr>
        <w:rPr>
          <w:rFonts w:hint="default" w:ascii="Arial" w:hAnsi="Arial" w:eastAsia="Arial" w:cs="Arial"/>
          <w:b w:val="0"/>
          <w:bCs w:val="0"/>
          <w:color w:val="000000" w:themeColor="text1"/>
          <w:sz w:val="28"/>
          <w:szCs w:val="28"/>
          <w:lang w:val="en-GB" w:eastAsia="en-US"/>
          <w14:textFill>
            <w14:solidFill>
              <w14:schemeClr w14:val="tx1"/>
            </w14:solidFill>
          </w14:textFill>
        </w:rPr>
        <w:id w:val="127366091"/>
        <w:docPartObj>
          <w:docPartGallery w:val="Table of Contents"/>
          <w:docPartUnique/>
        </w:docPartObj>
      </w:sdtPr>
      <w:sdtEndPr>
        <w:rPr>
          <w:rFonts w:hint="default" w:ascii="Arial" w:hAnsi="Arial" w:eastAsia="Arial" w:cs="Arial"/>
          <w:b w:val="0"/>
          <w:bCs w:val="0"/>
          <w:color w:val="000000" w:themeColor="text1"/>
          <w:sz w:val="22"/>
          <w:szCs w:val="22"/>
          <w:lang w:val="en-GB" w:eastAsia="en-US"/>
          <w14:textFill>
            <w14:solidFill>
              <w14:schemeClr w14:val="tx1"/>
            </w14:solidFill>
          </w14:textFill>
        </w:rPr>
      </w:sdtEndPr>
      <w:sdtContent>
        <w:p>
          <w:pPr>
            <w:pStyle w:val="11"/>
            <w:spacing w:line="360" w:lineRule="auto"/>
            <w:jc w:val="center"/>
            <w:rPr>
              <w:rFonts w:hint="default" w:ascii="Arial" w:hAnsi="Arial" w:cs="Arial"/>
              <w:color w:val="000000" w:themeColor="text1"/>
              <w:sz w:val="28"/>
              <w:szCs w:val="28"/>
              <w:lang w:val="en-GB"/>
              <w14:textFill>
                <w14:solidFill>
                  <w14:schemeClr w14:val="tx1"/>
                </w14:solidFill>
              </w14:textFill>
            </w:rPr>
          </w:pPr>
          <w:r>
            <w:rPr>
              <w:rFonts w:hint="default" w:ascii="Arial" w:hAnsi="Arial" w:cs="Arial"/>
              <w:color w:val="000000" w:themeColor="text1"/>
              <w:sz w:val="28"/>
              <w:szCs w:val="28"/>
              <w:lang w:val="en-GB"/>
              <w14:textFill>
                <w14:solidFill>
                  <w14:schemeClr w14:val="tx1"/>
                </w14:solidFill>
              </w14:textFill>
            </w:rPr>
            <w:t>Table of Contents</w:t>
          </w:r>
        </w:p>
        <w:p>
          <w:pPr>
            <w:pStyle w:val="6"/>
            <w:tabs>
              <w:tab w:val="right" w:leader="dot" w:pos="8306"/>
            </w:tabs>
            <w:rPr>
              <w:rFonts w:hint="default" w:ascii="Arial" w:hAnsi="Arial" w:cs="Arial"/>
              <w:sz w:val="28"/>
              <w:szCs w:val="28"/>
            </w:rPr>
          </w:pPr>
          <w:r>
            <w:rPr>
              <w:rFonts w:hint="default" w:ascii="Arial" w:hAnsi="Arial" w:cs="Arial"/>
              <w:color w:val="000000" w:themeColor="text1"/>
              <w:sz w:val="28"/>
              <w:szCs w:val="28"/>
              <w:lang w:val="en-GB"/>
              <w14:textFill>
                <w14:solidFill>
                  <w14:schemeClr w14:val="tx1"/>
                </w14:solidFill>
              </w14:textFill>
            </w:rPr>
            <w:fldChar w:fldCharType="begin"/>
          </w:r>
          <w:r>
            <w:rPr>
              <w:rFonts w:hint="default" w:ascii="Arial" w:hAnsi="Arial" w:cs="Arial"/>
              <w:color w:val="000000" w:themeColor="text1"/>
              <w:sz w:val="28"/>
              <w:szCs w:val="28"/>
              <w:lang w:val="en-GB"/>
              <w14:textFill>
                <w14:solidFill>
                  <w14:schemeClr w14:val="tx1"/>
                </w14:solidFill>
              </w14:textFill>
            </w:rPr>
            <w:instrText xml:space="preserve"> TOC \o "1-3" \h \z \u </w:instrText>
          </w:r>
          <w:r>
            <w:rPr>
              <w:rFonts w:hint="default" w:ascii="Arial" w:hAnsi="Arial" w:cs="Arial"/>
              <w:color w:val="000000" w:themeColor="text1"/>
              <w:sz w:val="28"/>
              <w:szCs w:val="28"/>
              <w:lang w:val="en-GB"/>
              <w14:textFill>
                <w14:solidFill>
                  <w14:schemeClr w14:val="tx1"/>
                </w14:solidFill>
              </w14:textFill>
            </w:rPr>
            <w:fldChar w:fldCharType="separate"/>
          </w:r>
          <w:r>
            <w:rPr>
              <w:rFonts w:hint="default" w:ascii="Arial" w:hAnsi="Arial" w:cs="Arial"/>
              <w:color w:val="000000" w:themeColor="text1"/>
              <w:sz w:val="28"/>
              <w:szCs w:val="28"/>
              <w:lang w:val="en-GB"/>
              <w14:textFill>
                <w14:solidFill>
                  <w14:schemeClr w14:val="tx1"/>
                </w14:solidFill>
              </w14:textFill>
            </w:rPr>
            <w:fldChar w:fldCharType="begin"/>
          </w:r>
          <w:r>
            <w:rPr>
              <w:rFonts w:hint="default" w:ascii="Arial" w:hAnsi="Arial" w:cs="Arial"/>
              <w:sz w:val="28"/>
              <w:szCs w:val="28"/>
              <w:lang w:val="en-GB"/>
            </w:rPr>
            <w:instrText xml:space="preserve"> HYPERLINK \l _Toc22370 </w:instrText>
          </w:r>
          <w:r>
            <w:rPr>
              <w:rFonts w:hint="default" w:ascii="Arial" w:hAnsi="Arial" w:cs="Arial"/>
              <w:sz w:val="28"/>
              <w:szCs w:val="28"/>
              <w:lang w:val="en-GB"/>
            </w:rPr>
            <w:fldChar w:fldCharType="separate"/>
          </w:r>
          <w:r>
            <w:rPr>
              <w:rFonts w:hint="default" w:ascii="Arial" w:hAnsi="Arial" w:cs="Arial"/>
              <w:bCs w:val="0"/>
              <w:sz w:val="28"/>
              <w:szCs w:val="28"/>
              <w:lang w:val="en-GB"/>
            </w:rPr>
            <w:t>Executive summary</w:t>
          </w:r>
          <w:r>
            <w:rPr>
              <w:rFonts w:hint="default" w:ascii="Arial" w:hAnsi="Arial" w:cs="Arial"/>
              <w:sz w:val="28"/>
              <w:szCs w:val="28"/>
            </w:rPr>
            <w:tab/>
          </w:r>
          <w:r>
            <w:rPr>
              <w:rFonts w:hint="default" w:ascii="Arial" w:hAnsi="Arial" w:cs="Arial"/>
              <w:sz w:val="28"/>
              <w:szCs w:val="28"/>
            </w:rPr>
            <w:fldChar w:fldCharType="begin"/>
          </w:r>
          <w:r>
            <w:rPr>
              <w:rFonts w:hint="default" w:ascii="Arial" w:hAnsi="Arial" w:cs="Arial"/>
              <w:sz w:val="28"/>
              <w:szCs w:val="28"/>
            </w:rPr>
            <w:instrText xml:space="preserve"> PAGEREF _Toc22370 \h </w:instrText>
          </w:r>
          <w:r>
            <w:rPr>
              <w:rFonts w:hint="default" w:ascii="Arial" w:hAnsi="Arial" w:cs="Arial"/>
              <w:sz w:val="28"/>
              <w:szCs w:val="28"/>
            </w:rPr>
            <w:fldChar w:fldCharType="separate"/>
          </w:r>
          <w:r>
            <w:rPr>
              <w:rFonts w:hint="default" w:ascii="Arial" w:hAnsi="Arial" w:cs="Arial"/>
              <w:sz w:val="28"/>
              <w:szCs w:val="28"/>
            </w:rPr>
            <w:t>1</w:t>
          </w:r>
          <w:r>
            <w:rPr>
              <w:rFonts w:hint="default" w:ascii="Arial" w:hAnsi="Arial" w:cs="Arial"/>
              <w:sz w:val="28"/>
              <w:szCs w:val="28"/>
            </w:rPr>
            <w:fldChar w:fldCharType="end"/>
          </w:r>
          <w:r>
            <w:rPr>
              <w:rFonts w:hint="default" w:ascii="Arial" w:hAnsi="Arial" w:cs="Arial"/>
              <w:color w:val="000000" w:themeColor="text1"/>
              <w:sz w:val="28"/>
              <w:szCs w:val="28"/>
              <w:lang w:val="en-GB"/>
              <w14:textFill>
                <w14:solidFill>
                  <w14:schemeClr w14:val="tx1"/>
                </w14:solidFill>
              </w14:textFill>
            </w:rPr>
            <w:fldChar w:fldCharType="end"/>
          </w:r>
        </w:p>
        <w:p>
          <w:pPr>
            <w:pStyle w:val="6"/>
            <w:tabs>
              <w:tab w:val="right" w:leader="dot" w:pos="8306"/>
            </w:tabs>
            <w:rPr>
              <w:rFonts w:hint="default" w:ascii="Arial" w:hAnsi="Arial" w:cs="Arial"/>
              <w:sz w:val="28"/>
              <w:szCs w:val="28"/>
            </w:rPr>
          </w:pPr>
          <w:r>
            <w:rPr>
              <w:rFonts w:hint="default" w:ascii="Arial" w:hAnsi="Arial" w:cs="Arial"/>
              <w:bCs/>
              <w:color w:val="000000" w:themeColor="text1"/>
              <w:sz w:val="28"/>
              <w:szCs w:val="28"/>
              <w:lang w:val="en-GB"/>
              <w14:textFill>
                <w14:solidFill>
                  <w14:schemeClr w14:val="tx1"/>
                </w14:solidFill>
              </w14:textFill>
            </w:rPr>
            <w:fldChar w:fldCharType="begin"/>
          </w:r>
          <w:r>
            <w:rPr>
              <w:rFonts w:hint="default" w:ascii="Arial" w:hAnsi="Arial" w:cs="Arial"/>
              <w:bCs/>
              <w:sz w:val="28"/>
              <w:szCs w:val="28"/>
              <w:lang w:val="en-GB"/>
            </w:rPr>
            <w:instrText xml:space="preserve"> HYPERLINK \l _Toc17417 </w:instrText>
          </w:r>
          <w:r>
            <w:rPr>
              <w:rFonts w:hint="default" w:ascii="Arial" w:hAnsi="Arial" w:cs="Arial"/>
              <w:bCs/>
              <w:sz w:val="28"/>
              <w:szCs w:val="28"/>
              <w:lang w:val="en-GB"/>
            </w:rPr>
            <w:fldChar w:fldCharType="separate"/>
          </w:r>
          <w:r>
            <w:rPr>
              <w:rFonts w:hint="default" w:ascii="Arial" w:hAnsi="Arial" w:eastAsia="宋体" w:cs="Arial"/>
              <w:sz w:val="28"/>
              <w:szCs w:val="28"/>
              <w:lang w:val="en-US" w:eastAsia="zh-CN"/>
            </w:rPr>
            <w:t xml:space="preserve">1.0 </w:t>
          </w:r>
          <w:r>
            <w:rPr>
              <w:rFonts w:hint="default" w:ascii="Arial" w:hAnsi="Arial" w:cs="Arial"/>
              <w:sz w:val="28"/>
              <w:szCs w:val="28"/>
              <w:lang w:val="en-GB"/>
            </w:rPr>
            <w:t>Introduction</w:t>
          </w:r>
          <w:r>
            <w:rPr>
              <w:rFonts w:hint="default" w:ascii="Arial" w:hAnsi="Arial" w:cs="Arial"/>
              <w:sz w:val="28"/>
              <w:szCs w:val="28"/>
            </w:rPr>
            <w:tab/>
          </w:r>
          <w:r>
            <w:rPr>
              <w:rFonts w:hint="default" w:ascii="Arial" w:hAnsi="Arial" w:cs="Arial"/>
              <w:sz w:val="28"/>
              <w:szCs w:val="28"/>
            </w:rPr>
            <w:fldChar w:fldCharType="begin"/>
          </w:r>
          <w:r>
            <w:rPr>
              <w:rFonts w:hint="default" w:ascii="Arial" w:hAnsi="Arial" w:cs="Arial"/>
              <w:sz w:val="28"/>
              <w:szCs w:val="28"/>
            </w:rPr>
            <w:instrText xml:space="preserve"> PAGEREF _Toc17417 \h </w:instrText>
          </w:r>
          <w:r>
            <w:rPr>
              <w:rFonts w:hint="default" w:ascii="Arial" w:hAnsi="Arial" w:cs="Arial"/>
              <w:sz w:val="28"/>
              <w:szCs w:val="28"/>
            </w:rPr>
            <w:fldChar w:fldCharType="separate"/>
          </w:r>
          <w:r>
            <w:rPr>
              <w:rFonts w:hint="default" w:ascii="Arial" w:hAnsi="Arial" w:cs="Arial"/>
              <w:sz w:val="28"/>
              <w:szCs w:val="28"/>
            </w:rPr>
            <w:t>2</w:t>
          </w:r>
          <w:r>
            <w:rPr>
              <w:rFonts w:hint="default" w:ascii="Arial" w:hAnsi="Arial" w:cs="Arial"/>
              <w:sz w:val="28"/>
              <w:szCs w:val="28"/>
            </w:rPr>
            <w:fldChar w:fldCharType="end"/>
          </w:r>
          <w:r>
            <w:rPr>
              <w:rFonts w:hint="default" w:ascii="Arial" w:hAnsi="Arial" w:cs="Arial"/>
              <w:bCs/>
              <w:color w:val="000000" w:themeColor="text1"/>
              <w:sz w:val="28"/>
              <w:szCs w:val="28"/>
              <w:lang w:val="en-GB"/>
              <w14:textFill>
                <w14:solidFill>
                  <w14:schemeClr w14:val="tx1"/>
                </w14:solidFill>
              </w14:textFill>
            </w:rPr>
            <w:fldChar w:fldCharType="end"/>
          </w:r>
        </w:p>
        <w:p>
          <w:pPr>
            <w:pStyle w:val="6"/>
            <w:tabs>
              <w:tab w:val="right" w:leader="dot" w:pos="8306"/>
            </w:tabs>
            <w:rPr>
              <w:rFonts w:hint="default" w:ascii="Arial" w:hAnsi="Arial" w:cs="Arial"/>
              <w:sz w:val="28"/>
              <w:szCs w:val="28"/>
            </w:rPr>
          </w:pPr>
          <w:r>
            <w:rPr>
              <w:rFonts w:hint="default" w:ascii="Arial" w:hAnsi="Arial" w:cs="Arial"/>
              <w:bCs/>
              <w:color w:val="000000" w:themeColor="text1"/>
              <w:sz w:val="28"/>
              <w:szCs w:val="28"/>
              <w:lang w:val="en-GB"/>
              <w14:textFill>
                <w14:solidFill>
                  <w14:schemeClr w14:val="tx1"/>
                </w14:solidFill>
              </w14:textFill>
            </w:rPr>
            <w:fldChar w:fldCharType="begin"/>
          </w:r>
          <w:r>
            <w:rPr>
              <w:rFonts w:hint="default" w:ascii="Arial" w:hAnsi="Arial" w:cs="Arial"/>
              <w:bCs/>
              <w:sz w:val="28"/>
              <w:szCs w:val="28"/>
              <w:lang w:val="en-GB"/>
            </w:rPr>
            <w:instrText xml:space="preserve"> HYPERLINK \l _Toc22656 </w:instrText>
          </w:r>
          <w:r>
            <w:rPr>
              <w:rFonts w:hint="default" w:ascii="Arial" w:hAnsi="Arial" w:cs="Arial"/>
              <w:bCs/>
              <w:sz w:val="28"/>
              <w:szCs w:val="28"/>
              <w:lang w:val="en-GB"/>
            </w:rPr>
            <w:fldChar w:fldCharType="separate"/>
          </w:r>
          <w:r>
            <w:rPr>
              <w:rFonts w:hint="default" w:ascii="Arial" w:hAnsi="Arial" w:eastAsia="宋体" w:cs="Arial"/>
              <w:sz w:val="28"/>
              <w:szCs w:val="28"/>
              <w:lang w:val="en-US" w:eastAsia="zh-CN"/>
            </w:rPr>
            <w:t xml:space="preserve">2.0 </w:t>
          </w:r>
          <w:r>
            <w:rPr>
              <w:rFonts w:hint="default" w:ascii="Arial" w:hAnsi="Arial" w:cs="Arial"/>
              <w:sz w:val="28"/>
              <w:szCs w:val="28"/>
              <w:lang w:val="en-GB"/>
            </w:rPr>
            <w:t>Japan as the chosen country</w:t>
          </w:r>
          <w:r>
            <w:rPr>
              <w:rFonts w:hint="default" w:ascii="Arial" w:hAnsi="Arial" w:cs="Arial"/>
              <w:sz w:val="28"/>
              <w:szCs w:val="28"/>
            </w:rPr>
            <w:tab/>
          </w:r>
          <w:r>
            <w:rPr>
              <w:rFonts w:hint="default" w:ascii="Arial" w:hAnsi="Arial" w:cs="Arial"/>
              <w:sz w:val="28"/>
              <w:szCs w:val="28"/>
            </w:rPr>
            <w:fldChar w:fldCharType="begin"/>
          </w:r>
          <w:r>
            <w:rPr>
              <w:rFonts w:hint="default" w:ascii="Arial" w:hAnsi="Arial" w:cs="Arial"/>
              <w:sz w:val="28"/>
              <w:szCs w:val="28"/>
            </w:rPr>
            <w:instrText xml:space="preserve"> PAGEREF _Toc22656 \h </w:instrText>
          </w:r>
          <w:r>
            <w:rPr>
              <w:rFonts w:hint="default" w:ascii="Arial" w:hAnsi="Arial" w:cs="Arial"/>
              <w:sz w:val="28"/>
              <w:szCs w:val="28"/>
            </w:rPr>
            <w:fldChar w:fldCharType="separate"/>
          </w:r>
          <w:r>
            <w:rPr>
              <w:rFonts w:hint="default" w:ascii="Arial" w:hAnsi="Arial" w:cs="Arial"/>
              <w:sz w:val="28"/>
              <w:szCs w:val="28"/>
            </w:rPr>
            <w:t>3</w:t>
          </w:r>
          <w:r>
            <w:rPr>
              <w:rFonts w:hint="default" w:ascii="Arial" w:hAnsi="Arial" w:cs="Arial"/>
              <w:sz w:val="28"/>
              <w:szCs w:val="28"/>
            </w:rPr>
            <w:fldChar w:fldCharType="end"/>
          </w:r>
          <w:r>
            <w:rPr>
              <w:rFonts w:hint="default" w:ascii="Arial" w:hAnsi="Arial" w:cs="Arial"/>
              <w:bCs/>
              <w:color w:val="000000" w:themeColor="text1"/>
              <w:sz w:val="28"/>
              <w:szCs w:val="28"/>
              <w:lang w:val="en-GB"/>
              <w14:textFill>
                <w14:solidFill>
                  <w14:schemeClr w14:val="tx1"/>
                </w14:solidFill>
              </w14:textFill>
            </w:rPr>
            <w:fldChar w:fldCharType="end"/>
          </w:r>
        </w:p>
        <w:p>
          <w:pPr>
            <w:pStyle w:val="7"/>
            <w:tabs>
              <w:tab w:val="right" w:leader="dot" w:pos="8306"/>
            </w:tabs>
            <w:rPr>
              <w:rFonts w:hint="default" w:ascii="Arial" w:hAnsi="Arial" w:cs="Arial"/>
              <w:sz w:val="28"/>
              <w:szCs w:val="28"/>
            </w:rPr>
          </w:pPr>
          <w:r>
            <w:rPr>
              <w:rFonts w:hint="default" w:ascii="Arial" w:hAnsi="Arial" w:cs="Arial"/>
              <w:bCs/>
              <w:color w:val="000000" w:themeColor="text1"/>
              <w:sz w:val="28"/>
              <w:szCs w:val="28"/>
              <w:lang w:val="en-GB"/>
              <w14:textFill>
                <w14:solidFill>
                  <w14:schemeClr w14:val="tx1"/>
                </w14:solidFill>
              </w14:textFill>
            </w:rPr>
            <w:fldChar w:fldCharType="begin"/>
          </w:r>
          <w:r>
            <w:rPr>
              <w:rFonts w:hint="default" w:ascii="Arial" w:hAnsi="Arial" w:cs="Arial"/>
              <w:bCs/>
              <w:sz w:val="28"/>
              <w:szCs w:val="28"/>
              <w:lang w:val="en-GB"/>
            </w:rPr>
            <w:instrText xml:space="preserve"> HYPERLINK \l _Toc25994 </w:instrText>
          </w:r>
          <w:r>
            <w:rPr>
              <w:rFonts w:hint="default" w:ascii="Arial" w:hAnsi="Arial" w:cs="Arial"/>
              <w:bCs/>
              <w:sz w:val="28"/>
              <w:szCs w:val="28"/>
              <w:lang w:val="en-GB"/>
            </w:rPr>
            <w:fldChar w:fldCharType="separate"/>
          </w:r>
          <w:r>
            <w:rPr>
              <w:rFonts w:hint="default" w:ascii="Arial" w:hAnsi="Arial" w:cs="Arial"/>
              <w:sz w:val="28"/>
              <w:szCs w:val="28"/>
              <w:lang w:val="en-US" w:eastAsia="zh-CN"/>
            </w:rPr>
            <w:t xml:space="preserve">2.1 </w:t>
          </w:r>
          <w:r>
            <w:rPr>
              <w:rFonts w:hint="default" w:ascii="Arial" w:hAnsi="Arial" w:cs="Arial"/>
              <w:sz w:val="28"/>
              <w:szCs w:val="28"/>
              <w:lang w:val="en-GB"/>
            </w:rPr>
            <w:t>Potential issues in the international business communication (IBC) situations</w:t>
          </w:r>
          <w:r>
            <w:rPr>
              <w:rFonts w:hint="default" w:ascii="Arial" w:hAnsi="Arial" w:cs="Arial"/>
              <w:sz w:val="28"/>
              <w:szCs w:val="28"/>
            </w:rPr>
            <w:tab/>
          </w:r>
          <w:r>
            <w:rPr>
              <w:rFonts w:hint="default" w:ascii="Arial" w:hAnsi="Arial" w:cs="Arial"/>
              <w:sz w:val="28"/>
              <w:szCs w:val="28"/>
            </w:rPr>
            <w:fldChar w:fldCharType="begin"/>
          </w:r>
          <w:r>
            <w:rPr>
              <w:rFonts w:hint="default" w:ascii="Arial" w:hAnsi="Arial" w:cs="Arial"/>
              <w:sz w:val="28"/>
              <w:szCs w:val="28"/>
            </w:rPr>
            <w:instrText xml:space="preserve"> PAGEREF _Toc25994 \h </w:instrText>
          </w:r>
          <w:r>
            <w:rPr>
              <w:rFonts w:hint="default" w:ascii="Arial" w:hAnsi="Arial" w:cs="Arial"/>
              <w:sz w:val="28"/>
              <w:szCs w:val="28"/>
            </w:rPr>
            <w:fldChar w:fldCharType="separate"/>
          </w:r>
          <w:r>
            <w:rPr>
              <w:rFonts w:hint="default" w:ascii="Arial" w:hAnsi="Arial" w:cs="Arial"/>
              <w:sz w:val="28"/>
              <w:szCs w:val="28"/>
            </w:rPr>
            <w:t>3</w:t>
          </w:r>
          <w:r>
            <w:rPr>
              <w:rFonts w:hint="default" w:ascii="Arial" w:hAnsi="Arial" w:cs="Arial"/>
              <w:sz w:val="28"/>
              <w:szCs w:val="28"/>
            </w:rPr>
            <w:fldChar w:fldCharType="end"/>
          </w:r>
          <w:r>
            <w:rPr>
              <w:rFonts w:hint="default" w:ascii="Arial" w:hAnsi="Arial" w:cs="Arial"/>
              <w:bCs/>
              <w:color w:val="000000" w:themeColor="text1"/>
              <w:sz w:val="28"/>
              <w:szCs w:val="28"/>
              <w:lang w:val="en-GB"/>
              <w14:textFill>
                <w14:solidFill>
                  <w14:schemeClr w14:val="tx1"/>
                </w14:solidFill>
              </w14:textFill>
            </w:rPr>
            <w:fldChar w:fldCharType="end"/>
          </w:r>
        </w:p>
        <w:p>
          <w:pPr>
            <w:pStyle w:val="7"/>
            <w:tabs>
              <w:tab w:val="right" w:leader="dot" w:pos="8306"/>
            </w:tabs>
            <w:rPr>
              <w:rFonts w:hint="default" w:ascii="Arial" w:hAnsi="Arial" w:cs="Arial"/>
              <w:sz w:val="28"/>
              <w:szCs w:val="28"/>
            </w:rPr>
          </w:pPr>
          <w:r>
            <w:rPr>
              <w:rFonts w:hint="default" w:ascii="Arial" w:hAnsi="Arial" w:cs="Arial"/>
              <w:bCs/>
              <w:color w:val="000000" w:themeColor="text1"/>
              <w:sz w:val="28"/>
              <w:szCs w:val="28"/>
              <w:lang w:val="en-GB"/>
              <w14:textFill>
                <w14:solidFill>
                  <w14:schemeClr w14:val="tx1"/>
                </w14:solidFill>
              </w14:textFill>
            </w:rPr>
            <w:fldChar w:fldCharType="begin"/>
          </w:r>
          <w:r>
            <w:rPr>
              <w:rFonts w:hint="default" w:ascii="Arial" w:hAnsi="Arial" w:cs="Arial"/>
              <w:bCs/>
              <w:sz w:val="28"/>
              <w:szCs w:val="28"/>
              <w:lang w:val="en-GB"/>
            </w:rPr>
            <w:instrText xml:space="preserve"> HYPERLINK \l _Toc4621 </w:instrText>
          </w:r>
          <w:r>
            <w:rPr>
              <w:rFonts w:hint="default" w:ascii="Arial" w:hAnsi="Arial" w:cs="Arial"/>
              <w:bCs/>
              <w:sz w:val="28"/>
              <w:szCs w:val="28"/>
              <w:lang w:val="en-GB"/>
            </w:rPr>
            <w:fldChar w:fldCharType="separate"/>
          </w:r>
          <w:r>
            <w:rPr>
              <w:rFonts w:hint="default" w:ascii="Arial" w:hAnsi="Arial" w:cs="Arial"/>
              <w:sz w:val="28"/>
              <w:szCs w:val="28"/>
              <w:lang w:val="en-US" w:eastAsia="zh-CN"/>
            </w:rPr>
            <w:t xml:space="preserve">2.2 </w:t>
          </w:r>
          <w:r>
            <w:rPr>
              <w:rFonts w:hint="default" w:ascii="Arial" w:hAnsi="Arial" w:cs="Arial"/>
              <w:sz w:val="28"/>
              <w:szCs w:val="28"/>
              <w:lang w:val="en-GB"/>
            </w:rPr>
            <w:t>Critical analysis of the strategies to overcome the international business communication barriers</w:t>
          </w:r>
          <w:r>
            <w:rPr>
              <w:rFonts w:hint="default" w:ascii="Arial" w:hAnsi="Arial" w:cs="Arial"/>
              <w:sz w:val="28"/>
              <w:szCs w:val="28"/>
            </w:rPr>
            <w:tab/>
          </w:r>
          <w:r>
            <w:rPr>
              <w:rFonts w:hint="default" w:ascii="Arial" w:hAnsi="Arial" w:cs="Arial"/>
              <w:sz w:val="28"/>
              <w:szCs w:val="28"/>
            </w:rPr>
            <w:fldChar w:fldCharType="begin"/>
          </w:r>
          <w:r>
            <w:rPr>
              <w:rFonts w:hint="default" w:ascii="Arial" w:hAnsi="Arial" w:cs="Arial"/>
              <w:sz w:val="28"/>
              <w:szCs w:val="28"/>
            </w:rPr>
            <w:instrText xml:space="preserve"> PAGEREF _Toc4621 \h </w:instrText>
          </w:r>
          <w:r>
            <w:rPr>
              <w:rFonts w:hint="default" w:ascii="Arial" w:hAnsi="Arial" w:cs="Arial"/>
              <w:sz w:val="28"/>
              <w:szCs w:val="28"/>
            </w:rPr>
            <w:fldChar w:fldCharType="separate"/>
          </w:r>
          <w:r>
            <w:rPr>
              <w:rFonts w:hint="default" w:ascii="Arial" w:hAnsi="Arial" w:cs="Arial"/>
              <w:sz w:val="28"/>
              <w:szCs w:val="28"/>
            </w:rPr>
            <w:t>5</w:t>
          </w:r>
          <w:r>
            <w:rPr>
              <w:rFonts w:hint="default" w:ascii="Arial" w:hAnsi="Arial" w:cs="Arial"/>
              <w:sz w:val="28"/>
              <w:szCs w:val="28"/>
            </w:rPr>
            <w:fldChar w:fldCharType="end"/>
          </w:r>
          <w:r>
            <w:rPr>
              <w:rFonts w:hint="default" w:ascii="Arial" w:hAnsi="Arial" w:cs="Arial"/>
              <w:bCs/>
              <w:color w:val="000000" w:themeColor="text1"/>
              <w:sz w:val="28"/>
              <w:szCs w:val="28"/>
              <w:lang w:val="en-GB"/>
              <w14:textFill>
                <w14:solidFill>
                  <w14:schemeClr w14:val="tx1"/>
                </w14:solidFill>
              </w14:textFill>
            </w:rPr>
            <w:fldChar w:fldCharType="end"/>
          </w:r>
        </w:p>
        <w:p>
          <w:pPr>
            <w:pStyle w:val="6"/>
            <w:tabs>
              <w:tab w:val="right" w:leader="dot" w:pos="8306"/>
            </w:tabs>
            <w:rPr>
              <w:rFonts w:hint="default" w:ascii="Arial" w:hAnsi="Arial" w:cs="Arial"/>
              <w:sz w:val="28"/>
              <w:szCs w:val="28"/>
            </w:rPr>
          </w:pPr>
          <w:r>
            <w:rPr>
              <w:rFonts w:hint="default" w:ascii="Arial" w:hAnsi="Arial" w:cs="Arial"/>
              <w:bCs/>
              <w:color w:val="000000" w:themeColor="text1"/>
              <w:sz w:val="28"/>
              <w:szCs w:val="28"/>
              <w:lang w:val="en-GB"/>
              <w14:textFill>
                <w14:solidFill>
                  <w14:schemeClr w14:val="tx1"/>
                </w14:solidFill>
              </w14:textFill>
            </w:rPr>
            <w:fldChar w:fldCharType="begin"/>
          </w:r>
          <w:r>
            <w:rPr>
              <w:rFonts w:hint="default" w:ascii="Arial" w:hAnsi="Arial" w:cs="Arial"/>
              <w:bCs/>
              <w:sz w:val="28"/>
              <w:szCs w:val="28"/>
              <w:lang w:val="en-GB"/>
            </w:rPr>
            <w:instrText xml:space="preserve"> HYPERLINK \l _Toc14546 </w:instrText>
          </w:r>
          <w:r>
            <w:rPr>
              <w:rFonts w:hint="default" w:ascii="Arial" w:hAnsi="Arial" w:cs="Arial"/>
              <w:bCs/>
              <w:sz w:val="28"/>
              <w:szCs w:val="28"/>
              <w:lang w:val="en-GB"/>
            </w:rPr>
            <w:fldChar w:fldCharType="separate"/>
          </w:r>
          <w:r>
            <w:rPr>
              <w:rFonts w:hint="default" w:ascii="Arial" w:hAnsi="Arial" w:eastAsia="宋体" w:cs="Arial"/>
              <w:sz w:val="28"/>
              <w:szCs w:val="28"/>
              <w:lang w:val="en-US" w:eastAsia="zh-CN"/>
            </w:rPr>
            <w:t xml:space="preserve">3.0 </w:t>
          </w:r>
          <w:r>
            <w:rPr>
              <w:rFonts w:hint="default" w:ascii="Arial" w:hAnsi="Arial" w:cs="Arial"/>
              <w:sz w:val="28"/>
              <w:szCs w:val="28"/>
              <w:lang w:val="en-GB"/>
            </w:rPr>
            <w:t>Conclusion</w:t>
          </w:r>
          <w:r>
            <w:rPr>
              <w:rFonts w:hint="default" w:ascii="Arial" w:hAnsi="Arial" w:cs="Arial"/>
              <w:sz w:val="28"/>
              <w:szCs w:val="28"/>
            </w:rPr>
            <w:tab/>
          </w:r>
          <w:r>
            <w:rPr>
              <w:rFonts w:hint="default" w:ascii="Arial" w:hAnsi="Arial" w:cs="Arial"/>
              <w:sz w:val="28"/>
              <w:szCs w:val="28"/>
            </w:rPr>
            <w:fldChar w:fldCharType="begin"/>
          </w:r>
          <w:r>
            <w:rPr>
              <w:rFonts w:hint="default" w:ascii="Arial" w:hAnsi="Arial" w:cs="Arial"/>
              <w:sz w:val="28"/>
              <w:szCs w:val="28"/>
            </w:rPr>
            <w:instrText xml:space="preserve"> PAGEREF _Toc14546 \h </w:instrText>
          </w:r>
          <w:r>
            <w:rPr>
              <w:rFonts w:hint="default" w:ascii="Arial" w:hAnsi="Arial" w:cs="Arial"/>
              <w:sz w:val="28"/>
              <w:szCs w:val="28"/>
            </w:rPr>
            <w:fldChar w:fldCharType="separate"/>
          </w:r>
          <w:r>
            <w:rPr>
              <w:rFonts w:hint="default" w:ascii="Arial" w:hAnsi="Arial" w:cs="Arial"/>
              <w:sz w:val="28"/>
              <w:szCs w:val="28"/>
            </w:rPr>
            <w:t>8</w:t>
          </w:r>
          <w:r>
            <w:rPr>
              <w:rFonts w:hint="default" w:ascii="Arial" w:hAnsi="Arial" w:cs="Arial"/>
              <w:sz w:val="28"/>
              <w:szCs w:val="28"/>
            </w:rPr>
            <w:fldChar w:fldCharType="end"/>
          </w:r>
          <w:r>
            <w:rPr>
              <w:rFonts w:hint="default" w:ascii="Arial" w:hAnsi="Arial" w:cs="Arial"/>
              <w:bCs/>
              <w:color w:val="000000" w:themeColor="text1"/>
              <w:sz w:val="28"/>
              <w:szCs w:val="28"/>
              <w:lang w:val="en-GB"/>
              <w14:textFill>
                <w14:solidFill>
                  <w14:schemeClr w14:val="tx1"/>
                </w14:solidFill>
              </w14:textFill>
            </w:rPr>
            <w:fldChar w:fldCharType="end"/>
          </w:r>
        </w:p>
        <w:p>
          <w:pPr>
            <w:pStyle w:val="6"/>
            <w:tabs>
              <w:tab w:val="right" w:leader="dot" w:pos="8306"/>
            </w:tabs>
            <w:rPr>
              <w:rFonts w:hint="default" w:ascii="Arial" w:hAnsi="Arial" w:cs="Arial"/>
              <w:sz w:val="28"/>
              <w:szCs w:val="28"/>
            </w:rPr>
          </w:pPr>
          <w:r>
            <w:rPr>
              <w:rFonts w:hint="default" w:ascii="Arial" w:hAnsi="Arial" w:cs="Arial"/>
              <w:bCs/>
              <w:color w:val="000000" w:themeColor="text1"/>
              <w:sz w:val="28"/>
              <w:szCs w:val="28"/>
              <w:lang w:val="en-GB"/>
              <w14:textFill>
                <w14:solidFill>
                  <w14:schemeClr w14:val="tx1"/>
                </w14:solidFill>
              </w14:textFill>
            </w:rPr>
            <w:fldChar w:fldCharType="begin"/>
          </w:r>
          <w:r>
            <w:rPr>
              <w:rFonts w:hint="default" w:ascii="Arial" w:hAnsi="Arial" w:cs="Arial"/>
              <w:bCs/>
              <w:sz w:val="28"/>
              <w:szCs w:val="28"/>
              <w:lang w:val="en-GB"/>
            </w:rPr>
            <w:instrText xml:space="preserve"> HYPERLINK \l _Toc2564 </w:instrText>
          </w:r>
          <w:r>
            <w:rPr>
              <w:rFonts w:hint="default" w:ascii="Arial" w:hAnsi="Arial" w:cs="Arial"/>
              <w:bCs/>
              <w:sz w:val="28"/>
              <w:szCs w:val="28"/>
              <w:lang w:val="en-GB"/>
            </w:rPr>
            <w:fldChar w:fldCharType="separate"/>
          </w:r>
          <w:r>
            <w:rPr>
              <w:rFonts w:hint="default" w:ascii="Arial" w:hAnsi="Arial" w:eastAsia="宋体" w:cs="Arial"/>
              <w:sz w:val="28"/>
              <w:szCs w:val="28"/>
              <w:lang w:val="en-US" w:eastAsia="zh-CN"/>
            </w:rPr>
            <w:t xml:space="preserve">4.0 </w:t>
          </w:r>
          <w:r>
            <w:rPr>
              <w:rFonts w:hint="default" w:ascii="Arial" w:hAnsi="Arial" w:cs="Arial"/>
              <w:sz w:val="28"/>
              <w:szCs w:val="28"/>
              <w:lang w:val="en-GB"/>
            </w:rPr>
            <w:t>Recommendations</w:t>
          </w:r>
          <w:r>
            <w:rPr>
              <w:rFonts w:hint="default" w:ascii="Arial" w:hAnsi="Arial" w:cs="Arial"/>
              <w:sz w:val="28"/>
              <w:szCs w:val="28"/>
            </w:rPr>
            <w:tab/>
          </w:r>
          <w:r>
            <w:rPr>
              <w:rFonts w:hint="default" w:ascii="Arial" w:hAnsi="Arial" w:cs="Arial"/>
              <w:sz w:val="28"/>
              <w:szCs w:val="28"/>
            </w:rPr>
            <w:fldChar w:fldCharType="begin"/>
          </w:r>
          <w:r>
            <w:rPr>
              <w:rFonts w:hint="default" w:ascii="Arial" w:hAnsi="Arial" w:cs="Arial"/>
              <w:sz w:val="28"/>
              <w:szCs w:val="28"/>
            </w:rPr>
            <w:instrText xml:space="preserve"> PAGEREF _Toc2564 \h </w:instrText>
          </w:r>
          <w:r>
            <w:rPr>
              <w:rFonts w:hint="default" w:ascii="Arial" w:hAnsi="Arial" w:cs="Arial"/>
              <w:sz w:val="28"/>
              <w:szCs w:val="28"/>
            </w:rPr>
            <w:fldChar w:fldCharType="separate"/>
          </w:r>
          <w:r>
            <w:rPr>
              <w:rFonts w:hint="default" w:ascii="Arial" w:hAnsi="Arial" w:cs="Arial"/>
              <w:sz w:val="28"/>
              <w:szCs w:val="28"/>
            </w:rPr>
            <w:t>9</w:t>
          </w:r>
          <w:r>
            <w:rPr>
              <w:rFonts w:hint="default" w:ascii="Arial" w:hAnsi="Arial" w:cs="Arial"/>
              <w:sz w:val="28"/>
              <w:szCs w:val="28"/>
            </w:rPr>
            <w:fldChar w:fldCharType="end"/>
          </w:r>
          <w:r>
            <w:rPr>
              <w:rFonts w:hint="default" w:ascii="Arial" w:hAnsi="Arial" w:cs="Arial"/>
              <w:bCs/>
              <w:color w:val="000000" w:themeColor="text1"/>
              <w:sz w:val="28"/>
              <w:szCs w:val="28"/>
              <w:lang w:val="en-GB"/>
              <w14:textFill>
                <w14:solidFill>
                  <w14:schemeClr w14:val="tx1"/>
                </w14:solidFill>
              </w14:textFill>
            </w:rPr>
            <w:fldChar w:fldCharType="end"/>
          </w:r>
        </w:p>
        <w:p>
          <w:pPr>
            <w:pStyle w:val="6"/>
            <w:tabs>
              <w:tab w:val="right" w:leader="dot" w:pos="8306"/>
            </w:tabs>
            <w:rPr>
              <w:rFonts w:hint="default" w:ascii="Arial" w:hAnsi="Arial" w:cs="Arial"/>
              <w:sz w:val="28"/>
              <w:szCs w:val="28"/>
            </w:rPr>
          </w:pPr>
          <w:r>
            <w:rPr>
              <w:rFonts w:hint="default" w:ascii="Arial" w:hAnsi="Arial" w:cs="Arial"/>
              <w:bCs/>
              <w:color w:val="000000" w:themeColor="text1"/>
              <w:sz w:val="28"/>
              <w:szCs w:val="28"/>
              <w:lang w:val="en-GB"/>
              <w14:textFill>
                <w14:solidFill>
                  <w14:schemeClr w14:val="tx1"/>
                </w14:solidFill>
              </w14:textFill>
            </w:rPr>
            <w:fldChar w:fldCharType="begin"/>
          </w:r>
          <w:r>
            <w:rPr>
              <w:rFonts w:hint="default" w:ascii="Arial" w:hAnsi="Arial" w:cs="Arial"/>
              <w:bCs/>
              <w:sz w:val="28"/>
              <w:szCs w:val="28"/>
              <w:lang w:val="en-GB"/>
            </w:rPr>
            <w:instrText xml:space="preserve"> HYPERLINK \l _Toc9884 </w:instrText>
          </w:r>
          <w:r>
            <w:rPr>
              <w:rFonts w:hint="default" w:ascii="Arial" w:hAnsi="Arial" w:cs="Arial"/>
              <w:bCs/>
              <w:sz w:val="28"/>
              <w:szCs w:val="28"/>
              <w:lang w:val="en-GB"/>
            </w:rPr>
            <w:fldChar w:fldCharType="separate"/>
          </w:r>
          <w:r>
            <w:rPr>
              <w:rFonts w:hint="default" w:ascii="Arial" w:hAnsi="Arial" w:eastAsia="宋体" w:cs="Arial"/>
              <w:sz w:val="28"/>
              <w:szCs w:val="28"/>
              <w:lang w:val="en-US" w:eastAsia="zh-CN"/>
            </w:rPr>
            <w:t xml:space="preserve">5.0 </w:t>
          </w:r>
          <w:r>
            <w:rPr>
              <w:rFonts w:hint="default" w:ascii="Arial" w:hAnsi="Arial" w:cs="Arial"/>
              <w:sz w:val="28"/>
              <w:szCs w:val="28"/>
              <w:lang w:val="en-GB"/>
            </w:rPr>
            <w:t>Reference</w:t>
          </w:r>
          <w:r>
            <w:rPr>
              <w:rFonts w:hint="default" w:ascii="Arial" w:hAnsi="Arial" w:cs="Arial"/>
              <w:sz w:val="28"/>
              <w:szCs w:val="28"/>
            </w:rPr>
            <w:tab/>
          </w:r>
          <w:r>
            <w:rPr>
              <w:rFonts w:hint="default" w:ascii="Arial" w:hAnsi="Arial" w:cs="Arial"/>
              <w:sz w:val="28"/>
              <w:szCs w:val="28"/>
            </w:rPr>
            <w:fldChar w:fldCharType="begin"/>
          </w:r>
          <w:r>
            <w:rPr>
              <w:rFonts w:hint="default" w:ascii="Arial" w:hAnsi="Arial" w:cs="Arial"/>
              <w:sz w:val="28"/>
              <w:szCs w:val="28"/>
            </w:rPr>
            <w:instrText xml:space="preserve"> PAGEREF _Toc9884 \h </w:instrText>
          </w:r>
          <w:r>
            <w:rPr>
              <w:rFonts w:hint="default" w:ascii="Arial" w:hAnsi="Arial" w:cs="Arial"/>
              <w:sz w:val="28"/>
              <w:szCs w:val="28"/>
            </w:rPr>
            <w:fldChar w:fldCharType="separate"/>
          </w:r>
          <w:r>
            <w:rPr>
              <w:rFonts w:hint="default" w:ascii="Arial" w:hAnsi="Arial" w:cs="Arial"/>
              <w:sz w:val="28"/>
              <w:szCs w:val="28"/>
            </w:rPr>
            <w:t>11</w:t>
          </w:r>
          <w:r>
            <w:rPr>
              <w:rFonts w:hint="default" w:ascii="Arial" w:hAnsi="Arial" w:cs="Arial"/>
              <w:sz w:val="28"/>
              <w:szCs w:val="28"/>
            </w:rPr>
            <w:fldChar w:fldCharType="end"/>
          </w:r>
          <w:r>
            <w:rPr>
              <w:rFonts w:hint="default" w:ascii="Arial" w:hAnsi="Arial" w:cs="Arial"/>
              <w:bCs/>
              <w:color w:val="000000" w:themeColor="text1"/>
              <w:sz w:val="28"/>
              <w:szCs w:val="28"/>
              <w:lang w:val="en-GB"/>
              <w14:textFill>
                <w14:solidFill>
                  <w14:schemeClr w14:val="tx1"/>
                </w14:solidFill>
              </w14:textFill>
            </w:rPr>
            <w:fldChar w:fldCharType="end"/>
          </w:r>
        </w:p>
        <w:p>
          <w:pPr>
            <w:rPr>
              <w:rFonts w:hint="default" w:ascii="Arial" w:hAnsi="Arial" w:eastAsia="Arial" w:cs="Arial"/>
              <w:b w:val="0"/>
              <w:bCs w:val="0"/>
              <w:color w:val="000000" w:themeColor="text1"/>
              <w:sz w:val="22"/>
              <w:szCs w:val="22"/>
              <w:lang w:val="en-GB" w:eastAsia="en-US"/>
              <w14:textFill>
                <w14:solidFill>
                  <w14:schemeClr w14:val="tx1"/>
                </w14:solidFill>
              </w14:textFill>
            </w:rPr>
          </w:pPr>
          <w:r>
            <w:rPr>
              <w:rFonts w:hint="default" w:ascii="Arial" w:hAnsi="Arial" w:cs="Arial"/>
              <w:bCs/>
              <w:color w:val="000000" w:themeColor="text1"/>
              <w:sz w:val="28"/>
              <w:szCs w:val="28"/>
              <w:lang w:val="en-GB"/>
              <w14:textFill>
                <w14:solidFill>
                  <w14:schemeClr w14:val="tx1"/>
                </w14:solidFill>
              </w14:textFill>
            </w:rPr>
            <w:fldChar w:fldCharType="end"/>
          </w:r>
        </w:p>
      </w:sdtContent>
    </w:sdt>
    <w:p>
      <w:pPr>
        <w:pStyle w:val="2"/>
        <w:bidi w:val="0"/>
        <w:rPr>
          <w:rFonts w:hint="default" w:ascii="Arial" w:hAnsi="Arial" w:cs="Arial"/>
          <w:b/>
          <w:bCs w:val="0"/>
          <w:lang w:val="en-GB"/>
        </w:rPr>
        <w:sectPr>
          <w:pgSz w:w="11906" w:h="16838"/>
          <w:pgMar w:top="1440" w:right="1800" w:bottom="1440" w:left="1800" w:header="851" w:footer="992" w:gutter="0"/>
          <w:cols w:space="425" w:num="1"/>
          <w:docGrid w:type="lines" w:linePitch="312" w:charSpace="0"/>
        </w:sectPr>
      </w:pPr>
    </w:p>
    <w:p>
      <w:pPr>
        <w:pStyle w:val="2"/>
        <w:bidi w:val="0"/>
        <w:rPr>
          <w:rFonts w:hint="default" w:ascii="Arial" w:hAnsi="Arial" w:cs="Arial"/>
          <w:b/>
          <w:bCs w:val="0"/>
          <w:lang w:val="en-GB"/>
        </w:rPr>
      </w:pPr>
      <w:bookmarkStart w:id="0" w:name="_Toc22370"/>
      <w:r>
        <w:rPr>
          <w:rFonts w:hint="default" w:ascii="Arial" w:hAnsi="Arial" w:cs="Arial"/>
          <w:b/>
          <w:bCs w:val="0"/>
          <w:lang w:val="en-GB"/>
        </w:rPr>
        <w:t>Executive summary</w:t>
      </w:r>
      <w:bookmarkEnd w:id="0"/>
    </w:p>
    <w:p>
      <w:pPr>
        <w:spacing w:before="240" w:after="240" w:line="360" w:lineRule="auto"/>
        <w:jc w:val="both"/>
        <w:rPr>
          <w:rFonts w:hint="default" w:ascii="Arial" w:hAnsi="Arial" w:cs="Arial"/>
          <w:color w:val="000000" w:themeColor="text1"/>
          <w:lang w:val="en-GB"/>
          <w14:textFill>
            <w14:solidFill>
              <w14:schemeClr w14:val="tx1"/>
            </w14:solidFill>
          </w14:textFill>
        </w:rPr>
      </w:pPr>
      <w:r>
        <w:rPr>
          <w:rFonts w:hint="default" w:ascii="Arial" w:hAnsi="Arial" w:cs="Arial"/>
          <w:color w:val="000000" w:themeColor="text1"/>
          <w:sz w:val="24"/>
          <w:szCs w:val="24"/>
          <w:lang w:val="en-GB"/>
          <w14:textFill>
            <w14:solidFill>
              <w14:schemeClr w14:val="tx1"/>
            </w14:solidFill>
          </w14:textFill>
        </w:rPr>
        <w:t xml:space="preserve">Regular business communication and international business communication are comparable. The fact that it happens in different cultures is the sole distinction. International business communication differs considerably from typical business communication due to the vast differences in cultural conventions, attitudes, and expectations across nations. As an Asian nation where traditional traditions are actively upheld, it has been discovered that picking Japan as a country increases the likelihood of encountering difficulties and commercial troubles. Several international business communications has been discussed that multinational companies may face during entering in the Japan market and conduct business efficiently. Although, in the end effective strategies and some recommendations have been provided on how the companies can efficiently overcome their international communication challenges to grow successfully by understanding Japanese people. </w:t>
      </w:r>
      <w:r>
        <w:rPr>
          <w:rFonts w:hint="default" w:ascii="Arial" w:hAnsi="Arial" w:cs="Arial"/>
          <w:color w:val="000000" w:themeColor="text1"/>
          <w:sz w:val="24"/>
          <w:szCs w:val="24"/>
          <w:lang w:val="en-GB"/>
          <w14:textFill>
            <w14:solidFill>
              <w14:schemeClr w14:val="tx1"/>
            </w14:solidFill>
          </w14:textFill>
        </w:rPr>
        <w:br w:type="page"/>
      </w:r>
    </w:p>
    <w:p>
      <w:pPr>
        <w:pStyle w:val="2"/>
        <w:bidi w:val="0"/>
        <w:rPr>
          <w:rFonts w:hint="default" w:ascii="Arial" w:hAnsi="Arial" w:cs="Arial"/>
          <w:lang w:val="en-GB"/>
        </w:rPr>
      </w:pPr>
      <w:bookmarkStart w:id="1" w:name="_Toc17417"/>
      <w:r>
        <w:rPr>
          <w:rFonts w:hint="eastAsia" w:ascii="Arial" w:hAnsi="Arial" w:eastAsia="宋体" w:cs="Arial"/>
          <w:lang w:val="en-US" w:eastAsia="zh-CN"/>
        </w:rPr>
        <w:t xml:space="preserve">1.0 </w:t>
      </w:r>
      <w:r>
        <w:rPr>
          <w:rFonts w:hint="default" w:ascii="Arial" w:hAnsi="Arial" w:cs="Arial"/>
          <w:lang w:val="en-GB"/>
        </w:rPr>
        <w:t>Introduction</w:t>
      </w:r>
      <w:bookmarkEnd w:id="1"/>
    </w:p>
    <w:p>
      <w:pPr>
        <w:pStyle w:val="12"/>
        <w:spacing w:line="360" w:lineRule="auto"/>
        <w:jc w:val="both"/>
        <w:rPr>
          <w:rFonts w:hint="default" w:ascii="Arial" w:hAnsi="Arial" w:cs="Arial"/>
          <w:color w:val="000000" w:themeColor="text1"/>
          <w:sz w:val="24"/>
          <w:szCs w:val="24"/>
          <w:lang w:val="en-GB"/>
          <w14:textFill>
            <w14:solidFill>
              <w14:schemeClr w14:val="tx1"/>
            </w14:solidFill>
          </w14:textFill>
        </w:rPr>
      </w:pPr>
      <w:r>
        <w:rPr>
          <w:rFonts w:hint="default" w:ascii="Arial" w:hAnsi="Arial" w:cs="Arial"/>
          <w:color w:val="000000" w:themeColor="text1"/>
          <w:sz w:val="24"/>
          <w:szCs w:val="24"/>
          <w:lang w:val="en-GB"/>
          <w14:textFill>
            <w14:solidFill>
              <w14:schemeClr w14:val="tx1"/>
            </w14:solidFill>
          </w14:textFill>
        </w:rPr>
        <w:t>International business communication is not much different from regular business communication. The only difference is that it occurs across various cultures. International business communication is somewhat difficult from regular business communication as cultural norms, beliefs, and expectations differ hugely from country to country. International business communication is essential for global organisations due to globalisation's rising influence and effects on corporate business. For business success at the international level, efficient communication between global business partners is crucial. National and organisational cultural differences are the significant underlying factors in international business communication. These factors mostly create barriers to effective global communication and hamper the business performance of global multinational companies. International business communication is the communication between various nations, but it is clear that it affects the global implementation of most international organisations. Culture is a critical dimension in international business communication, as cultural differences create barriers in the global communication process. A culture profoundly affects the process in which people think, make communication, and behave. Hence, international business communication faces cross-cultural problems and not only cross-border issues. Understanding cultural difference is crucial as it affects how global and cross-cultural team interplay and cooperate. It also affects the values in the business world, decision-making process, business practices, policies, thinking patterns, and etiquette. A reflective essay will explain the potential issues in international business communication, and the strategies will be described to mitigate those issues.</w:t>
      </w:r>
    </w:p>
    <w:p>
      <w:pPr>
        <w:pStyle w:val="2"/>
        <w:rPr>
          <w:rFonts w:hint="default" w:ascii="Arial" w:hAnsi="Arial" w:cs="Arial"/>
          <w:color w:val="000000" w:themeColor="text1"/>
          <w:lang w:val="en-GB"/>
          <w14:textFill>
            <w14:solidFill>
              <w14:schemeClr w14:val="tx1"/>
            </w14:solidFill>
          </w14:textFill>
        </w:rPr>
      </w:pPr>
      <w:bookmarkStart w:id="2" w:name="_Toc22656"/>
      <w:r>
        <w:rPr>
          <w:rFonts w:hint="eastAsia" w:ascii="Arial" w:hAnsi="Arial" w:eastAsia="宋体" w:cs="Arial"/>
          <w:color w:val="000000" w:themeColor="text1"/>
          <w:lang w:val="en-US" w:eastAsia="zh-CN"/>
          <w14:textFill>
            <w14:solidFill>
              <w14:schemeClr w14:val="tx1"/>
            </w14:solidFill>
          </w14:textFill>
        </w:rPr>
        <w:t xml:space="preserve">2.0 </w:t>
      </w:r>
      <w:r>
        <w:rPr>
          <w:rFonts w:hint="default" w:ascii="Arial" w:hAnsi="Arial" w:cs="Arial"/>
          <w:color w:val="000000" w:themeColor="text1"/>
          <w:lang w:val="en-GB"/>
          <w14:textFill>
            <w14:solidFill>
              <w14:schemeClr w14:val="tx1"/>
            </w14:solidFill>
          </w14:textFill>
        </w:rPr>
        <w:t>Japan as the chosen country</w:t>
      </w:r>
      <w:bookmarkEnd w:id="2"/>
      <w:r>
        <w:rPr>
          <w:rFonts w:hint="default" w:ascii="Arial" w:hAnsi="Arial" w:cs="Arial"/>
          <w:color w:val="000000" w:themeColor="text1"/>
          <w:lang w:val="en-GB"/>
          <w14:textFill>
            <w14:solidFill>
              <w14:schemeClr w14:val="tx1"/>
            </w14:solidFill>
          </w14:textFill>
        </w:rPr>
        <w:t xml:space="preserve"> </w:t>
      </w:r>
    </w:p>
    <w:p>
      <w:pPr>
        <w:pStyle w:val="12"/>
        <w:spacing w:line="360" w:lineRule="auto"/>
        <w:jc w:val="both"/>
        <w:rPr>
          <w:rFonts w:hint="default" w:ascii="Arial" w:hAnsi="Arial" w:cs="Arial"/>
          <w:color w:val="000000" w:themeColor="text1"/>
          <w:sz w:val="24"/>
          <w:szCs w:val="24"/>
          <w:lang w:val="en-GB"/>
          <w14:textFill>
            <w14:solidFill>
              <w14:schemeClr w14:val="tx1"/>
            </w14:solidFill>
          </w14:textFill>
        </w:rPr>
      </w:pPr>
      <w:r>
        <w:rPr>
          <w:rFonts w:hint="default" w:ascii="Arial" w:hAnsi="Arial" w:cs="Arial"/>
          <w:color w:val="000000" w:themeColor="text1"/>
          <w:sz w:val="24"/>
          <w:szCs w:val="24"/>
          <w:lang w:val="en-GB"/>
          <w14:textFill>
            <w14:solidFill>
              <w14:schemeClr w14:val="tx1"/>
            </w14:solidFill>
          </w14:textFill>
        </w:rPr>
        <w:t>Japan has been chosen for this study as it is an Asian country, and I think the social, religious, and traditional beliefs and thinking are different from the UK. UK companies have both massive business opportunities and challenges</w:t>
      </w:r>
      <w:r>
        <w:rPr>
          <w:rFonts w:hint="default" w:ascii="Arial" w:hAnsi="Arial" w:cs="Arial"/>
          <w:color w:val="FF0000"/>
          <w:sz w:val="24"/>
          <w:szCs w:val="24"/>
          <w:lang w:val="en-GB"/>
        </w:rPr>
        <w:t xml:space="preserve"> (</w:t>
      </w:r>
      <w:r>
        <w:rPr>
          <w:rFonts w:hint="default" w:ascii="Arial" w:hAnsi="Arial" w:cs="Arial"/>
          <w:color w:val="000000" w:themeColor="text1"/>
          <w:sz w:val="24"/>
          <w:szCs w:val="24"/>
          <w:shd w:val="clear" w:color="auto" w:fill="FFFFFF"/>
          <w:lang w:val="en-GB"/>
          <w14:textFill>
            <w14:solidFill>
              <w14:schemeClr w14:val="tx1"/>
            </w14:solidFill>
          </w14:textFill>
        </w:rPr>
        <w:t xml:space="preserve">Ahl </w:t>
      </w:r>
      <w:r>
        <w:rPr>
          <w:rFonts w:hint="default" w:ascii="Arial" w:hAnsi="Arial" w:cs="Arial"/>
          <w:i/>
          <w:color w:val="000000" w:themeColor="text1"/>
          <w:sz w:val="24"/>
          <w:szCs w:val="24"/>
          <w:shd w:val="clear" w:color="auto" w:fill="FFFFFF"/>
          <w:lang w:val="en-GB"/>
          <w14:textFill>
            <w14:solidFill>
              <w14:schemeClr w14:val="tx1"/>
            </w14:solidFill>
          </w14:textFill>
        </w:rPr>
        <w:t>et al.</w:t>
      </w:r>
      <w:r>
        <w:rPr>
          <w:rFonts w:hint="default" w:ascii="Arial" w:hAnsi="Arial" w:cs="Arial"/>
          <w:color w:val="000000" w:themeColor="text1"/>
          <w:sz w:val="24"/>
          <w:szCs w:val="24"/>
          <w:shd w:val="clear" w:color="auto" w:fill="FFFFFF"/>
          <w:lang w:val="en-GB"/>
          <w14:textFill>
            <w14:solidFill>
              <w14:schemeClr w14:val="tx1"/>
            </w14:solidFill>
          </w14:textFill>
        </w:rPr>
        <w:t xml:space="preserve"> 2020</w:t>
      </w:r>
      <w:r>
        <w:rPr>
          <w:rFonts w:hint="default" w:ascii="Arial" w:hAnsi="Arial" w:cs="Arial"/>
          <w:color w:val="FF0000"/>
          <w:sz w:val="24"/>
          <w:szCs w:val="24"/>
          <w:lang w:val="en-GB"/>
        </w:rPr>
        <w:t xml:space="preserve">). </w:t>
      </w:r>
      <w:r>
        <w:rPr>
          <w:rFonts w:hint="default" w:ascii="Arial" w:hAnsi="Arial" w:cs="Arial"/>
          <w:color w:val="000000" w:themeColor="text1"/>
          <w:sz w:val="24"/>
          <w:szCs w:val="24"/>
          <w:lang w:val="en-GB"/>
          <w14:textFill>
            <w14:solidFill>
              <w14:schemeClr w14:val="tx1"/>
            </w14:solidFill>
          </w14:textFill>
        </w:rPr>
        <w:t>The chances of facing challenges and business issues are also there as the cultural differences are higher as it is an Asian country, and Japan follows its traditional beliefs strongly. I believe that business opportunities for UK multinational organisations are massive in the business market of Japan. Further, I think UK international companies can face a communication gap since cultural and traditional beliefs are entirely different (</w:t>
      </w:r>
      <w:r>
        <w:rPr>
          <w:rFonts w:hint="default" w:ascii="Arial" w:hAnsi="Arial" w:cs="Arial"/>
          <w:color w:val="000000" w:themeColor="text1"/>
          <w:sz w:val="24"/>
          <w:szCs w:val="24"/>
          <w:highlight w:val="white"/>
          <w:lang w:val="en-GB"/>
          <w14:textFill>
            <w14:solidFill>
              <w14:schemeClr w14:val="tx1"/>
            </w14:solidFill>
          </w14:textFill>
        </w:rPr>
        <w:t xml:space="preserve">Kang </w:t>
      </w:r>
      <w:r>
        <w:rPr>
          <w:rFonts w:hint="default" w:ascii="Arial" w:hAnsi="Arial" w:cs="Arial"/>
          <w:i/>
          <w:color w:val="000000" w:themeColor="text1"/>
          <w:sz w:val="24"/>
          <w:szCs w:val="24"/>
          <w:highlight w:val="white"/>
          <w:lang w:val="en-GB"/>
          <w14:textFill>
            <w14:solidFill>
              <w14:schemeClr w14:val="tx1"/>
            </w14:solidFill>
          </w14:textFill>
        </w:rPr>
        <w:t>et al.</w:t>
      </w:r>
      <w:r>
        <w:rPr>
          <w:rFonts w:hint="default" w:ascii="Arial" w:hAnsi="Arial" w:cs="Arial"/>
          <w:color w:val="000000" w:themeColor="text1"/>
          <w:sz w:val="24"/>
          <w:szCs w:val="24"/>
          <w:highlight w:val="white"/>
          <w:lang w:val="en-GB"/>
          <w14:textFill>
            <w14:solidFill>
              <w14:schemeClr w14:val="tx1"/>
            </w14:solidFill>
          </w14:textFill>
        </w:rPr>
        <w:t xml:space="preserve"> 2020</w:t>
      </w:r>
      <w:r>
        <w:rPr>
          <w:rFonts w:hint="default" w:ascii="Arial" w:hAnsi="Arial" w:cs="Arial"/>
          <w:color w:val="000000" w:themeColor="text1"/>
          <w:sz w:val="24"/>
          <w:szCs w:val="24"/>
          <w:lang w:val="en-GB"/>
          <w14:textFill>
            <w14:solidFill>
              <w14:schemeClr w14:val="tx1"/>
            </w14:solidFill>
          </w14:textFill>
        </w:rPr>
        <w:t>). The growing population in Japan has positively increased the opportunities for market penetration, and the chances of business profit will probably also enhance. The socially active environment has affected the business market in Japan in such a way that UK companies can grow business internationally.</w:t>
      </w:r>
    </w:p>
    <w:p>
      <w:pPr>
        <w:pStyle w:val="3"/>
        <w:bidi w:val="0"/>
        <w:rPr>
          <w:rFonts w:hint="default"/>
          <w:sz w:val="24"/>
          <w:szCs w:val="24"/>
          <w:lang w:val="en-GB"/>
        </w:rPr>
      </w:pPr>
      <w:bookmarkStart w:id="3" w:name="_Toc25994"/>
      <w:r>
        <w:rPr>
          <w:rFonts w:hint="eastAsia"/>
          <w:sz w:val="24"/>
          <w:szCs w:val="24"/>
          <w:lang w:val="en-US" w:eastAsia="zh-CN"/>
        </w:rPr>
        <w:t xml:space="preserve">2.1 </w:t>
      </w:r>
      <w:r>
        <w:rPr>
          <w:rFonts w:hint="default"/>
          <w:sz w:val="24"/>
          <w:szCs w:val="24"/>
          <w:lang w:val="en-GB"/>
        </w:rPr>
        <w:t>Potential issues in the international business communication (IBC) situations</w:t>
      </w:r>
      <w:bookmarkEnd w:id="3"/>
    </w:p>
    <w:p>
      <w:pPr>
        <w:pStyle w:val="12"/>
        <w:spacing w:line="360" w:lineRule="auto"/>
        <w:jc w:val="both"/>
        <w:rPr>
          <w:rFonts w:hint="default" w:ascii="Arial" w:hAnsi="Arial" w:cs="Arial"/>
          <w:color w:val="000000" w:themeColor="text1"/>
          <w:sz w:val="24"/>
          <w:szCs w:val="24"/>
          <w:lang w:val="en-GB"/>
          <w14:textFill>
            <w14:solidFill>
              <w14:schemeClr w14:val="tx1"/>
            </w14:solidFill>
          </w14:textFill>
        </w:rPr>
      </w:pPr>
      <w:r>
        <w:rPr>
          <w:rFonts w:hint="default" w:ascii="Arial" w:hAnsi="Arial" w:cs="Arial"/>
          <w:b/>
          <w:i/>
          <w:color w:val="000000" w:themeColor="text1"/>
          <w:sz w:val="24"/>
          <w:szCs w:val="24"/>
          <w:lang w:val="en-GB"/>
          <w14:textFill>
            <w14:solidFill>
              <w14:schemeClr w14:val="tx1"/>
            </w14:solidFill>
          </w14:textFill>
        </w:rPr>
        <w:t>International business communication</w:t>
      </w:r>
      <w:r>
        <w:rPr>
          <w:rFonts w:hint="default" w:ascii="Arial" w:hAnsi="Arial" w:cs="Arial"/>
          <w:b/>
          <w:color w:val="000000" w:themeColor="text1"/>
          <w:sz w:val="24"/>
          <w:szCs w:val="24"/>
          <w:lang w:val="en-GB"/>
          <w14:textFill>
            <w14:solidFill>
              <w14:schemeClr w14:val="tx1"/>
            </w14:solidFill>
          </w14:textFill>
        </w:rPr>
        <w:t>:</w:t>
      </w:r>
      <w:r>
        <w:rPr>
          <w:rFonts w:hint="default" w:ascii="Arial" w:hAnsi="Arial" w:cs="Arial"/>
          <w:color w:val="000000" w:themeColor="text1"/>
          <w:sz w:val="24"/>
          <w:szCs w:val="24"/>
          <w:lang w:val="en-GB"/>
          <w14:textFill>
            <w14:solidFill>
              <w14:schemeClr w14:val="tx1"/>
            </w14:solidFill>
          </w14:textFill>
        </w:rPr>
        <w:t xml:space="preserve"> I believe that it is the same as domestic business communication except that it takes place across cultural boundaries. This is complicated by the fact that cultural norms and expectations vary considerably from one country to another (</w:t>
      </w:r>
      <w:r>
        <w:rPr>
          <w:rFonts w:hint="default" w:ascii="Arial" w:hAnsi="Arial" w:cs="Arial"/>
          <w:color w:val="000000" w:themeColor="text1"/>
          <w:sz w:val="24"/>
          <w:szCs w:val="24"/>
          <w:highlight w:val="white"/>
          <w:lang w:val="en-GB"/>
          <w14:textFill>
            <w14:solidFill>
              <w14:schemeClr w14:val="tx1"/>
            </w14:solidFill>
          </w14:textFill>
        </w:rPr>
        <w:t xml:space="preserve">Beugelsdijk </w:t>
      </w:r>
      <w:r>
        <w:rPr>
          <w:rFonts w:hint="default" w:ascii="Arial" w:hAnsi="Arial" w:cs="Arial"/>
          <w:i/>
          <w:color w:val="000000" w:themeColor="text1"/>
          <w:sz w:val="24"/>
          <w:szCs w:val="24"/>
          <w:highlight w:val="white"/>
          <w:lang w:val="en-GB"/>
          <w14:textFill>
            <w14:solidFill>
              <w14:schemeClr w14:val="tx1"/>
            </w14:solidFill>
          </w14:textFill>
        </w:rPr>
        <w:t xml:space="preserve">et al. </w:t>
      </w:r>
      <w:r>
        <w:rPr>
          <w:rFonts w:hint="default" w:ascii="Arial" w:hAnsi="Arial" w:cs="Arial"/>
          <w:color w:val="000000" w:themeColor="text1"/>
          <w:sz w:val="24"/>
          <w:szCs w:val="24"/>
          <w:highlight w:val="white"/>
          <w:lang w:val="en-GB"/>
          <w14:textFill>
            <w14:solidFill>
              <w14:schemeClr w14:val="tx1"/>
            </w14:solidFill>
          </w14:textFill>
        </w:rPr>
        <w:t>2020).</w:t>
      </w:r>
      <w:r>
        <w:rPr>
          <w:rFonts w:hint="default" w:ascii="Arial" w:hAnsi="Arial" w:cs="Arial"/>
          <w:color w:val="000000" w:themeColor="text1"/>
          <w:sz w:val="24"/>
          <w:szCs w:val="24"/>
          <w:lang w:val="en-GB"/>
          <w14:textFill>
            <w14:solidFill>
              <w14:schemeClr w14:val="tx1"/>
            </w14:solidFill>
          </w14:textFill>
        </w:rPr>
        <w:t xml:space="preserve"> Despite the fact that "international business communication" refers to interactions between people from different countries, its impact on the overall efficiency of multinational corporations is evident.</w:t>
      </w:r>
    </w:p>
    <w:p>
      <w:pPr>
        <w:pStyle w:val="12"/>
        <w:spacing w:line="360" w:lineRule="auto"/>
        <w:jc w:val="both"/>
        <w:rPr>
          <w:rFonts w:hint="default" w:ascii="Arial" w:hAnsi="Arial" w:cs="Arial"/>
          <w:color w:val="000000" w:themeColor="text1"/>
          <w:sz w:val="24"/>
          <w:szCs w:val="24"/>
          <w:lang w:val="en-GB"/>
          <w14:textFill>
            <w14:solidFill>
              <w14:schemeClr w14:val="tx1"/>
            </w14:solidFill>
          </w14:textFill>
        </w:rPr>
      </w:pPr>
      <w:r>
        <w:rPr>
          <w:rFonts w:hint="default" w:ascii="Arial" w:hAnsi="Arial" w:cs="Arial"/>
          <w:b/>
          <w:i/>
          <w:color w:val="000000" w:themeColor="text1"/>
          <w:sz w:val="24"/>
          <w:szCs w:val="24"/>
          <w:lang w:val="en-GB"/>
          <w14:textFill>
            <w14:solidFill>
              <w14:schemeClr w14:val="tx1"/>
            </w14:solidFill>
          </w14:textFill>
        </w:rPr>
        <w:t>Language Barriers:</w:t>
      </w:r>
      <w:r>
        <w:rPr>
          <w:rFonts w:hint="default" w:ascii="Arial" w:hAnsi="Arial" w:cs="Arial"/>
          <w:color w:val="000000" w:themeColor="text1"/>
          <w:sz w:val="24"/>
          <w:szCs w:val="24"/>
          <w:lang w:val="en-GB"/>
          <w14:textFill>
            <w14:solidFill>
              <w14:schemeClr w14:val="tx1"/>
            </w14:solidFill>
          </w14:textFill>
        </w:rPr>
        <w:t xml:space="preserve"> I believe it is necessary to have a good knowledge of the languages spoken in Japan while conducting business on a worldwide basis. Japan is a market that is of particular relevance to multinational enterprises that are situated in the United Kingdom. It is impossible to converse in Japanese without the assistance of a translator or a native speaker of Japanese who resides in Japan and has extensive experience using the language (Hart </w:t>
      </w:r>
      <w:r>
        <w:rPr>
          <w:rFonts w:hint="default" w:ascii="Arial" w:hAnsi="Arial" w:cs="Arial"/>
          <w:i/>
          <w:color w:val="000000" w:themeColor="text1"/>
          <w:sz w:val="24"/>
          <w:szCs w:val="24"/>
          <w:lang w:val="en-GB"/>
          <w14:textFill>
            <w14:solidFill>
              <w14:schemeClr w14:val="tx1"/>
            </w14:solidFill>
          </w14:textFill>
        </w:rPr>
        <w:t xml:space="preserve">et al. </w:t>
      </w:r>
      <w:r>
        <w:rPr>
          <w:rFonts w:hint="default" w:ascii="Arial" w:hAnsi="Arial" w:cs="Arial"/>
          <w:color w:val="000000" w:themeColor="text1"/>
          <w:sz w:val="24"/>
          <w:szCs w:val="24"/>
          <w:lang w:val="en-GB"/>
          <w14:textFill>
            <w14:solidFill>
              <w14:schemeClr w14:val="tx1"/>
            </w14:solidFill>
          </w14:textFill>
        </w:rPr>
        <w:t>2019). Because Mandarin Japanese is the only version of Japanese that the Japanese people speak, it is essential for multinational enterprises to be able to communicate in Mandarin Japanese in order to continue their operations and increase their market share. In addition to this, it is essential to take into account the languages that personnel at the company's offices located all over the world speak on a daily basis in the course of their work.</w:t>
      </w:r>
    </w:p>
    <w:p>
      <w:pPr>
        <w:pStyle w:val="12"/>
        <w:spacing w:line="360" w:lineRule="auto"/>
        <w:jc w:val="both"/>
        <w:rPr>
          <w:rFonts w:hint="default" w:ascii="Arial" w:hAnsi="Arial" w:cs="Arial"/>
          <w:color w:val="000000" w:themeColor="text1"/>
          <w:sz w:val="24"/>
          <w:szCs w:val="24"/>
          <w:lang w:val="en-GB"/>
          <w14:textFill>
            <w14:solidFill>
              <w14:schemeClr w14:val="tx1"/>
            </w14:solidFill>
          </w14:textFill>
        </w:rPr>
      </w:pPr>
      <w:r>
        <w:rPr>
          <w:rFonts w:hint="default" w:ascii="Arial" w:hAnsi="Arial" w:cs="Arial"/>
          <w:b/>
          <w:i/>
          <w:color w:val="000000" w:themeColor="text1"/>
          <w:sz w:val="24"/>
          <w:szCs w:val="24"/>
          <w:lang w:val="en-GB"/>
          <w14:textFill>
            <w14:solidFill>
              <w14:schemeClr w14:val="tx1"/>
            </w14:solidFill>
          </w14:textFill>
        </w:rPr>
        <w:t>Cultural Differences:</w:t>
      </w:r>
      <w:r>
        <w:rPr>
          <w:rFonts w:hint="default" w:ascii="Arial" w:hAnsi="Arial" w:cs="Arial"/>
          <w:i/>
          <w:color w:val="000000" w:themeColor="text1"/>
          <w:sz w:val="24"/>
          <w:szCs w:val="24"/>
          <w:lang w:val="en-GB"/>
          <w14:textFill>
            <w14:solidFill>
              <w14:schemeClr w14:val="tx1"/>
            </w14:solidFill>
          </w14:textFill>
        </w:rPr>
        <w:t xml:space="preserve"> </w:t>
      </w:r>
      <w:r>
        <w:rPr>
          <w:rFonts w:hint="default" w:ascii="Arial" w:hAnsi="Arial" w:cs="Arial"/>
          <w:color w:val="000000" w:themeColor="text1"/>
          <w:sz w:val="24"/>
          <w:szCs w:val="24"/>
          <w:lang w:val="en-GB"/>
          <w14:textFill>
            <w14:solidFill>
              <w14:schemeClr w14:val="tx1"/>
            </w14:solidFill>
          </w14:textFill>
        </w:rPr>
        <w:t xml:space="preserve">From my point of view, different nations have not only diverse language compositions but also other cultural compositions. A community's recognised events, creative manifestations, culinary specialities, and social mores that are generally accepted are all examples of the community's cultural practices. It is necessary and rewarding to understand the cultural norms of the places in Japan where the United Kingdom will be conducting business (Guo </w:t>
      </w:r>
      <w:r>
        <w:rPr>
          <w:rFonts w:hint="default" w:ascii="Arial" w:hAnsi="Arial" w:cs="Arial"/>
          <w:i/>
          <w:color w:val="000000" w:themeColor="text1"/>
          <w:sz w:val="24"/>
          <w:szCs w:val="24"/>
          <w:lang w:val="en-GB"/>
          <w14:textFill>
            <w14:solidFill>
              <w14:schemeClr w14:val="tx1"/>
            </w14:solidFill>
          </w14:textFill>
        </w:rPr>
        <w:t xml:space="preserve">et al. </w:t>
      </w:r>
      <w:r>
        <w:rPr>
          <w:rFonts w:hint="default" w:ascii="Arial" w:hAnsi="Arial" w:cs="Arial"/>
          <w:color w:val="000000" w:themeColor="text1"/>
          <w:sz w:val="24"/>
          <w:szCs w:val="24"/>
          <w:lang w:val="en-GB"/>
          <w14:textFill>
            <w14:solidFill>
              <w14:schemeClr w14:val="tx1"/>
            </w14:solidFill>
          </w14:textFill>
        </w:rPr>
        <w:t>2019). Without being able to show that it has taken the time to comprehend Japanese culture, I do not think a UK company can construct the appreciation and emotional intelligence required to manage teams in overseas offices, offer items to an international retailer or prospective customer, or run a production facility in Japan. This is necessary for the UK organisation to succeed in each of these endeavours (</w:t>
      </w:r>
      <w:r>
        <w:rPr>
          <w:rFonts w:hint="default" w:ascii="Arial" w:hAnsi="Arial" w:cs="Arial"/>
          <w:color w:val="000000" w:themeColor="text1"/>
          <w:sz w:val="24"/>
          <w:szCs w:val="24"/>
          <w:highlight w:val="white"/>
          <w:lang w:val="en-GB"/>
          <w14:textFill>
            <w14:solidFill>
              <w14:schemeClr w14:val="tx1"/>
            </w14:solidFill>
          </w14:textFill>
        </w:rPr>
        <w:t xml:space="preserve">Srivastava </w:t>
      </w:r>
      <w:r>
        <w:rPr>
          <w:rFonts w:hint="default" w:ascii="Arial" w:hAnsi="Arial" w:cs="Arial"/>
          <w:i/>
          <w:color w:val="000000" w:themeColor="text1"/>
          <w:sz w:val="24"/>
          <w:szCs w:val="24"/>
          <w:highlight w:val="white"/>
          <w:lang w:val="en-GB"/>
          <w14:textFill>
            <w14:solidFill>
              <w14:schemeClr w14:val="tx1"/>
            </w14:solidFill>
          </w14:textFill>
        </w:rPr>
        <w:t xml:space="preserve">et al. </w:t>
      </w:r>
      <w:r>
        <w:rPr>
          <w:rFonts w:hint="default" w:ascii="Arial" w:hAnsi="Arial" w:cs="Arial"/>
          <w:color w:val="000000" w:themeColor="text1"/>
          <w:sz w:val="24"/>
          <w:szCs w:val="24"/>
          <w:highlight w:val="white"/>
          <w:lang w:val="en-GB"/>
          <w14:textFill>
            <w14:solidFill>
              <w14:schemeClr w14:val="tx1"/>
            </w14:solidFill>
          </w14:textFill>
        </w:rPr>
        <w:t>2020)</w:t>
      </w:r>
      <w:r>
        <w:rPr>
          <w:rFonts w:hint="default" w:ascii="Arial" w:hAnsi="Arial" w:cs="Arial"/>
          <w:color w:val="000000" w:themeColor="text1"/>
          <w:sz w:val="24"/>
          <w:szCs w:val="24"/>
          <w:lang w:val="en-GB"/>
          <w14:textFill>
            <w14:solidFill>
              <w14:schemeClr w14:val="tx1"/>
            </w14:solidFill>
          </w14:textFill>
        </w:rPr>
        <w:t>. Thus, not only do businesses operating across borders have language barriers, but also cultural ones. When working in a worldwide or cross-cultural team, it is essential to grasp the nuances of cultural differences. Business ethics, morals, decisions, procedures, rules, ways of thinking, and even manners are all impacted by this.</w:t>
      </w:r>
    </w:p>
    <w:p>
      <w:pPr>
        <w:pStyle w:val="12"/>
        <w:spacing w:line="360" w:lineRule="auto"/>
        <w:jc w:val="both"/>
        <w:rPr>
          <w:rFonts w:hint="default" w:ascii="Arial" w:hAnsi="Arial" w:cs="Arial"/>
          <w:color w:val="000000" w:themeColor="text1"/>
          <w:sz w:val="24"/>
          <w:szCs w:val="24"/>
          <w:lang w:val="en-GB"/>
          <w14:textFill>
            <w14:solidFill>
              <w14:schemeClr w14:val="tx1"/>
            </w14:solidFill>
          </w14:textFill>
        </w:rPr>
      </w:pPr>
      <w:r>
        <w:rPr>
          <w:rFonts w:hint="default" w:ascii="Arial" w:hAnsi="Arial" w:cs="Arial"/>
          <w:b/>
          <w:i/>
          <w:color w:val="000000" w:themeColor="text1"/>
          <w:sz w:val="24"/>
          <w:szCs w:val="24"/>
          <w:lang w:val="en-GB"/>
          <w14:textFill>
            <w14:solidFill>
              <w14:schemeClr w14:val="tx1"/>
            </w14:solidFill>
          </w14:textFill>
        </w:rPr>
        <w:t>Currency Exchange and Inflation Rates</w:t>
      </w:r>
      <w:r>
        <w:rPr>
          <w:rFonts w:hint="default" w:ascii="Arial" w:hAnsi="Arial" w:cs="Arial"/>
          <w:i/>
          <w:color w:val="000000" w:themeColor="text1"/>
          <w:sz w:val="24"/>
          <w:szCs w:val="24"/>
          <w:lang w:val="en-GB"/>
          <w14:textFill>
            <w14:solidFill>
              <w14:schemeClr w14:val="tx1"/>
            </w14:solidFill>
          </w14:textFill>
        </w:rPr>
        <w:t>:</w:t>
      </w:r>
      <w:r>
        <w:rPr>
          <w:rFonts w:hint="default" w:ascii="Arial" w:hAnsi="Arial" w:cs="Arial"/>
          <w:color w:val="000000" w:themeColor="text1"/>
          <w:sz w:val="24"/>
          <w:szCs w:val="24"/>
          <w:lang w:val="en-GB"/>
          <w14:textFill>
            <w14:solidFill>
              <w14:schemeClr w14:val="tx1"/>
            </w14:solidFill>
          </w14:textFill>
        </w:rPr>
        <w:t xml:space="preserve"> There is no assurance that one Yuan will always equate to one Pound in the UK or that one Yuan will always equate to the same quantity of goods and services in both countries (</w:t>
      </w:r>
      <w:r>
        <w:rPr>
          <w:rFonts w:hint="default" w:ascii="Arial" w:hAnsi="Arial" w:cs="Arial"/>
          <w:color w:val="000000" w:themeColor="text1"/>
          <w:sz w:val="24"/>
          <w:szCs w:val="24"/>
          <w:highlight w:val="white"/>
          <w:lang w:val="en-GB"/>
          <w14:textFill>
            <w14:solidFill>
              <w14:schemeClr w14:val="tx1"/>
            </w14:solidFill>
          </w14:textFill>
        </w:rPr>
        <w:t>Kahiya, 2018)</w:t>
      </w:r>
      <w:r>
        <w:rPr>
          <w:rFonts w:hint="default" w:ascii="Arial" w:hAnsi="Arial" w:cs="Arial"/>
          <w:color w:val="000000" w:themeColor="text1"/>
          <w:sz w:val="24"/>
          <w:szCs w:val="24"/>
          <w:lang w:val="en-GB"/>
          <w14:textFill>
            <w14:solidFill>
              <w14:schemeClr w14:val="tx1"/>
            </w14:solidFill>
          </w14:textFill>
        </w:rPr>
        <w:t>. It's a significant problem, as not knowing the exchange rates across nations may be a huge roadblock when formulating business strategies. Additionally, I think it's imperative to monitor inflation rates, which are the annual percentage rises in an economy's general price levels. Inflation rates also impact a country's cost of labour and raw materials in addition to the price of goods. With a thorough understanding of the link between these two rates and continuous monitoring of them, it is possible to accurately anticipate the value of a UK company's goods in Japan over time.</w:t>
      </w:r>
    </w:p>
    <w:p>
      <w:pPr>
        <w:pStyle w:val="12"/>
        <w:spacing w:line="360" w:lineRule="auto"/>
        <w:jc w:val="both"/>
        <w:rPr>
          <w:rFonts w:hint="default" w:ascii="Arial" w:hAnsi="Arial" w:cs="Arial"/>
          <w:color w:val="000000" w:themeColor="text1"/>
          <w:sz w:val="24"/>
          <w:szCs w:val="24"/>
          <w:lang w:val="en-GB"/>
          <w14:textFill>
            <w14:solidFill>
              <w14:schemeClr w14:val="tx1"/>
            </w14:solidFill>
          </w14:textFill>
        </w:rPr>
      </w:pPr>
      <w:r>
        <w:rPr>
          <w:rFonts w:hint="default" w:ascii="Arial" w:hAnsi="Arial" w:cs="Arial"/>
          <w:b/>
          <w:i/>
          <w:color w:val="000000" w:themeColor="text1"/>
          <w:sz w:val="24"/>
          <w:szCs w:val="24"/>
          <w:lang w:val="en-GB"/>
          <w14:textFill>
            <w14:solidFill>
              <w14:schemeClr w14:val="tx1"/>
            </w14:solidFill>
          </w14:textFill>
        </w:rPr>
        <w:t>Nuances of Foreign Politics, Policy, and Relations:</w:t>
      </w:r>
      <w:r>
        <w:rPr>
          <w:rFonts w:hint="default" w:ascii="Arial" w:hAnsi="Arial" w:cs="Arial"/>
          <w:i/>
          <w:color w:val="000000" w:themeColor="text1"/>
          <w:sz w:val="24"/>
          <w:szCs w:val="24"/>
          <w:lang w:val="en-GB"/>
          <w14:textFill>
            <w14:solidFill>
              <w14:schemeClr w14:val="tx1"/>
            </w14:solidFill>
          </w14:textFill>
        </w:rPr>
        <w:t xml:space="preserve"> </w:t>
      </w:r>
      <w:r>
        <w:rPr>
          <w:rFonts w:hint="default" w:ascii="Arial" w:hAnsi="Arial" w:cs="Arial"/>
          <w:color w:val="000000" w:themeColor="text1"/>
          <w:sz w:val="24"/>
          <w:szCs w:val="24"/>
          <w:lang w:val="en-GB"/>
          <w14:textFill>
            <w14:solidFill>
              <w14:schemeClr w14:val="tx1"/>
            </w14:solidFill>
          </w14:textFill>
        </w:rPr>
        <w:t>The business climate is influenced by politics, rules, laws, and ties between the UK and Japan (</w:t>
      </w:r>
      <w:r>
        <w:rPr>
          <w:rFonts w:hint="default" w:ascii="Arial" w:hAnsi="Arial" w:cs="Arial"/>
          <w:color w:val="000000" w:themeColor="text1"/>
          <w:sz w:val="24"/>
          <w:szCs w:val="24"/>
          <w:highlight w:val="white"/>
          <w:lang w:val="en-GB"/>
          <w14:textFill>
            <w14:solidFill>
              <w14:schemeClr w14:val="tx1"/>
            </w14:solidFill>
          </w14:textFill>
        </w:rPr>
        <w:t xml:space="preserve">Klimova </w:t>
      </w:r>
      <w:r>
        <w:rPr>
          <w:rFonts w:hint="default" w:ascii="Arial" w:hAnsi="Arial" w:cs="Arial"/>
          <w:i/>
          <w:color w:val="000000" w:themeColor="text1"/>
          <w:sz w:val="24"/>
          <w:szCs w:val="24"/>
          <w:highlight w:val="white"/>
          <w:lang w:val="en-GB"/>
          <w14:textFill>
            <w14:solidFill>
              <w14:schemeClr w14:val="tx1"/>
            </w14:solidFill>
          </w14:textFill>
        </w:rPr>
        <w:t xml:space="preserve">et al. </w:t>
      </w:r>
      <w:r>
        <w:rPr>
          <w:rFonts w:hint="default" w:ascii="Arial" w:hAnsi="Arial" w:cs="Arial"/>
          <w:color w:val="000000" w:themeColor="text1"/>
          <w:sz w:val="24"/>
          <w:szCs w:val="24"/>
          <w:highlight w:val="white"/>
          <w:lang w:val="en-GB"/>
          <w14:textFill>
            <w14:solidFill>
              <w14:schemeClr w14:val="tx1"/>
            </w14:solidFill>
          </w14:textFill>
        </w:rPr>
        <w:t>2019)</w:t>
      </w:r>
      <w:r>
        <w:rPr>
          <w:rFonts w:hint="default" w:ascii="Arial" w:hAnsi="Arial" w:cs="Arial"/>
          <w:color w:val="000000" w:themeColor="text1"/>
          <w:sz w:val="24"/>
          <w:szCs w:val="24"/>
          <w:lang w:val="en-GB"/>
          <w14:textFill>
            <w14:solidFill>
              <w14:schemeClr w14:val="tx1"/>
            </w14:solidFill>
          </w14:textFill>
        </w:rPr>
        <w:t>. In my opinion, the complexity of these links emphasises the requirement for ongoing country-specific news monitoring. Taxes, labour laws, materials costs, transportation infrastructure, educational systems, and other factors are all subject to the decisions taken by political authorities.</w:t>
      </w:r>
    </w:p>
    <w:p>
      <w:pPr>
        <w:pStyle w:val="12"/>
        <w:spacing w:line="360" w:lineRule="auto"/>
        <w:jc w:val="both"/>
        <w:rPr>
          <w:rFonts w:hint="default" w:ascii="Arial" w:hAnsi="Arial" w:cs="Arial"/>
          <w:color w:val="000000" w:themeColor="text1"/>
          <w:sz w:val="24"/>
          <w:szCs w:val="24"/>
          <w:lang w:val="en-GB"/>
          <w14:textFill>
            <w14:solidFill>
              <w14:schemeClr w14:val="tx1"/>
            </w14:solidFill>
          </w14:textFill>
        </w:rPr>
      </w:pPr>
      <w:r>
        <w:rPr>
          <w:rFonts w:hint="default" w:ascii="Arial" w:hAnsi="Arial" w:cs="Arial"/>
          <w:b/>
          <w:i/>
          <w:color w:val="000000" w:themeColor="text1"/>
          <w:sz w:val="24"/>
          <w:szCs w:val="24"/>
          <w:lang w:val="en-GB"/>
          <w14:textFill>
            <w14:solidFill>
              <w14:schemeClr w14:val="tx1"/>
            </w14:solidFill>
          </w14:textFill>
        </w:rPr>
        <w:t>Managing Global Teams:</w:t>
      </w:r>
      <w:r>
        <w:rPr>
          <w:rFonts w:hint="default" w:ascii="Arial" w:hAnsi="Arial" w:cs="Arial"/>
          <w:color w:val="000000" w:themeColor="text1"/>
          <w:sz w:val="24"/>
          <w:szCs w:val="24"/>
          <w:lang w:val="en-GB"/>
          <w14:textFill>
            <w14:solidFill>
              <w14:schemeClr w14:val="tx1"/>
            </w14:solidFill>
          </w14:textFill>
        </w:rPr>
        <w:t xml:space="preserve"> Another challenge for UK companies is coordinating the efforts of employees spread around the globe. It can be tough to function as a team when they have to consider time zones, language barriers, cultural differences, and varying degrees of access to and dependence on technology (Foss </w:t>
      </w:r>
      <w:r>
        <w:rPr>
          <w:rFonts w:hint="default" w:ascii="Arial" w:hAnsi="Arial" w:cs="Arial"/>
          <w:i/>
          <w:color w:val="000000" w:themeColor="text1"/>
          <w:sz w:val="24"/>
          <w:szCs w:val="24"/>
          <w:lang w:val="en-GB"/>
          <w14:textFill>
            <w14:solidFill>
              <w14:schemeClr w14:val="tx1"/>
            </w14:solidFill>
          </w14:textFill>
        </w:rPr>
        <w:t xml:space="preserve">et al. </w:t>
      </w:r>
      <w:r>
        <w:rPr>
          <w:rFonts w:hint="default" w:ascii="Arial" w:hAnsi="Arial" w:cs="Arial"/>
          <w:color w:val="000000" w:themeColor="text1"/>
          <w:sz w:val="24"/>
          <w:szCs w:val="24"/>
          <w:lang w:val="en-GB"/>
          <w14:textFill>
            <w14:solidFill>
              <w14:schemeClr w14:val="tx1"/>
            </w14:solidFill>
          </w14:textFill>
        </w:rPr>
        <w:t>2019). They can only interact in real-time to build and maintain a solid working relationship with the global staff if a UK firm supports regular check-ins, ideally through video conferencing technology.</w:t>
      </w:r>
    </w:p>
    <w:p>
      <w:pPr>
        <w:pStyle w:val="3"/>
        <w:bidi w:val="0"/>
        <w:rPr>
          <w:rFonts w:hint="default"/>
          <w:sz w:val="24"/>
          <w:szCs w:val="24"/>
          <w:lang w:val="en-GB"/>
        </w:rPr>
      </w:pPr>
      <w:bookmarkStart w:id="4" w:name="_Toc4621"/>
      <w:r>
        <w:rPr>
          <w:rFonts w:hint="eastAsia"/>
          <w:sz w:val="24"/>
          <w:szCs w:val="24"/>
          <w:lang w:val="en-US" w:eastAsia="zh-CN"/>
        </w:rPr>
        <w:t xml:space="preserve">2.2 </w:t>
      </w:r>
      <w:r>
        <w:rPr>
          <w:rFonts w:hint="default"/>
          <w:sz w:val="24"/>
          <w:szCs w:val="24"/>
          <w:lang w:val="en-GB"/>
        </w:rPr>
        <w:t>Critical analysis of the strategies to overcome the international business communication barriers</w:t>
      </w:r>
      <w:bookmarkEnd w:id="4"/>
      <w:r>
        <w:rPr>
          <w:rFonts w:hint="default"/>
          <w:sz w:val="24"/>
          <w:szCs w:val="24"/>
          <w:lang w:val="en-GB"/>
        </w:rPr>
        <w:t xml:space="preserve"> </w:t>
      </w:r>
    </w:p>
    <w:p>
      <w:pPr>
        <w:pStyle w:val="12"/>
        <w:spacing w:line="360" w:lineRule="auto"/>
        <w:jc w:val="both"/>
        <w:rPr>
          <w:rFonts w:hint="default" w:ascii="Arial" w:hAnsi="Arial" w:cs="Arial"/>
          <w:color w:val="000000" w:themeColor="text1"/>
          <w:sz w:val="24"/>
          <w:szCs w:val="24"/>
          <w:lang w:val="en-GB"/>
          <w14:textFill>
            <w14:solidFill>
              <w14:schemeClr w14:val="tx1"/>
            </w14:solidFill>
          </w14:textFill>
        </w:rPr>
      </w:pPr>
      <w:r>
        <w:rPr>
          <w:rFonts w:hint="default" w:ascii="Arial" w:hAnsi="Arial" w:cs="Arial"/>
          <w:color w:val="000000" w:themeColor="text1"/>
          <w:sz w:val="24"/>
          <w:szCs w:val="24"/>
          <w:highlight w:val="white"/>
          <w:lang w:val="en-GB"/>
          <w14:textFill>
            <w14:solidFill>
              <w14:schemeClr w14:val="tx1"/>
            </w14:solidFill>
          </w14:textFill>
        </w:rPr>
        <w:t xml:space="preserve">According to Liñán </w:t>
      </w:r>
      <w:r>
        <w:rPr>
          <w:rFonts w:hint="default" w:ascii="Arial" w:hAnsi="Arial" w:cs="Arial"/>
          <w:i/>
          <w:color w:val="000000" w:themeColor="text1"/>
          <w:sz w:val="24"/>
          <w:szCs w:val="24"/>
          <w:highlight w:val="white"/>
          <w:lang w:val="en-GB"/>
          <w14:textFill>
            <w14:solidFill>
              <w14:schemeClr w14:val="tx1"/>
            </w14:solidFill>
          </w14:textFill>
        </w:rPr>
        <w:t>et al.</w:t>
      </w:r>
      <w:r>
        <w:rPr>
          <w:rFonts w:hint="default" w:ascii="Arial" w:hAnsi="Arial" w:cs="Arial"/>
          <w:color w:val="000000" w:themeColor="text1"/>
          <w:sz w:val="24"/>
          <w:szCs w:val="24"/>
          <w:highlight w:val="white"/>
          <w:lang w:val="en-GB"/>
          <w14:textFill>
            <w14:solidFill>
              <w14:schemeClr w14:val="tx1"/>
            </w14:solidFill>
          </w14:textFill>
        </w:rPr>
        <w:t xml:space="preserve"> (2020), many business organisations want to become globalised in the entrepreneurship era. However, to expand their business into the overseas market, the business organisation faces several kinds of barriers, and communication barriers are such of them at present. Therefore, due to these communication barriers, many organisations constantly lose revenue and business performance (</w:t>
      </w:r>
      <w:r>
        <w:rPr>
          <w:rFonts w:hint="default" w:ascii="Arial" w:hAnsi="Arial" w:cs="Arial"/>
          <w:color w:val="000000" w:themeColor="text1"/>
          <w:sz w:val="24"/>
          <w:szCs w:val="24"/>
          <w:shd w:val="clear" w:color="auto" w:fill="FFFFFF"/>
          <w:lang w:val="en-GB"/>
          <w14:textFill>
            <w14:solidFill>
              <w14:schemeClr w14:val="tx1"/>
            </w14:solidFill>
          </w14:textFill>
        </w:rPr>
        <w:t xml:space="preserve">Choi </w:t>
      </w:r>
      <w:r>
        <w:rPr>
          <w:rFonts w:hint="default" w:ascii="Arial" w:hAnsi="Arial" w:cs="Arial"/>
          <w:i/>
          <w:color w:val="000000" w:themeColor="text1"/>
          <w:sz w:val="24"/>
          <w:szCs w:val="24"/>
          <w:shd w:val="clear" w:color="auto" w:fill="FFFFFF"/>
          <w:lang w:val="en-GB"/>
          <w14:textFill>
            <w14:solidFill>
              <w14:schemeClr w14:val="tx1"/>
            </w14:solidFill>
          </w14:textFill>
        </w:rPr>
        <w:t>et al.</w:t>
      </w:r>
      <w:r>
        <w:rPr>
          <w:rFonts w:hint="default" w:ascii="Arial" w:hAnsi="Arial" w:cs="Arial"/>
          <w:color w:val="000000" w:themeColor="text1"/>
          <w:sz w:val="24"/>
          <w:szCs w:val="24"/>
          <w:shd w:val="clear" w:color="auto" w:fill="FFFFFF"/>
          <w:lang w:val="en-GB"/>
          <w14:textFill>
            <w14:solidFill>
              <w14:schemeClr w14:val="tx1"/>
            </w14:solidFill>
          </w14:textFill>
        </w:rPr>
        <w:t xml:space="preserve"> 2021</w:t>
      </w:r>
      <w:r>
        <w:rPr>
          <w:rFonts w:hint="default" w:ascii="Arial" w:hAnsi="Arial" w:cs="Arial"/>
          <w:color w:val="000000" w:themeColor="text1"/>
          <w:sz w:val="24"/>
          <w:szCs w:val="24"/>
          <w:highlight w:val="white"/>
          <w:lang w:val="en-GB"/>
          <w14:textFill>
            <w14:solidFill>
              <w14:schemeClr w14:val="tx1"/>
            </w14:solidFill>
          </w14:textFill>
        </w:rPr>
        <w:t>). Furthermore, effective communication strategies would be favourable for business organisations to expand their business in Japan. The following analysis can help UK companies to grow their business in Japan to overcome their communication barriers;</w:t>
      </w:r>
    </w:p>
    <w:p>
      <w:pPr>
        <w:pStyle w:val="12"/>
        <w:spacing w:line="360" w:lineRule="auto"/>
        <w:jc w:val="both"/>
        <w:rPr>
          <w:rFonts w:hint="default" w:ascii="Arial" w:hAnsi="Arial" w:cs="Arial"/>
          <w:color w:val="000000" w:themeColor="text1"/>
          <w:sz w:val="24"/>
          <w:szCs w:val="24"/>
          <w:highlight w:val="white"/>
          <w:lang w:val="en-GB"/>
          <w14:textFill>
            <w14:solidFill>
              <w14:schemeClr w14:val="tx1"/>
            </w14:solidFill>
          </w14:textFill>
        </w:rPr>
      </w:pPr>
      <w:r>
        <w:rPr>
          <w:rFonts w:hint="default" w:ascii="Arial" w:hAnsi="Arial" w:cs="Arial"/>
          <w:b/>
          <w:i/>
          <w:color w:val="000000" w:themeColor="text1"/>
          <w:sz w:val="24"/>
          <w:szCs w:val="24"/>
          <w:highlight w:val="white"/>
          <w:lang w:val="en-GB"/>
          <w14:textFill>
            <w14:solidFill>
              <w14:schemeClr w14:val="tx1"/>
            </w14:solidFill>
          </w14:textFill>
        </w:rPr>
        <w:t>Training for new employees:</w:t>
      </w:r>
      <w:r>
        <w:rPr>
          <w:rFonts w:hint="default" w:ascii="Arial" w:hAnsi="Arial" w:cs="Arial"/>
          <w:color w:val="000000" w:themeColor="text1"/>
          <w:sz w:val="24"/>
          <w:szCs w:val="24"/>
          <w:highlight w:val="white"/>
          <w:lang w:val="en-GB"/>
          <w14:textFill>
            <w14:solidFill>
              <w14:schemeClr w14:val="tx1"/>
            </w14:solidFill>
          </w14:textFill>
        </w:rPr>
        <w:t xml:space="preserve"> According to Niati, Siregar and Prayoga, (2021), UK companies need to train their employees to adopt Japan's languages, culture, cultural values, time, uncertainty and more. UK workers need to work on enhancing their multi-lingual aptitudes. Internation communication training for UK workers would provide the organisation with a competitive benefit and can make its components overseas smoothly. The native language of Japan can help UK-based business organisations grow their brand reputation across Japan markets. Moreover, language training would be beneficial for UK employees to enhance their personal development skills as well as improve internal organisational communications.</w:t>
      </w:r>
    </w:p>
    <w:p>
      <w:pPr>
        <w:pStyle w:val="12"/>
        <w:spacing w:line="360" w:lineRule="auto"/>
        <w:jc w:val="both"/>
        <w:rPr>
          <w:rFonts w:hint="default" w:ascii="Arial" w:hAnsi="Arial" w:cs="Arial"/>
          <w:color w:val="000000" w:themeColor="text1"/>
          <w:sz w:val="24"/>
          <w:szCs w:val="24"/>
          <w:highlight w:val="white"/>
          <w:lang w:val="en-GB"/>
          <w14:textFill>
            <w14:solidFill>
              <w14:schemeClr w14:val="tx1"/>
            </w14:solidFill>
          </w14:textFill>
        </w:rPr>
      </w:pPr>
      <w:r>
        <w:rPr>
          <w:rFonts w:hint="default" w:ascii="Arial" w:hAnsi="Arial" w:cs="Arial"/>
          <w:b/>
          <w:i/>
          <w:color w:val="000000" w:themeColor="text1"/>
          <w:sz w:val="24"/>
          <w:szCs w:val="24"/>
          <w:lang w:val="en-GB"/>
          <w14:textFill>
            <w14:solidFill>
              <w14:schemeClr w14:val="tx1"/>
            </w14:solidFill>
          </w14:textFill>
        </w:rPr>
        <w:t>Work with a language service provider</w:t>
      </w:r>
      <w:r>
        <w:rPr>
          <w:rFonts w:hint="default" w:ascii="Arial" w:hAnsi="Arial" w:cs="Arial"/>
          <w:b/>
          <w:color w:val="000000" w:themeColor="text1"/>
          <w:sz w:val="24"/>
          <w:szCs w:val="24"/>
          <w:lang w:val="en-GB"/>
          <w14:textFill>
            <w14:solidFill>
              <w14:schemeClr w14:val="tx1"/>
            </w14:solidFill>
          </w14:textFill>
        </w:rPr>
        <w:t>:</w:t>
      </w:r>
      <w:r>
        <w:rPr>
          <w:rFonts w:hint="default" w:ascii="Arial" w:hAnsi="Arial" w:cs="Arial"/>
          <w:color w:val="000000" w:themeColor="text1"/>
          <w:sz w:val="24"/>
          <w:szCs w:val="24"/>
          <w:lang w:val="en-GB"/>
          <w14:textFill>
            <w14:solidFill>
              <w14:schemeClr w14:val="tx1"/>
            </w14:solidFill>
          </w14:textFill>
        </w:rPr>
        <w:t xml:space="preserve"> According to </w:t>
      </w:r>
      <w:r>
        <w:rPr>
          <w:rFonts w:hint="default" w:ascii="Arial" w:hAnsi="Arial" w:cs="Arial"/>
          <w:color w:val="000000" w:themeColor="text1"/>
          <w:sz w:val="24"/>
          <w:szCs w:val="24"/>
          <w:highlight w:val="white"/>
          <w:lang w:val="en-GB"/>
          <w14:textFill>
            <w14:solidFill>
              <w14:schemeClr w14:val="tx1"/>
            </w14:solidFill>
          </w14:textFill>
        </w:rPr>
        <w:t xml:space="preserve">Rehm </w:t>
      </w:r>
      <w:r>
        <w:rPr>
          <w:rFonts w:hint="default" w:ascii="Arial" w:hAnsi="Arial" w:cs="Arial"/>
          <w:i/>
          <w:color w:val="000000" w:themeColor="text1"/>
          <w:sz w:val="24"/>
          <w:szCs w:val="24"/>
          <w:highlight w:val="white"/>
          <w:lang w:val="en-GB"/>
          <w14:textFill>
            <w14:solidFill>
              <w14:schemeClr w14:val="tx1"/>
            </w14:solidFill>
          </w14:textFill>
        </w:rPr>
        <w:t>et al.</w:t>
      </w:r>
      <w:r>
        <w:rPr>
          <w:rFonts w:hint="default" w:ascii="Arial" w:hAnsi="Arial" w:cs="Arial"/>
          <w:color w:val="000000" w:themeColor="text1"/>
          <w:sz w:val="24"/>
          <w:szCs w:val="24"/>
          <w:highlight w:val="white"/>
          <w:lang w:val="en-GB"/>
          <w14:textFill>
            <w14:solidFill>
              <w14:schemeClr w14:val="tx1"/>
            </w14:solidFill>
          </w14:textFill>
        </w:rPr>
        <w:t xml:space="preserve"> (2021), </w:t>
      </w:r>
      <w:r>
        <w:rPr>
          <w:rFonts w:hint="default" w:ascii="Arial" w:hAnsi="Arial" w:cs="Arial"/>
          <w:color w:val="000000" w:themeColor="text1"/>
          <w:sz w:val="24"/>
          <w:szCs w:val="24"/>
          <w:lang w:val="en-GB"/>
          <w14:textFill>
            <w14:solidFill>
              <w14:schemeClr w14:val="tx1"/>
            </w14:solidFill>
          </w14:textFill>
        </w:rPr>
        <w:t xml:space="preserve">the managers of any business organisation the main focus would be to increase the brand identity to international customers. For this reason, business managers need to provide the cohesiveness of their brand in Japan. Whether the business organisation is to use the translator, it can cause misunderstandings among clients and employees. Therefore, the companies would take advantage of </w:t>
      </w:r>
      <w:r>
        <w:rPr>
          <w:rFonts w:hint="default" w:ascii="Arial" w:hAnsi="Arial" w:cs="Arial"/>
          <w:color w:val="000000" w:themeColor="text1"/>
          <w:sz w:val="24"/>
          <w:szCs w:val="24"/>
          <w:highlight w:val="white"/>
          <w:lang w:val="en-GB"/>
          <w14:textFill>
            <w14:solidFill>
              <w14:schemeClr w14:val="tx1"/>
            </w14:solidFill>
          </w14:textFill>
        </w:rPr>
        <w:t>specialist language service providers in Japan. This language service provider may ensure that there are clear understandings by utilising idioms that the further consumers are unfamiliar with.</w:t>
      </w:r>
    </w:p>
    <w:p>
      <w:pPr>
        <w:pStyle w:val="12"/>
        <w:spacing w:line="360" w:lineRule="auto"/>
        <w:jc w:val="both"/>
        <w:rPr>
          <w:rFonts w:hint="default" w:ascii="Arial" w:hAnsi="Arial" w:cs="Arial"/>
          <w:color w:val="000000" w:themeColor="text1"/>
          <w:sz w:val="24"/>
          <w:szCs w:val="24"/>
          <w:highlight w:val="white"/>
          <w:lang w:val="en-GB"/>
          <w14:textFill>
            <w14:solidFill>
              <w14:schemeClr w14:val="tx1"/>
            </w14:solidFill>
          </w14:textFill>
        </w:rPr>
      </w:pPr>
      <w:r>
        <w:rPr>
          <w:rFonts w:hint="default" w:ascii="Arial" w:hAnsi="Arial" w:cs="Arial"/>
          <w:b/>
          <w:i/>
          <w:color w:val="000000" w:themeColor="text1"/>
          <w:sz w:val="24"/>
          <w:szCs w:val="24"/>
          <w:highlight w:val="white"/>
          <w:lang w:val="en-GB"/>
          <w14:textFill>
            <w14:solidFill>
              <w14:schemeClr w14:val="tx1"/>
            </w14:solidFill>
          </w14:textFill>
        </w:rPr>
        <w:t>Eliminating differences in perception:</w:t>
      </w:r>
      <w:r>
        <w:rPr>
          <w:rFonts w:hint="default" w:ascii="Arial" w:hAnsi="Arial" w:cs="Arial"/>
          <w:color w:val="000000" w:themeColor="text1"/>
          <w:sz w:val="24"/>
          <w:szCs w:val="24"/>
          <w:highlight w:val="white"/>
          <w:lang w:val="en-GB"/>
          <w14:textFill>
            <w14:solidFill>
              <w14:schemeClr w14:val="tx1"/>
            </w14:solidFill>
          </w14:textFill>
        </w:rPr>
        <w:t xml:space="preserve"> According to Hamza </w:t>
      </w:r>
      <w:r>
        <w:rPr>
          <w:rFonts w:hint="default" w:ascii="Arial" w:hAnsi="Arial" w:cs="Arial"/>
          <w:i/>
          <w:color w:val="000000" w:themeColor="text1"/>
          <w:sz w:val="24"/>
          <w:szCs w:val="24"/>
          <w:highlight w:val="white"/>
          <w:lang w:val="en-GB"/>
          <w14:textFill>
            <w14:solidFill>
              <w14:schemeClr w14:val="tx1"/>
            </w14:solidFill>
          </w14:textFill>
        </w:rPr>
        <w:t>et al.</w:t>
      </w:r>
      <w:r>
        <w:rPr>
          <w:rFonts w:hint="default" w:ascii="Arial" w:hAnsi="Arial" w:cs="Arial"/>
          <w:color w:val="000000" w:themeColor="text1"/>
          <w:sz w:val="24"/>
          <w:szCs w:val="24"/>
          <w:highlight w:val="white"/>
          <w:lang w:val="en-GB"/>
          <w14:textFill>
            <w14:solidFill>
              <w14:schemeClr w14:val="tx1"/>
            </w14:solidFill>
          </w14:textFill>
        </w:rPr>
        <w:t xml:space="preserve"> (2021), UK companies need to confirm that it is hiring the right person for this position. It has the obligation of the interviewer to ensure that the aspirant has authority over verbal and non-verbal communication. There needs to be a valid Induction schedule. Therefore, these policies would be effective for the UK companies as well as clear to understand for the workers. </w:t>
      </w:r>
    </w:p>
    <w:p>
      <w:pPr>
        <w:pStyle w:val="12"/>
        <w:spacing w:line="360" w:lineRule="auto"/>
        <w:jc w:val="both"/>
        <w:rPr>
          <w:rFonts w:hint="default" w:ascii="Arial" w:hAnsi="Arial" w:cs="Arial"/>
          <w:color w:val="000000" w:themeColor="text1"/>
          <w:sz w:val="24"/>
          <w:szCs w:val="24"/>
          <w:highlight w:val="white"/>
          <w:lang w:val="en-GB"/>
          <w14:textFill>
            <w14:solidFill>
              <w14:schemeClr w14:val="tx1"/>
            </w14:solidFill>
          </w14:textFill>
        </w:rPr>
      </w:pPr>
      <w:r>
        <w:rPr>
          <w:rFonts w:hint="default" w:ascii="Arial" w:hAnsi="Arial" w:cs="Arial"/>
          <w:b/>
          <w:i/>
          <w:color w:val="000000" w:themeColor="text1"/>
          <w:sz w:val="24"/>
          <w:szCs w:val="24"/>
          <w:highlight w:val="white"/>
          <w:lang w:val="en-GB"/>
          <w14:textFill>
            <w14:solidFill>
              <w14:schemeClr w14:val="tx1"/>
            </w14:solidFill>
          </w14:textFill>
        </w:rPr>
        <w:t>Japan’s law and policies:</w:t>
      </w:r>
      <w:r>
        <w:rPr>
          <w:rFonts w:hint="default" w:ascii="Arial" w:hAnsi="Arial" w:cs="Arial"/>
          <w:color w:val="000000" w:themeColor="text1"/>
          <w:sz w:val="24"/>
          <w:szCs w:val="24"/>
          <w:highlight w:val="white"/>
          <w:lang w:val="en-GB"/>
          <w14:textFill>
            <w14:solidFill>
              <w14:schemeClr w14:val="tx1"/>
            </w14:solidFill>
          </w14:textFill>
        </w:rPr>
        <w:t xml:space="preserve"> According to Chen </w:t>
      </w:r>
      <w:r>
        <w:rPr>
          <w:rFonts w:hint="default" w:ascii="Arial" w:hAnsi="Arial" w:cs="Arial"/>
          <w:i/>
          <w:color w:val="000000" w:themeColor="text1"/>
          <w:sz w:val="24"/>
          <w:szCs w:val="24"/>
          <w:highlight w:val="white"/>
          <w:lang w:val="en-GB"/>
          <w14:textFill>
            <w14:solidFill>
              <w14:schemeClr w14:val="tx1"/>
            </w14:solidFill>
          </w14:textFill>
        </w:rPr>
        <w:t>et al.</w:t>
      </w:r>
      <w:r>
        <w:rPr>
          <w:rFonts w:hint="default" w:ascii="Arial" w:hAnsi="Arial" w:cs="Arial"/>
          <w:color w:val="000000" w:themeColor="text1"/>
          <w:sz w:val="24"/>
          <w:szCs w:val="24"/>
          <w:highlight w:val="white"/>
          <w:lang w:val="en-GB"/>
          <w14:textFill>
            <w14:solidFill>
              <w14:schemeClr w14:val="tx1"/>
            </w14:solidFill>
          </w14:textFill>
        </w:rPr>
        <w:t xml:space="preserve"> (2019), UK-based organisations need to understand Japan's legal legislation and policies for foreign companies. Including corporate tax policy, human rights, labour laws, and more. Furthermore, it is another leading communication barrier for any company. Therefore, UK-based business organisations need to overcome it on a priority basis. </w:t>
      </w:r>
    </w:p>
    <w:p>
      <w:pPr>
        <w:pStyle w:val="12"/>
        <w:spacing w:line="360" w:lineRule="auto"/>
        <w:jc w:val="both"/>
        <w:rPr>
          <w:rFonts w:hint="default" w:ascii="Arial" w:hAnsi="Arial" w:cs="Arial"/>
          <w:color w:val="000000" w:themeColor="text1"/>
          <w:sz w:val="24"/>
          <w:szCs w:val="24"/>
          <w:highlight w:val="white"/>
          <w:lang w:val="en-GB"/>
          <w14:textFill>
            <w14:solidFill>
              <w14:schemeClr w14:val="tx1"/>
            </w14:solidFill>
          </w14:textFill>
        </w:rPr>
      </w:pPr>
      <w:r>
        <w:rPr>
          <w:rFonts w:hint="default" w:ascii="Arial" w:hAnsi="Arial" w:cs="Arial"/>
          <w:b/>
          <w:i/>
          <w:color w:val="000000" w:themeColor="text1"/>
          <w:sz w:val="24"/>
          <w:szCs w:val="24"/>
          <w:highlight w:val="white"/>
          <w:lang w:val="en-GB"/>
          <w14:textFill>
            <w14:solidFill>
              <w14:schemeClr w14:val="tx1"/>
            </w14:solidFill>
          </w14:textFill>
        </w:rPr>
        <w:t xml:space="preserve">Values and attitudes of </w:t>
      </w:r>
      <w:r>
        <w:rPr>
          <w:rFonts w:hint="default" w:ascii="Arial" w:hAnsi="Arial" w:cs="Arial"/>
          <w:b/>
          <w:i/>
          <w:color w:val="000000" w:themeColor="text1"/>
          <w:sz w:val="24"/>
          <w:szCs w:val="24"/>
          <w:lang w:val="en-GB"/>
          <w14:textFill>
            <w14:solidFill>
              <w14:schemeClr w14:val="tx1"/>
            </w14:solidFill>
          </w14:textFill>
        </w:rPr>
        <w:t>Japanese</w:t>
      </w:r>
      <w:r>
        <w:rPr>
          <w:rFonts w:hint="default" w:ascii="Arial" w:hAnsi="Arial" w:cs="Arial"/>
          <w:b/>
          <w:i/>
          <w:color w:val="000000" w:themeColor="text1"/>
          <w:sz w:val="24"/>
          <w:szCs w:val="24"/>
          <w:highlight w:val="white"/>
          <w:lang w:val="en-GB"/>
          <w14:textFill>
            <w14:solidFill>
              <w14:schemeClr w14:val="tx1"/>
            </w14:solidFill>
          </w14:textFill>
        </w:rPr>
        <w:t xml:space="preserve"> people:</w:t>
      </w:r>
      <w:r>
        <w:rPr>
          <w:rFonts w:hint="default" w:ascii="Arial" w:hAnsi="Arial" w:cs="Arial"/>
          <w:color w:val="000000" w:themeColor="text1"/>
          <w:sz w:val="24"/>
          <w:szCs w:val="24"/>
          <w:highlight w:val="white"/>
          <w:lang w:val="en-GB"/>
          <w14:textFill>
            <w14:solidFill>
              <w14:schemeClr w14:val="tx1"/>
            </w14:solidFill>
          </w14:textFill>
        </w:rPr>
        <w:t xml:space="preserve"> Japan's traditional culture indicates the values which influence the mentality of the Japanese people. Therefore, it is vital for UK-based organisations to know the values and attitudes of the Japanese people. According to </w:t>
      </w:r>
      <w:r>
        <w:rPr>
          <w:rFonts w:hint="default" w:ascii="Arial" w:hAnsi="Arial" w:cs="Arial"/>
          <w:color w:val="000000" w:themeColor="text1"/>
          <w:sz w:val="24"/>
          <w:szCs w:val="24"/>
          <w:shd w:val="clear" w:color="auto" w:fill="FFFFFF"/>
          <w:lang w:val="en-GB"/>
          <w14:textFill>
            <w14:solidFill>
              <w14:schemeClr w14:val="tx1"/>
            </w14:solidFill>
          </w14:textFill>
        </w:rPr>
        <w:t>Tinh</w:t>
      </w:r>
      <w:r>
        <w:rPr>
          <w:rFonts w:hint="default" w:ascii="Arial" w:hAnsi="Arial" w:cs="Arial"/>
          <w:color w:val="000000" w:themeColor="text1"/>
          <w:sz w:val="24"/>
          <w:szCs w:val="24"/>
          <w:highlight w:val="white"/>
          <w:lang w:val="en-GB"/>
          <w14:textFill>
            <w14:solidFill>
              <w14:schemeClr w14:val="tx1"/>
            </w14:solidFill>
          </w14:textFill>
        </w:rPr>
        <w:t xml:space="preserve"> </w:t>
      </w:r>
      <w:r>
        <w:rPr>
          <w:rFonts w:hint="default" w:ascii="Arial" w:hAnsi="Arial" w:cs="Arial"/>
          <w:i/>
          <w:color w:val="000000" w:themeColor="text1"/>
          <w:sz w:val="24"/>
          <w:szCs w:val="24"/>
          <w:highlight w:val="white"/>
          <w:lang w:val="en-GB"/>
          <w14:textFill>
            <w14:solidFill>
              <w14:schemeClr w14:val="tx1"/>
            </w14:solidFill>
          </w14:textFill>
        </w:rPr>
        <w:t>et al.</w:t>
      </w:r>
      <w:r>
        <w:rPr>
          <w:rFonts w:hint="default" w:ascii="Arial" w:hAnsi="Arial" w:cs="Arial"/>
          <w:color w:val="000000" w:themeColor="text1"/>
          <w:sz w:val="24"/>
          <w:szCs w:val="24"/>
          <w:highlight w:val="white"/>
          <w:lang w:val="en-GB"/>
          <w14:textFill>
            <w14:solidFill>
              <w14:schemeClr w14:val="tx1"/>
            </w14:solidFill>
          </w14:textFill>
        </w:rPr>
        <w:t xml:space="preserve"> (2021), it can help companies in the long run for their business in Japan through understanding harmony, charity, morality, courtesy, knowledge, honesty, belief, and filial piety.</w:t>
      </w:r>
    </w:p>
    <w:p>
      <w:pPr>
        <w:pStyle w:val="12"/>
        <w:spacing w:line="360" w:lineRule="auto"/>
        <w:jc w:val="both"/>
        <w:rPr>
          <w:rFonts w:hint="default" w:ascii="Arial" w:hAnsi="Arial" w:cs="Arial"/>
          <w:color w:val="000000" w:themeColor="text1"/>
          <w:sz w:val="24"/>
          <w:szCs w:val="24"/>
          <w:highlight w:val="white"/>
          <w:lang w:val="en-GB"/>
          <w14:textFill>
            <w14:solidFill>
              <w14:schemeClr w14:val="tx1"/>
            </w14:solidFill>
          </w14:textFill>
        </w:rPr>
      </w:pPr>
      <w:r>
        <w:rPr>
          <w:rFonts w:hint="default" w:ascii="Arial" w:hAnsi="Arial" w:cs="Arial"/>
          <w:b/>
          <w:i/>
          <w:color w:val="000000" w:themeColor="text1"/>
          <w:sz w:val="24"/>
          <w:szCs w:val="24"/>
          <w:highlight w:val="white"/>
          <w:lang w:val="en-GB"/>
          <w14:textFill>
            <w14:solidFill>
              <w14:schemeClr w14:val="tx1"/>
            </w14:solidFill>
          </w14:textFill>
        </w:rPr>
        <w:t>Technology and material culture</w:t>
      </w:r>
      <w:r>
        <w:rPr>
          <w:rFonts w:hint="default" w:ascii="Arial" w:hAnsi="Arial" w:cs="Arial"/>
          <w:i/>
          <w:color w:val="000000" w:themeColor="text1"/>
          <w:sz w:val="24"/>
          <w:szCs w:val="24"/>
          <w:highlight w:val="white"/>
          <w:lang w:val="en-GB"/>
          <w14:textFill>
            <w14:solidFill>
              <w14:schemeClr w14:val="tx1"/>
            </w14:solidFill>
          </w14:textFill>
        </w:rPr>
        <w:t>:</w:t>
      </w:r>
      <w:r>
        <w:rPr>
          <w:rFonts w:hint="default" w:ascii="Arial" w:hAnsi="Arial" w:cs="Arial"/>
          <w:color w:val="000000" w:themeColor="text1"/>
          <w:sz w:val="24"/>
          <w:szCs w:val="24"/>
          <w:highlight w:val="white"/>
          <w:lang w:val="en-GB"/>
          <w14:textFill>
            <w14:solidFill>
              <w14:schemeClr w14:val="tx1"/>
            </w14:solidFill>
          </w14:textFill>
        </w:rPr>
        <w:t xml:space="preserve"> According to Strang, (2020), the managers of the companies need to use adequate technology, which can help to expand UK business in Japan. Furthermore, the business administration needs to choose the medium of communication. On the other hand, the material Culture can present objects varying from traditional pills and oil lamps to garments and supplements, like Mandarin buttons in Japan. Moreover, the UK-based organisation needs to be aware of Japan's technology and material culture, which can highly impact business performance and productivity.</w:t>
      </w:r>
    </w:p>
    <w:p>
      <w:pPr>
        <w:pStyle w:val="12"/>
        <w:spacing w:line="360" w:lineRule="auto"/>
        <w:jc w:val="both"/>
        <w:rPr>
          <w:rFonts w:hint="default" w:ascii="Arial" w:hAnsi="Arial" w:cs="Arial"/>
          <w:color w:val="000000" w:themeColor="text1"/>
          <w:sz w:val="24"/>
          <w:szCs w:val="24"/>
          <w:highlight w:val="white"/>
          <w:lang w:val="en-GB"/>
          <w14:textFill>
            <w14:solidFill>
              <w14:schemeClr w14:val="tx1"/>
            </w14:solidFill>
          </w14:textFill>
        </w:rPr>
      </w:pPr>
      <w:r>
        <w:rPr>
          <w:rFonts w:hint="default" w:ascii="Arial" w:hAnsi="Arial" w:cs="Arial"/>
          <w:b/>
          <w:i/>
          <w:color w:val="000000" w:themeColor="text1"/>
          <w:sz w:val="24"/>
          <w:szCs w:val="24"/>
          <w:highlight w:val="white"/>
          <w:lang w:val="en-GB"/>
          <w14:textFill>
            <w14:solidFill>
              <w14:schemeClr w14:val="tx1"/>
            </w14:solidFill>
          </w14:textFill>
        </w:rPr>
        <w:t>Social organisations</w:t>
      </w:r>
      <w:r>
        <w:rPr>
          <w:rFonts w:hint="default" w:ascii="Arial" w:hAnsi="Arial" w:cs="Arial"/>
          <w:i/>
          <w:color w:val="000000" w:themeColor="text1"/>
          <w:sz w:val="24"/>
          <w:szCs w:val="24"/>
          <w:highlight w:val="white"/>
          <w:lang w:val="en-GB"/>
          <w14:textFill>
            <w14:solidFill>
              <w14:schemeClr w14:val="tx1"/>
            </w14:solidFill>
          </w14:textFill>
        </w:rPr>
        <w:t>:</w:t>
      </w:r>
      <w:r>
        <w:rPr>
          <w:rFonts w:hint="default" w:ascii="Arial" w:hAnsi="Arial" w:cs="Arial"/>
          <w:color w:val="000000" w:themeColor="text1"/>
          <w:sz w:val="24"/>
          <w:szCs w:val="24"/>
          <w:highlight w:val="white"/>
          <w:lang w:val="en-GB"/>
          <w14:textFill>
            <w14:solidFill>
              <w14:schemeClr w14:val="tx1"/>
            </w14:solidFill>
          </w14:textFill>
        </w:rPr>
        <w:t xml:space="preserve"> The UK international companies need to collaborate with the social organisations of Japan. This social collaboration would be beneficial for UK companies as well as it can help to understand projects. Therefore, it would be easy to know the transfer process, more powerful teams, a better outcome, and an improved culture throughout the social organisation.</w:t>
      </w:r>
    </w:p>
    <w:p>
      <w:pPr>
        <w:pStyle w:val="12"/>
        <w:spacing w:line="360" w:lineRule="auto"/>
        <w:jc w:val="both"/>
        <w:rPr>
          <w:rFonts w:hint="default" w:ascii="Arial" w:hAnsi="Arial" w:cs="Arial"/>
          <w:color w:val="000000" w:themeColor="text1"/>
          <w:sz w:val="24"/>
          <w:szCs w:val="24"/>
          <w:highlight w:val="white"/>
          <w:lang w:val="en-GB"/>
          <w14:textFill>
            <w14:solidFill>
              <w14:schemeClr w14:val="tx1"/>
            </w14:solidFill>
          </w14:textFill>
        </w:rPr>
      </w:pPr>
      <w:r>
        <w:rPr>
          <w:rFonts w:hint="default" w:ascii="Arial" w:hAnsi="Arial" w:cs="Arial"/>
          <w:b/>
          <w:i/>
          <w:color w:val="000000" w:themeColor="text1"/>
          <w:sz w:val="24"/>
          <w:szCs w:val="24"/>
          <w:highlight w:val="white"/>
          <w:lang w:val="en-GB"/>
          <w14:textFill>
            <w14:solidFill>
              <w14:schemeClr w14:val="tx1"/>
            </w14:solidFill>
          </w14:textFill>
        </w:rPr>
        <w:t>Simple Organisational Structure:</w:t>
      </w:r>
      <w:r>
        <w:rPr>
          <w:rFonts w:hint="default" w:ascii="Arial" w:hAnsi="Arial" w:cs="Arial"/>
          <w:color w:val="000000" w:themeColor="text1"/>
          <w:sz w:val="24"/>
          <w:szCs w:val="24"/>
          <w:highlight w:val="white"/>
          <w:lang w:val="en-GB"/>
          <w14:textFill>
            <w14:solidFill>
              <w14:schemeClr w14:val="tx1"/>
            </w14:solidFill>
          </w14:textFill>
        </w:rPr>
        <w:t xml:space="preserve"> The UK-based international organisations need to focus on their organisational structure, which would be simple. Moreover, many hierarchical levels can be prime. There needs to be an excellent span of power within the organisation. Moreover, a smooth organisational structure can be effective for communication.</w:t>
      </w:r>
    </w:p>
    <w:p>
      <w:pPr>
        <w:pStyle w:val="12"/>
        <w:spacing w:line="360" w:lineRule="auto"/>
        <w:jc w:val="both"/>
        <w:rPr>
          <w:rFonts w:hint="default" w:ascii="Arial" w:hAnsi="Arial" w:cs="Arial"/>
          <w:color w:val="000000" w:themeColor="text1"/>
          <w:sz w:val="24"/>
          <w:szCs w:val="24"/>
          <w:lang w:val="en-GB"/>
          <w14:textFill>
            <w14:solidFill>
              <w14:schemeClr w14:val="tx1"/>
            </w14:solidFill>
          </w14:textFill>
        </w:rPr>
      </w:pPr>
      <w:r>
        <w:rPr>
          <w:rFonts w:hint="default" w:ascii="Arial" w:hAnsi="Arial" w:cs="Arial"/>
          <w:b/>
          <w:i/>
          <w:color w:val="000000" w:themeColor="text1"/>
          <w:sz w:val="24"/>
          <w:szCs w:val="24"/>
          <w:highlight w:val="white"/>
          <w:lang w:val="en-GB"/>
          <w14:textFill>
            <w14:solidFill>
              <w14:schemeClr w14:val="tx1"/>
            </w14:solidFill>
          </w14:textFill>
        </w:rPr>
        <w:t>Give Constructive Feedback:</w:t>
      </w:r>
      <w:r>
        <w:rPr>
          <w:rFonts w:hint="default" w:ascii="Arial" w:hAnsi="Arial" w:cs="Arial"/>
          <w:color w:val="000000" w:themeColor="text1"/>
          <w:sz w:val="24"/>
          <w:szCs w:val="24"/>
          <w:highlight w:val="white"/>
          <w:lang w:val="en-GB"/>
          <w14:textFill>
            <w14:solidFill>
              <w14:schemeClr w14:val="tx1"/>
            </w14:solidFill>
          </w14:textFill>
        </w:rPr>
        <w:t xml:space="preserve"> UK companies need to avoid delivering negative feedback. Furthermore, if the range of the input is not favourable, therefore, they need to provide constructively. </w:t>
      </w:r>
    </w:p>
    <w:p>
      <w:pPr>
        <w:pStyle w:val="2"/>
        <w:rPr>
          <w:rFonts w:hint="default" w:ascii="Arial" w:hAnsi="Arial" w:cs="Arial"/>
          <w:color w:val="000000" w:themeColor="text1"/>
          <w:lang w:val="en-GB"/>
          <w14:textFill>
            <w14:solidFill>
              <w14:schemeClr w14:val="tx1"/>
            </w14:solidFill>
          </w14:textFill>
        </w:rPr>
      </w:pPr>
      <w:bookmarkStart w:id="5" w:name="_Toc14546"/>
      <w:r>
        <w:rPr>
          <w:rFonts w:hint="eastAsia" w:ascii="Arial" w:hAnsi="Arial" w:eastAsia="宋体" w:cs="Arial"/>
          <w:color w:val="000000" w:themeColor="text1"/>
          <w:lang w:val="en-US" w:eastAsia="zh-CN"/>
          <w14:textFill>
            <w14:solidFill>
              <w14:schemeClr w14:val="tx1"/>
            </w14:solidFill>
          </w14:textFill>
        </w:rPr>
        <w:t xml:space="preserve">3.0 </w:t>
      </w:r>
      <w:r>
        <w:rPr>
          <w:rFonts w:hint="default" w:ascii="Arial" w:hAnsi="Arial" w:cs="Arial"/>
          <w:color w:val="000000" w:themeColor="text1"/>
          <w:lang w:val="en-GB"/>
          <w14:textFill>
            <w14:solidFill>
              <w14:schemeClr w14:val="tx1"/>
            </w14:solidFill>
          </w14:textFill>
        </w:rPr>
        <w:t>Conclusion</w:t>
      </w:r>
      <w:bookmarkEnd w:id="5"/>
      <w:r>
        <w:rPr>
          <w:rFonts w:hint="default" w:ascii="Arial" w:hAnsi="Arial" w:cs="Arial"/>
          <w:color w:val="000000" w:themeColor="text1"/>
          <w:lang w:val="en-GB"/>
          <w14:textFill>
            <w14:solidFill>
              <w14:schemeClr w14:val="tx1"/>
            </w14:solidFill>
          </w14:textFill>
        </w:rPr>
        <w:t xml:space="preserve"> </w:t>
      </w:r>
    </w:p>
    <w:p>
      <w:pPr>
        <w:pStyle w:val="12"/>
        <w:spacing w:line="360" w:lineRule="auto"/>
        <w:jc w:val="both"/>
        <w:rPr>
          <w:rFonts w:hint="default" w:ascii="Arial" w:hAnsi="Arial" w:cs="Arial"/>
          <w:color w:val="000000" w:themeColor="text1"/>
          <w:sz w:val="24"/>
          <w:szCs w:val="24"/>
          <w:lang w:val="en-GB"/>
          <w14:textFill>
            <w14:solidFill>
              <w14:schemeClr w14:val="tx1"/>
            </w14:solidFill>
          </w14:textFill>
        </w:rPr>
      </w:pPr>
      <w:r>
        <w:rPr>
          <w:rFonts w:hint="default" w:ascii="Arial" w:hAnsi="Arial" w:cs="Arial"/>
          <w:color w:val="000000" w:themeColor="text1"/>
          <w:sz w:val="24"/>
          <w:szCs w:val="24"/>
          <w:lang w:val="en-GB"/>
          <w14:textFill>
            <w14:solidFill>
              <w14:schemeClr w14:val="tx1"/>
            </w14:solidFill>
          </w14:textFill>
        </w:rPr>
        <w:t>From the above reflective study, international business communication is essential for the expansion of business in new countries by multinational global companies. International business communication significantly affects the business of multinational global organisations both positively and negatively. In this reflective study, Japan has been chosen, whereas the UK multinational companies will introduce their business and can face both opportunities and challenges in the new market penetration. UK companies can face various issues such as language and cultural barriers, cultural differences, maintaining global teams, currency exchange, and inflation rates. UK companies may also face challenges regarding the differences in foreign politics, policy, and international relations. The vast cultural differences in Asian countries can make it difficult for UK multinational companies to grow their business in Japan and can cause low profitability for them. Several recommendations have also been elucidated to mitigate the issues regarding the introduction of business in Japan by UK multinational organisations. Cultural differences and language barriers will possibly create a lack of communication in managing global teams as the team members will be from a different country from the host country. UK companies may mitigate these issues by improving international business communication and closely following foreign policies, rules, and regulations.</w:t>
      </w:r>
    </w:p>
    <w:p>
      <w:pPr>
        <w:pStyle w:val="2"/>
        <w:rPr>
          <w:rFonts w:hint="default" w:ascii="Arial" w:hAnsi="Arial" w:cs="Arial"/>
          <w:color w:val="000000" w:themeColor="text1"/>
          <w:lang w:val="en-GB"/>
          <w14:textFill>
            <w14:solidFill>
              <w14:schemeClr w14:val="tx1"/>
            </w14:solidFill>
          </w14:textFill>
        </w:rPr>
      </w:pPr>
      <w:bookmarkStart w:id="6" w:name="_Toc2564"/>
      <w:r>
        <w:rPr>
          <w:rFonts w:hint="eastAsia" w:ascii="Arial" w:hAnsi="Arial" w:eastAsia="宋体" w:cs="Arial"/>
          <w:color w:val="000000" w:themeColor="text1"/>
          <w:lang w:val="en-US" w:eastAsia="zh-CN"/>
          <w14:textFill>
            <w14:solidFill>
              <w14:schemeClr w14:val="tx1"/>
            </w14:solidFill>
          </w14:textFill>
        </w:rPr>
        <w:t xml:space="preserve">4.0 </w:t>
      </w:r>
      <w:r>
        <w:rPr>
          <w:rFonts w:hint="default" w:ascii="Arial" w:hAnsi="Arial" w:cs="Arial"/>
          <w:color w:val="000000" w:themeColor="text1"/>
          <w:lang w:val="en-GB"/>
          <w14:textFill>
            <w14:solidFill>
              <w14:schemeClr w14:val="tx1"/>
            </w14:solidFill>
          </w14:textFill>
        </w:rPr>
        <w:t>Recommendations</w:t>
      </w:r>
      <w:bookmarkEnd w:id="6"/>
      <w:r>
        <w:rPr>
          <w:rFonts w:hint="default" w:ascii="Arial" w:hAnsi="Arial" w:cs="Arial"/>
          <w:color w:val="000000" w:themeColor="text1"/>
          <w:lang w:val="en-GB"/>
          <w14:textFill>
            <w14:solidFill>
              <w14:schemeClr w14:val="tx1"/>
            </w14:solidFill>
          </w14:textFill>
        </w:rPr>
        <w:t xml:space="preserve"> </w:t>
      </w:r>
    </w:p>
    <w:p>
      <w:pPr>
        <w:pStyle w:val="12"/>
        <w:spacing w:line="360" w:lineRule="auto"/>
        <w:jc w:val="both"/>
        <w:rPr>
          <w:rFonts w:hint="default" w:ascii="Arial" w:hAnsi="Arial" w:eastAsia="Times New Roman" w:cs="Arial"/>
          <w:color w:val="000000" w:themeColor="text1"/>
          <w:sz w:val="24"/>
          <w:szCs w:val="24"/>
          <w:lang w:val="en-GB"/>
          <w14:textFill>
            <w14:solidFill>
              <w14:schemeClr w14:val="tx1"/>
            </w14:solidFill>
          </w14:textFill>
        </w:rPr>
      </w:pPr>
      <w:r>
        <w:rPr>
          <w:rFonts w:hint="default" w:ascii="Arial" w:hAnsi="Arial" w:eastAsia="Times New Roman" w:cs="Arial"/>
          <w:color w:val="000000" w:themeColor="text1"/>
          <w:sz w:val="24"/>
          <w:szCs w:val="24"/>
          <w:lang w:val="en-GB"/>
          <w14:textFill>
            <w14:solidFill>
              <w14:schemeClr w14:val="tx1"/>
            </w14:solidFill>
          </w14:textFill>
        </w:rPr>
        <w:t xml:space="preserve">Reviewing </w:t>
      </w:r>
      <w:r>
        <w:rPr>
          <w:rFonts w:hint="default" w:ascii="Arial" w:hAnsi="Arial" w:cs="Arial"/>
        </w:rPr>
        <w:fldChar w:fldCharType="begin"/>
      </w:r>
      <w:r>
        <w:rPr>
          <w:rFonts w:hint="default" w:ascii="Arial" w:hAnsi="Arial" w:cs="Arial"/>
        </w:rPr>
        <w:instrText xml:space="preserve"> HYPERLINK "https://www.statista.com/statistics/263770/gross-domestic-product-gdp-of-china/" \h </w:instrText>
      </w:r>
      <w:r>
        <w:rPr>
          <w:rFonts w:hint="default" w:ascii="Arial" w:hAnsi="Arial" w:cs="Arial"/>
        </w:rPr>
        <w:fldChar w:fldCharType="separate"/>
      </w:r>
      <w:r>
        <w:rPr>
          <w:rFonts w:hint="default" w:ascii="Arial" w:hAnsi="Arial" w:eastAsia="Times New Roman" w:cs="Arial"/>
          <w:color w:val="000000" w:themeColor="text1"/>
          <w:sz w:val="24"/>
          <w:szCs w:val="24"/>
          <w:lang w:val="en-GB"/>
          <w14:textFill>
            <w14:solidFill>
              <w14:schemeClr w14:val="tx1"/>
            </w14:solidFill>
          </w14:textFill>
        </w:rPr>
        <w:t>approximately 30 years</w:t>
      </w:r>
      <w:r>
        <w:rPr>
          <w:rFonts w:hint="default" w:ascii="Arial" w:hAnsi="Arial" w:eastAsia="Times New Roman" w:cs="Arial"/>
          <w:color w:val="000000" w:themeColor="text1"/>
          <w:sz w:val="24"/>
          <w:szCs w:val="24"/>
          <w:lang w:val="en-GB"/>
          <w14:textFill>
            <w14:solidFill>
              <w14:schemeClr w14:val="tx1"/>
            </w14:solidFill>
          </w14:textFill>
        </w:rPr>
        <w:fldChar w:fldCharType="end"/>
      </w:r>
      <w:r>
        <w:rPr>
          <w:rFonts w:hint="default" w:ascii="Arial" w:hAnsi="Arial" w:eastAsia="Times New Roman" w:cs="Arial"/>
          <w:color w:val="000000" w:themeColor="text1"/>
          <w:sz w:val="24"/>
          <w:szCs w:val="24"/>
          <w:lang w:val="en-GB"/>
          <w14:textFill>
            <w14:solidFill>
              <w14:schemeClr w14:val="tx1"/>
            </w14:solidFill>
          </w14:textFill>
        </w:rPr>
        <w:t xml:space="preserve"> of significant growth on the global stage, it is clear that the Japanese economy is becoming an even-greater player. A massive amount of money is being spent in Japan's business markets today, and many businesses are trying to hold on to a portion of this growing wealth. However, for various reasons, Japan remains challenging for any new business organisation. Effective communication is one of the most severe difficulties for business organisations entering Japan. A deficiency in communication skills can easily hinder a company's performance in the Japanese market and cost time and money (</w:t>
      </w:r>
      <w:r>
        <w:rPr>
          <w:rFonts w:hint="default" w:ascii="Arial" w:hAnsi="Arial" w:cs="Arial"/>
          <w:color w:val="000000" w:themeColor="text1"/>
          <w:sz w:val="24"/>
          <w:szCs w:val="24"/>
          <w:shd w:val="clear" w:color="auto" w:fill="FFFFFF"/>
          <w:lang w:val="en-GB"/>
          <w14:textFill>
            <w14:solidFill>
              <w14:schemeClr w14:val="tx1"/>
            </w14:solidFill>
          </w14:textFill>
        </w:rPr>
        <w:t xml:space="preserve">Chen </w:t>
      </w:r>
      <w:r>
        <w:rPr>
          <w:rFonts w:hint="default" w:ascii="Arial" w:hAnsi="Arial" w:cs="Arial"/>
          <w:i/>
          <w:color w:val="000000" w:themeColor="text1"/>
          <w:sz w:val="24"/>
          <w:szCs w:val="24"/>
          <w:shd w:val="clear" w:color="auto" w:fill="FFFFFF"/>
          <w:lang w:val="en-GB"/>
          <w14:textFill>
            <w14:solidFill>
              <w14:schemeClr w14:val="tx1"/>
            </w14:solidFill>
          </w14:textFill>
        </w:rPr>
        <w:t>et al.</w:t>
      </w:r>
      <w:r>
        <w:rPr>
          <w:rFonts w:hint="default" w:ascii="Arial" w:hAnsi="Arial" w:cs="Arial"/>
          <w:color w:val="000000" w:themeColor="text1"/>
          <w:sz w:val="24"/>
          <w:szCs w:val="24"/>
          <w:shd w:val="clear" w:color="auto" w:fill="FFFFFF"/>
          <w:lang w:val="en-GB"/>
          <w14:textFill>
            <w14:solidFill>
              <w14:schemeClr w14:val="tx1"/>
            </w14:solidFill>
          </w14:textFill>
        </w:rPr>
        <w:t xml:space="preserve"> 2020</w:t>
      </w:r>
      <w:r>
        <w:rPr>
          <w:rFonts w:hint="default" w:ascii="Arial" w:hAnsi="Arial" w:eastAsia="Times New Roman" w:cs="Arial"/>
          <w:color w:val="000000" w:themeColor="text1"/>
          <w:sz w:val="24"/>
          <w:szCs w:val="24"/>
          <w:lang w:val="en-GB"/>
          <w14:textFill>
            <w14:solidFill>
              <w14:schemeClr w14:val="tx1"/>
            </w14:solidFill>
          </w14:textFill>
        </w:rPr>
        <w:t>). By reviewing some of the significant communication barriers companies are facing today entering Japan’s business market, I can think of and may recommend some better tips to understand the challenges ahead and how a company may be able to approach them.</w:t>
      </w:r>
    </w:p>
    <w:p>
      <w:pPr>
        <w:pStyle w:val="12"/>
        <w:spacing w:line="360" w:lineRule="auto"/>
        <w:jc w:val="both"/>
        <w:rPr>
          <w:rFonts w:hint="default" w:ascii="Arial" w:hAnsi="Arial" w:eastAsia="Times New Roman" w:cs="Arial"/>
          <w:color w:val="000000" w:themeColor="text1"/>
          <w:sz w:val="24"/>
          <w:szCs w:val="24"/>
          <w:lang w:val="en-GB"/>
          <w14:textFill>
            <w14:solidFill>
              <w14:schemeClr w14:val="tx1"/>
            </w14:solidFill>
          </w14:textFill>
        </w:rPr>
      </w:pPr>
      <w:r>
        <w:rPr>
          <w:rFonts w:hint="default" w:ascii="Arial" w:hAnsi="Arial" w:eastAsia="Times New Roman" w:cs="Arial"/>
          <w:color w:val="000000" w:themeColor="text1"/>
          <w:sz w:val="24"/>
          <w:szCs w:val="24"/>
          <w:lang w:val="en-GB"/>
          <w14:textFill>
            <w14:solidFill>
              <w14:schemeClr w14:val="tx1"/>
            </w14:solidFill>
          </w14:textFill>
        </w:rPr>
        <w:t>I think Japan holds a wider borderline, and the world's highest population lives in Japan. It is clear that Japan has a much-diversified culture throughout the country. That's why to do business in Japan. It is very important to first understand all those cultures in the country and the languages, too. Sent and Kroese, (2022), observe that UK Companies need to apply Hofstede's cultural dimension</w:t>
      </w:r>
      <w:r>
        <w:rPr>
          <w:rFonts w:hint="default" w:ascii="Arial" w:hAnsi="Arial" w:eastAsia="Times New Roman" w:cs="Arial"/>
          <w:b/>
          <w:color w:val="000000" w:themeColor="text1"/>
          <w:sz w:val="24"/>
          <w:szCs w:val="24"/>
          <w:lang w:val="en-GB"/>
          <w14:textFill>
            <w14:solidFill>
              <w14:schemeClr w14:val="tx1"/>
            </w14:solidFill>
          </w14:textFill>
        </w:rPr>
        <w:t xml:space="preserve">s </w:t>
      </w:r>
      <w:r>
        <w:rPr>
          <w:rFonts w:hint="default" w:ascii="Arial" w:hAnsi="Arial" w:eastAsia="Times New Roman" w:cs="Arial"/>
          <w:color w:val="000000" w:themeColor="text1"/>
          <w:sz w:val="24"/>
          <w:szCs w:val="24"/>
          <w:lang w:val="en-GB"/>
          <w14:textFill>
            <w14:solidFill>
              <w14:schemeClr w14:val="tx1"/>
            </w14:solidFill>
          </w14:textFill>
        </w:rPr>
        <w:t>in Japan</w:t>
      </w:r>
      <w:r>
        <w:rPr>
          <w:rFonts w:hint="default" w:ascii="Arial" w:hAnsi="Arial" w:eastAsia="Times New Roman" w:cs="Arial"/>
          <w:b/>
          <w:color w:val="000000" w:themeColor="text1"/>
          <w:sz w:val="24"/>
          <w:szCs w:val="24"/>
          <w:lang w:val="en-GB"/>
          <w14:textFill>
            <w14:solidFill>
              <w14:schemeClr w14:val="tx1"/>
            </w14:solidFill>
          </w14:textFill>
        </w:rPr>
        <w:t xml:space="preserve"> </w:t>
      </w:r>
      <w:r>
        <w:rPr>
          <w:rFonts w:hint="default" w:ascii="Arial" w:hAnsi="Arial" w:eastAsia="Times New Roman" w:cs="Arial"/>
          <w:color w:val="000000" w:themeColor="text1"/>
          <w:sz w:val="24"/>
          <w:szCs w:val="24"/>
          <w:lang w:val="en-GB"/>
          <w14:textFill>
            <w14:solidFill>
              <w14:schemeClr w14:val="tx1"/>
            </w14:solidFill>
          </w14:textFill>
        </w:rPr>
        <w:t>to adopt Japan’s language, cross-culture, value and time foundation. The employees of UK-based companies need a communication tanning session to improve their multi-lingual aptitudes. This language tanning will help UK workers in their personal development.</w:t>
      </w:r>
    </w:p>
    <w:p>
      <w:pPr>
        <w:pStyle w:val="12"/>
        <w:spacing w:line="360" w:lineRule="auto"/>
        <w:jc w:val="both"/>
        <w:rPr>
          <w:rFonts w:hint="default" w:ascii="Arial" w:hAnsi="Arial" w:eastAsia="Times New Roman" w:cs="Arial"/>
          <w:color w:val="000000" w:themeColor="text1"/>
          <w:sz w:val="24"/>
          <w:szCs w:val="24"/>
          <w:lang w:val="en-GB"/>
          <w14:textFill>
            <w14:solidFill>
              <w14:schemeClr w14:val="tx1"/>
            </w14:solidFill>
          </w14:textFill>
        </w:rPr>
      </w:pPr>
      <w:r>
        <w:rPr>
          <w:rFonts w:hint="default" w:ascii="Arial" w:hAnsi="Arial" w:eastAsia="Times New Roman" w:cs="Arial"/>
          <w:color w:val="000000" w:themeColor="text1"/>
          <w:sz w:val="24"/>
          <w:szCs w:val="24"/>
          <w:lang w:val="en-GB"/>
          <w14:textFill>
            <w14:solidFill>
              <w14:schemeClr w14:val="tx1"/>
            </w14:solidFill>
          </w14:textFill>
        </w:rPr>
        <w:t xml:space="preserve">Every country has different rules and regulations according to their labour laws, corporate tax policy and human rights, and in Japan, their business performance is highly dependent on political factors. This is one of the most common barriers for any company to expand their business internationally. I believe it will be very beneficial to UK Companies if they must understand all political factors very well, which can affect their business expansion in the Japan market. , </w:t>
      </w:r>
      <w:r>
        <w:rPr>
          <w:rFonts w:hint="default" w:ascii="Arial" w:hAnsi="Arial" w:cs="Arial"/>
          <w:color w:val="000000" w:themeColor="text1"/>
          <w:sz w:val="24"/>
          <w:szCs w:val="24"/>
          <w:shd w:val="clear" w:color="auto" w:fill="FFFFFF"/>
          <w:lang w:val="en-GB"/>
          <w14:textFill>
            <w14:solidFill>
              <w14:schemeClr w14:val="tx1"/>
            </w14:solidFill>
          </w14:textFill>
        </w:rPr>
        <w:t xml:space="preserve">Prause, </w:t>
      </w:r>
      <w:r>
        <w:rPr>
          <w:rFonts w:hint="default" w:ascii="Arial" w:hAnsi="Arial" w:eastAsia="Times New Roman" w:cs="Arial"/>
          <w:color w:val="000000" w:themeColor="text1"/>
          <w:sz w:val="24"/>
          <w:szCs w:val="24"/>
          <w:lang w:val="en-GB"/>
          <w14:textFill>
            <w14:solidFill>
              <w14:schemeClr w14:val="tx1"/>
            </w14:solidFill>
          </w14:textFill>
        </w:rPr>
        <w:t>(2019), stated that political, social and economic stability in Japan has helped to grow them consistently over the past 3 decades. These three are main essential things for a healthy business environment, and they make the market perdition so the business can predict the strategy and future. The UK Companies need to learn about Japan's Political, social and economic stability, as they also can make their business future and strategies for operating their business in Japan’s market.</w:t>
      </w:r>
    </w:p>
    <w:p>
      <w:pPr>
        <w:pStyle w:val="12"/>
        <w:spacing w:line="360" w:lineRule="auto"/>
        <w:jc w:val="both"/>
        <w:rPr>
          <w:rFonts w:hint="default" w:ascii="Arial" w:hAnsi="Arial" w:cs="Arial"/>
          <w:color w:val="000000" w:themeColor="text1"/>
          <w:sz w:val="24"/>
          <w:szCs w:val="24"/>
          <w:lang w:val="en-GB"/>
          <w14:textFill>
            <w14:solidFill>
              <w14:schemeClr w14:val="tx1"/>
            </w14:solidFill>
          </w14:textFill>
        </w:rPr>
      </w:pPr>
      <w:r>
        <w:rPr>
          <w:rFonts w:hint="default" w:ascii="Arial" w:hAnsi="Arial" w:eastAsia="Times New Roman" w:cs="Arial"/>
          <w:color w:val="000000" w:themeColor="text1"/>
          <w:sz w:val="24"/>
          <w:szCs w:val="24"/>
          <w:lang w:val="en-GB"/>
          <w14:textFill>
            <w14:solidFill>
              <w14:schemeClr w14:val="tx1"/>
            </w14:solidFill>
          </w14:textFill>
        </w:rPr>
        <w:t>Consumer behaviour is different between different regions and even cities. This will help them to understand the local preferences of the market faster and help them to make various business policies for other regions in Japan. Zwanka and Buff, (2021), expressed that entering Japan's market on your own is difficult for some. Still, if the UK companies can find the right local business partner, it will help them to adapt to the market faster and also help them to avoid common pitfalls. This collaboration allows UK companies to get access to an already-established network and provide a better understanding of the market regulation and particularities, among others.</w:t>
      </w:r>
    </w:p>
    <w:p>
      <w:pPr>
        <w:spacing w:before="240" w:after="240" w:line="360" w:lineRule="auto"/>
        <w:jc w:val="both"/>
        <w:rPr>
          <w:rFonts w:hint="default" w:ascii="Arial" w:hAnsi="Arial" w:eastAsia="Times New Roman" w:cs="Arial"/>
          <w:color w:val="000000" w:themeColor="text1"/>
          <w:sz w:val="24"/>
          <w:szCs w:val="24"/>
          <w:lang w:val="en-GB"/>
          <w14:textFill>
            <w14:solidFill>
              <w14:schemeClr w14:val="tx1"/>
            </w14:solidFill>
          </w14:textFill>
        </w:rPr>
      </w:pPr>
    </w:p>
    <w:p>
      <w:pPr>
        <w:spacing w:before="240" w:after="240" w:line="360" w:lineRule="auto"/>
        <w:jc w:val="both"/>
        <w:rPr>
          <w:rFonts w:hint="default" w:ascii="Arial" w:hAnsi="Arial" w:eastAsia="Times New Roman" w:cs="Arial"/>
          <w:b/>
          <w:color w:val="000000" w:themeColor="text1"/>
          <w:sz w:val="24"/>
          <w:szCs w:val="24"/>
          <w:lang w:val="en-GB"/>
          <w14:textFill>
            <w14:solidFill>
              <w14:schemeClr w14:val="tx1"/>
            </w14:solidFill>
          </w14:textFill>
        </w:rPr>
      </w:pPr>
      <w:r>
        <w:rPr>
          <w:rFonts w:hint="default" w:ascii="Arial" w:hAnsi="Arial" w:cs="Arial"/>
          <w:color w:val="000000" w:themeColor="text1"/>
          <w:sz w:val="24"/>
          <w:szCs w:val="24"/>
          <w:lang w:val="en-GB"/>
          <w14:textFill>
            <w14:solidFill>
              <w14:schemeClr w14:val="tx1"/>
            </w14:solidFill>
          </w14:textFill>
        </w:rPr>
        <w:br w:type="page"/>
      </w:r>
    </w:p>
    <w:p>
      <w:pPr>
        <w:pStyle w:val="2"/>
        <w:rPr>
          <w:rFonts w:hint="default" w:ascii="Arial" w:hAnsi="Arial" w:cs="Arial"/>
          <w:color w:val="000000" w:themeColor="text1"/>
          <w:lang w:val="en-GB"/>
          <w14:textFill>
            <w14:solidFill>
              <w14:schemeClr w14:val="tx1"/>
            </w14:solidFill>
          </w14:textFill>
        </w:rPr>
      </w:pPr>
      <w:bookmarkStart w:id="7" w:name="_Toc9884"/>
      <w:r>
        <w:rPr>
          <w:rFonts w:hint="eastAsia" w:ascii="Arial" w:hAnsi="Arial" w:eastAsia="宋体" w:cs="Arial"/>
          <w:color w:val="000000" w:themeColor="text1"/>
          <w:lang w:val="en-US" w:eastAsia="zh-CN"/>
          <w14:textFill>
            <w14:solidFill>
              <w14:schemeClr w14:val="tx1"/>
            </w14:solidFill>
          </w14:textFill>
        </w:rPr>
        <w:t xml:space="preserve">5.0 </w:t>
      </w:r>
      <w:r>
        <w:rPr>
          <w:rFonts w:hint="default" w:ascii="Arial" w:hAnsi="Arial" w:cs="Arial"/>
          <w:color w:val="000000" w:themeColor="text1"/>
          <w:lang w:val="en-GB"/>
          <w14:textFill>
            <w14:solidFill>
              <w14:schemeClr w14:val="tx1"/>
            </w14:solidFill>
          </w14:textFill>
        </w:rPr>
        <w:t>Reference</w:t>
      </w:r>
      <w:bookmarkEnd w:id="7"/>
    </w:p>
    <w:p>
      <w:pPr>
        <w:spacing w:before="240" w:after="240" w:line="360" w:lineRule="auto"/>
        <w:jc w:val="left"/>
        <w:rPr>
          <w:rFonts w:hint="default" w:ascii="Arial" w:hAnsi="Arial" w:eastAsia="Times New Roman" w:cs="Arial"/>
          <w:color w:val="000000" w:themeColor="text1"/>
          <w:sz w:val="24"/>
          <w:szCs w:val="24"/>
          <w:highlight w:val="yellow"/>
          <w:lang w:val="en-GB"/>
          <w14:textFill>
            <w14:solidFill>
              <w14:schemeClr w14:val="tx1"/>
            </w14:solidFill>
          </w14:textFill>
        </w:rPr>
      </w:pPr>
      <w:r>
        <w:rPr>
          <w:rFonts w:hint="default" w:ascii="Arial" w:hAnsi="Arial" w:cs="Arial"/>
          <w:color w:val="000000" w:themeColor="text1"/>
          <w:sz w:val="24"/>
          <w:szCs w:val="24"/>
          <w:shd w:val="clear" w:color="auto" w:fill="FFFFFF"/>
          <w:lang w:val="en-GB"/>
          <w14:textFill>
            <w14:solidFill>
              <w14:schemeClr w14:val="tx1"/>
            </w14:solidFill>
          </w14:textFill>
        </w:rPr>
        <w:t>Ahl, A., Yarime, M., Goto, M., Chopra, S.S., Kumar, N.M., Tanaka, K. and Sagawa, D., (2020). Exploring blockchain for the energy transition: Opportunities and challenges based on a case study in Japan. </w:t>
      </w:r>
      <w:r>
        <w:rPr>
          <w:rFonts w:hint="default" w:ascii="Arial" w:hAnsi="Arial" w:cs="Arial"/>
          <w:i/>
          <w:iCs/>
          <w:color w:val="000000" w:themeColor="text1"/>
          <w:sz w:val="24"/>
          <w:szCs w:val="24"/>
          <w:shd w:val="clear" w:color="auto" w:fill="FFFFFF"/>
          <w:lang w:val="en-GB"/>
          <w14:textFill>
            <w14:solidFill>
              <w14:schemeClr w14:val="tx1"/>
            </w14:solidFill>
          </w14:textFill>
        </w:rPr>
        <w:t>Renewable and Sustainable Energy Reviews</w:t>
      </w:r>
      <w:r>
        <w:rPr>
          <w:rFonts w:hint="default" w:ascii="Arial" w:hAnsi="Arial" w:cs="Arial"/>
          <w:color w:val="000000" w:themeColor="text1"/>
          <w:sz w:val="24"/>
          <w:szCs w:val="24"/>
          <w:shd w:val="clear" w:color="auto" w:fill="FFFFFF"/>
          <w:lang w:val="en-GB"/>
          <w14:textFill>
            <w14:solidFill>
              <w14:schemeClr w14:val="tx1"/>
            </w14:solidFill>
          </w14:textFill>
        </w:rPr>
        <w:t>, </w:t>
      </w:r>
      <w:r>
        <w:rPr>
          <w:rFonts w:hint="default" w:ascii="Arial" w:hAnsi="Arial" w:cs="Arial"/>
          <w:i/>
          <w:iCs/>
          <w:color w:val="000000" w:themeColor="text1"/>
          <w:sz w:val="24"/>
          <w:szCs w:val="24"/>
          <w:shd w:val="clear" w:color="auto" w:fill="FFFFFF"/>
          <w:lang w:val="en-GB"/>
          <w14:textFill>
            <w14:solidFill>
              <w14:schemeClr w14:val="tx1"/>
            </w14:solidFill>
          </w14:textFill>
        </w:rPr>
        <w:t>117</w:t>
      </w:r>
      <w:r>
        <w:rPr>
          <w:rFonts w:hint="default" w:ascii="Arial" w:hAnsi="Arial" w:cs="Arial"/>
          <w:color w:val="000000" w:themeColor="text1"/>
          <w:sz w:val="24"/>
          <w:szCs w:val="24"/>
          <w:shd w:val="clear" w:color="auto" w:fill="FFFFFF"/>
          <w:lang w:val="en-GB"/>
          <w14:textFill>
            <w14:solidFill>
              <w14:schemeClr w14:val="tx1"/>
            </w14:solidFill>
          </w14:textFill>
        </w:rPr>
        <w:t xml:space="preserve">, p.109488. Available at: </w:t>
      </w:r>
      <w:r>
        <w:rPr>
          <w:rFonts w:hint="default" w:ascii="Arial" w:hAnsi="Arial" w:eastAsia="Times New Roman" w:cs="Arial"/>
          <w:color w:val="000000" w:themeColor="text1"/>
          <w:sz w:val="24"/>
          <w:szCs w:val="24"/>
          <w:lang w:val="en-GB"/>
          <w14:textFill>
            <w14:solidFill>
              <w14:schemeClr w14:val="tx1"/>
            </w14:solidFill>
          </w14:textFill>
        </w:rPr>
        <w:t>https://www.sciencedirect.com/science/article/abs/pii/S1364032119306963</w:t>
      </w:r>
    </w:p>
    <w:p>
      <w:pPr>
        <w:spacing w:before="240" w:after="240" w:line="360" w:lineRule="auto"/>
        <w:jc w:val="left"/>
        <w:rPr>
          <w:rFonts w:hint="default" w:ascii="Arial" w:hAnsi="Arial" w:eastAsia="Times New Roman" w:cs="Arial"/>
          <w:color w:val="000000" w:themeColor="text1"/>
          <w:sz w:val="24"/>
          <w:szCs w:val="24"/>
          <w:highlight w:val="white"/>
          <w:lang w:val="en-GB"/>
          <w14:textFill>
            <w14:solidFill>
              <w14:schemeClr w14:val="tx1"/>
            </w14:solidFill>
          </w14:textFill>
        </w:rPr>
      </w:pPr>
      <w:r>
        <w:rPr>
          <w:rFonts w:hint="default" w:ascii="Arial" w:hAnsi="Arial" w:eastAsia="Times New Roman" w:cs="Arial"/>
          <w:color w:val="000000" w:themeColor="text1"/>
          <w:sz w:val="24"/>
          <w:szCs w:val="24"/>
          <w:highlight w:val="white"/>
          <w:lang w:val="en-GB"/>
          <w14:textFill>
            <w14:solidFill>
              <w14:schemeClr w14:val="tx1"/>
            </w14:solidFill>
          </w14:textFill>
        </w:rPr>
        <w:t xml:space="preserve">Beugelsdijk, S., Ambos, B. and Nell, P.C., (2020). Conceptualising and measuring distance in international business research: Recurring questions and best practice guidelines. In </w:t>
      </w:r>
      <w:r>
        <w:rPr>
          <w:rFonts w:hint="default" w:ascii="Arial" w:hAnsi="Arial" w:eastAsia="Times New Roman" w:cs="Arial"/>
          <w:i/>
          <w:color w:val="000000" w:themeColor="text1"/>
          <w:sz w:val="24"/>
          <w:szCs w:val="24"/>
          <w:highlight w:val="white"/>
          <w:lang w:val="en-GB"/>
          <w14:textFill>
            <w14:solidFill>
              <w14:schemeClr w14:val="tx1"/>
            </w14:solidFill>
          </w14:textFill>
        </w:rPr>
        <w:t>Research methods in international business</w:t>
      </w:r>
      <w:r>
        <w:rPr>
          <w:rFonts w:hint="default" w:ascii="Arial" w:hAnsi="Arial" w:eastAsia="Times New Roman" w:cs="Arial"/>
          <w:color w:val="000000" w:themeColor="text1"/>
          <w:sz w:val="24"/>
          <w:szCs w:val="24"/>
          <w:highlight w:val="white"/>
          <w:lang w:val="en-GB"/>
          <w14:textFill>
            <w14:solidFill>
              <w14:schemeClr w14:val="tx1"/>
            </w14:solidFill>
          </w14:textFill>
        </w:rPr>
        <w:t xml:space="preserve"> (pp. 449-498). Palgrave Macmillan, Cham. Available at: </w:t>
      </w:r>
      <w:r>
        <w:rPr>
          <w:rFonts w:hint="default" w:ascii="Arial" w:hAnsi="Arial" w:cs="Arial"/>
        </w:rPr>
        <w:fldChar w:fldCharType="begin"/>
      </w:r>
      <w:r>
        <w:rPr>
          <w:rFonts w:hint="default" w:ascii="Arial" w:hAnsi="Arial" w:cs="Arial"/>
        </w:rPr>
        <w:instrText xml:space="preserve"> HYPERLINK "https://link.springer.com/chapter/10.1007/978-3-030-22113-3_26" \h </w:instrText>
      </w:r>
      <w:r>
        <w:rPr>
          <w:rFonts w:hint="default" w:ascii="Arial" w:hAnsi="Arial" w:cs="Arial"/>
        </w:rPr>
        <w:fldChar w:fldCharType="separate"/>
      </w:r>
      <w:r>
        <w:rPr>
          <w:rFonts w:hint="default" w:ascii="Arial" w:hAnsi="Arial" w:eastAsia="Times New Roman" w:cs="Arial"/>
          <w:color w:val="000000" w:themeColor="text1"/>
          <w:sz w:val="24"/>
          <w:szCs w:val="24"/>
          <w:highlight w:val="white"/>
          <w:lang w:val="en-GB"/>
          <w14:textFill>
            <w14:solidFill>
              <w14:schemeClr w14:val="tx1"/>
            </w14:solidFill>
          </w14:textFill>
        </w:rPr>
        <w:t>https://link.springer.com/chapter/10.1007/978-3-030-22113-3_26</w:t>
      </w:r>
      <w:r>
        <w:rPr>
          <w:rFonts w:hint="default" w:ascii="Arial" w:hAnsi="Arial" w:eastAsia="Times New Roman" w:cs="Arial"/>
          <w:color w:val="000000" w:themeColor="text1"/>
          <w:sz w:val="24"/>
          <w:szCs w:val="24"/>
          <w:highlight w:val="white"/>
          <w:lang w:val="en-GB"/>
          <w14:textFill>
            <w14:solidFill>
              <w14:schemeClr w14:val="tx1"/>
            </w14:solidFill>
          </w14:textFill>
        </w:rPr>
        <w:fldChar w:fldCharType="end"/>
      </w:r>
    </w:p>
    <w:p>
      <w:pPr>
        <w:spacing w:before="240" w:after="240" w:line="360" w:lineRule="auto"/>
        <w:jc w:val="left"/>
        <w:rPr>
          <w:rFonts w:hint="default" w:ascii="Arial" w:hAnsi="Arial" w:cs="Arial"/>
          <w:color w:val="000000" w:themeColor="text1"/>
          <w:sz w:val="24"/>
          <w:szCs w:val="24"/>
          <w:shd w:val="clear" w:color="auto" w:fill="FFFFFF"/>
          <w:lang w:val="en-GB"/>
          <w14:textFill>
            <w14:solidFill>
              <w14:schemeClr w14:val="tx1"/>
            </w14:solidFill>
          </w14:textFill>
        </w:rPr>
      </w:pPr>
      <w:r>
        <w:rPr>
          <w:rFonts w:hint="default" w:ascii="Arial" w:hAnsi="Arial" w:cs="Arial"/>
          <w:color w:val="000000" w:themeColor="text1"/>
          <w:sz w:val="24"/>
          <w:szCs w:val="24"/>
          <w:shd w:val="clear" w:color="auto" w:fill="FFFFFF"/>
          <w:lang w:val="en-GB"/>
          <w14:textFill>
            <w14:solidFill>
              <w14:schemeClr w14:val="tx1"/>
            </w14:solidFill>
          </w14:textFill>
        </w:rPr>
        <w:t>Chen, C.F., Xu, X., Adams, J., Brannon, J., Li, F. and Walzem, A., (2020). When East meets West: Understanding residents’ home energy management system adoption intention and willingness to pay in Japan and the United States. </w:t>
      </w:r>
      <w:r>
        <w:rPr>
          <w:rFonts w:hint="default" w:ascii="Arial" w:hAnsi="Arial" w:cs="Arial"/>
          <w:i/>
          <w:iCs/>
          <w:color w:val="000000" w:themeColor="text1"/>
          <w:sz w:val="24"/>
          <w:szCs w:val="24"/>
          <w:shd w:val="clear" w:color="auto" w:fill="FFFFFF"/>
          <w:lang w:val="en-GB"/>
          <w14:textFill>
            <w14:solidFill>
              <w14:schemeClr w14:val="tx1"/>
            </w14:solidFill>
          </w14:textFill>
        </w:rPr>
        <w:t>Energy Research &amp; Social Science</w:t>
      </w:r>
      <w:r>
        <w:rPr>
          <w:rFonts w:hint="default" w:ascii="Arial" w:hAnsi="Arial" w:cs="Arial"/>
          <w:color w:val="000000" w:themeColor="text1"/>
          <w:sz w:val="24"/>
          <w:szCs w:val="24"/>
          <w:shd w:val="clear" w:color="auto" w:fill="FFFFFF"/>
          <w:lang w:val="en-GB"/>
          <w14:textFill>
            <w14:solidFill>
              <w14:schemeClr w14:val="tx1"/>
            </w14:solidFill>
          </w14:textFill>
        </w:rPr>
        <w:t>, </w:t>
      </w:r>
      <w:r>
        <w:rPr>
          <w:rFonts w:hint="default" w:ascii="Arial" w:hAnsi="Arial" w:cs="Arial"/>
          <w:i/>
          <w:iCs/>
          <w:color w:val="000000" w:themeColor="text1"/>
          <w:sz w:val="24"/>
          <w:szCs w:val="24"/>
          <w:shd w:val="clear" w:color="auto" w:fill="FFFFFF"/>
          <w:lang w:val="en-GB"/>
          <w14:textFill>
            <w14:solidFill>
              <w14:schemeClr w14:val="tx1"/>
            </w14:solidFill>
          </w14:textFill>
        </w:rPr>
        <w:t>69</w:t>
      </w:r>
      <w:r>
        <w:rPr>
          <w:rFonts w:hint="default" w:ascii="Arial" w:hAnsi="Arial" w:cs="Arial"/>
          <w:color w:val="000000" w:themeColor="text1"/>
          <w:sz w:val="24"/>
          <w:szCs w:val="24"/>
          <w:shd w:val="clear" w:color="auto" w:fill="FFFFFF"/>
          <w:lang w:val="en-GB"/>
          <w14:textFill>
            <w14:solidFill>
              <w14:schemeClr w14:val="tx1"/>
            </w14:solidFill>
          </w14:textFill>
        </w:rPr>
        <w:t>, p.101616. Available at: https://www.sciencedirect.com/science/article/abs/pii/S2214629620301912</w:t>
      </w:r>
    </w:p>
    <w:p>
      <w:pPr>
        <w:spacing w:before="240" w:after="240" w:line="360" w:lineRule="auto"/>
        <w:jc w:val="left"/>
        <w:rPr>
          <w:rFonts w:hint="default" w:ascii="Arial" w:hAnsi="Arial" w:eastAsia="Times New Roman" w:cs="Arial"/>
          <w:color w:val="000000" w:themeColor="text1"/>
          <w:sz w:val="24"/>
          <w:szCs w:val="24"/>
          <w:highlight w:val="white"/>
          <w:lang w:val="en-GB"/>
          <w14:textFill>
            <w14:solidFill>
              <w14:schemeClr w14:val="tx1"/>
            </w14:solidFill>
          </w14:textFill>
        </w:rPr>
      </w:pPr>
      <w:r>
        <w:rPr>
          <w:rFonts w:hint="default" w:ascii="Arial" w:hAnsi="Arial" w:eastAsia="Times New Roman" w:cs="Arial"/>
          <w:color w:val="000000" w:themeColor="text1"/>
          <w:sz w:val="24"/>
          <w:szCs w:val="24"/>
          <w:highlight w:val="white"/>
          <w:lang w:val="en-GB"/>
          <w14:textFill>
            <w14:solidFill>
              <w14:schemeClr w14:val="tx1"/>
            </w14:solidFill>
          </w14:textFill>
        </w:rPr>
        <w:t xml:space="preserve">Chen, W., Tajeddini, K., Ratten, V. and Tabari, S., (2019). Educational immigrants: evidence from Japanese young entrepreneurs in the UK. </w:t>
      </w:r>
      <w:r>
        <w:rPr>
          <w:rFonts w:hint="default" w:ascii="Arial" w:hAnsi="Arial" w:eastAsia="Times New Roman" w:cs="Arial"/>
          <w:i/>
          <w:color w:val="000000" w:themeColor="text1"/>
          <w:sz w:val="24"/>
          <w:szCs w:val="24"/>
          <w:highlight w:val="white"/>
          <w:lang w:val="en-GB"/>
          <w14:textFill>
            <w14:solidFill>
              <w14:schemeClr w14:val="tx1"/>
            </w14:solidFill>
          </w14:textFill>
        </w:rPr>
        <w:t>Journal of enterprising communities: People and places in the global economy</w:t>
      </w:r>
      <w:r>
        <w:rPr>
          <w:rFonts w:hint="default" w:ascii="Arial" w:hAnsi="Arial" w:eastAsia="Times New Roman" w:cs="Arial"/>
          <w:color w:val="000000" w:themeColor="text1"/>
          <w:sz w:val="24"/>
          <w:szCs w:val="24"/>
          <w:highlight w:val="white"/>
          <w:lang w:val="en-GB"/>
          <w14:textFill>
            <w14:solidFill>
              <w14:schemeClr w14:val="tx1"/>
            </w14:solidFill>
          </w14:textFill>
        </w:rPr>
        <w:t>. Available at: http://shura.shu.ac.uk/24139/9/Tabari-EducationalImmigrantsEvidence%28AM%29.pdf</w:t>
      </w:r>
    </w:p>
    <w:p>
      <w:pPr>
        <w:spacing w:before="240" w:after="240" w:line="360" w:lineRule="auto"/>
        <w:jc w:val="left"/>
        <w:rPr>
          <w:rFonts w:hint="default" w:ascii="Arial" w:hAnsi="Arial" w:eastAsia="Times New Roman" w:cs="Arial"/>
          <w:color w:val="000000" w:themeColor="text1"/>
          <w:sz w:val="24"/>
          <w:szCs w:val="24"/>
          <w:lang w:val="en-GB"/>
          <w14:textFill>
            <w14:solidFill>
              <w14:schemeClr w14:val="tx1"/>
            </w14:solidFill>
          </w14:textFill>
        </w:rPr>
      </w:pPr>
      <w:r>
        <w:rPr>
          <w:rFonts w:hint="default" w:ascii="Arial" w:hAnsi="Arial" w:cs="Arial"/>
          <w:color w:val="000000" w:themeColor="text1"/>
          <w:sz w:val="24"/>
          <w:szCs w:val="24"/>
          <w:shd w:val="clear" w:color="auto" w:fill="FFFFFF"/>
          <w:lang w:val="en-GB"/>
          <w14:textFill>
            <w14:solidFill>
              <w14:schemeClr w14:val="tx1"/>
            </w14:solidFill>
          </w14:textFill>
        </w:rPr>
        <w:t>Choi, Y., Oh, M., Choi, M. and Kim, S., (2021). Exploring the influence of culture on tourist experiences with robots in service delivery environment. </w:t>
      </w:r>
      <w:r>
        <w:rPr>
          <w:rFonts w:hint="default" w:ascii="Arial" w:hAnsi="Arial" w:cs="Arial"/>
          <w:i/>
          <w:iCs/>
          <w:color w:val="000000" w:themeColor="text1"/>
          <w:sz w:val="24"/>
          <w:szCs w:val="24"/>
          <w:shd w:val="clear" w:color="auto" w:fill="FFFFFF"/>
          <w:lang w:val="en-GB"/>
          <w14:textFill>
            <w14:solidFill>
              <w14:schemeClr w14:val="tx1"/>
            </w14:solidFill>
          </w14:textFill>
        </w:rPr>
        <w:t>Current Issues in Tourism</w:t>
      </w:r>
      <w:r>
        <w:rPr>
          <w:rFonts w:hint="default" w:ascii="Arial" w:hAnsi="Arial" w:cs="Arial"/>
          <w:color w:val="000000" w:themeColor="text1"/>
          <w:sz w:val="24"/>
          <w:szCs w:val="24"/>
          <w:shd w:val="clear" w:color="auto" w:fill="FFFFFF"/>
          <w:lang w:val="en-GB"/>
          <w14:textFill>
            <w14:solidFill>
              <w14:schemeClr w14:val="tx1"/>
            </w14:solidFill>
          </w14:textFill>
        </w:rPr>
        <w:t>, </w:t>
      </w:r>
      <w:r>
        <w:rPr>
          <w:rFonts w:hint="default" w:ascii="Arial" w:hAnsi="Arial" w:cs="Arial"/>
          <w:i/>
          <w:iCs/>
          <w:color w:val="000000" w:themeColor="text1"/>
          <w:sz w:val="24"/>
          <w:szCs w:val="24"/>
          <w:shd w:val="clear" w:color="auto" w:fill="FFFFFF"/>
          <w:lang w:val="en-GB"/>
          <w14:textFill>
            <w14:solidFill>
              <w14:schemeClr w14:val="tx1"/>
            </w14:solidFill>
          </w14:textFill>
        </w:rPr>
        <w:t>24</w:t>
      </w:r>
      <w:r>
        <w:rPr>
          <w:rFonts w:hint="default" w:ascii="Arial" w:hAnsi="Arial" w:cs="Arial"/>
          <w:color w:val="000000" w:themeColor="text1"/>
          <w:sz w:val="24"/>
          <w:szCs w:val="24"/>
          <w:shd w:val="clear" w:color="auto" w:fill="FFFFFF"/>
          <w:lang w:val="en-GB"/>
          <w14:textFill>
            <w14:solidFill>
              <w14:schemeClr w14:val="tx1"/>
            </w14:solidFill>
          </w14:textFill>
        </w:rPr>
        <w:t>(5), pp.717-733. Available at: https://www.tandfonline.com/doi/abs/10.1080/13683500.2020.1735318</w:t>
      </w:r>
    </w:p>
    <w:p>
      <w:pPr>
        <w:spacing w:before="240" w:after="240" w:line="360" w:lineRule="auto"/>
        <w:jc w:val="left"/>
        <w:rPr>
          <w:rFonts w:hint="default" w:ascii="Arial" w:hAnsi="Arial" w:eastAsia="Times New Roman" w:cs="Arial"/>
          <w:color w:val="000000" w:themeColor="text1"/>
          <w:sz w:val="24"/>
          <w:szCs w:val="24"/>
          <w:highlight w:val="white"/>
          <w:lang w:val="en-GB"/>
          <w14:textFill>
            <w14:solidFill>
              <w14:schemeClr w14:val="tx1"/>
            </w14:solidFill>
          </w14:textFill>
        </w:rPr>
      </w:pPr>
      <w:r>
        <w:rPr>
          <w:rFonts w:hint="default" w:ascii="Arial" w:hAnsi="Arial" w:eastAsia="Times New Roman" w:cs="Arial"/>
          <w:color w:val="000000" w:themeColor="text1"/>
          <w:sz w:val="24"/>
          <w:szCs w:val="24"/>
          <w:highlight w:val="white"/>
          <w:lang w:val="en-GB"/>
          <w14:textFill>
            <w14:solidFill>
              <w14:schemeClr w14:val="tx1"/>
            </w14:solidFill>
          </w14:textFill>
        </w:rPr>
        <w:t xml:space="preserve">Foss, N.J., Mudambi, R. and Murtinu, S., (2019). Taxing the multinational enterprise: On the forced redesign of global value chains and other inefficiencies. </w:t>
      </w:r>
      <w:r>
        <w:rPr>
          <w:rFonts w:hint="default" w:ascii="Arial" w:hAnsi="Arial" w:eastAsia="Times New Roman" w:cs="Arial"/>
          <w:i/>
          <w:color w:val="000000" w:themeColor="text1"/>
          <w:sz w:val="24"/>
          <w:szCs w:val="24"/>
          <w:highlight w:val="white"/>
          <w:lang w:val="en-GB"/>
          <w14:textFill>
            <w14:solidFill>
              <w14:schemeClr w14:val="tx1"/>
            </w14:solidFill>
          </w14:textFill>
        </w:rPr>
        <w:t>Journal of International Business Studies</w:t>
      </w:r>
      <w:r>
        <w:rPr>
          <w:rFonts w:hint="default" w:ascii="Arial" w:hAnsi="Arial" w:eastAsia="Times New Roman" w:cs="Arial"/>
          <w:color w:val="000000" w:themeColor="text1"/>
          <w:sz w:val="24"/>
          <w:szCs w:val="24"/>
          <w:highlight w:val="white"/>
          <w:lang w:val="en-GB"/>
          <w14:textFill>
            <w14:solidFill>
              <w14:schemeClr w14:val="tx1"/>
            </w14:solidFill>
          </w14:textFill>
        </w:rPr>
        <w:t xml:space="preserve">, </w:t>
      </w:r>
      <w:r>
        <w:rPr>
          <w:rFonts w:hint="default" w:ascii="Arial" w:hAnsi="Arial" w:eastAsia="Times New Roman" w:cs="Arial"/>
          <w:i/>
          <w:color w:val="000000" w:themeColor="text1"/>
          <w:sz w:val="24"/>
          <w:szCs w:val="24"/>
          <w:highlight w:val="white"/>
          <w:lang w:val="en-GB"/>
          <w14:textFill>
            <w14:solidFill>
              <w14:schemeClr w14:val="tx1"/>
            </w14:solidFill>
          </w14:textFill>
        </w:rPr>
        <w:t>50</w:t>
      </w:r>
      <w:r>
        <w:rPr>
          <w:rFonts w:hint="default" w:ascii="Arial" w:hAnsi="Arial" w:eastAsia="Times New Roman" w:cs="Arial"/>
          <w:color w:val="000000" w:themeColor="text1"/>
          <w:sz w:val="24"/>
          <w:szCs w:val="24"/>
          <w:highlight w:val="white"/>
          <w:lang w:val="en-GB"/>
          <w14:textFill>
            <w14:solidFill>
              <w14:schemeClr w14:val="tx1"/>
            </w14:solidFill>
          </w14:textFill>
        </w:rPr>
        <w:t xml:space="preserve">(9), pp.1644-1655. Available at: </w:t>
      </w:r>
      <w:r>
        <w:rPr>
          <w:rFonts w:hint="default" w:ascii="Arial" w:hAnsi="Arial" w:cs="Arial"/>
        </w:rPr>
        <w:fldChar w:fldCharType="begin"/>
      </w:r>
      <w:r>
        <w:rPr>
          <w:rFonts w:hint="default" w:ascii="Arial" w:hAnsi="Arial" w:cs="Arial"/>
        </w:rPr>
        <w:instrText xml:space="preserve"> HYPERLINK "https://link.springer.com/article/10.1057/s41267-018-0159-3" \h </w:instrText>
      </w:r>
      <w:r>
        <w:rPr>
          <w:rFonts w:hint="default" w:ascii="Arial" w:hAnsi="Arial" w:cs="Arial"/>
        </w:rPr>
        <w:fldChar w:fldCharType="separate"/>
      </w:r>
      <w:r>
        <w:rPr>
          <w:rFonts w:hint="default" w:ascii="Arial" w:hAnsi="Arial" w:eastAsia="Times New Roman" w:cs="Arial"/>
          <w:color w:val="000000" w:themeColor="text1"/>
          <w:sz w:val="24"/>
          <w:szCs w:val="24"/>
          <w:highlight w:val="white"/>
          <w:lang w:val="en-GB"/>
          <w14:textFill>
            <w14:solidFill>
              <w14:schemeClr w14:val="tx1"/>
            </w14:solidFill>
          </w14:textFill>
        </w:rPr>
        <w:t>https://link.springer.com/article/10.1057/s41267-018-0159-3</w:t>
      </w:r>
      <w:r>
        <w:rPr>
          <w:rFonts w:hint="default" w:ascii="Arial" w:hAnsi="Arial" w:eastAsia="Times New Roman" w:cs="Arial"/>
          <w:color w:val="000000" w:themeColor="text1"/>
          <w:sz w:val="24"/>
          <w:szCs w:val="24"/>
          <w:highlight w:val="white"/>
          <w:lang w:val="en-GB"/>
          <w14:textFill>
            <w14:solidFill>
              <w14:schemeClr w14:val="tx1"/>
            </w14:solidFill>
          </w14:textFill>
        </w:rPr>
        <w:fldChar w:fldCharType="end"/>
      </w:r>
    </w:p>
    <w:p>
      <w:pPr>
        <w:spacing w:before="240" w:after="240" w:line="360" w:lineRule="auto"/>
        <w:jc w:val="left"/>
        <w:rPr>
          <w:rFonts w:hint="default" w:ascii="Arial" w:hAnsi="Arial" w:eastAsia="Times New Roman" w:cs="Arial"/>
          <w:color w:val="000000" w:themeColor="text1"/>
          <w:sz w:val="24"/>
          <w:szCs w:val="24"/>
          <w:highlight w:val="white"/>
          <w:lang w:val="en-GB"/>
          <w14:textFill>
            <w14:solidFill>
              <w14:schemeClr w14:val="tx1"/>
            </w14:solidFill>
          </w14:textFill>
        </w:rPr>
      </w:pPr>
      <w:r>
        <w:rPr>
          <w:rFonts w:hint="default" w:ascii="Arial" w:hAnsi="Arial" w:eastAsia="Times New Roman" w:cs="Arial"/>
          <w:color w:val="000000" w:themeColor="text1"/>
          <w:sz w:val="24"/>
          <w:szCs w:val="24"/>
          <w:highlight w:val="white"/>
          <w:lang w:val="en-GB"/>
          <w14:textFill>
            <w14:solidFill>
              <w14:schemeClr w14:val="tx1"/>
            </w14:solidFill>
          </w14:textFill>
        </w:rPr>
        <w:t xml:space="preserve">Guo, Y., Jasovska, P., Rammal, H.G. and Rose, E.L., (2018). Global mobility of professionals and the transfer of tacit knowledge in multinational service firms. </w:t>
      </w:r>
      <w:r>
        <w:rPr>
          <w:rFonts w:hint="default" w:ascii="Arial" w:hAnsi="Arial" w:eastAsia="Times New Roman" w:cs="Arial"/>
          <w:i/>
          <w:color w:val="000000" w:themeColor="text1"/>
          <w:sz w:val="24"/>
          <w:szCs w:val="24"/>
          <w:highlight w:val="white"/>
          <w:lang w:val="en-GB"/>
          <w14:textFill>
            <w14:solidFill>
              <w14:schemeClr w14:val="tx1"/>
            </w14:solidFill>
          </w14:textFill>
        </w:rPr>
        <w:t>Journal of Knowledge Management</w:t>
      </w:r>
      <w:r>
        <w:rPr>
          <w:rFonts w:hint="default" w:ascii="Arial" w:hAnsi="Arial" w:eastAsia="Times New Roman" w:cs="Arial"/>
          <w:color w:val="000000" w:themeColor="text1"/>
          <w:sz w:val="24"/>
          <w:szCs w:val="24"/>
          <w:highlight w:val="white"/>
          <w:lang w:val="en-GB"/>
          <w14:textFill>
            <w14:solidFill>
              <w14:schemeClr w14:val="tx1"/>
            </w14:solidFill>
          </w14:textFill>
        </w:rPr>
        <w:t xml:space="preserve">. Available at: </w:t>
      </w:r>
      <w:r>
        <w:rPr>
          <w:rFonts w:hint="default" w:ascii="Arial" w:hAnsi="Arial" w:cs="Arial"/>
        </w:rPr>
        <w:fldChar w:fldCharType="begin"/>
      </w:r>
      <w:r>
        <w:rPr>
          <w:rFonts w:hint="default" w:ascii="Arial" w:hAnsi="Arial" w:cs="Arial"/>
        </w:rPr>
        <w:instrText xml:space="preserve"> HYPERLINK "https://www.emerald.com/insight/content/doi/10.1108/JKM-09-2017-0399/full/html" \h </w:instrText>
      </w:r>
      <w:r>
        <w:rPr>
          <w:rFonts w:hint="default" w:ascii="Arial" w:hAnsi="Arial" w:cs="Arial"/>
        </w:rPr>
        <w:fldChar w:fldCharType="separate"/>
      </w:r>
      <w:r>
        <w:rPr>
          <w:rFonts w:hint="default" w:ascii="Arial" w:hAnsi="Arial" w:eastAsia="Times New Roman" w:cs="Arial"/>
          <w:color w:val="000000" w:themeColor="text1"/>
          <w:sz w:val="24"/>
          <w:szCs w:val="24"/>
          <w:highlight w:val="white"/>
          <w:lang w:val="en-GB"/>
          <w14:textFill>
            <w14:solidFill>
              <w14:schemeClr w14:val="tx1"/>
            </w14:solidFill>
          </w14:textFill>
        </w:rPr>
        <w:t>https://www.emerald.com/insight/content/doi/10.1108/JKM-09-2017-0399/full/html</w:t>
      </w:r>
      <w:r>
        <w:rPr>
          <w:rFonts w:hint="default" w:ascii="Arial" w:hAnsi="Arial" w:eastAsia="Times New Roman" w:cs="Arial"/>
          <w:color w:val="000000" w:themeColor="text1"/>
          <w:sz w:val="24"/>
          <w:szCs w:val="24"/>
          <w:highlight w:val="white"/>
          <w:lang w:val="en-GB"/>
          <w14:textFill>
            <w14:solidFill>
              <w14:schemeClr w14:val="tx1"/>
            </w14:solidFill>
          </w14:textFill>
        </w:rPr>
        <w:fldChar w:fldCharType="end"/>
      </w:r>
    </w:p>
    <w:p>
      <w:pPr>
        <w:spacing w:before="240" w:after="240" w:line="360" w:lineRule="auto"/>
        <w:jc w:val="left"/>
        <w:rPr>
          <w:rFonts w:hint="default" w:ascii="Arial" w:hAnsi="Arial" w:eastAsia="Times New Roman" w:cs="Arial"/>
          <w:color w:val="000000" w:themeColor="text1"/>
          <w:sz w:val="24"/>
          <w:szCs w:val="24"/>
          <w:highlight w:val="white"/>
          <w:lang w:val="en-GB"/>
          <w14:textFill>
            <w14:solidFill>
              <w14:schemeClr w14:val="tx1"/>
            </w14:solidFill>
          </w14:textFill>
        </w:rPr>
      </w:pPr>
      <w:r>
        <w:rPr>
          <w:rFonts w:hint="default" w:ascii="Arial" w:hAnsi="Arial" w:eastAsia="Times New Roman" w:cs="Arial"/>
          <w:color w:val="000000" w:themeColor="text1"/>
          <w:sz w:val="24"/>
          <w:szCs w:val="24"/>
          <w:highlight w:val="white"/>
          <w:lang w:val="en-GB"/>
          <w14:textFill>
            <w14:solidFill>
              <w14:schemeClr w14:val="tx1"/>
            </w14:solidFill>
          </w14:textFill>
        </w:rPr>
        <w:t xml:space="preserve">Hamza, P.A., Othman, B.J., Gardi, B., Sorguli, S., Aziz, H.M., Ahmed, S.A., Sabir, B.Y., Ismael, N.B., Ali, B.J. and Anwr, G., (2021). Recruitment and selection: The relationship between recruitment and selection with organisational performance. </w:t>
      </w:r>
      <w:r>
        <w:rPr>
          <w:rFonts w:hint="default" w:ascii="Arial" w:hAnsi="Arial" w:eastAsia="Times New Roman" w:cs="Arial"/>
          <w:i/>
          <w:color w:val="000000" w:themeColor="text1"/>
          <w:sz w:val="24"/>
          <w:szCs w:val="24"/>
          <w:highlight w:val="white"/>
          <w:lang w:val="en-GB"/>
          <w14:textFill>
            <w14:solidFill>
              <w14:schemeClr w14:val="tx1"/>
            </w14:solidFill>
          </w14:textFill>
        </w:rPr>
        <w:t>International Journal of Engineering, Business and Management</w:t>
      </w:r>
      <w:r>
        <w:rPr>
          <w:rFonts w:hint="default" w:ascii="Arial" w:hAnsi="Arial" w:eastAsia="Times New Roman" w:cs="Arial"/>
          <w:color w:val="000000" w:themeColor="text1"/>
          <w:sz w:val="24"/>
          <w:szCs w:val="24"/>
          <w:highlight w:val="white"/>
          <w:lang w:val="en-GB"/>
          <w14:textFill>
            <w14:solidFill>
              <w14:schemeClr w14:val="tx1"/>
            </w14:solidFill>
          </w14:textFill>
        </w:rPr>
        <w:t xml:space="preserve">, </w:t>
      </w:r>
      <w:r>
        <w:rPr>
          <w:rFonts w:hint="default" w:ascii="Arial" w:hAnsi="Arial" w:eastAsia="Times New Roman" w:cs="Arial"/>
          <w:i/>
          <w:color w:val="000000" w:themeColor="text1"/>
          <w:sz w:val="24"/>
          <w:szCs w:val="24"/>
          <w:highlight w:val="white"/>
          <w:lang w:val="en-GB"/>
          <w14:textFill>
            <w14:solidFill>
              <w14:schemeClr w14:val="tx1"/>
            </w14:solidFill>
          </w14:textFill>
        </w:rPr>
        <w:t>5</w:t>
      </w:r>
      <w:r>
        <w:rPr>
          <w:rFonts w:hint="default" w:ascii="Arial" w:hAnsi="Arial" w:eastAsia="Times New Roman" w:cs="Arial"/>
          <w:color w:val="000000" w:themeColor="text1"/>
          <w:sz w:val="24"/>
          <w:szCs w:val="24"/>
          <w:highlight w:val="white"/>
          <w:lang w:val="en-GB"/>
          <w14:textFill>
            <w14:solidFill>
              <w14:schemeClr w14:val="tx1"/>
            </w14:solidFill>
          </w14:textFill>
        </w:rPr>
        <w:t>(3). Available at: http://www.journal-repository.theshillonga.com/index.php/ijebm/article/view/3606/3402</w:t>
      </w:r>
    </w:p>
    <w:p>
      <w:pPr>
        <w:spacing w:before="240" w:after="240" w:line="360" w:lineRule="auto"/>
        <w:jc w:val="left"/>
        <w:rPr>
          <w:rFonts w:hint="default" w:ascii="Arial" w:hAnsi="Arial" w:eastAsia="Times New Roman" w:cs="Arial"/>
          <w:color w:val="000000" w:themeColor="text1"/>
          <w:sz w:val="24"/>
          <w:szCs w:val="24"/>
          <w:highlight w:val="white"/>
          <w:lang w:val="en-GB"/>
          <w14:textFill>
            <w14:solidFill>
              <w14:schemeClr w14:val="tx1"/>
            </w14:solidFill>
          </w14:textFill>
        </w:rPr>
      </w:pPr>
      <w:r>
        <w:rPr>
          <w:rFonts w:hint="default" w:ascii="Arial" w:hAnsi="Arial" w:eastAsia="Times New Roman" w:cs="Arial"/>
          <w:color w:val="000000" w:themeColor="text1"/>
          <w:sz w:val="24"/>
          <w:szCs w:val="24"/>
          <w:highlight w:val="white"/>
          <w:lang w:val="en-GB"/>
          <w14:textFill>
            <w14:solidFill>
              <w14:schemeClr w14:val="tx1"/>
            </w14:solidFill>
          </w14:textFill>
        </w:rPr>
        <w:t xml:space="preserve">Hart, J., Adams, K., Giesekam, J., Tingley, D.D. and Pomponi, F., (2019). Barriers and drivers in a circular economy: the case of the built environment. </w:t>
      </w:r>
      <w:r>
        <w:rPr>
          <w:rFonts w:hint="default" w:ascii="Arial" w:hAnsi="Arial" w:eastAsia="Times New Roman" w:cs="Arial"/>
          <w:i/>
          <w:color w:val="000000" w:themeColor="text1"/>
          <w:sz w:val="24"/>
          <w:szCs w:val="24"/>
          <w:highlight w:val="white"/>
          <w:lang w:val="en-GB"/>
          <w14:textFill>
            <w14:solidFill>
              <w14:schemeClr w14:val="tx1"/>
            </w14:solidFill>
          </w14:textFill>
        </w:rPr>
        <w:t>Procedia Cirp</w:t>
      </w:r>
      <w:r>
        <w:rPr>
          <w:rFonts w:hint="default" w:ascii="Arial" w:hAnsi="Arial" w:eastAsia="Times New Roman" w:cs="Arial"/>
          <w:color w:val="000000" w:themeColor="text1"/>
          <w:sz w:val="24"/>
          <w:szCs w:val="24"/>
          <w:highlight w:val="white"/>
          <w:lang w:val="en-GB"/>
          <w14:textFill>
            <w14:solidFill>
              <w14:schemeClr w14:val="tx1"/>
            </w14:solidFill>
          </w14:textFill>
        </w:rPr>
        <w:t xml:space="preserve">, </w:t>
      </w:r>
      <w:r>
        <w:rPr>
          <w:rFonts w:hint="default" w:ascii="Arial" w:hAnsi="Arial" w:eastAsia="Times New Roman" w:cs="Arial"/>
          <w:i/>
          <w:color w:val="000000" w:themeColor="text1"/>
          <w:sz w:val="24"/>
          <w:szCs w:val="24"/>
          <w:highlight w:val="white"/>
          <w:lang w:val="en-GB"/>
          <w14:textFill>
            <w14:solidFill>
              <w14:schemeClr w14:val="tx1"/>
            </w14:solidFill>
          </w14:textFill>
        </w:rPr>
        <w:t>80</w:t>
      </w:r>
      <w:r>
        <w:rPr>
          <w:rFonts w:hint="default" w:ascii="Arial" w:hAnsi="Arial" w:eastAsia="Times New Roman" w:cs="Arial"/>
          <w:color w:val="000000" w:themeColor="text1"/>
          <w:sz w:val="24"/>
          <w:szCs w:val="24"/>
          <w:highlight w:val="white"/>
          <w:lang w:val="en-GB"/>
          <w14:textFill>
            <w14:solidFill>
              <w14:schemeClr w14:val="tx1"/>
            </w14:solidFill>
          </w14:textFill>
        </w:rPr>
        <w:t xml:space="preserve">, pp.619-624. Available at: </w:t>
      </w:r>
      <w:r>
        <w:rPr>
          <w:rFonts w:hint="default" w:ascii="Arial" w:hAnsi="Arial" w:cs="Arial"/>
        </w:rPr>
        <w:fldChar w:fldCharType="begin"/>
      </w:r>
      <w:r>
        <w:rPr>
          <w:rFonts w:hint="default" w:ascii="Arial" w:hAnsi="Arial" w:cs="Arial"/>
        </w:rPr>
        <w:instrText xml:space="preserve"> HYPERLINK "https://www.sciencedirect.com/science/article/pii/S2212827118312940" \h </w:instrText>
      </w:r>
      <w:r>
        <w:rPr>
          <w:rFonts w:hint="default" w:ascii="Arial" w:hAnsi="Arial" w:cs="Arial"/>
        </w:rPr>
        <w:fldChar w:fldCharType="separate"/>
      </w:r>
      <w:r>
        <w:rPr>
          <w:rFonts w:hint="default" w:ascii="Arial" w:hAnsi="Arial" w:eastAsia="Times New Roman" w:cs="Arial"/>
          <w:color w:val="000000" w:themeColor="text1"/>
          <w:sz w:val="24"/>
          <w:szCs w:val="24"/>
          <w:highlight w:val="white"/>
          <w:lang w:val="en-GB"/>
          <w14:textFill>
            <w14:solidFill>
              <w14:schemeClr w14:val="tx1"/>
            </w14:solidFill>
          </w14:textFill>
        </w:rPr>
        <w:t>https://www.sciencedirect.com/science/article/pii/S2212827118312940</w:t>
      </w:r>
      <w:r>
        <w:rPr>
          <w:rFonts w:hint="default" w:ascii="Arial" w:hAnsi="Arial" w:eastAsia="Times New Roman" w:cs="Arial"/>
          <w:color w:val="000000" w:themeColor="text1"/>
          <w:sz w:val="24"/>
          <w:szCs w:val="24"/>
          <w:highlight w:val="white"/>
          <w:lang w:val="en-GB"/>
          <w14:textFill>
            <w14:solidFill>
              <w14:schemeClr w14:val="tx1"/>
            </w14:solidFill>
          </w14:textFill>
        </w:rPr>
        <w:fldChar w:fldCharType="end"/>
      </w:r>
    </w:p>
    <w:p>
      <w:pPr>
        <w:spacing w:before="240" w:after="240" w:line="360" w:lineRule="auto"/>
        <w:jc w:val="left"/>
        <w:rPr>
          <w:rFonts w:hint="default" w:ascii="Arial" w:hAnsi="Arial" w:eastAsia="Times New Roman" w:cs="Arial"/>
          <w:color w:val="000000" w:themeColor="text1"/>
          <w:sz w:val="24"/>
          <w:szCs w:val="24"/>
          <w:highlight w:val="white"/>
          <w:lang w:val="en-GB"/>
          <w14:textFill>
            <w14:solidFill>
              <w14:schemeClr w14:val="tx1"/>
            </w14:solidFill>
          </w14:textFill>
        </w:rPr>
      </w:pPr>
      <w:r>
        <w:rPr>
          <w:rFonts w:hint="default" w:ascii="Arial" w:hAnsi="Arial" w:eastAsia="Times New Roman" w:cs="Arial"/>
          <w:color w:val="000000" w:themeColor="text1"/>
          <w:sz w:val="24"/>
          <w:szCs w:val="24"/>
          <w:highlight w:val="white"/>
          <w:lang w:val="en-GB"/>
          <w14:textFill>
            <w14:solidFill>
              <w14:schemeClr w14:val="tx1"/>
            </w14:solidFill>
          </w14:textFill>
        </w:rPr>
        <w:t xml:space="preserve">Kahiya, E.T., (2018). Five decades of research on export barriers: Review and future directions. </w:t>
      </w:r>
      <w:r>
        <w:rPr>
          <w:rFonts w:hint="default" w:ascii="Arial" w:hAnsi="Arial" w:eastAsia="Times New Roman" w:cs="Arial"/>
          <w:i/>
          <w:color w:val="000000" w:themeColor="text1"/>
          <w:sz w:val="24"/>
          <w:szCs w:val="24"/>
          <w:highlight w:val="white"/>
          <w:lang w:val="en-GB"/>
          <w14:textFill>
            <w14:solidFill>
              <w14:schemeClr w14:val="tx1"/>
            </w14:solidFill>
          </w14:textFill>
        </w:rPr>
        <w:t>International Business Review</w:t>
      </w:r>
      <w:r>
        <w:rPr>
          <w:rFonts w:hint="default" w:ascii="Arial" w:hAnsi="Arial" w:eastAsia="Times New Roman" w:cs="Arial"/>
          <w:color w:val="000000" w:themeColor="text1"/>
          <w:sz w:val="24"/>
          <w:szCs w:val="24"/>
          <w:highlight w:val="white"/>
          <w:lang w:val="en-GB"/>
          <w14:textFill>
            <w14:solidFill>
              <w14:schemeClr w14:val="tx1"/>
            </w14:solidFill>
          </w14:textFill>
        </w:rPr>
        <w:t xml:space="preserve">, </w:t>
      </w:r>
      <w:r>
        <w:rPr>
          <w:rFonts w:hint="default" w:ascii="Arial" w:hAnsi="Arial" w:eastAsia="Times New Roman" w:cs="Arial"/>
          <w:i/>
          <w:color w:val="000000" w:themeColor="text1"/>
          <w:sz w:val="24"/>
          <w:szCs w:val="24"/>
          <w:highlight w:val="white"/>
          <w:lang w:val="en-GB"/>
          <w14:textFill>
            <w14:solidFill>
              <w14:schemeClr w14:val="tx1"/>
            </w14:solidFill>
          </w14:textFill>
        </w:rPr>
        <w:t>27</w:t>
      </w:r>
      <w:r>
        <w:rPr>
          <w:rFonts w:hint="default" w:ascii="Arial" w:hAnsi="Arial" w:eastAsia="Times New Roman" w:cs="Arial"/>
          <w:color w:val="000000" w:themeColor="text1"/>
          <w:sz w:val="24"/>
          <w:szCs w:val="24"/>
          <w:highlight w:val="white"/>
          <w:lang w:val="en-GB"/>
          <w14:textFill>
            <w14:solidFill>
              <w14:schemeClr w14:val="tx1"/>
            </w14:solidFill>
          </w14:textFill>
        </w:rPr>
        <w:t xml:space="preserve">(6), pp.1172-1188. Available at: </w:t>
      </w:r>
      <w:r>
        <w:rPr>
          <w:rFonts w:hint="default" w:ascii="Arial" w:hAnsi="Arial" w:cs="Arial"/>
        </w:rPr>
        <w:fldChar w:fldCharType="begin"/>
      </w:r>
      <w:r>
        <w:rPr>
          <w:rFonts w:hint="default" w:ascii="Arial" w:hAnsi="Arial" w:cs="Arial"/>
        </w:rPr>
        <w:instrText xml:space="preserve"> HYPERLINK "https://www.sciencedirect.com/science/article/abs/pii/S0969593117303141" \h </w:instrText>
      </w:r>
      <w:r>
        <w:rPr>
          <w:rFonts w:hint="default" w:ascii="Arial" w:hAnsi="Arial" w:cs="Arial"/>
        </w:rPr>
        <w:fldChar w:fldCharType="separate"/>
      </w:r>
      <w:r>
        <w:rPr>
          <w:rFonts w:hint="default" w:ascii="Arial" w:hAnsi="Arial" w:eastAsia="Times New Roman" w:cs="Arial"/>
          <w:color w:val="000000" w:themeColor="text1"/>
          <w:sz w:val="24"/>
          <w:szCs w:val="24"/>
          <w:highlight w:val="white"/>
          <w:lang w:val="en-GB"/>
          <w14:textFill>
            <w14:solidFill>
              <w14:schemeClr w14:val="tx1"/>
            </w14:solidFill>
          </w14:textFill>
        </w:rPr>
        <w:t>https://www.sciencedirect.com/science/article/abs/pii/S0969593117303141</w:t>
      </w:r>
      <w:r>
        <w:rPr>
          <w:rFonts w:hint="default" w:ascii="Arial" w:hAnsi="Arial" w:eastAsia="Times New Roman" w:cs="Arial"/>
          <w:color w:val="000000" w:themeColor="text1"/>
          <w:sz w:val="24"/>
          <w:szCs w:val="24"/>
          <w:highlight w:val="white"/>
          <w:lang w:val="en-GB"/>
          <w14:textFill>
            <w14:solidFill>
              <w14:schemeClr w14:val="tx1"/>
            </w14:solidFill>
          </w14:textFill>
        </w:rPr>
        <w:fldChar w:fldCharType="end"/>
      </w:r>
    </w:p>
    <w:p>
      <w:pPr>
        <w:spacing w:before="240" w:after="240" w:line="360" w:lineRule="auto"/>
        <w:jc w:val="left"/>
        <w:rPr>
          <w:rFonts w:hint="default" w:ascii="Arial" w:hAnsi="Arial" w:eastAsia="Times New Roman" w:cs="Arial"/>
          <w:color w:val="000000" w:themeColor="text1"/>
          <w:sz w:val="24"/>
          <w:szCs w:val="24"/>
          <w:lang w:val="en-GB"/>
          <w14:textFill>
            <w14:solidFill>
              <w14:schemeClr w14:val="tx1"/>
            </w14:solidFill>
          </w14:textFill>
        </w:rPr>
      </w:pPr>
      <w:r>
        <w:rPr>
          <w:rFonts w:hint="default" w:ascii="Arial" w:hAnsi="Arial" w:eastAsia="Times New Roman" w:cs="Arial"/>
          <w:color w:val="000000" w:themeColor="text1"/>
          <w:sz w:val="24"/>
          <w:szCs w:val="24"/>
          <w:lang w:val="en-GB"/>
          <w14:textFill>
            <w14:solidFill>
              <w14:schemeClr w14:val="tx1"/>
            </w14:solidFill>
          </w14:textFill>
        </w:rPr>
        <w:t>Kang, J., Diao, Z. and Zanini, M.T., (2020). Business-to-business marketing responses to COVID-19 crisis: a business process perspective. Marketing Intelligence &amp; Planning. Available at: https://www.emerald.com/insight/content/doi/10.1108/MIP-05-2020-0217/full/html</w:t>
      </w:r>
    </w:p>
    <w:p>
      <w:pPr>
        <w:spacing w:before="240" w:after="240" w:line="360" w:lineRule="auto"/>
        <w:jc w:val="left"/>
        <w:rPr>
          <w:rFonts w:hint="default" w:ascii="Arial" w:hAnsi="Arial" w:eastAsia="Times New Roman" w:cs="Arial"/>
          <w:color w:val="000000" w:themeColor="text1"/>
          <w:sz w:val="24"/>
          <w:szCs w:val="24"/>
          <w:highlight w:val="white"/>
          <w:lang w:val="en-GB"/>
          <w14:textFill>
            <w14:solidFill>
              <w14:schemeClr w14:val="tx1"/>
            </w14:solidFill>
          </w14:textFill>
        </w:rPr>
      </w:pPr>
      <w:r>
        <w:rPr>
          <w:rFonts w:hint="default" w:ascii="Arial" w:hAnsi="Arial" w:eastAsia="Times New Roman" w:cs="Arial"/>
          <w:color w:val="000000" w:themeColor="text1"/>
          <w:sz w:val="24"/>
          <w:szCs w:val="24"/>
          <w:highlight w:val="white"/>
          <w:lang w:val="en-GB"/>
          <w14:textFill>
            <w14:solidFill>
              <w14:schemeClr w14:val="tx1"/>
            </w14:solidFill>
          </w14:textFill>
        </w:rPr>
        <w:t xml:space="preserve">Klimova, I.I., Klimova, G.V. and Dubinka, S.A., (2019). Students’ communicative competence in the context of intercultural business communication. Available at: </w:t>
      </w:r>
      <w:r>
        <w:rPr>
          <w:rFonts w:hint="default" w:ascii="Arial" w:hAnsi="Arial" w:cs="Arial"/>
        </w:rPr>
        <w:fldChar w:fldCharType="begin"/>
      </w:r>
      <w:r>
        <w:rPr>
          <w:rFonts w:hint="default" w:ascii="Arial" w:hAnsi="Arial" w:cs="Arial"/>
        </w:rPr>
        <w:instrText xml:space="preserve"> HYPERLINK "https://elib.bsu.by/handle/123456789/263977" \h </w:instrText>
      </w:r>
      <w:r>
        <w:rPr>
          <w:rFonts w:hint="default" w:ascii="Arial" w:hAnsi="Arial" w:cs="Arial"/>
        </w:rPr>
        <w:fldChar w:fldCharType="separate"/>
      </w:r>
      <w:r>
        <w:rPr>
          <w:rFonts w:hint="default" w:ascii="Arial" w:hAnsi="Arial" w:eastAsia="Times New Roman" w:cs="Arial"/>
          <w:color w:val="000000" w:themeColor="text1"/>
          <w:sz w:val="24"/>
          <w:szCs w:val="24"/>
          <w:highlight w:val="white"/>
          <w:lang w:val="en-GB"/>
          <w14:textFill>
            <w14:solidFill>
              <w14:schemeClr w14:val="tx1"/>
            </w14:solidFill>
          </w14:textFill>
        </w:rPr>
        <w:t>https://elib.bsu.by/handle/123456789/263977</w:t>
      </w:r>
      <w:r>
        <w:rPr>
          <w:rFonts w:hint="default" w:ascii="Arial" w:hAnsi="Arial" w:eastAsia="Times New Roman" w:cs="Arial"/>
          <w:color w:val="000000" w:themeColor="text1"/>
          <w:sz w:val="24"/>
          <w:szCs w:val="24"/>
          <w:highlight w:val="white"/>
          <w:lang w:val="en-GB"/>
          <w14:textFill>
            <w14:solidFill>
              <w14:schemeClr w14:val="tx1"/>
            </w14:solidFill>
          </w14:textFill>
        </w:rPr>
        <w:fldChar w:fldCharType="end"/>
      </w:r>
    </w:p>
    <w:p>
      <w:pPr>
        <w:spacing w:before="240" w:after="240" w:line="360" w:lineRule="auto"/>
        <w:jc w:val="left"/>
        <w:rPr>
          <w:rFonts w:hint="default" w:ascii="Arial" w:hAnsi="Arial" w:eastAsia="Times New Roman" w:cs="Arial"/>
          <w:color w:val="000000" w:themeColor="text1"/>
          <w:sz w:val="24"/>
          <w:szCs w:val="24"/>
          <w:highlight w:val="white"/>
          <w:lang w:val="en-GB"/>
          <w14:textFill>
            <w14:solidFill>
              <w14:schemeClr w14:val="tx1"/>
            </w14:solidFill>
          </w14:textFill>
        </w:rPr>
      </w:pPr>
      <w:r>
        <w:rPr>
          <w:rFonts w:hint="default" w:ascii="Arial" w:hAnsi="Arial" w:eastAsia="Times New Roman" w:cs="Arial"/>
          <w:color w:val="000000" w:themeColor="text1"/>
          <w:sz w:val="24"/>
          <w:szCs w:val="24"/>
          <w:highlight w:val="white"/>
          <w:lang w:val="en-GB"/>
          <w14:textFill>
            <w14:solidFill>
              <w14:schemeClr w14:val="tx1"/>
            </w14:solidFill>
          </w14:textFill>
        </w:rPr>
        <w:t xml:space="preserve">Liñán, F., Paul, J. and Fayolle, A., (2020). SMEs and entrepreneurship in the era of globalisation: advances and theoretical approaches. </w:t>
      </w:r>
      <w:r>
        <w:rPr>
          <w:rFonts w:hint="default" w:ascii="Arial" w:hAnsi="Arial" w:eastAsia="Times New Roman" w:cs="Arial"/>
          <w:i/>
          <w:color w:val="000000" w:themeColor="text1"/>
          <w:sz w:val="24"/>
          <w:szCs w:val="24"/>
          <w:highlight w:val="white"/>
          <w:lang w:val="en-GB"/>
          <w14:textFill>
            <w14:solidFill>
              <w14:schemeClr w14:val="tx1"/>
            </w14:solidFill>
          </w14:textFill>
        </w:rPr>
        <w:t>Small Business Economics</w:t>
      </w:r>
      <w:r>
        <w:rPr>
          <w:rFonts w:hint="default" w:ascii="Arial" w:hAnsi="Arial" w:eastAsia="Times New Roman" w:cs="Arial"/>
          <w:color w:val="000000" w:themeColor="text1"/>
          <w:sz w:val="24"/>
          <w:szCs w:val="24"/>
          <w:highlight w:val="white"/>
          <w:lang w:val="en-GB"/>
          <w14:textFill>
            <w14:solidFill>
              <w14:schemeClr w14:val="tx1"/>
            </w14:solidFill>
          </w14:textFill>
        </w:rPr>
        <w:t xml:space="preserve">, </w:t>
      </w:r>
      <w:r>
        <w:rPr>
          <w:rFonts w:hint="default" w:ascii="Arial" w:hAnsi="Arial" w:eastAsia="Times New Roman" w:cs="Arial"/>
          <w:i/>
          <w:color w:val="000000" w:themeColor="text1"/>
          <w:sz w:val="24"/>
          <w:szCs w:val="24"/>
          <w:highlight w:val="white"/>
          <w:lang w:val="en-GB"/>
          <w14:textFill>
            <w14:solidFill>
              <w14:schemeClr w14:val="tx1"/>
            </w14:solidFill>
          </w14:textFill>
        </w:rPr>
        <w:t>55</w:t>
      </w:r>
      <w:r>
        <w:rPr>
          <w:rFonts w:hint="default" w:ascii="Arial" w:hAnsi="Arial" w:eastAsia="Times New Roman" w:cs="Arial"/>
          <w:color w:val="000000" w:themeColor="text1"/>
          <w:sz w:val="24"/>
          <w:szCs w:val="24"/>
          <w:highlight w:val="white"/>
          <w:lang w:val="en-GB"/>
          <w14:textFill>
            <w14:solidFill>
              <w14:schemeClr w14:val="tx1"/>
            </w14:solidFill>
          </w14:textFill>
        </w:rPr>
        <w:t>(3), pp.695-703. Available at: https://idus.us.es/bitstream/handle/11441/100592/1/SMEs_and_entrepreneurship_in_the_era_of_globalization.pdf?sequence=1\</w:t>
      </w:r>
    </w:p>
    <w:p>
      <w:pPr>
        <w:spacing w:before="240" w:after="240" w:line="360" w:lineRule="auto"/>
        <w:jc w:val="left"/>
        <w:rPr>
          <w:rFonts w:hint="default" w:ascii="Arial" w:hAnsi="Arial" w:eastAsia="Times New Roman" w:cs="Arial"/>
          <w:color w:val="000000" w:themeColor="text1"/>
          <w:sz w:val="24"/>
          <w:szCs w:val="24"/>
          <w:highlight w:val="white"/>
          <w:lang w:val="en-GB"/>
          <w14:textFill>
            <w14:solidFill>
              <w14:schemeClr w14:val="tx1"/>
            </w14:solidFill>
          </w14:textFill>
        </w:rPr>
      </w:pPr>
      <w:r>
        <w:rPr>
          <w:rFonts w:hint="default" w:ascii="Arial" w:hAnsi="Arial" w:eastAsia="Times New Roman" w:cs="Arial"/>
          <w:color w:val="000000" w:themeColor="text1"/>
          <w:sz w:val="24"/>
          <w:szCs w:val="24"/>
          <w:highlight w:val="white"/>
          <w:lang w:val="en-GB"/>
          <w14:textFill>
            <w14:solidFill>
              <w14:schemeClr w14:val="tx1"/>
            </w14:solidFill>
          </w14:textFill>
        </w:rPr>
        <w:t xml:space="preserve">Niati, D.R., Siregar, ZME and Prayoga, Y., (2021). The effect of training on work performance and career development: the role of motivation as intervening variable. </w:t>
      </w:r>
      <w:r>
        <w:rPr>
          <w:rFonts w:hint="default" w:ascii="Arial" w:hAnsi="Arial" w:eastAsia="Times New Roman" w:cs="Arial"/>
          <w:i/>
          <w:color w:val="000000" w:themeColor="text1"/>
          <w:sz w:val="24"/>
          <w:szCs w:val="24"/>
          <w:highlight w:val="white"/>
          <w:lang w:val="en-GB"/>
          <w14:textFill>
            <w14:solidFill>
              <w14:schemeClr w14:val="tx1"/>
            </w14:solidFill>
          </w14:textFill>
        </w:rPr>
        <w:t>Budapest International Research and Critics Institute (BIRCI-Journal): Humanities and Social Sciences</w:t>
      </w:r>
      <w:r>
        <w:rPr>
          <w:rFonts w:hint="default" w:ascii="Arial" w:hAnsi="Arial" w:eastAsia="Times New Roman" w:cs="Arial"/>
          <w:color w:val="000000" w:themeColor="text1"/>
          <w:sz w:val="24"/>
          <w:szCs w:val="24"/>
          <w:highlight w:val="white"/>
          <w:lang w:val="en-GB"/>
          <w14:textFill>
            <w14:solidFill>
              <w14:schemeClr w14:val="tx1"/>
            </w14:solidFill>
          </w14:textFill>
        </w:rPr>
        <w:t xml:space="preserve">, </w:t>
      </w:r>
      <w:r>
        <w:rPr>
          <w:rFonts w:hint="default" w:ascii="Arial" w:hAnsi="Arial" w:eastAsia="Times New Roman" w:cs="Arial"/>
          <w:i/>
          <w:color w:val="000000" w:themeColor="text1"/>
          <w:sz w:val="24"/>
          <w:szCs w:val="24"/>
          <w:highlight w:val="white"/>
          <w:lang w:val="en-GB"/>
          <w14:textFill>
            <w14:solidFill>
              <w14:schemeClr w14:val="tx1"/>
            </w14:solidFill>
          </w14:textFill>
        </w:rPr>
        <w:t>4</w:t>
      </w:r>
      <w:r>
        <w:rPr>
          <w:rFonts w:hint="default" w:ascii="Arial" w:hAnsi="Arial" w:eastAsia="Times New Roman" w:cs="Arial"/>
          <w:color w:val="000000" w:themeColor="text1"/>
          <w:sz w:val="24"/>
          <w:szCs w:val="24"/>
          <w:highlight w:val="white"/>
          <w:lang w:val="en-GB"/>
          <w14:textFill>
            <w14:solidFill>
              <w14:schemeClr w14:val="tx1"/>
            </w14:solidFill>
          </w14:textFill>
        </w:rPr>
        <w:t>(2), pp.2385-2393. Available at: https://www.researchgate.net/profile/Zulkifli-Siregar/publication/351426754_The_Effect_of_Training_on_Work_Performance_and_Career_Development_The_Role_of_Motivation_as_Intervening_Variable/links/6099a568299bf1ad8d908ce1/The-Effect-of-Training-on-Work-Performance-and-Career-Development-The-Role-of-Motivation-as-Intervening-Variable.pdf</w:t>
      </w:r>
    </w:p>
    <w:p>
      <w:pPr>
        <w:spacing w:before="240" w:after="240" w:line="360" w:lineRule="auto"/>
        <w:jc w:val="left"/>
        <w:rPr>
          <w:rFonts w:hint="default" w:ascii="Arial" w:hAnsi="Arial" w:cs="Arial"/>
          <w:color w:val="000000" w:themeColor="text1"/>
          <w:sz w:val="24"/>
          <w:szCs w:val="24"/>
          <w:shd w:val="clear" w:color="auto" w:fill="FFFFFF"/>
          <w:lang w:val="en-GB"/>
          <w14:textFill>
            <w14:solidFill>
              <w14:schemeClr w14:val="tx1"/>
            </w14:solidFill>
          </w14:textFill>
        </w:rPr>
      </w:pPr>
      <w:r>
        <w:rPr>
          <w:rFonts w:hint="default" w:ascii="Arial" w:hAnsi="Arial" w:cs="Arial"/>
          <w:color w:val="000000" w:themeColor="text1"/>
          <w:sz w:val="24"/>
          <w:szCs w:val="24"/>
          <w:shd w:val="clear" w:color="auto" w:fill="FFFFFF"/>
          <w:lang w:val="en-GB"/>
          <w14:textFill>
            <w14:solidFill>
              <w14:schemeClr w14:val="tx1"/>
            </w14:solidFill>
          </w14:textFill>
        </w:rPr>
        <w:t>Prause, M., (2019). Challenges of industry 4.0 technology adoption for SMEs: the case of Japan. </w:t>
      </w:r>
      <w:r>
        <w:rPr>
          <w:rFonts w:hint="default" w:ascii="Arial" w:hAnsi="Arial" w:cs="Arial"/>
          <w:i/>
          <w:iCs/>
          <w:color w:val="000000" w:themeColor="text1"/>
          <w:sz w:val="24"/>
          <w:szCs w:val="24"/>
          <w:shd w:val="clear" w:color="auto" w:fill="FFFFFF"/>
          <w:lang w:val="en-GB"/>
          <w14:textFill>
            <w14:solidFill>
              <w14:schemeClr w14:val="tx1"/>
            </w14:solidFill>
          </w14:textFill>
        </w:rPr>
        <w:t>Sustainability</w:t>
      </w:r>
      <w:r>
        <w:rPr>
          <w:rFonts w:hint="default" w:ascii="Arial" w:hAnsi="Arial" w:cs="Arial"/>
          <w:color w:val="000000" w:themeColor="text1"/>
          <w:sz w:val="24"/>
          <w:szCs w:val="24"/>
          <w:shd w:val="clear" w:color="auto" w:fill="FFFFFF"/>
          <w:lang w:val="en-GB"/>
          <w14:textFill>
            <w14:solidFill>
              <w14:schemeClr w14:val="tx1"/>
            </w14:solidFill>
          </w14:textFill>
        </w:rPr>
        <w:t>, </w:t>
      </w:r>
      <w:r>
        <w:rPr>
          <w:rFonts w:hint="default" w:ascii="Arial" w:hAnsi="Arial" w:cs="Arial"/>
          <w:i/>
          <w:iCs/>
          <w:color w:val="000000" w:themeColor="text1"/>
          <w:sz w:val="24"/>
          <w:szCs w:val="24"/>
          <w:shd w:val="clear" w:color="auto" w:fill="FFFFFF"/>
          <w:lang w:val="en-GB"/>
          <w14:textFill>
            <w14:solidFill>
              <w14:schemeClr w14:val="tx1"/>
            </w14:solidFill>
          </w14:textFill>
        </w:rPr>
        <w:t>11</w:t>
      </w:r>
      <w:r>
        <w:rPr>
          <w:rFonts w:hint="default" w:ascii="Arial" w:hAnsi="Arial" w:cs="Arial"/>
          <w:color w:val="000000" w:themeColor="text1"/>
          <w:sz w:val="24"/>
          <w:szCs w:val="24"/>
          <w:shd w:val="clear" w:color="auto" w:fill="FFFFFF"/>
          <w:lang w:val="en-GB"/>
          <w14:textFill>
            <w14:solidFill>
              <w14:schemeClr w14:val="tx1"/>
            </w14:solidFill>
          </w14:textFill>
        </w:rPr>
        <w:t>(20), p.5807. Available at: https://www.mdpi.com/2071-1050/11/20/5807</w:t>
      </w:r>
    </w:p>
    <w:p>
      <w:pPr>
        <w:spacing w:before="240" w:after="240" w:line="360" w:lineRule="auto"/>
        <w:jc w:val="left"/>
        <w:rPr>
          <w:rFonts w:hint="default" w:ascii="Arial" w:hAnsi="Arial" w:eastAsia="Times New Roman" w:cs="Arial"/>
          <w:color w:val="000000" w:themeColor="text1"/>
          <w:sz w:val="24"/>
          <w:szCs w:val="24"/>
          <w:highlight w:val="white"/>
          <w:lang w:val="en-GB"/>
          <w14:textFill>
            <w14:solidFill>
              <w14:schemeClr w14:val="tx1"/>
            </w14:solidFill>
          </w14:textFill>
        </w:rPr>
      </w:pPr>
      <w:r>
        <w:rPr>
          <w:rFonts w:hint="default" w:ascii="Arial" w:hAnsi="Arial" w:eastAsia="Times New Roman" w:cs="Arial"/>
          <w:color w:val="000000" w:themeColor="text1"/>
          <w:sz w:val="24"/>
          <w:szCs w:val="24"/>
          <w:highlight w:val="white"/>
          <w:lang w:val="en-GB"/>
          <w14:textFill>
            <w14:solidFill>
              <w14:schemeClr w14:val="tx1"/>
            </w14:solidFill>
          </w14:textFill>
        </w:rPr>
        <w:t xml:space="preserve">Rehm, G., Piperidis, S., Bontcheva, K., Hajic, J., Arranz, V., Vasiļjevs, A., Backfried, G., Gómez-Pérez, J.M., Germann, U., Calizzano, R. and Feldhus, N., (2021), April. European language grid: A joint platform for the european language technology community. In </w:t>
      </w:r>
      <w:r>
        <w:rPr>
          <w:rFonts w:hint="default" w:ascii="Arial" w:hAnsi="Arial" w:eastAsia="Times New Roman" w:cs="Arial"/>
          <w:i/>
          <w:color w:val="000000" w:themeColor="text1"/>
          <w:sz w:val="24"/>
          <w:szCs w:val="24"/>
          <w:highlight w:val="white"/>
          <w:lang w:val="en-GB"/>
          <w14:textFill>
            <w14:solidFill>
              <w14:schemeClr w14:val="tx1"/>
            </w14:solidFill>
          </w14:textFill>
        </w:rPr>
        <w:t>Proceedings of the 16th Conference of the European Chapter of the Association for Computational Linguistics: System Demonstrations</w:t>
      </w:r>
      <w:r>
        <w:rPr>
          <w:rFonts w:hint="default" w:ascii="Arial" w:hAnsi="Arial" w:eastAsia="Times New Roman" w:cs="Arial"/>
          <w:color w:val="000000" w:themeColor="text1"/>
          <w:sz w:val="24"/>
          <w:szCs w:val="24"/>
          <w:highlight w:val="white"/>
          <w:lang w:val="en-GB"/>
          <w14:textFill>
            <w14:solidFill>
              <w14:schemeClr w14:val="tx1"/>
            </w14:solidFill>
          </w14:textFill>
        </w:rPr>
        <w:t xml:space="preserve"> (pp. 221-230). Available at: https://aclanthology.org/2021.eacl-demos.26.pdf</w:t>
      </w:r>
    </w:p>
    <w:p>
      <w:pPr>
        <w:spacing w:before="240" w:after="240" w:line="360" w:lineRule="auto"/>
        <w:jc w:val="left"/>
        <w:rPr>
          <w:rFonts w:hint="default" w:ascii="Arial" w:hAnsi="Arial" w:eastAsia="Times New Roman" w:cs="Arial"/>
          <w:color w:val="000000" w:themeColor="text1"/>
          <w:sz w:val="24"/>
          <w:szCs w:val="24"/>
          <w:highlight w:val="white"/>
          <w:lang w:val="en-GB"/>
          <w14:textFill>
            <w14:solidFill>
              <w14:schemeClr w14:val="tx1"/>
            </w14:solidFill>
          </w14:textFill>
        </w:rPr>
      </w:pPr>
      <w:r>
        <w:rPr>
          <w:rFonts w:hint="default" w:ascii="Arial" w:hAnsi="Arial" w:eastAsia="Times New Roman" w:cs="Arial"/>
          <w:color w:val="000000" w:themeColor="text1"/>
          <w:sz w:val="24"/>
          <w:szCs w:val="24"/>
          <w:highlight w:val="white"/>
          <w:lang w:val="en-GB"/>
          <w14:textFill>
            <w14:solidFill>
              <w14:schemeClr w14:val="tx1"/>
            </w14:solidFill>
          </w14:textFill>
        </w:rPr>
        <w:t xml:space="preserve">Sent, E.M. and Kroese, A.L., (2022). Commemorating Geert Hofstede, a pioneer in the study of culture and institutions. </w:t>
      </w:r>
      <w:r>
        <w:rPr>
          <w:rFonts w:hint="default" w:ascii="Arial" w:hAnsi="Arial" w:eastAsia="Times New Roman" w:cs="Arial"/>
          <w:i/>
          <w:color w:val="000000" w:themeColor="text1"/>
          <w:sz w:val="24"/>
          <w:szCs w:val="24"/>
          <w:highlight w:val="white"/>
          <w:lang w:val="en-GB"/>
          <w14:textFill>
            <w14:solidFill>
              <w14:schemeClr w14:val="tx1"/>
            </w14:solidFill>
          </w14:textFill>
        </w:rPr>
        <w:t>Journal of Institutional Economics</w:t>
      </w:r>
      <w:r>
        <w:rPr>
          <w:rFonts w:hint="default" w:ascii="Arial" w:hAnsi="Arial" w:eastAsia="Times New Roman" w:cs="Arial"/>
          <w:color w:val="000000" w:themeColor="text1"/>
          <w:sz w:val="24"/>
          <w:szCs w:val="24"/>
          <w:highlight w:val="white"/>
          <w:lang w:val="en-GB"/>
          <w14:textFill>
            <w14:solidFill>
              <w14:schemeClr w14:val="tx1"/>
            </w14:solidFill>
          </w14:textFill>
        </w:rPr>
        <w:t xml:space="preserve">, </w:t>
      </w:r>
      <w:r>
        <w:rPr>
          <w:rFonts w:hint="default" w:ascii="Arial" w:hAnsi="Arial" w:eastAsia="Times New Roman" w:cs="Arial"/>
          <w:i/>
          <w:color w:val="000000" w:themeColor="text1"/>
          <w:sz w:val="24"/>
          <w:szCs w:val="24"/>
          <w:highlight w:val="white"/>
          <w:lang w:val="en-GB"/>
          <w14:textFill>
            <w14:solidFill>
              <w14:schemeClr w14:val="tx1"/>
            </w14:solidFill>
          </w14:textFill>
        </w:rPr>
        <w:t>18</w:t>
      </w:r>
      <w:r>
        <w:rPr>
          <w:rFonts w:hint="default" w:ascii="Arial" w:hAnsi="Arial" w:eastAsia="Times New Roman" w:cs="Arial"/>
          <w:color w:val="000000" w:themeColor="text1"/>
          <w:sz w:val="24"/>
          <w:szCs w:val="24"/>
          <w:highlight w:val="white"/>
          <w:lang w:val="en-GB"/>
          <w14:textFill>
            <w14:solidFill>
              <w14:schemeClr w14:val="tx1"/>
            </w14:solidFill>
          </w14:textFill>
        </w:rPr>
        <w:t>(1), pp.15-27. Available at: https://www.cambridge.org/core/services/aop-cambridge-core/content/view/CEFFE024FDAC0F44D45146707351EE40/S174413742000051Xa.pdf/div-class-title-commemorating-geert-hofstede-a-pioneer-in-the-study-of-culture-and-institutions-div.pdf</w:t>
      </w:r>
    </w:p>
    <w:p>
      <w:pPr>
        <w:spacing w:before="240" w:after="240" w:line="360" w:lineRule="auto"/>
        <w:jc w:val="left"/>
        <w:rPr>
          <w:rFonts w:hint="default" w:ascii="Arial" w:hAnsi="Arial" w:eastAsia="Times New Roman" w:cs="Arial"/>
          <w:color w:val="000000" w:themeColor="text1"/>
          <w:sz w:val="24"/>
          <w:szCs w:val="24"/>
          <w:highlight w:val="white"/>
          <w:lang w:val="en-GB"/>
          <w14:textFill>
            <w14:solidFill>
              <w14:schemeClr w14:val="tx1"/>
            </w14:solidFill>
          </w14:textFill>
        </w:rPr>
      </w:pPr>
      <w:r>
        <w:rPr>
          <w:rFonts w:hint="default" w:ascii="Arial" w:hAnsi="Arial" w:eastAsia="Times New Roman" w:cs="Arial"/>
          <w:color w:val="000000" w:themeColor="text1"/>
          <w:sz w:val="24"/>
          <w:szCs w:val="24"/>
          <w:highlight w:val="white"/>
          <w:lang w:val="en-GB"/>
          <w14:textFill>
            <w14:solidFill>
              <w14:schemeClr w14:val="tx1"/>
            </w14:solidFill>
          </w14:textFill>
        </w:rPr>
        <w:t xml:space="preserve">Srivastava, S., Singh, S. and Dhir, S., (2020). Culture and International business research: A review and research agenda. </w:t>
      </w:r>
      <w:r>
        <w:rPr>
          <w:rFonts w:hint="default" w:ascii="Arial" w:hAnsi="Arial" w:eastAsia="Times New Roman" w:cs="Arial"/>
          <w:i/>
          <w:color w:val="000000" w:themeColor="text1"/>
          <w:sz w:val="24"/>
          <w:szCs w:val="24"/>
          <w:highlight w:val="white"/>
          <w:lang w:val="en-GB"/>
          <w14:textFill>
            <w14:solidFill>
              <w14:schemeClr w14:val="tx1"/>
            </w14:solidFill>
          </w14:textFill>
        </w:rPr>
        <w:t>International Business Review</w:t>
      </w:r>
      <w:r>
        <w:rPr>
          <w:rFonts w:hint="default" w:ascii="Arial" w:hAnsi="Arial" w:eastAsia="Times New Roman" w:cs="Arial"/>
          <w:color w:val="000000" w:themeColor="text1"/>
          <w:sz w:val="24"/>
          <w:szCs w:val="24"/>
          <w:highlight w:val="white"/>
          <w:lang w:val="en-GB"/>
          <w14:textFill>
            <w14:solidFill>
              <w14:schemeClr w14:val="tx1"/>
            </w14:solidFill>
          </w14:textFill>
        </w:rPr>
        <w:t xml:space="preserve">, </w:t>
      </w:r>
      <w:r>
        <w:rPr>
          <w:rFonts w:hint="default" w:ascii="Arial" w:hAnsi="Arial" w:eastAsia="Times New Roman" w:cs="Arial"/>
          <w:i/>
          <w:color w:val="000000" w:themeColor="text1"/>
          <w:sz w:val="24"/>
          <w:szCs w:val="24"/>
          <w:highlight w:val="white"/>
          <w:lang w:val="en-GB"/>
          <w14:textFill>
            <w14:solidFill>
              <w14:schemeClr w14:val="tx1"/>
            </w14:solidFill>
          </w14:textFill>
        </w:rPr>
        <w:t>29</w:t>
      </w:r>
      <w:r>
        <w:rPr>
          <w:rFonts w:hint="default" w:ascii="Arial" w:hAnsi="Arial" w:eastAsia="Times New Roman" w:cs="Arial"/>
          <w:color w:val="000000" w:themeColor="text1"/>
          <w:sz w:val="24"/>
          <w:szCs w:val="24"/>
          <w:highlight w:val="white"/>
          <w:lang w:val="en-GB"/>
          <w14:textFill>
            <w14:solidFill>
              <w14:schemeClr w14:val="tx1"/>
            </w14:solidFill>
          </w14:textFill>
        </w:rPr>
        <w:t xml:space="preserve">(4), p.101709. Available at: </w:t>
      </w:r>
      <w:r>
        <w:rPr>
          <w:rFonts w:hint="default" w:ascii="Arial" w:hAnsi="Arial" w:cs="Arial"/>
        </w:rPr>
        <w:fldChar w:fldCharType="begin"/>
      </w:r>
      <w:r>
        <w:rPr>
          <w:rFonts w:hint="default" w:ascii="Arial" w:hAnsi="Arial" w:cs="Arial"/>
        </w:rPr>
        <w:instrText xml:space="preserve"> HYPERLINK "https://www.sciencedirect.com/science/article/abs/pii/S0969593120300470" \h </w:instrText>
      </w:r>
      <w:r>
        <w:rPr>
          <w:rFonts w:hint="default" w:ascii="Arial" w:hAnsi="Arial" w:cs="Arial"/>
        </w:rPr>
        <w:fldChar w:fldCharType="separate"/>
      </w:r>
      <w:r>
        <w:rPr>
          <w:rFonts w:hint="default" w:ascii="Arial" w:hAnsi="Arial" w:eastAsia="Times New Roman" w:cs="Arial"/>
          <w:color w:val="000000" w:themeColor="text1"/>
          <w:sz w:val="24"/>
          <w:szCs w:val="24"/>
          <w:highlight w:val="white"/>
          <w:lang w:val="en-GB"/>
          <w14:textFill>
            <w14:solidFill>
              <w14:schemeClr w14:val="tx1"/>
            </w14:solidFill>
          </w14:textFill>
        </w:rPr>
        <w:t>https://www.sciencedirect.com/science/article/abs/pii/S0969593120300470</w:t>
      </w:r>
      <w:r>
        <w:rPr>
          <w:rFonts w:hint="default" w:ascii="Arial" w:hAnsi="Arial" w:eastAsia="Times New Roman" w:cs="Arial"/>
          <w:color w:val="000000" w:themeColor="text1"/>
          <w:sz w:val="24"/>
          <w:szCs w:val="24"/>
          <w:highlight w:val="white"/>
          <w:lang w:val="en-GB"/>
          <w14:textFill>
            <w14:solidFill>
              <w14:schemeClr w14:val="tx1"/>
            </w14:solidFill>
          </w14:textFill>
        </w:rPr>
        <w:fldChar w:fldCharType="end"/>
      </w:r>
    </w:p>
    <w:p>
      <w:pPr>
        <w:spacing w:before="240" w:after="240" w:line="360" w:lineRule="auto"/>
        <w:jc w:val="left"/>
        <w:rPr>
          <w:rFonts w:hint="default" w:ascii="Arial" w:hAnsi="Arial" w:eastAsia="Times New Roman" w:cs="Arial"/>
          <w:color w:val="000000" w:themeColor="text1"/>
          <w:sz w:val="24"/>
          <w:szCs w:val="24"/>
          <w:highlight w:val="white"/>
          <w:lang w:val="en-GB"/>
          <w14:textFill>
            <w14:solidFill>
              <w14:schemeClr w14:val="tx1"/>
            </w14:solidFill>
          </w14:textFill>
        </w:rPr>
      </w:pPr>
      <w:r>
        <w:rPr>
          <w:rFonts w:hint="default" w:ascii="Arial" w:hAnsi="Arial" w:eastAsia="Times New Roman" w:cs="Arial"/>
          <w:color w:val="000000" w:themeColor="text1"/>
          <w:sz w:val="24"/>
          <w:szCs w:val="24"/>
          <w:highlight w:val="white"/>
          <w:lang w:val="en-GB"/>
          <w14:textFill>
            <w14:solidFill>
              <w14:schemeClr w14:val="tx1"/>
            </w14:solidFill>
          </w14:textFill>
        </w:rPr>
        <w:t xml:space="preserve">Strang, V., (2020). Taking the waters: Cosmology, gender and material culture in the appropriation of water resources. In </w:t>
      </w:r>
      <w:r>
        <w:rPr>
          <w:rFonts w:hint="default" w:ascii="Arial" w:hAnsi="Arial" w:eastAsia="Times New Roman" w:cs="Arial"/>
          <w:i/>
          <w:color w:val="000000" w:themeColor="text1"/>
          <w:sz w:val="24"/>
          <w:szCs w:val="24"/>
          <w:highlight w:val="white"/>
          <w:lang w:val="en-GB"/>
          <w14:textFill>
            <w14:solidFill>
              <w14:schemeClr w14:val="tx1"/>
            </w14:solidFill>
          </w14:textFill>
        </w:rPr>
        <w:t>Gender, water and development</w:t>
      </w:r>
      <w:r>
        <w:rPr>
          <w:rFonts w:hint="default" w:ascii="Arial" w:hAnsi="Arial" w:eastAsia="Times New Roman" w:cs="Arial"/>
          <w:color w:val="000000" w:themeColor="text1"/>
          <w:sz w:val="24"/>
          <w:szCs w:val="24"/>
          <w:highlight w:val="white"/>
          <w:lang w:val="en-GB"/>
          <w14:textFill>
            <w14:solidFill>
              <w14:schemeClr w14:val="tx1"/>
            </w14:solidFill>
          </w14:textFill>
        </w:rPr>
        <w:t xml:space="preserve"> (pp. 21-38). Routledge. Available at: http://mis.kp.ac.rw/admin/admin_panel/kp_lms/files/digital/SelectiveBooks/Rural%20Development/Gender,%20Water%20and%20Development%20.[Coles,%20Anne].pdf#page=34</w:t>
      </w:r>
    </w:p>
    <w:p>
      <w:pPr>
        <w:spacing w:before="240" w:after="240" w:line="360" w:lineRule="auto"/>
        <w:jc w:val="left"/>
        <w:rPr>
          <w:rFonts w:hint="default" w:ascii="Arial" w:hAnsi="Arial" w:eastAsia="Times New Roman" w:cs="Arial"/>
          <w:color w:val="000000" w:themeColor="text1"/>
          <w:sz w:val="24"/>
          <w:szCs w:val="24"/>
          <w:lang w:val="en-GB"/>
          <w14:textFill>
            <w14:solidFill>
              <w14:schemeClr w14:val="tx1"/>
            </w14:solidFill>
          </w14:textFill>
        </w:rPr>
      </w:pPr>
      <w:r>
        <w:rPr>
          <w:rFonts w:hint="default" w:ascii="Arial" w:hAnsi="Arial" w:cs="Arial"/>
          <w:color w:val="000000" w:themeColor="text1"/>
          <w:sz w:val="24"/>
          <w:szCs w:val="24"/>
          <w:shd w:val="clear" w:color="auto" w:fill="FFFFFF"/>
          <w:lang w:val="en-GB"/>
          <w14:textFill>
            <w14:solidFill>
              <w14:schemeClr w14:val="tx1"/>
            </w14:solidFill>
          </w14:textFill>
        </w:rPr>
        <w:t>Tinh, D.T., Thuy, N.T. and Ngoc Huy, D.T., (2021). Doing Business Research and Teaching Methodology for Undergraduate, Postgraduate and Doctoral Students-Case in Various Markets Including Vietnam. </w:t>
      </w:r>
      <w:r>
        <w:rPr>
          <w:rFonts w:hint="default" w:ascii="Arial" w:hAnsi="Arial" w:cs="Arial"/>
          <w:i/>
          <w:iCs/>
          <w:color w:val="000000" w:themeColor="text1"/>
          <w:sz w:val="24"/>
          <w:szCs w:val="24"/>
          <w:shd w:val="clear" w:color="auto" w:fill="FFFFFF"/>
          <w:lang w:val="en-GB"/>
          <w14:textFill>
            <w14:solidFill>
              <w14:schemeClr w14:val="tx1"/>
            </w14:solidFill>
          </w14:textFill>
        </w:rPr>
        <w:t>Ilkogretim Online</w:t>
      </w:r>
      <w:r>
        <w:rPr>
          <w:rFonts w:hint="default" w:ascii="Arial" w:hAnsi="Arial" w:cs="Arial"/>
          <w:color w:val="000000" w:themeColor="text1"/>
          <w:sz w:val="24"/>
          <w:szCs w:val="24"/>
          <w:shd w:val="clear" w:color="auto" w:fill="FFFFFF"/>
          <w:lang w:val="en-GB"/>
          <w14:textFill>
            <w14:solidFill>
              <w14:schemeClr w14:val="tx1"/>
            </w14:solidFill>
          </w14:textFill>
        </w:rPr>
        <w:t>, </w:t>
      </w:r>
      <w:r>
        <w:rPr>
          <w:rFonts w:hint="default" w:ascii="Arial" w:hAnsi="Arial" w:cs="Arial"/>
          <w:i/>
          <w:iCs/>
          <w:color w:val="000000" w:themeColor="text1"/>
          <w:sz w:val="24"/>
          <w:szCs w:val="24"/>
          <w:shd w:val="clear" w:color="auto" w:fill="FFFFFF"/>
          <w:lang w:val="en-GB"/>
          <w14:textFill>
            <w14:solidFill>
              <w14:schemeClr w14:val="tx1"/>
            </w14:solidFill>
          </w14:textFill>
        </w:rPr>
        <w:t>20</w:t>
      </w:r>
      <w:r>
        <w:rPr>
          <w:rFonts w:hint="default" w:ascii="Arial" w:hAnsi="Arial" w:cs="Arial"/>
          <w:color w:val="000000" w:themeColor="text1"/>
          <w:sz w:val="24"/>
          <w:szCs w:val="24"/>
          <w:shd w:val="clear" w:color="auto" w:fill="FFFFFF"/>
          <w:lang w:val="en-GB"/>
          <w14:textFill>
            <w14:solidFill>
              <w14:schemeClr w14:val="tx1"/>
            </w14:solidFill>
          </w14:textFill>
        </w:rPr>
        <w:t xml:space="preserve">(1) Available at: </w:t>
      </w:r>
      <w:r>
        <w:rPr>
          <w:rFonts w:hint="default" w:ascii="Arial" w:hAnsi="Arial" w:eastAsia="Times New Roman" w:cs="Arial"/>
          <w:color w:val="000000" w:themeColor="text1"/>
          <w:sz w:val="24"/>
          <w:szCs w:val="24"/>
          <w:lang w:val="en-GB"/>
          <w14:textFill>
            <w14:solidFill>
              <w14:schemeClr w14:val="tx1"/>
            </w14:solidFill>
          </w14:textFill>
        </w:rPr>
        <w:t>https://dinhtranngochuy.com/218-1612176123.pdf</w:t>
      </w:r>
    </w:p>
    <w:p>
      <w:pPr>
        <w:spacing w:before="240" w:after="240" w:line="360" w:lineRule="auto"/>
        <w:jc w:val="left"/>
        <w:rPr>
          <w:rFonts w:hint="default" w:ascii="Arial" w:hAnsi="Arial" w:eastAsia="Times New Roman" w:cs="Arial"/>
          <w:color w:val="000000" w:themeColor="text1"/>
          <w:sz w:val="24"/>
          <w:szCs w:val="24"/>
          <w:highlight w:val="white"/>
          <w:lang w:val="en-GB"/>
          <w14:textFill>
            <w14:solidFill>
              <w14:schemeClr w14:val="tx1"/>
            </w14:solidFill>
          </w14:textFill>
        </w:rPr>
      </w:pPr>
      <w:r>
        <w:rPr>
          <w:rFonts w:hint="default" w:ascii="Arial" w:hAnsi="Arial" w:eastAsia="Times New Roman" w:cs="Arial"/>
          <w:color w:val="000000" w:themeColor="text1"/>
          <w:sz w:val="24"/>
          <w:szCs w:val="24"/>
          <w:highlight w:val="white"/>
          <w:lang w:val="en-GB"/>
          <w14:textFill>
            <w14:solidFill>
              <w14:schemeClr w14:val="tx1"/>
            </w14:solidFill>
          </w14:textFill>
        </w:rPr>
        <w:t xml:space="preserve">Zwanka, R.J. and Buff, C.,(2021). COVID-19 generation: A conceptual framework of the consumer behavioral shifts to be caused by the COVID-19 pandemic. </w:t>
      </w:r>
      <w:r>
        <w:rPr>
          <w:rFonts w:hint="default" w:ascii="Arial" w:hAnsi="Arial" w:eastAsia="Times New Roman" w:cs="Arial"/>
          <w:i/>
          <w:color w:val="000000" w:themeColor="text1"/>
          <w:sz w:val="24"/>
          <w:szCs w:val="24"/>
          <w:highlight w:val="white"/>
          <w:lang w:val="en-GB"/>
          <w14:textFill>
            <w14:solidFill>
              <w14:schemeClr w14:val="tx1"/>
            </w14:solidFill>
          </w14:textFill>
        </w:rPr>
        <w:t>Journal of International Consumer Marketing</w:t>
      </w:r>
      <w:r>
        <w:rPr>
          <w:rFonts w:hint="default" w:ascii="Arial" w:hAnsi="Arial" w:eastAsia="Times New Roman" w:cs="Arial"/>
          <w:color w:val="000000" w:themeColor="text1"/>
          <w:sz w:val="24"/>
          <w:szCs w:val="24"/>
          <w:highlight w:val="white"/>
          <w:lang w:val="en-GB"/>
          <w14:textFill>
            <w14:solidFill>
              <w14:schemeClr w14:val="tx1"/>
            </w14:solidFill>
          </w14:textFill>
        </w:rPr>
        <w:t xml:space="preserve">, </w:t>
      </w:r>
      <w:r>
        <w:rPr>
          <w:rFonts w:hint="default" w:ascii="Arial" w:hAnsi="Arial" w:eastAsia="Times New Roman" w:cs="Arial"/>
          <w:i/>
          <w:color w:val="000000" w:themeColor="text1"/>
          <w:sz w:val="24"/>
          <w:szCs w:val="24"/>
          <w:highlight w:val="white"/>
          <w:lang w:val="en-GB"/>
          <w14:textFill>
            <w14:solidFill>
              <w14:schemeClr w14:val="tx1"/>
            </w14:solidFill>
          </w14:textFill>
        </w:rPr>
        <w:t>33</w:t>
      </w:r>
      <w:r>
        <w:rPr>
          <w:rFonts w:hint="default" w:ascii="Arial" w:hAnsi="Arial" w:eastAsia="Times New Roman" w:cs="Arial"/>
          <w:color w:val="000000" w:themeColor="text1"/>
          <w:sz w:val="24"/>
          <w:szCs w:val="24"/>
          <w:highlight w:val="white"/>
          <w:lang w:val="en-GB"/>
          <w14:textFill>
            <w14:solidFill>
              <w14:schemeClr w14:val="tx1"/>
            </w14:solidFill>
          </w14:textFill>
        </w:rPr>
        <w:t>(1), pp.58-67. Available at: https://www.tandfonline.com/doi/abs/10.1080/08961530.2020.1771646?journalCode=wicm20</w:t>
      </w:r>
    </w:p>
    <w:p/>
    <w:sectPr>
      <w:footerReference r:id="rId5" w:type="default"/>
      <w:pgSz w:w="11906" w:h="16838"/>
      <w:pgMar w:top="1440" w:right="1800" w:bottom="1440" w:left="1800" w:header="851" w:footer="992" w:gutter="0"/>
      <w:pgNumType w:fmt="decimal"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76" w:lineRule="auto"/>
      </w:pPr>
      <w:r>
        <w:separator/>
      </w:r>
    </w:p>
  </w:footnote>
  <w:footnote w:type="continuationSeparator" w:id="1">
    <w:p>
      <w:pPr>
        <w:spacing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E3YTY5MDA1NzY2NmFhM2NhNGNmOWVmMTM4NjFkZGEifQ=="/>
  </w:docVars>
  <w:rsids>
    <w:rsidRoot w:val="6B12762F"/>
    <w:rsid w:val="56DD7FE5"/>
    <w:rsid w:val="6B12762F"/>
    <w:rsid w:val="7B1F41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276" w:lineRule="auto"/>
    </w:pPr>
    <w:rPr>
      <w:rFonts w:ascii="Arial" w:hAnsi="Arial" w:eastAsia="Arial" w:cs="Arial"/>
      <w:sz w:val="22"/>
      <w:szCs w:val="22"/>
      <w:lang w:val="en-US" w:eastAsia="en-US" w:bidi="ar-SA"/>
    </w:rPr>
  </w:style>
  <w:style w:type="paragraph" w:styleId="2">
    <w:name w:val="heading 1"/>
    <w:basedOn w:val="1"/>
    <w:next w:val="1"/>
    <w:qFormat/>
    <w:uiPriority w:val="0"/>
    <w:pPr>
      <w:keepNext/>
      <w:keepLines/>
      <w:spacing w:before="400" w:after="120" w:line="360" w:lineRule="auto"/>
      <w:jc w:val="both"/>
      <w:outlineLvl w:val="0"/>
    </w:pPr>
    <w:rPr>
      <w:rFonts w:ascii="Times New Roman" w:hAnsi="Times New Roman"/>
      <w:b/>
      <w:sz w:val="28"/>
      <w:szCs w:val="40"/>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4">
    <w:name w:val="footer"/>
    <w:basedOn w:val="1"/>
    <w:uiPriority w:val="0"/>
    <w:pPr>
      <w:tabs>
        <w:tab w:val="center" w:pos="4153"/>
        <w:tab w:val="right" w:pos="8306"/>
      </w:tabs>
      <w:snapToGrid w:val="0"/>
      <w:jc w:val="left"/>
    </w:pPr>
    <w:rPr>
      <w:sz w:val="18"/>
    </w:rPr>
  </w:style>
  <w:style w:type="paragraph" w:styleId="5">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toc 1"/>
    <w:basedOn w:val="1"/>
    <w:next w:val="1"/>
    <w:unhideWhenUsed/>
    <w:qFormat/>
    <w:uiPriority w:val="39"/>
    <w:pPr>
      <w:spacing w:after="100"/>
    </w:pPr>
  </w:style>
  <w:style w:type="paragraph" w:styleId="7">
    <w:name w:val="toc 2"/>
    <w:basedOn w:val="1"/>
    <w:next w:val="1"/>
    <w:uiPriority w:val="0"/>
    <w:pPr>
      <w:ind w:left="420" w:leftChars="200"/>
    </w:pPr>
  </w:style>
  <w:style w:type="character" w:styleId="10">
    <w:name w:val="Hyperlink"/>
    <w:basedOn w:val="9"/>
    <w:unhideWhenUsed/>
    <w:qFormat/>
    <w:uiPriority w:val="99"/>
    <w:rPr>
      <w:color w:val="0563C1" w:themeColor="hyperlink"/>
      <w:u w:val="single"/>
      <w14:textFill>
        <w14:solidFill>
          <w14:schemeClr w14:val="hlink"/>
        </w14:solidFill>
      </w14:textFill>
    </w:rPr>
  </w:style>
  <w:style w:type="paragraph" w:customStyle="1" w:styleId="11">
    <w:name w:val="TOC Heading"/>
    <w:basedOn w:val="2"/>
    <w:next w:val="1"/>
    <w:semiHidden/>
    <w:unhideWhenUsed/>
    <w:qFormat/>
    <w:uiPriority w:val="39"/>
    <w:pPr>
      <w:spacing w:before="480" w:after="0" w:line="276" w:lineRule="auto"/>
      <w:jc w:val="left"/>
      <w:outlineLvl w:val="9"/>
    </w:pPr>
    <w:rPr>
      <w:rFonts w:asciiTheme="majorHAnsi" w:hAnsiTheme="majorHAnsi" w:eastAsiaTheme="majorEastAsia" w:cstheme="majorBidi"/>
      <w:bCs/>
      <w:color w:val="2E75B6" w:themeColor="accent1" w:themeShade="BF"/>
      <w:szCs w:val="28"/>
      <w:lang w:eastAsia="ja-JP"/>
    </w:rPr>
  </w:style>
  <w:style w:type="paragraph" w:styleId="12">
    <w:name w:val="No Spacing"/>
    <w:qFormat/>
    <w:uiPriority w:val="1"/>
    <w:pPr>
      <w:spacing w:line="240" w:lineRule="auto"/>
    </w:pPr>
    <w:rPr>
      <w:rFonts w:ascii="Arial" w:hAnsi="Arial" w:eastAsia="Arial" w:cs="Arial"/>
      <w:sz w:val="22"/>
      <w:szCs w:val="22"/>
      <w:lang w:val="en-US" w:eastAsia="en-US"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17</Pages>
  <Words>3416</Words>
  <Characters>21944</Characters>
  <Lines>0</Lines>
  <Paragraphs>0</Paragraphs>
  <TotalTime>3</TotalTime>
  <ScaleCrop>false</ScaleCrop>
  <LinksUpToDate>false</LinksUpToDate>
  <CharactersWithSpaces>25356</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2023-01-20T03:18:00Z</dcterms:created>
  <dc:creator>问好</dc:creator>
  <cp:lastModifiedBy>问好</cp:lastModifiedBy>
  <dcterms:modified xsi:type="dcterms:W3CDTF">2023-01-20T03:38:04Z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C912A34C67AA4F1A815C5F1478EB950C</vt:lpwstr>
  </property>
</Properties>
</file>